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2.xml" ContentType="application/vnd.openxmlformats-officedocument.wordprocessingml.footer+xml"/>
  <Override PartName="/word/header10.xml" ContentType="application/vnd.openxmlformats-officedocument.wordprocessingml.header+xml"/>
  <Override PartName="/word/footer3.xml" ContentType="application/vnd.openxmlformats-officedocument.wordprocessingml.foot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footer4.xml" ContentType="application/vnd.openxmlformats-officedocument.wordprocessingml.footer+xml"/>
  <Override PartName="/word/header15.xml" ContentType="application/vnd.openxmlformats-officedocument.wordprocessingml.header+xml"/>
  <Override PartName="/word/header1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DC7EF8" w14:textId="77777777" w:rsidR="00374B29" w:rsidRPr="00122DF8" w:rsidRDefault="00374B29" w:rsidP="00374B29">
      <w:pPr>
        <w:pStyle w:val="AlgorithmHeading"/>
        <w:rPr>
          <w:vertAlign w:val="subscript"/>
        </w:rPr>
      </w:pPr>
      <w:bookmarkStart w:id="0" w:name="_Toc311441023"/>
      <w:bookmarkStart w:id="1" w:name="_Toc311441571"/>
      <w:bookmarkStart w:id="2" w:name="_Toc311441785"/>
      <w:bookmarkStart w:id="3" w:name="_Toc311444828"/>
      <w:bookmarkStart w:id="4" w:name="_Toc311461615"/>
      <w:bookmarkStart w:id="5" w:name="_Toc311464129"/>
      <w:bookmarkStart w:id="6" w:name="_Toc311464186"/>
      <w:bookmarkStart w:id="7" w:name="_Toc311464223"/>
      <w:bookmarkStart w:id="8" w:name="_Toc311464254"/>
      <w:bookmarkStart w:id="9" w:name="_Toc311465360"/>
      <w:bookmarkStart w:id="10" w:name="_Toc311469762"/>
      <w:bookmarkStart w:id="11" w:name="_Toc311470068"/>
      <w:bookmarkStart w:id="12" w:name="_Toc311470204"/>
      <w:bookmarkStart w:id="13" w:name="_Toc311470722"/>
      <w:bookmarkStart w:id="14" w:name="_Toc311472368"/>
      <w:bookmarkStart w:id="15" w:name="_Toc311472527"/>
      <w:bookmarkStart w:id="16" w:name="_Toc409070228"/>
      <w:bookmarkStart w:id="17" w:name="_Toc411593577"/>
    </w:p>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p w14:paraId="68E29A43" w14:textId="1536E20C" w:rsidR="00EC293E" w:rsidRPr="0028614A" w:rsidRDefault="001A33CE" w:rsidP="00EC293E">
      <w:pPr>
        <w:spacing w:line="360" w:lineRule="auto"/>
        <w:jc w:val="center"/>
        <w:rPr>
          <w:b/>
          <w:sz w:val="56"/>
        </w:rPr>
      </w:pPr>
      <w:r>
        <w:rPr>
          <w:b/>
          <w:sz w:val="56"/>
        </w:rPr>
        <w:t>20</w:t>
      </w:r>
      <w:r w:rsidR="00C072D5">
        <w:rPr>
          <w:b/>
          <w:sz w:val="56"/>
        </w:rPr>
        <w:t>2</w:t>
      </w:r>
      <w:del w:id="18" w:author="Kalee Whitehouse" w:date="2022-09-22T19:26:00Z">
        <w:r w:rsidR="005F3230" w:rsidDel="00E260FF">
          <w:rPr>
            <w:b/>
            <w:sz w:val="56"/>
          </w:rPr>
          <w:delText>2</w:delText>
        </w:r>
      </w:del>
      <w:ins w:id="19" w:author="Kalee Whitehouse" w:date="2022-09-22T19:26:00Z">
        <w:r w:rsidR="00E260FF">
          <w:rPr>
            <w:b/>
            <w:sz w:val="56"/>
          </w:rPr>
          <w:t>3</w:t>
        </w:r>
      </w:ins>
      <w:r>
        <w:rPr>
          <w:b/>
          <w:sz w:val="56"/>
        </w:rPr>
        <w:t xml:space="preserve"> </w:t>
      </w:r>
      <w:r w:rsidR="00EC293E" w:rsidRPr="008F033B">
        <w:rPr>
          <w:b/>
          <w:sz w:val="56"/>
        </w:rPr>
        <w:t>Illinois</w:t>
      </w:r>
      <w:r w:rsidR="00EC293E" w:rsidRPr="0042413F">
        <w:rPr>
          <w:b/>
          <w:sz w:val="56"/>
          <w:szCs w:val="56"/>
        </w:rPr>
        <w:t xml:space="preserve"> Statewide</w:t>
      </w:r>
      <w:bookmarkStart w:id="20" w:name="_Toc311441024"/>
      <w:bookmarkStart w:id="21" w:name="_Toc311441572"/>
      <w:bookmarkStart w:id="22" w:name="_Toc311441786"/>
      <w:bookmarkStart w:id="23" w:name="_Toc311444829"/>
      <w:bookmarkStart w:id="24" w:name="_Toc311461616"/>
      <w:bookmarkStart w:id="25" w:name="_Toc311464130"/>
      <w:bookmarkStart w:id="26" w:name="_Toc311464187"/>
      <w:bookmarkStart w:id="27" w:name="_Toc311464224"/>
      <w:bookmarkStart w:id="28" w:name="_Toc311464255"/>
      <w:bookmarkStart w:id="29" w:name="_Toc311465361"/>
      <w:bookmarkStart w:id="30" w:name="_Toc311469763"/>
      <w:bookmarkStart w:id="31" w:name="_Toc311470069"/>
      <w:bookmarkStart w:id="32" w:name="_Toc311470205"/>
      <w:bookmarkStart w:id="33" w:name="_Toc311470723"/>
      <w:bookmarkStart w:id="34" w:name="_Toc311472369"/>
      <w:bookmarkStart w:id="35" w:name="_Toc311472528"/>
      <w:r w:rsidR="00EC293E">
        <w:rPr>
          <w:b/>
          <w:sz w:val="56"/>
        </w:rPr>
        <w:t xml:space="preserve"> </w:t>
      </w:r>
      <w:r w:rsidR="00EC293E" w:rsidRPr="008F033B">
        <w:rPr>
          <w:b/>
          <w:sz w:val="56"/>
        </w:rPr>
        <w:t>Technical Reference Manual</w:t>
      </w:r>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r w:rsidR="00EC293E">
        <w:rPr>
          <w:b/>
          <w:sz w:val="56"/>
        </w:rPr>
        <w:t xml:space="preserve"> </w:t>
      </w:r>
      <w:r w:rsidR="00EC293E" w:rsidRPr="0042413F">
        <w:rPr>
          <w:b/>
          <w:sz w:val="56"/>
          <w:szCs w:val="56"/>
        </w:rPr>
        <w:t>for Energy Efficiency</w:t>
      </w:r>
    </w:p>
    <w:p w14:paraId="5844E7A3" w14:textId="41CBD23D" w:rsidR="00EC293E" w:rsidRDefault="00B3146E" w:rsidP="00EC293E">
      <w:pPr>
        <w:spacing w:line="360" w:lineRule="auto"/>
        <w:jc w:val="center"/>
        <w:rPr>
          <w:b/>
          <w:sz w:val="56"/>
          <w:szCs w:val="56"/>
        </w:rPr>
      </w:pPr>
      <w:r>
        <w:rPr>
          <w:b/>
          <w:sz w:val="56"/>
          <w:szCs w:val="56"/>
        </w:rPr>
        <w:t xml:space="preserve">Version </w:t>
      </w:r>
      <w:r w:rsidR="005F3230">
        <w:rPr>
          <w:b/>
          <w:sz w:val="56"/>
          <w:szCs w:val="56"/>
        </w:rPr>
        <w:t>1</w:t>
      </w:r>
      <w:del w:id="36" w:author="Kalee Whitehouse" w:date="2022-06-21T15:24:00Z">
        <w:r w:rsidR="005F3230" w:rsidDel="0003426D">
          <w:rPr>
            <w:b/>
            <w:sz w:val="56"/>
            <w:szCs w:val="56"/>
          </w:rPr>
          <w:delText>0</w:delText>
        </w:r>
      </w:del>
      <w:ins w:id="37" w:author="Kalee Whitehouse" w:date="2022-06-21T15:24:00Z">
        <w:r w:rsidR="0003426D">
          <w:rPr>
            <w:b/>
            <w:sz w:val="56"/>
            <w:szCs w:val="56"/>
          </w:rPr>
          <w:t>1</w:t>
        </w:r>
      </w:ins>
      <w:r w:rsidR="00EC293E">
        <w:rPr>
          <w:b/>
          <w:sz w:val="56"/>
          <w:szCs w:val="56"/>
        </w:rPr>
        <w:t>.0</w:t>
      </w:r>
    </w:p>
    <w:p w14:paraId="6677363F" w14:textId="77777777" w:rsidR="00EC293E" w:rsidRDefault="00EC293E" w:rsidP="00EC293E">
      <w:pPr>
        <w:spacing w:line="360" w:lineRule="auto"/>
        <w:jc w:val="center"/>
        <w:rPr>
          <w:b/>
          <w:sz w:val="56"/>
          <w:szCs w:val="56"/>
        </w:rPr>
      </w:pPr>
    </w:p>
    <w:p w14:paraId="06690D85" w14:textId="001E7FCB" w:rsidR="00EC293E" w:rsidRDefault="00A976C5" w:rsidP="00EC293E">
      <w:pPr>
        <w:spacing w:line="360" w:lineRule="auto"/>
        <w:jc w:val="center"/>
        <w:rPr>
          <w:b/>
          <w:sz w:val="56"/>
          <w:szCs w:val="56"/>
        </w:rPr>
      </w:pPr>
      <w:r>
        <w:rPr>
          <w:b/>
          <w:sz w:val="56"/>
          <w:szCs w:val="56"/>
        </w:rPr>
        <w:t xml:space="preserve">Volume 4: Cross-Cutting Measures </w:t>
      </w:r>
      <w:r w:rsidR="00EC293E">
        <w:rPr>
          <w:b/>
          <w:sz w:val="56"/>
          <w:szCs w:val="56"/>
        </w:rPr>
        <w:t>and Attachments</w:t>
      </w:r>
    </w:p>
    <w:p w14:paraId="073859BF" w14:textId="77777777" w:rsidR="00EC293E" w:rsidRPr="0042413F" w:rsidRDefault="00EC293E" w:rsidP="00EC293E">
      <w:pPr>
        <w:spacing w:line="360" w:lineRule="auto"/>
        <w:jc w:val="center"/>
        <w:rPr>
          <w:b/>
          <w:sz w:val="56"/>
          <w:szCs w:val="56"/>
        </w:rPr>
      </w:pPr>
    </w:p>
    <w:p w14:paraId="17D7B13B" w14:textId="563FA027" w:rsidR="00EC293E" w:rsidRDefault="002F1A77" w:rsidP="00EC293E">
      <w:pPr>
        <w:jc w:val="center"/>
        <w:rPr>
          <w:b/>
          <w:sz w:val="48"/>
          <w:szCs w:val="48"/>
        </w:rPr>
      </w:pPr>
      <w:del w:id="38" w:author="Kalee Whitehouse" w:date="2022-06-21T15:24:00Z">
        <w:r w:rsidDel="0003426D">
          <w:rPr>
            <w:b/>
            <w:sz w:val="48"/>
            <w:szCs w:val="48"/>
          </w:rPr>
          <w:delText>FINAL</w:delText>
        </w:r>
      </w:del>
      <w:ins w:id="39" w:author="Kalee Whitehouse" w:date="2022-06-21T15:24:00Z">
        <w:del w:id="40" w:author="Sam Dent" w:date="2022-09-20T09:17:00Z">
          <w:r w:rsidR="0003426D" w:rsidDel="003557B0">
            <w:rPr>
              <w:b/>
              <w:sz w:val="48"/>
              <w:szCs w:val="48"/>
            </w:rPr>
            <w:delText>DRAFT</w:delText>
          </w:r>
        </w:del>
      </w:ins>
      <w:ins w:id="41" w:author="Sam Dent" w:date="2022-09-20T09:17:00Z">
        <w:r w:rsidR="003557B0">
          <w:rPr>
            <w:b/>
            <w:sz w:val="48"/>
            <w:szCs w:val="48"/>
          </w:rPr>
          <w:t>FINAL</w:t>
        </w:r>
      </w:ins>
    </w:p>
    <w:p w14:paraId="48B6EACB" w14:textId="59C57667" w:rsidR="00EC293E" w:rsidRPr="002F27B8" w:rsidRDefault="006D733A" w:rsidP="00EC293E">
      <w:pPr>
        <w:jc w:val="center"/>
        <w:rPr>
          <w:b/>
          <w:sz w:val="48"/>
          <w:szCs w:val="48"/>
        </w:rPr>
      </w:pPr>
      <w:del w:id="42" w:author="Kalee Whitehouse" w:date="2022-06-21T15:24:00Z">
        <w:r w:rsidDel="0003426D">
          <w:rPr>
            <w:b/>
            <w:sz w:val="48"/>
            <w:szCs w:val="48"/>
          </w:rPr>
          <w:delText xml:space="preserve">September </w:delText>
        </w:r>
      </w:del>
      <w:ins w:id="43" w:author="Kalee Whitehouse" w:date="2022-06-21T15:24:00Z">
        <w:del w:id="44" w:author="Sam Dent" w:date="2022-08-04T12:02:00Z">
          <w:r w:rsidR="0003426D" w:rsidDel="00ED47B9">
            <w:rPr>
              <w:b/>
              <w:sz w:val="48"/>
              <w:szCs w:val="48"/>
            </w:rPr>
            <w:delText>June</w:delText>
          </w:r>
        </w:del>
      </w:ins>
      <w:ins w:id="45" w:author="Sam Dent" w:date="2022-09-07T08:32:00Z">
        <w:r w:rsidR="006E7574">
          <w:rPr>
            <w:b/>
            <w:sz w:val="48"/>
            <w:szCs w:val="48"/>
          </w:rPr>
          <w:t>September</w:t>
        </w:r>
      </w:ins>
      <w:ins w:id="46" w:author="Kalee Whitehouse" w:date="2022-06-21T15:24:00Z">
        <w:r w:rsidR="0003426D" w:rsidDel="005F3230">
          <w:rPr>
            <w:b/>
            <w:sz w:val="48"/>
            <w:szCs w:val="48"/>
          </w:rPr>
          <w:t xml:space="preserve"> </w:t>
        </w:r>
      </w:ins>
      <w:del w:id="47" w:author="Sam Dent" w:date="2022-08-04T12:02:00Z">
        <w:r w:rsidR="002F1A77" w:rsidDel="00ED47B9">
          <w:rPr>
            <w:b/>
            <w:sz w:val="48"/>
            <w:szCs w:val="48"/>
          </w:rPr>
          <w:delText>24</w:delText>
        </w:r>
      </w:del>
      <w:ins w:id="48" w:author="Sam Dent" w:date="2022-09-20T09:17:00Z">
        <w:r w:rsidR="003557B0">
          <w:rPr>
            <w:b/>
            <w:sz w:val="48"/>
            <w:szCs w:val="48"/>
          </w:rPr>
          <w:t>2</w:t>
        </w:r>
        <w:del w:id="49" w:author="Kalee Whitehouse" w:date="2022-09-22T19:26:00Z">
          <w:r w:rsidR="003557B0" w:rsidDel="00CF2633">
            <w:rPr>
              <w:b/>
              <w:sz w:val="48"/>
              <w:szCs w:val="48"/>
            </w:rPr>
            <w:delText>3</w:delText>
          </w:r>
        </w:del>
      </w:ins>
      <w:ins w:id="50" w:author="Kalee Whitehouse" w:date="2022-09-22T19:26:00Z">
        <w:r w:rsidR="00CF2633">
          <w:rPr>
            <w:b/>
            <w:sz w:val="48"/>
            <w:szCs w:val="48"/>
          </w:rPr>
          <w:t>2</w:t>
        </w:r>
      </w:ins>
      <w:r w:rsidR="00983B44">
        <w:rPr>
          <w:b/>
          <w:sz w:val="48"/>
          <w:szCs w:val="48"/>
        </w:rPr>
        <w:t>, 202</w:t>
      </w:r>
      <w:del w:id="51" w:author="Kalee Whitehouse" w:date="2022-06-21T15:24:00Z">
        <w:r w:rsidR="005F3230" w:rsidDel="0003426D">
          <w:rPr>
            <w:b/>
            <w:sz w:val="48"/>
            <w:szCs w:val="48"/>
          </w:rPr>
          <w:delText>1</w:delText>
        </w:r>
      </w:del>
      <w:ins w:id="52" w:author="Kalee Whitehouse" w:date="2022-06-21T15:24:00Z">
        <w:r w:rsidR="0003426D">
          <w:rPr>
            <w:b/>
            <w:sz w:val="48"/>
            <w:szCs w:val="48"/>
          </w:rPr>
          <w:t>2</w:t>
        </w:r>
      </w:ins>
    </w:p>
    <w:p w14:paraId="2C5A36BA" w14:textId="77777777" w:rsidR="00EC293E" w:rsidRDefault="00EC293E" w:rsidP="00EC293E">
      <w:pPr>
        <w:jc w:val="center"/>
        <w:rPr>
          <w:b/>
          <w:sz w:val="48"/>
          <w:szCs w:val="48"/>
        </w:rPr>
      </w:pPr>
    </w:p>
    <w:p w14:paraId="1BF25444" w14:textId="3292BF8A" w:rsidR="00EC293E" w:rsidRPr="004B2377" w:rsidRDefault="00EC293E" w:rsidP="00EC293E">
      <w:pPr>
        <w:jc w:val="center"/>
        <w:rPr>
          <w:b/>
          <w:sz w:val="48"/>
          <w:szCs w:val="48"/>
        </w:rPr>
      </w:pPr>
      <w:r>
        <w:rPr>
          <w:b/>
          <w:sz w:val="48"/>
          <w:szCs w:val="48"/>
        </w:rPr>
        <w:t>Effective:</w:t>
      </w:r>
    </w:p>
    <w:p w14:paraId="3A976E40" w14:textId="1C0E467B" w:rsidR="00EC293E" w:rsidRPr="00111E72" w:rsidRDefault="00B3146E" w:rsidP="00EC293E">
      <w:pPr>
        <w:jc w:val="center"/>
        <w:rPr>
          <w:b/>
          <w:sz w:val="48"/>
          <w:szCs w:val="48"/>
        </w:rPr>
      </w:pPr>
      <w:r>
        <w:rPr>
          <w:b/>
          <w:sz w:val="48"/>
          <w:szCs w:val="48"/>
        </w:rPr>
        <w:t>J</w:t>
      </w:r>
      <w:r w:rsidR="005D3C69">
        <w:rPr>
          <w:b/>
          <w:sz w:val="48"/>
          <w:szCs w:val="48"/>
        </w:rPr>
        <w:t>anuary 1, 20</w:t>
      </w:r>
      <w:r w:rsidR="00C072D5">
        <w:rPr>
          <w:b/>
          <w:sz w:val="48"/>
          <w:szCs w:val="48"/>
        </w:rPr>
        <w:t>2</w:t>
      </w:r>
      <w:del w:id="53" w:author="Kalee Whitehouse" w:date="2022-06-21T15:24:00Z">
        <w:r w:rsidR="005F3230" w:rsidDel="0003426D">
          <w:rPr>
            <w:b/>
            <w:sz w:val="48"/>
            <w:szCs w:val="48"/>
          </w:rPr>
          <w:delText>2</w:delText>
        </w:r>
      </w:del>
      <w:ins w:id="54" w:author="Kalee Whitehouse" w:date="2022-06-21T15:24:00Z">
        <w:r w:rsidR="0003426D">
          <w:rPr>
            <w:b/>
            <w:sz w:val="48"/>
            <w:szCs w:val="48"/>
          </w:rPr>
          <w:t>3</w:t>
        </w:r>
      </w:ins>
    </w:p>
    <w:p w14:paraId="5E6D53E8" w14:textId="77777777" w:rsidR="00EC293E" w:rsidRDefault="00EC293E" w:rsidP="00EC293E">
      <w:pPr>
        <w:spacing w:line="360" w:lineRule="auto"/>
        <w:jc w:val="center"/>
        <w:rPr>
          <w:b/>
          <w:sz w:val="48"/>
          <w:szCs w:val="48"/>
        </w:rPr>
      </w:pPr>
    </w:p>
    <w:p w14:paraId="2338D023" w14:textId="77777777" w:rsidR="00065C25" w:rsidRDefault="00065C25" w:rsidP="009F45F0">
      <w:pPr>
        <w:widowControl/>
        <w:spacing w:after="160"/>
        <w:jc w:val="center"/>
        <w:rPr>
          <w:rFonts w:eastAsia="Franklin Gothic Book"/>
          <w:sz w:val="22"/>
        </w:rPr>
        <w:sectPr w:rsidR="00065C25">
          <w:headerReference w:type="default" r:id="rId11"/>
          <w:footerReference w:type="default" r:id="rId12"/>
          <w:headerReference w:type="first" r:id="rId13"/>
          <w:pgSz w:w="12240" w:h="15840"/>
          <w:pgMar w:top="1440" w:right="1440" w:bottom="1440" w:left="1440" w:header="720" w:footer="720" w:gutter="0"/>
          <w:cols w:space="720"/>
          <w:docGrid w:linePitch="360"/>
        </w:sectPr>
      </w:pPr>
    </w:p>
    <w:sdt>
      <w:sdtPr>
        <w:rPr>
          <w:rFonts w:eastAsia="Times New Roman" w:cs="Times New Roman"/>
          <w:b/>
          <w:sz w:val="24"/>
          <w:szCs w:val="22"/>
        </w:rPr>
        <w:id w:val="633524009"/>
        <w:docPartObj>
          <w:docPartGallery w:val="Table of Contents"/>
          <w:docPartUnique/>
        </w:docPartObj>
      </w:sdtPr>
      <w:sdtEndPr>
        <w:rPr>
          <w:bCs/>
          <w:noProof/>
          <w:sz w:val="20"/>
        </w:rPr>
      </w:sdtEndPr>
      <w:sdtContent>
        <w:p w14:paraId="4F5EE6AC" w14:textId="0956BDC0" w:rsidR="0009338D" w:rsidRPr="00B3146E" w:rsidRDefault="00BD66BE" w:rsidP="00BD66BE">
          <w:pPr>
            <w:pStyle w:val="TOCHeading"/>
            <w:jc w:val="center"/>
            <w:rPr>
              <w:rFonts w:eastAsia="Times New Roman" w:cs="Times New Roman"/>
              <w:b/>
              <w:sz w:val="24"/>
              <w:szCs w:val="22"/>
            </w:rPr>
          </w:pPr>
          <w:r>
            <w:rPr>
              <w:rFonts w:eastAsia="Times New Roman" w:cs="Times New Roman"/>
              <w:b/>
              <w:sz w:val="24"/>
              <w:szCs w:val="22"/>
            </w:rPr>
            <w:t xml:space="preserve">Table of </w:t>
          </w:r>
          <w:bookmarkStart w:id="75" w:name="x1"/>
          <w:bookmarkEnd w:id="75"/>
          <w:r>
            <w:rPr>
              <w:rFonts w:eastAsia="Times New Roman" w:cs="Times New Roman"/>
              <w:b/>
              <w:sz w:val="24"/>
              <w:szCs w:val="22"/>
            </w:rPr>
            <w:t>Contents</w:t>
          </w:r>
        </w:p>
        <w:p w14:paraId="4337CC48" w14:textId="5389FBAC" w:rsidR="001C6BCF" w:rsidRPr="006039C4" w:rsidRDefault="004E522B" w:rsidP="006039C4">
          <w:pPr>
            <w:rPr>
              <w:b/>
              <w:smallCaps/>
            </w:rPr>
          </w:pPr>
          <w:r w:rsidRPr="006039C4">
            <w:rPr>
              <w:b/>
              <w:smallCaps/>
            </w:rPr>
            <w:t>Volume 1: Overview and User Guide</w:t>
          </w:r>
        </w:p>
        <w:p w14:paraId="1304E696" w14:textId="4AA2302A" w:rsidR="004E522B" w:rsidRPr="006039C4" w:rsidRDefault="004E522B" w:rsidP="006039C4">
          <w:pPr>
            <w:rPr>
              <w:b/>
              <w:smallCaps/>
            </w:rPr>
          </w:pPr>
          <w:r w:rsidRPr="006039C4">
            <w:rPr>
              <w:b/>
              <w:smallCaps/>
            </w:rPr>
            <w:t>Volume 2: Commercial and Industrial Measures</w:t>
          </w:r>
        </w:p>
        <w:p w14:paraId="0EBD2957" w14:textId="07638F28" w:rsidR="004E522B" w:rsidRPr="006039C4" w:rsidRDefault="004E522B" w:rsidP="006039C4">
          <w:pPr>
            <w:rPr>
              <w:b/>
              <w:smallCaps/>
            </w:rPr>
          </w:pPr>
          <w:r w:rsidRPr="006039C4">
            <w:rPr>
              <w:b/>
              <w:smallCaps/>
            </w:rPr>
            <w:t>Volume 3: Residential Measures</w:t>
          </w:r>
        </w:p>
        <w:p w14:paraId="186F7837" w14:textId="33A94A6E" w:rsidR="004E522B" w:rsidRPr="006039C4" w:rsidRDefault="004E522B" w:rsidP="006039C4">
          <w:pPr>
            <w:rPr>
              <w:b/>
              <w:smallCaps/>
            </w:rPr>
          </w:pPr>
          <w:r w:rsidRPr="006039C4">
            <w:rPr>
              <w:b/>
              <w:smallCaps/>
            </w:rPr>
            <w:t>Volume 4: Cross-Cutting Measures and Attachments</w:t>
          </w:r>
        </w:p>
        <w:p w14:paraId="5F964F05" w14:textId="7CC10D80" w:rsidR="00375534" w:rsidRDefault="0031601D">
          <w:pPr>
            <w:pStyle w:val="TOC1"/>
            <w:tabs>
              <w:tab w:val="left" w:pos="400"/>
              <w:tab w:val="right" w:leader="dot" w:pos="9350"/>
            </w:tabs>
            <w:rPr>
              <w:rFonts w:eastAsiaTheme="minorEastAsia" w:cstheme="minorBidi"/>
              <w:b w:val="0"/>
              <w:smallCaps w:val="0"/>
              <w:noProof/>
            </w:rPr>
          </w:pPr>
          <w:r>
            <w:fldChar w:fldCharType="begin"/>
          </w:r>
          <w:r>
            <w:instrText xml:space="preserve"> TOC \o "1-1" \h \z \t "Heading 2,2,Heading 3,3,Heading 3.1,3" </w:instrText>
          </w:r>
          <w:r>
            <w:fldChar w:fldCharType="separate"/>
          </w:r>
          <w:hyperlink w:anchor="_Toc113619766" w:history="1">
            <w:r w:rsidR="00375534" w:rsidRPr="00A63C77">
              <w:rPr>
                <w:rStyle w:val="Hyperlink"/>
                <w:noProof/>
              </w:rPr>
              <w:t xml:space="preserve">6 </w:t>
            </w:r>
            <w:r w:rsidR="00375534">
              <w:rPr>
                <w:rFonts w:eastAsiaTheme="minorEastAsia" w:cstheme="minorBidi"/>
                <w:b w:val="0"/>
                <w:smallCaps w:val="0"/>
                <w:noProof/>
              </w:rPr>
              <w:tab/>
            </w:r>
            <w:r w:rsidR="00375534" w:rsidRPr="00A63C77">
              <w:rPr>
                <w:rStyle w:val="Hyperlink"/>
                <w:noProof/>
              </w:rPr>
              <w:t>Cross-Cutting Measures</w:t>
            </w:r>
            <w:r w:rsidR="00375534">
              <w:rPr>
                <w:noProof/>
                <w:webHidden/>
              </w:rPr>
              <w:tab/>
            </w:r>
            <w:r w:rsidR="00375534">
              <w:rPr>
                <w:noProof/>
                <w:webHidden/>
              </w:rPr>
              <w:fldChar w:fldCharType="begin"/>
            </w:r>
            <w:r w:rsidR="00375534">
              <w:rPr>
                <w:noProof/>
                <w:webHidden/>
              </w:rPr>
              <w:instrText xml:space="preserve"> PAGEREF _Toc113619766 \h </w:instrText>
            </w:r>
            <w:r w:rsidR="00375534">
              <w:rPr>
                <w:noProof/>
                <w:webHidden/>
              </w:rPr>
            </w:r>
            <w:r w:rsidR="00375534">
              <w:rPr>
                <w:noProof/>
                <w:webHidden/>
              </w:rPr>
              <w:fldChar w:fldCharType="separate"/>
            </w:r>
            <w:r w:rsidR="00375534">
              <w:rPr>
                <w:noProof/>
                <w:webHidden/>
              </w:rPr>
              <w:t>8</w:t>
            </w:r>
            <w:r w:rsidR="00375534">
              <w:rPr>
                <w:noProof/>
                <w:webHidden/>
              </w:rPr>
              <w:fldChar w:fldCharType="end"/>
            </w:r>
          </w:hyperlink>
        </w:p>
        <w:p w14:paraId="246265FC" w14:textId="3300D376" w:rsidR="00375534" w:rsidRDefault="00573A1D">
          <w:pPr>
            <w:pStyle w:val="TOC2"/>
            <w:tabs>
              <w:tab w:val="left" w:pos="800"/>
              <w:tab w:val="right" w:leader="dot" w:pos="9350"/>
            </w:tabs>
            <w:rPr>
              <w:rFonts w:eastAsiaTheme="minorEastAsia" w:cstheme="minorBidi"/>
              <w:noProof/>
              <w:sz w:val="22"/>
            </w:rPr>
          </w:pPr>
          <w:hyperlink w:anchor="_Toc113619767" w:history="1">
            <w:r w:rsidR="00375534" w:rsidRPr="00A63C77">
              <w:rPr>
                <w:rStyle w:val="Hyperlink"/>
                <w:noProof/>
              </w:rPr>
              <w:t>6.1</w:t>
            </w:r>
            <w:r w:rsidR="00375534">
              <w:rPr>
                <w:rFonts w:eastAsiaTheme="minorEastAsia" w:cstheme="minorBidi"/>
                <w:noProof/>
                <w:sz w:val="22"/>
              </w:rPr>
              <w:tab/>
            </w:r>
            <w:r w:rsidR="00375534" w:rsidRPr="00A63C77">
              <w:rPr>
                <w:rStyle w:val="Hyperlink"/>
                <w:noProof/>
              </w:rPr>
              <w:t>Behavior</w:t>
            </w:r>
            <w:r w:rsidR="00375534">
              <w:rPr>
                <w:noProof/>
                <w:webHidden/>
              </w:rPr>
              <w:tab/>
            </w:r>
            <w:r w:rsidR="00375534">
              <w:rPr>
                <w:noProof/>
                <w:webHidden/>
              </w:rPr>
              <w:fldChar w:fldCharType="begin"/>
            </w:r>
            <w:r w:rsidR="00375534">
              <w:rPr>
                <w:noProof/>
                <w:webHidden/>
              </w:rPr>
              <w:instrText xml:space="preserve"> PAGEREF _Toc113619767 \h </w:instrText>
            </w:r>
            <w:r w:rsidR="00375534">
              <w:rPr>
                <w:noProof/>
                <w:webHidden/>
              </w:rPr>
            </w:r>
            <w:r w:rsidR="00375534">
              <w:rPr>
                <w:noProof/>
                <w:webHidden/>
              </w:rPr>
              <w:fldChar w:fldCharType="separate"/>
            </w:r>
            <w:r w:rsidR="00375534">
              <w:rPr>
                <w:noProof/>
                <w:webHidden/>
              </w:rPr>
              <w:t>8</w:t>
            </w:r>
            <w:r w:rsidR="00375534">
              <w:rPr>
                <w:noProof/>
                <w:webHidden/>
              </w:rPr>
              <w:fldChar w:fldCharType="end"/>
            </w:r>
          </w:hyperlink>
        </w:p>
        <w:p w14:paraId="6DEF2EFD" w14:textId="4221A045" w:rsidR="00375534" w:rsidRDefault="00573A1D">
          <w:pPr>
            <w:pStyle w:val="TOC3"/>
            <w:rPr>
              <w:rFonts w:eastAsiaTheme="minorEastAsia" w:cstheme="minorBidi"/>
              <w:noProof/>
              <w:sz w:val="22"/>
            </w:rPr>
          </w:pPr>
          <w:hyperlink w:anchor="_Toc113619768" w:history="1">
            <w:r w:rsidR="00375534" w:rsidRPr="00A63C77">
              <w:rPr>
                <w:rStyle w:val="Hyperlink"/>
                <w:noProof/>
              </w:rPr>
              <w:t>6.1.1</w:t>
            </w:r>
            <w:r w:rsidR="00375534">
              <w:rPr>
                <w:rFonts w:eastAsiaTheme="minorEastAsia" w:cstheme="minorBidi"/>
                <w:noProof/>
                <w:sz w:val="22"/>
              </w:rPr>
              <w:tab/>
            </w:r>
            <w:r w:rsidR="00375534" w:rsidRPr="00A63C77">
              <w:rPr>
                <w:rStyle w:val="Hyperlink"/>
                <w:noProof/>
              </w:rPr>
              <w:t>Adjustments to Behavior Savings to Account for Persistence</w:t>
            </w:r>
            <w:r w:rsidR="00375534">
              <w:rPr>
                <w:noProof/>
                <w:webHidden/>
              </w:rPr>
              <w:tab/>
            </w:r>
            <w:r w:rsidR="00375534">
              <w:rPr>
                <w:noProof/>
                <w:webHidden/>
              </w:rPr>
              <w:fldChar w:fldCharType="begin"/>
            </w:r>
            <w:r w:rsidR="00375534">
              <w:rPr>
                <w:noProof/>
                <w:webHidden/>
              </w:rPr>
              <w:instrText xml:space="preserve"> PAGEREF _Toc113619768 \h </w:instrText>
            </w:r>
            <w:r w:rsidR="00375534">
              <w:rPr>
                <w:noProof/>
                <w:webHidden/>
              </w:rPr>
            </w:r>
            <w:r w:rsidR="00375534">
              <w:rPr>
                <w:noProof/>
                <w:webHidden/>
              </w:rPr>
              <w:fldChar w:fldCharType="separate"/>
            </w:r>
            <w:r w:rsidR="00375534">
              <w:rPr>
                <w:noProof/>
                <w:webHidden/>
              </w:rPr>
              <w:t>8</w:t>
            </w:r>
            <w:r w:rsidR="00375534">
              <w:rPr>
                <w:noProof/>
                <w:webHidden/>
              </w:rPr>
              <w:fldChar w:fldCharType="end"/>
            </w:r>
          </w:hyperlink>
        </w:p>
        <w:p w14:paraId="0BEA93D4" w14:textId="4C962F2F" w:rsidR="00375534" w:rsidRDefault="00573A1D">
          <w:pPr>
            <w:pStyle w:val="TOC2"/>
            <w:tabs>
              <w:tab w:val="left" w:pos="800"/>
              <w:tab w:val="right" w:leader="dot" w:pos="9350"/>
            </w:tabs>
            <w:rPr>
              <w:rFonts w:eastAsiaTheme="minorEastAsia" w:cstheme="minorBidi"/>
              <w:noProof/>
              <w:sz w:val="22"/>
            </w:rPr>
          </w:pPr>
          <w:hyperlink w:anchor="_Toc113619769" w:history="1">
            <w:r w:rsidR="00375534" w:rsidRPr="00A63C77">
              <w:rPr>
                <w:rStyle w:val="Hyperlink"/>
                <w:noProof/>
              </w:rPr>
              <w:t>6.2</w:t>
            </w:r>
            <w:r w:rsidR="00375534">
              <w:rPr>
                <w:rFonts w:eastAsiaTheme="minorEastAsia" w:cstheme="minorBidi"/>
                <w:noProof/>
                <w:sz w:val="22"/>
              </w:rPr>
              <w:tab/>
            </w:r>
            <w:r w:rsidR="00375534" w:rsidRPr="00A63C77">
              <w:rPr>
                <w:rStyle w:val="Hyperlink"/>
                <w:noProof/>
              </w:rPr>
              <w:t>System Wide</w:t>
            </w:r>
            <w:r w:rsidR="00375534">
              <w:rPr>
                <w:noProof/>
                <w:webHidden/>
              </w:rPr>
              <w:tab/>
            </w:r>
            <w:r w:rsidR="00375534">
              <w:rPr>
                <w:noProof/>
                <w:webHidden/>
              </w:rPr>
              <w:fldChar w:fldCharType="begin"/>
            </w:r>
            <w:r w:rsidR="00375534">
              <w:rPr>
                <w:noProof/>
                <w:webHidden/>
              </w:rPr>
              <w:instrText xml:space="preserve"> PAGEREF _Toc113619769 \h </w:instrText>
            </w:r>
            <w:r w:rsidR="00375534">
              <w:rPr>
                <w:noProof/>
                <w:webHidden/>
              </w:rPr>
            </w:r>
            <w:r w:rsidR="00375534">
              <w:rPr>
                <w:noProof/>
                <w:webHidden/>
              </w:rPr>
              <w:fldChar w:fldCharType="separate"/>
            </w:r>
            <w:r w:rsidR="00375534">
              <w:rPr>
                <w:noProof/>
                <w:webHidden/>
              </w:rPr>
              <w:t>22</w:t>
            </w:r>
            <w:r w:rsidR="00375534">
              <w:rPr>
                <w:noProof/>
                <w:webHidden/>
              </w:rPr>
              <w:fldChar w:fldCharType="end"/>
            </w:r>
          </w:hyperlink>
        </w:p>
        <w:p w14:paraId="4135DF7E" w14:textId="65BB2BC8" w:rsidR="00375534" w:rsidRDefault="00573A1D">
          <w:pPr>
            <w:pStyle w:val="TOC3"/>
            <w:rPr>
              <w:rFonts w:eastAsiaTheme="minorEastAsia" w:cstheme="minorBidi"/>
              <w:noProof/>
              <w:sz w:val="22"/>
            </w:rPr>
          </w:pPr>
          <w:hyperlink w:anchor="_Toc113619770" w:history="1">
            <w:r w:rsidR="00375534" w:rsidRPr="00A63C77">
              <w:rPr>
                <w:rStyle w:val="Hyperlink"/>
                <w:noProof/>
              </w:rPr>
              <w:t>6.2.1</w:t>
            </w:r>
            <w:r w:rsidR="00375534">
              <w:rPr>
                <w:rFonts w:eastAsiaTheme="minorEastAsia" w:cstheme="minorBidi"/>
                <w:noProof/>
                <w:sz w:val="22"/>
              </w:rPr>
              <w:tab/>
            </w:r>
            <w:r w:rsidR="00375534" w:rsidRPr="00A63C77">
              <w:rPr>
                <w:rStyle w:val="Hyperlink"/>
                <w:noProof/>
              </w:rPr>
              <w:t>Voltage Optimization</w:t>
            </w:r>
            <w:r w:rsidR="00375534">
              <w:rPr>
                <w:noProof/>
                <w:webHidden/>
              </w:rPr>
              <w:tab/>
            </w:r>
            <w:r w:rsidR="00375534">
              <w:rPr>
                <w:noProof/>
                <w:webHidden/>
              </w:rPr>
              <w:fldChar w:fldCharType="begin"/>
            </w:r>
            <w:r w:rsidR="00375534">
              <w:rPr>
                <w:noProof/>
                <w:webHidden/>
              </w:rPr>
              <w:instrText xml:space="preserve"> PAGEREF _Toc113619770 \h </w:instrText>
            </w:r>
            <w:r w:rsidR="00375534">
              <w:rPr>
                <w:noProof/>
                <w:webHidden/>
              </w:rPr>
            </w:r>
            <w:r w:rsidR="00375534">
              <w:rPr>
                <w:noProof/>
                <w:webHidden/>
              </w:rPr>
              <w:fldChar w:fldCharType="separate"/>
            </w:r>
            <w:r w:rsidR="00375534">
              <w:rPr>
                <w:noProof/>
                <w:webHidden/>
              </w:rPr>
              <w:t>22</w:t>
            </w:r>
            <w:r w:rsidR="00375534">
              <w:rPr>
                <w:noProof/>
                <w:webHidden/>
              </w:rPr>
              <w:fldChar w:fldCharType="end"/>
            </w:r>
          </w:hyperlink>
        </w:p>
        <w:p w14:paraId="4ACBB672" w14:textId="1F62F0BF" w:rsidR="00375534" w:rsidRDefault="00573A1D">
          <w:pPr>
            <w:pStyle w:val="TOC2"/>
            <w:tabs>
              <w:tab w:val="left" w:pos="800"/>
              <w:tab w:val="right" w:leader="dot" w:pos="9350"/>
            </w:tabs>
            <w:rPr>
              <w:rFonts w:eastAsiaTheme="minorEastAsia" w:cstheme="minorBidi"/>
              <w:noProof/>
              <w:sz w:val="22"/>
            </w:rPr>
          </w:pPr>
          <w:hyperlink w:anchor="_Toc113619771" w:history="1">
            <w:r w:rsidR="00375534" w:rsidRPr="00A63C77">
              <w:rPr>
                <w:rStyle w:val="Hyperlink"/>
                <w:noProof/>
              </w:rPr>
              <w:t>6.3</w:t>
            </w:r>
            <w:r w:rsidR="00375534">
              <w:rPr>
                <w:rFonts w:eastAsiaTheme="minorEastAsia" w:cstheme="minorBidi"/>
                <w:noProof/>
                <w:sz w:val="22"/>
              </w:rPr>
              <w:tab/>
            </w:r>
            <w:r w:rsidR="00375534" w:rsidRPr="00A63C77">
              <w:rPr>
                <w:rStyle w:val="Hyperlink"/>
                <w:noProof/>
              </w:rPr>
              <w:t>Purchasing Tools</w:t>
            </w:r>
            <w:r w:rsidR="00375534">
              <w:rPr>
                <w:noProof/>
                <w:webHidden/>
              </w:rPr>
              <w:tab/>
            </w:r>
            <w:r w:rsidR="00375534">
              <w:rPr>
                <w:noProof/>
                <w:webHidden/>
              </w:rPr>
              <w:fldChar w:fldCharType="begin"/>
            </w:r>
            <w:r w:rsidR="00375534">
              <w:rPr>
                <w:noProof/>
                <w:webHidden/>
              </w:rPr>
              <w:instrText xml:space="preserve"> PAGEREF _Toc113619771 \h </w:instrText>
            </w:r>
            <w:r w:rsidR="00375534">
              <w:rPr>
                <w:noProof/>
                <w:webHidden/>
              </w:rPr>
            </w:r>
            <w:r w:rsidR="00375534">
              <w:rPr>
                <w:noProof/>
                <w:webHidden/>
              </w:rPr>
              <w:fldChar w:fldCharType="separate"/>
            </w:r>
            <w:r w:rsidR="00375534">
              <w:rPr>
                <w:noProof/>
                <w:webHidden/>
              </w:rPr>
              <w:t>32</w:t>
            </w:r>
            <w:r w:rsidR="00375534">
              <w:rPr>
                <w:noProof/>
                <w:webHidden/>
              </w:rPr>
              <w:fldChar w:fldCharType="end"/>
            </w:r>
          </w:hyperlink>
        </w:p>
        <w:p w14:paraId="04230CCF" w14:textId="1D908BBF" w:rsidR="00375534" w:rsidRDefault="00573A1D">
          <w:pPr>
            <w:pStyle w:val="TOC3"/>
            <w:rPr>
              <w:rFonts w:eastAsiaTheme="minorEastAsia" w:cstheme="minorBidi"/>
              <w:noProof/>
              <w:sz w:val="22"/>
            </w:rPr>
          </w:pPr>
          <w:hyperlink w:anchor="_Toc113619772" w:history="1">
            <w:r w:rsidR="00375534" w:rsidRPr="00A63C77">
              <w:rPr>
                <w:rStyle w:val="Hyperlink"/>
                <w:noProof/>
              </w:rPr>
              <w:t>6.3.1</w:t>
            </w:r>
            <w:r w:rsidR="00375534">
              <w:rPr>
                <w:rFonts w:eastAsiaTheme="minorEastAsia" w:cstheme="minorBidi"/>
                <w:noProof/>
                <w:sz w:val="22"/>
              </w:rPr>
              <w:tab/>
            </w:r>
            <w:r w:rsidR="00375534" w:rsidRPr="00A63C77">
              <w:rPr>
                <w:rStyle w:val="Hyperlink"/>
                <w:noProof/>
              </w:rPr>
              <w:t>Efficient Choice Tool</w:t>
            </w:r>
            <w:r w:rsidR="00375534">
              <w:rPr>
                <w:noProof/>
                <w:webHidden/>
              </w:rPr>
              <w:tab/>
            </w:r>
            <w:r w:rsidR="00375534">
              <w:rPr>
                <w:noProof/>
                <w:webHidden/>
              </w:rPr>
              <w:fldChar w:fldCharType="begin"/>
            </w:r>
            <w:r w:rsidR="00375534">
              <w:rPr>
                <w:noProof/>
                <w:webHidden/>
              </w:rPr>
              <w:instrText xml:space="preserve"> PAGEREF _Toc113619772 \h </w:instrText>
            </w:r>
            <w:r w:rsidR="00375534">
              <w:rPr>
                <w:noProof/>
                <w:webHidden/>
              </w:rPr>
            </w:r>
            <w:r w:rsidR="00375534">
              <w:rPr>
                <w:noProof/>
                <w:webHidden/>
              </w:rPr>
              <w:fldChar w:fldCharType="separate"/>
            </w:r>
            <w:r w:rsidR="00375534">
              <w:rPr>
                <w:noProof/>
                <w:webHidden/>
              </w:rPr>
              <w:t>32</w:t>
            </w:r>
            <w:r w:rsidR="00375534">
              <w:rPr>
                <w:noProof/>
                <w:webHidden/>
              </w:rPr>
              <w:fldChar w:fldCharType="end"/>
            </w:r>
          </w:hyperlink>
        </w:p>
        <w:p w14:paraId="4FAF090F" w14:textId="08324AD2" w:rsidR="00375534" w:rsidRDefault="00573A1D">
          <w:pPr>
            <w:pStyle w:val="TOC1"/>
            <w:tabs>
              <w:tab w:val="right" w:leader="dot" w:pos="9350"/>
            </w:tabs>
            <w:rPr>
              <w:rFonts w:eastAsiaTheme="minorEastAsia" w:cstheme="minorBidi"/>
              <w:b w:val="0"/>
              <w:smallCaps w:val="0"/>
              <w:noProof/>
            </w:rPr>
          </w:pPr>
          <w:hyperlink w:anchor="_Toc113619773" w:history="1">
            <w:r w:rsidR="00375534" w:rsidRPr="00A63C77">
              <w:rPr>
                <w:rStyle w:val="Hyperlink"/>
                <w:rFonts w:eastAsia="Franklin Gothic Book"/>
                <w:noProof/>
              </w:rPr>
              <w:t>Attachment A: Illinois Statewide Net-to-Gross Methodologies</w:t>
            </w:r>
            <w:r w:rsidR="00375534">
              <w:rPr>
                <w:noProof/>
                <w:webHidden/>
              </w:rPr>
              <w:tab/>
            </w:r>
            <w:r w:rsidR="00375534">
              <w:rPr>
                <w:noProof/>
                <w:webHidden/>
              </w:rPr>
              <w:fldChar w:fldCharType="begin"/>
            </w:r>
            <w:r w:rsidR="00375534">
              <w:rPr>
                <w:noProof/>
                <w:webHidden/>
              </w:rPr>
              <w:instrText xml:space="preserve"> PAGEREF _Toc113619773 \h </w:instrText>
            </w:r>
            <w:r w:rsidR="00375534">
              <w:rPr>
                <w:noProof/>
                <w:webHidden/>
              </w:rPr>
            </w:r>
            <w:r w:rsidR="00375534">
              <w:rPr>
                <w:noProof/>
                <w:webHidden/>
              </w:rPr>
              <w:fldChar w:fldCharType="separate"/>
            </w:r>
            <w:r w:rsidR="00375534">
              <w:rPr>
                <w:noProof/>
                <w:webHidden/>
              </w:rPr>
              <w:t>36</w:t>
            </w:r>
            <w:r w:rsidR="00375534">
              <w:rPr>
                <w:noProof/>
                <w:webHidden/>
              </w:rPr>
              <w:fldChar w:fldCharType="end"/>
            </w:r>
          </w:hyperlink>
        </w:p>
        <w:p w14:paraId="08FB7692" w14:textId="591C5F3E" w:rsidR="00375534" w:rsidRDefault="00573A1D">
          <w:pPr>
            <w:pStyle w:val="TOC1"/>
            <w:tabs>
              <w:tab w:val="left" w:pos="400"/>
              <w:tab w:val="right" w:leader="dot" w:pos="9350"/>
            </w:tabs>
            <w:rPr>
              <w:rFonts w:eastAsiaTheme="minorEastAsia" w:cstheme="minorBidi"/>
              <w:b w:val="0"/>
              <w:smallCaps w:val="0"/>
              <w:noProof/>
            </w:rPr>
          </w:pPr>
          <w:hyperlink w:anchor="_Toc113619774" w:history="1">
            <w:r w:rsidR="00375534" w:rsidRPr="00A63C77">
              <w:rPr>
                <w:rStyle w:val="Hyperlink"/>
                <w:noProof/>
              </w:rPr>
              <w:t>1</w:t>
            </w:r>
            <w:r w:rsidR="00375534">
              <w:rPr>
                <w:rFonts w:eastAsiaTheme="minorEastAsia" w:cstheme="minorBidi"/>
                <w:b w:val="0"/>
                <w:smallCaps w:val="0"/>
                <w:noProof/>
              </w:rPr>
              <w:tab/>
            </w:r>
            <w:r w:rsidR="00375534" w:rsidRPr="00A63C77">
              <w:rPr>
                <w:rStyle w:val="Hyperlink"/>
                <w:noProof/>
              </w:rPr>
              <w:t>Policy Context for this Information</w:t>
            </w:r>
            <w:r w:rsidR="00375534">
              <w:rPr>
                <w:noProof/>
                <w:webHidden/>
              </w:rPr>
              <w:tab/>
            </w:r>
            <w:r w:rsidR="00375534">
              <w:rPr>
                <w:noProof/>
                <w:webHidden/>
              </w:rPr>
              <w:fldChar w:fldCharType="begin"/>
            </w:r>
            <w:r w:rsidR="00375534">
              <w:rPr>
                <w:noProof/>
                <w:webHidden/>
              </w:rPr>
              <w:instrText xml:space="preserve"> PAGEREF _Toc113619774 \h </w:instrText>
            </w:r>
            <w:r w:rsidR="00375534">
              <w:rPr>
                <w:noProof/>
                <w:webHidden/>
              </w:rPr>
            </w:r>
            <w:r w:rsidR="00375534">
              <w:rPr>
                <w:noProof/>
                <w:webHidden/>
              </w:rPr>
              <w:fldChar w:fldCharType="separate"/>
            </w:r>
            <w:r w:rsidR="00375534">
              <w:rPr>
                <w:noProof/>
                <w:webHidden/>
              </w:rPr>
              <w:t>36</w:t>
            </w:r>
            <w:r w:rsidR="00375534">
              <w:rPr>
                <w:noProof/>
                <w:webHidden/>
              </w:rPr>
              <w:fldChar w:fldCharType="end"/>
            </w:r>
          </w:hyperlink>
        </w:p>
        <w:p w14:paraId="320064A7" w14:textId="3A68239E" w:rsidR="00375534" w:rsidRDefault="00573A1D">
          <w:pPr>
            <w:pStyle w:val="TOC1"/>
            <w:tabs>
              <w:tab w:val="left" w:pos="400"/>
              <w:tab w:val="right" w:leader="dot" w:pos="9350"/>
            </w:tabs>
            <w:rPr>
              <w:rFonts w:eastAsiaTheme="minorEastAsia" w:cstheme="minorBidi"/>
              <w:b w:val="0"/>
              <w:smallCaps w:val="0"/>
              <w:noProof/>
            </w:rPr>
          </w:pPr>
          <w:hyperlink w:anchor="_Toc113619775" w:history="1">
            <w:r w:rsidR="00375534" w:rsidRPr="00A63C77">
              <w:rPr>
                <w:rStyle w:val="Hyperlink"/>
                <w:noProof/>
                <w14:scene3d>
                  <w14:camera w14:prst="orthographicFront"/>
                  <w14:lightRig w14:rig="threePt" w14:dir="t">
                    <w14:rot w14:lat="0" w14:lon="0" w14:rev="0"/>
                  </w14:lightRig>
                </w14:scene3d>
              </w:rPr>
              <w:t>2</w:t>
            </w:r>
            <w:r w:rsidR="00375534">
              <w:rPr>
                <w:rFonts w:eastAsiaTheme="minorEastAsia" w:cstheme="minorBidi"/>
                <w:b w:val="0"/>
                <w:smallCaps w:val="0"/>
                <w:noProof/>
              </w:rPr>
              <w:tab/>
            </w:r>
            <w:r w:rsidR="00375534" w:rsidRPr="00A63C77">
              <w:rPr>
                <w:rStyle w:val="Hyperlink"/>
                <w:noProof/>
              </w:rPr>
              <w:t>Attribution in Energy Efficiency Programs in General</w:t>
            </w:r>
            <w:r w:rsidR="00375534">
              <w:rPr>
                <w:noProof/>
                <w:webHidden/>
              </w:rPr>
              <w:tab/>
            </w:r>
            <w:r w:rsidR="00375534">
              <w:rPr>
                <w:noProof/>
                <w:webHidden/>
              </w:rPr>
              <w:fldChar w:fldCharType="begin"/>
            </w:r>
            <w:r w:rsidR="00375534">
              <w:rPr>
                <w:noProof/>
                <w:webHidden/>
              </w:rPr>
              <w:instrText xml:space="preserve"> PAGEREF _Toc113619775 \h </w:instrText>
            </w:r>
            <w:r w:rsidR="00375534">
              <w:rPr>
                <w:noProof/>
                <w:webHidden/>
              </w:rPr>
            </w:r>
            <w:r w:rsidR="00375534">
              <w:rPr>
                <w:noProof/>
                <w:webHidden/>
              </w:rPr>
              <w:fldChar w:fldCharType="separate"/>
            </w:r>
            <w:r w:rsidR="00375534">
              <w:rPr>
                <w:noProof/>
                <w:webHidden/>
              </w:rPr>
              <w:t>40</w:t>
            </w:r>
            <w:r w:rsidR="00375534">
              <w:rPr>
                <w:noProof/>
                <w:webHidden/>
              </w:rPr>
              <w:fldChar w:fldCharType="end"/>
            </w:r>
          </w:hyperlink>
        </w:p>
        <w:p w14:paraId="54223B8D" w14:textId="666864B2" w:rsidR="00375534" w:rsidRDefault="00573A1D">
          <w:pPr>
            <w:pStyle w:val="TOC2"/>
            <w:tabs>
              <w:tab w:val="left" w:pos="800"/>
              <w:tab w:val="right" w:leader="dot" w:pos="9350"/>
            </w:tabs>
            <w:rPr>
              <w:rFonts w:eastAsiaTheme="minorEastAsia" w:cstheme="minorBidi"/>
              <w:noProof/>
              <w:sz w:val="22"/>
            </w:rPr>
          </w:pPr>
          <w:hyperlink w:anchor="_Toc113619776" w:history="1">
            <w:r w:rsidR="00375534" w:rsidRPr="00A63C77">
              <w:rPr>
                <w:rStyle w:val="Hyperlink"/>
                <w:noProof/>
              </w:rPr>
              <w:t>2.1</w:t>
            </w:r>
            <w:r w:rsidR="00375534">
              <w:rPr>
                <w:rFonts w:eastAsiaTheme="minorEastAsia" w:cstheme="minorBidi"/>
                <w:noProof/>
                <w:sz w:val="22"/>
              </w:rPr>
              <w:tab/>
            </w:r>
            <w:r w:rsidR="00375534" w:rsidRPr="00A63C77">
              <w:rPr>
                <w:rStyle w:val="Hyperlink"/>
                <w:noProof/>
              </w:rPr>
              <w:t>Definitions</w:t>
            </w:r>
            <w:r w:rsidR="00375534">
              <w:rPr>
                <w:noProof/>
                <w:webHidden/>
              </w:rPr>
              <w:tab/>
            </w:r>
            <w:r w:rsidR="00375534">
              <w:rPr>
                <w:noProof/>
                <w:webHidden/>
              </w:rPr>
              <w:fldChar w:fldCharType="begin"/>
            </w:r>
            <w:r w:rsidR="00375534">
              <w:rPr>
                <w:noProof/>
                <w:webHidden/>
              </w:rPr>
              <w:instrText xml:space="preserve"> PAGEREF _Toc113619776 \h </w:instrText>
            </w:r>
            <w:r w:rsidR="00375534">
              <w:rPr>
                <w:noProof/>
                <w:webHidden/>
              </w:rPr>
            </w:r>
            <w:r w:rsidR="00375534">
              <w:rPr>
                <w:noProof/>
                <w:webHidden/>
              </w:rPr>
              <w:fldChar w:fldCharType="separate"/>
            </w:r>
            <w:r w:rsidR="00375534">
              <w:rPr>
                <w:noProof/>
                <w:webHidden/>
              </w:rPr>
              <w:t>40</w:t>
            </w:r>
            <w:r w:rsidR="00375534">
              <w:rPr>
                <w:noProof/>
                <w:webHidden/>
              </w:rPr>
              <w:fldChar w:fldCharType="end"/>
            </w:r>
          </w:hyperlink>
        </w:p>
        <w:p w14:paraId="405364BE" w14:textId="79878615" w:rsidR="00375534" w:rsidRDefault="00573A1D">
          <w:pPr>
            <w:pStyle w:val="TOC2"/>
            <w:tabs>
              <w:tab w:val="left" w:pos="800"/>
              <w:tab w:val="right" w:leader="dot" w:pos="9350"/>
            </w:tabs>
            <w:rPr>
              <w:rFonts w:eastAsiaTheme="minorEastAsia" w:cstheme="minorBidi"/>
              <w:noProof/>
              <w:sz w:val="22"/>
            </w:rPr>
          </w:pPr>
          <w:hyperlink w:anchor="_Toc113619777" w:history="1">
            <w:r w:rsidR="00375534" w:rsidRPr="00A63C77">
              <w:rPr>
                <w:rStyle w:val="Hyperlink"/>
                <w:noProof/>
              </w:rPr>
              <w:t>2.2</w:t>
            </w:r>
            <w:r w:rsidR="00375534">
              <w:rPr>
                <w:rFonts w:eastAsiaTheme="minorEastAsia" w:cstheme="minorBidi"/>
                <w:noProof/>
                <w:sz w:val="22"/>
              </w:rPr>
              <w:tab/>
            </w:r>
            <w:r w:rsidR="00375534" w:rsidRPr="00A63C77">
              <w:rPr>
                <w:rStyle w:val="Hyperlink"/>
                <w:noProof/>
              </w:rPr>
              <w:t>Free Ridership-Specific Issues</w:t>
            </w:r>
            <w:r w:rsidR="00375534">
              <w:rPr>
                <w:noProof/>
                <w:webHidden/>
              </w:rPr>
              <w:tab/>
            </w:r>
            <w:r w:rsidR="00375534">
              <w:rPr>
                <w:noProof/>
                <w:webHidden/>
              </w:rPr>
              <w:fldChar w:fldCharType="begin"/>
            </w:r>
            <w:r w:rsidR="00375534">
              <w:rPr>
                <w:noProof/>
                <w:webHidden/>
              </w:rPr>
              <w:instrText xml:space="preserve"> PAGEREF _Toc113619777 \h </w:instrText>
            </w:r>
            <w:r w:rsidR="00375534">
              <w:rPr>
                <w:noProof/>
                <w:webHidden/>
              </w:rPr>
            </w:r>
            <w:r w:rsidR="00375534">
              <w:rPr>
                <w:noProof/>
                <w:webHidden/>
              </w:rPr>
              <w:fldChar w:fldCharType="separate"/>
            </w:r>
            <w:r w:rsidR="00375534">
              <w:rPr>
                <w:noProof/>
                <w:webHidden/>
              </w:rPr>
              <w:t>42</w:t>
            </w:r>
            <w:r w:rsidR="00375534">
              <w:rPr>
                <w:noProof/>
                <w:webHidden/>
              </w:rPr>
              <w:fldChar w:fldCharType="end"/>
            </w:r>
          </w:hyperlink>
        </w:p>
        <w:p w14:paraId="5A4CA2AA" w14:textId="6334C0AD" w:rsidR="00375534" w:rsidRDefault="00573A1D">
          <w:pPr>
            <w:pStyle w:val="TOC3"/>
            <w:rPr>
              <w:rFonts w:eastAsiaTheme="minorEastAsia" w:cstheme="minorBidi"/>
              <w:noProof/>
              <w:sz w:val="22"/>
            </w:rPr>
          </w:pPr>
          <w:hyperlink w:anchor="_Toc113619778" w:history="1">
            <w:r w:rsidR="00375534" w:rsidRPr="00A63C77">
              <w:rPr>
                <w:rStyle w:val="Hyperlink"/>
                <w:noProof/>
                <w14:scene3d>
                  <w14:camera w14:prst="orthographicFront"/>
                  <w14:lightRig w14:rig="threePt" w14:dir="t">
                    <w14:rot w14:lat="0" w14:lon="0" w14:rev="0"/>
                  </w14:lightRig>
                </w14:scene3d>
              </w:rPr>
              <w:t>2.2.1</w:t>
            </w:r>
            <w:r w:rsidR="00375534">
              <w:rPr>
                <w:rFonts w:eastAsiaTheme="minorEastAsia" w:cstheme="minorBidi"/>
                <w:noProof/>
                <w:sz w:val="22"/>
              </w:rPr>
              <w:tab/>
            </w:r>
            <w:r w:rsidR="00375534" w:rsidRPr="00A63C77">
              <w:rPr>
                <w:rStyle w:val="Hyperlink"/>
                <w:noProof/>
              </w:rPr>
              <w:t>Survey Design</w:t>
            </w:r>
            <w:r w:rsidR="00375534">
              <w:rPr>
                <w:noProof/>
                <w:webHidden/>
              </w:rPr>
              <w:tab/>
            </w:r>
            <w:r w:rsidR="00375534">
              <w:rPr>
                <w:noProof/>
                <w:webHidden/>
              </w:rPr>
              <w:fldChar w:fldCharType="begin"/>
            </w:r>
            <w:r w:rsidR="00375534">
              <w:rPr>
                <w:noProof/>
                <w:webHidden/>
              </w:rPr>
              <w:instrText xml:space="preserve"> PAGEREF _Toc113619778 \h </w:instrText>
            </w:r>
            <w:r w:rsidR="00375534">
              <w:rPr>
                <w:noProof/>
                <w:webHidden/>
              </w:rPr>
            </w:r>
            <w:r w:rsidR="00375534">
              <w:rPr>
                <w:noProof/>
                <w:webHidden/>
              </w:rPr>
              <w:fldChar w:fldCharType="separate"/>
            </w:r>
            <w:r w:rsidR="00375534">
              <w:rPr>
                <w:noProof/>
                <w:webHidden/>
              </w:rPr>
              <w:t>42</w:t>
            </w:r>
            <w:r w:rsidR="00375534">
              <w:rPr>
                <w:noProof/>
                <w:webHidden/>
              </w:rPr>
              <w:fldChar w:fldCharType="end"/>
            </w:r>
          </w:hyperlink>
        </w:p>
        <w:p w14:paraId="49094533" w14:textId="789F8F2A" w:rsidR="00375534" w:rsidRDefault="00573A1D">
          <w:pPr>
            <w:pStyle w:val="TOC3"/>
            <w:rPr>
              <w:rFonts w:eastAsiaTheme="minorEastAsia" w:cstheme="minorBidi"/>
              <w:noProof/>
              <w:sz w:val="22"/>
            </w:rPr>
          </w:pPr>
          <w:hyperlink w:anchor="_Toc113619779" w:history="1">
            <w:r w:rsidR="00375534" w:rsidRPr="00A63C77">
              <w:rPr>
                <w:rStyle w:val="Hyperlink"/>
                <w:noProof/>
                <w14:scene3d>
                  <w14:camera w14:prst="orthographicFront"/>
                  <w14:lightRig w14:rig="threePt" w14:dir="t">
                    <w14:rot w14:lat="0" w14:lon="0" w14:rev="0"/>
                  </w14:lightRig>
                </w14:scene3d>
              </w:rPr>
              <w:t>2.2.2</w:t>
            </w:r>
            <w:r w:rsidR="00375534">
              <w:rPr>
                <w:rFonts w:eastAsiaTheme="minorEastAsia" w:cstheme="minorBidi"/>
                <w:noProof/>
                <w:sz w:val="22"/>
              </w:rPr>
              <w:tab/>
            </w:r>
            <w:r w:rsidR="00375534" w:rsidRPr="00A63C77">
              <w:rPr>
                <w:rStyle w:val="Hyperlink"/>
                <w:noProof/>
              </w:rPr>
              <w:t>Supplementing Self-Report with Historical Tracing</w:t>
            </w:r>
            <w:r w:rsidR="00375534">
              <w:rPr>
                <w:noProof/>
                <w:webHidden/>
              </w:rPr>
              <w:tab/>
            </w:r>
            <w:r w:rsidR="00375534">
              <w:rPr>
                <w:noProof/>
                <w:webHidden/>
              </w:rPr>
              <w:fldChar w:fldCharType="begin"/>
            </w:r>
            <w:r w:rsidR="00375534">
              <w:rPr>
                <w:noProof/>
                <w:webHidden/>
              </w:rPr>
              <w:instrText xml:space="preserve"> PAGEREF _Toc113619779 \h </w:instrText>
            </w:r>
            <w:r w:rsidR="00375534">
              <w:rPr>
                <w:noProof/>
                <w:webHidden/>
              </w:rPr>
            </w:r>
            <w:r w:rsidR="00375534">
              <w:rPr>
                <w:noProof/>
                <w:webHidden/>
              </w:rPr>
              <w:fldChar w:fldCharType="separate"/>
            </w:r>
            <w:r w:rsidR="00375534">
              <w:rPr>
                <w:noProof/>
                <w:webHidden/>
              </w:rPr>
              <w:t>43</w:t>
            </w:r>
            <w:r w:rsidR="00375534">
              <w:rPr>
                <w:noProof/>
                <w:webHidden/>
              </w:rPr>
              <w:fldChar w:fldCharType="end"/>
            </w:r>
          </w:hyperlink>
        </w:p>
        <w:p w14:paraId="03B08F85" w14:textId="1B906643" w:rsidR="00375534" w:rsidRDefault="00573A1D">
          <w:pPr>
            <w:pStyle w:val="TOC2"/>
            <w:tabs>
              <w:tab w:val="left" w:pos="800"/>
              <w:tab w:val="right" w:leader="dot" w:pos="9350"/>
            </w:tabs>
            <w:rPr>
              <w:rFonts w:eastAsiaTheme="minorEastAsia" w:cstheme="minorBidi"/>
              <w:noProof/>
              <w:sz w:val="22"/>
            </w:rPr>
          </w:pPr>
          <w:hyperlink w:anchor="_Toc113619780" w:history="1">
            <w:r w:rsidR="00375534" w:rsidRPr="00A63C77">
              <w:rPr>
                <w:rStyle w:val="Hyperlink"/>
                <w:noProof/>
              </w:rPr>
              <w:t>2.3</w:t>
            </w:r>
            <w:r w:rsidR="00375534">
              <w:rPr>
                <w:rFonts w:eastAsiaTheme="minorEastAsia" w:cstheme="minorBidi"/>
                <w:noProof/>
                <w:sz w:val="22"/>
              </w:rPr>
              <w:tab/>
            </w:r>
            <w:r w:rsidR="00375534" w:rsidRPr="00A63C77">
              <w:rPr>
                <w:rStyle w:val="Hyperlink"/>
                <w:noProof/>
              </w:rPr>
              <w:t>Spillover-Specific Issues</w:t>
            </w:r>
            <w:r w:rsidR="00375534">
              <w:rPr>
                <w:noProof/>
                <w:webHidden/>
              </w:rPr>
              <w:tab/>
            </w:r>
            <w:r w:rsidR="00375534">
              <w:rPr>
                <w:noProof/>
                <w:webHidden/>
              </w:rPr>
              <w:fldChar w:fldCharType="begin"/>
            </w:r>
            <w:r w:rsidR="00375534">
              <w:rPr>
                <w:noProof/>
                <w:webHidden/>
              </w:rPr>
              <w:instrText xml:space="preserve"> PAGEREF _Toc113619780 \h </w:instrText>
            </w:r>
            <w:r w:rsidR="00375534">
              <w:rPr>
                <w:noProof/>
                <w:webHidden/>
              </w:rPr>
            </w:r>
            <w:r w:rsidR="00375534">
              <w:rPr>
                <w:noProof/>
                <w:webHidden/>
              </w:rPr>
              <w:fldChar w:fldCharType="separate"/>
            </w:r>
            <w:r w:rsidR="00375534">
              <w:rPr>
                <w:noProof/>
                <w:webHidden/>
              </w:rPr>
              <w:t>43</w:t>
            </w:r>
            <w:r w:rsidR="00375534">
              <w:rPr>
                <w:noProof/>
                <w:webHidden/>
              </w:rPr>
              <w:fldChar w:fldCharType="end"/>
            </w:r>
          </w:hyperlink>
        </w:p>
        <w:p w14:paraId="277E9A90" w14:textId="763EA869" w:rsidR="00375534" w:rsidRDefault="00573A1D">
          <w:pPr>
            <w:pStyle w:val="TOC3"/>
            <w:rPr>
              <w:rFonts w:eastAsiaTheme="minorEastAsia" w:cstheme="minorBidi"/>
              <w:noProof/>
              <w:sz w:val="22"/>
            </w:rPr>
          </w:pPr>
          <w:hyperlink w:anchor="_Toc113619781" w:history="1">
            <w:r w:rsidR="00375534" w:rsidRPr="00A63C77">
              <w:rPr>
                <w:rStyle w:val="Hyperlink"/>
                <w:noProof/>
                <w14:scene3d>
                  <w14:camera w14:prst="orthographicFront"/>
                  <w14:lightRig w14:rig="threePt" w14:dir="t">
                    <w14:rot w14:lat="0" w14:lon="0" w14:rev="0"/>
                  </w14:lightRig>
                </w14:scene3d>
              </w:rPr>
              <w:t>2.3.1</w:t>
            </w:r>
            <w:r w:rsidR="00375534">
              <w:rPr>
                <w:rFonts w:eastAsiaTheme="minorEastAsia" w:cstheme="minorBidi"/>
                <w:noProof/>
                <w:sz w:val="22"/>
              </w:rPr>
              <w:tab/>
            </w:r>
            <w:r w:rsidR="00375534" w:rsidRPr="00A63C77">
              <w:rPr>
                <w:rStyle w:val="Hyperlink"/>
                <w:noProof/>
              </w:rPr>
              <w:t>Measure Costs</w:t>
            </w:r>
            <w:r w:rsidR="00375534">
              <w:rPr>
                <w:noProof/>
                <w:webHidden/>
              </w:rPr>
              <w:tab/>
            </w:r>
            <w:r w:rsidR="00375534">
              <w:rPr>
                <w:noProof/>
                <w:webHidden/>
              </w:rPr>
              <w:fldChar w:fldCharType="begin"/>
            </w:r>
            <w:r w:rsidR="00375534">
              <w:rPr>
                <w:noProof/>
                <w:webHidden/>
              </w:rPr>
              <w:instrText xml:space="preserve"> PAGEREF _Toc113619781 \h </w:instrText>
            </w:r>
            <w:r w:rsidR="00375534">
              <w:rPr>
                <w:noProof/>
                <w:webHidden/>
              </w:rPr>
            </w:r>
            <w:r w:rsidR="00375534">
              <w:rPr>
                <w:noProof/>
                <w:webHidden/>
              </w:rPr>
              <w:fldChar w:fldCharType="separate"/>
            </w:r>
            <w:r w:rsidR="00375534">
              <w:rPr>
                <w:noProof/>
                <w:webHidden/>
              </w:rPr>
              <w:t>44</w:t>
            </w:r>
            <w:r w:rsidR="00375534">
              <w:rPr>
                <w:noProof/>
                <w:webHidden/>
              </w:rPr>
              <w:fldChar w:fldCharType="end"/>
            </w:r>
          </w:hyperlink>
        </w:p>
        <w:p w14:paraId="3EFC5776" w14:textId="292F1F08" w:rsidR="00375534" w:rsidRDefault="00573A1D">
          <w:pPr>
            <w:pStyle w:val="TOC1"/>
            <w:tabs>
              <w:tab w:val="left" w:pos="400"/>
              <w:tab w:val="right" w:leader="dot" w:pos="9350"/>
            </w:tabs>
            <w:rPr>
              <w:rFonts w:eastAsiaTheme="minorEastAsia" w:cstheme="minorBidi"/>
              <w:b w:val="0"/>
              <w:smallCaps w:val="0"/>
              <w:noProof/>
            </w:rPr>
          </w:pPr>
          <w:hyperlink w:anchor="_Toc113619782" w:history="1">
            <w:r w:rsidR="00375534" w:rsidRPr="00A63C77">
              <w:rPr>
                <w:rStyle w:val="Hyperlink"/>
                <w:noProof/>
                <w14:scene3d>
                  <w14:camera w14:prst="orthographicFront"/>
                  <w14:lightRig w14:rig="threePt" w14:dir="t">
                    <w14:rot w14:lat="0" w14:lon="0" w14:rev="0"/>
                  </w14:lightRig>
                </w14:scene3d>
              </w:rPr>
              <w:t>3</w:t>
            </w:r>
            <w:r w:rsidR="00375534">
              <w:rPr>
                <w:rFonts w:eastAsiaTheme="minorEastAsia" w:cstheme="minorBidi"/>
                <w:b w:val="0"/>
                <w:smallCaps w:val="0"/>
                <w:noProof/>
              </w:rPr>
              <w:tab/>
            </w:r>
            <w:r w:rsidR="00375534" w:rsidRPr="00A63C77">
              <w:rPr>
                <w:rStyle w:val="Hyperlink"/>
                <w:noProof/>
              </w:rPr>
              <w:t>Commercial, Industrial, and Public Sector Protocols</w:t>
            </w:r>
            <w:r w:rsidR="00375534">
              <w:rPr>
                <w:noProof/>
                <w:webHidden/>
              </w:rPr>
              <w:tab/>
            </w:r>
            <w:r w:rsidR="00375534">
              <w:rPr>
                <w:noProof/>
                <w:webHidden/>
              </w:rPr>
              <w:fldChar w:fldCharType="begin"/>
            </w:r>
            <w:r w:rsidR="00375534">
              <w:rPr>
                <w:noProof/>
                <w:webHidden/>
              </w:rPr>
              <w:instrText xml:space="preserve"> PAGEREF _Toc113619782 \h </w:instrText>
            </w:r>
            <w:r w:rsidR="00375534">
              <w:rPr>
                <w:noProof/>
                <w:webHidden/>
              </w:rPr>
            </w:r>
            <w:r w:rsidR="00375534">
              <w:rPr>
                <w:noProof/>
                <w:webHidden/>
              </w:rPr>
              <w:fldChar w:fldCharType="separate"/>
            </w:r>
            <w:r w:rsidR="00375534">
              <w:rPr>
                <w:noProof/>
                <w:webHidden/>
              </w:rPr>
              <w:t>45</w:t>
            </w:r>
            <w:r w:rsidR="00375534">
              <w:rPr>
                <w:noProof/>
                <w:webHidden/>
              </w:rPr>
              <w:fldChar w:fldCharType="end"/>
            </w:r>
          </w:hyperlink>
        </w:p>
        <w:p w14:paraId="71B418D7" w14:textId="688781F6" w:rsidR="00375534" w:rsidRDefault="00573A1D">
          <w:pPr>
            <w:pStyle w:val="TOC2"/>
            <w:tabs>
              <w:tab w:val="left" w:pos="800"/>
              <w:tab w:val="right" w:leader="dot" w:pos="9350"/>
            </w:tabs>
            <w:rPr>
              <w:rFonts w:eastAsiaTheme="minorEastAsia" w:cstheme="minorBidi"/>
              <w:noProof/>
              <w:sz w:val="22"/>
            </w:rPr>
          </w:pPr>
          <w:hyperlink w:anchor="_Toc113619783" w:history="1">
            <w:r w:rsidR="00375534" w:rsidRPr="00A63C77">
              <w:rPr>
                <w:rStyle w:val="Hyperlink"/>
                <w:noProof/>
              </w:rPr>
              <w:t>3.1</w:t>
            </w:r>
            <w:r w:rsidR="00375534">
              <w:rPr>
                <w:rFonts w:eastAsiaTheme="minorEastAsia" w:cstheme="minorBidi"/>
                <w:noProof/>
                <w:sz w:val="22"/>
              </w:rPr>
              <w:tab/>
            </w:r>
            <w:r w:rsidR="00375534" w:rsidRPr="00A63C77">
              <w:rPr>
                <w:rStyle w:val="Hyperlink"/>
                <w:noProof/>
              </w:rPr>
              <w:t>Core Non-Residential Protocol</w:t>
            </w:r>
            <w:r w:rsidR="00375534">
              <w:rPr>
                <w:noProof/>
                <w:webHidden/>
              </w:rPr>
              <w:tab/>
            </w:r>
            <w:r w:rsidR="00375534">
              <w:rPr>
                <w:noProof/>
                <w:webHidden/>
              </w:rPr>
              <w:fldChar w:fldCharType="begin"/>
            </w:r>
            <w:r w:rsidR="00375534">
              <w:rPr>
                <w:noProof/>
                <w:webHidden/>
              </w:rPr>
              <w:instrText xml:space="preserve"> PAGEREF _Toc113619783 \h </w:instrText>
            </w:r>
            <w:r w:rsidR="00375534">
              <w:rPr>
                <w:noProof/>
                <w:webHidden/>
              </w:rPr>
            </w:r>
            <w:r w:rsidR="00375534">
              <w:rPr>
                <w:noProof/>
                <w:webHidden/>
              </w:rPr>
              <w:fldChar w:fldCharType="separate"/>
            </w:r>
            <w:r w:rsidR="00375534">
              <w:rPr>
                <w:noProof/>
                <w:webHidden/>
              </w:rPr>
              <w:t>46</w:t>
            </w:r>
            <w:r w:rsidR="00375534">
              <w:rPr>
                <w:noProof/>
                <w:webHidden/>
              </w:rPr>
              <w:fldChar w:fldCharType="end"/>
            </w:r>
          </w:hyperlink>
        </w:p>
        <w:p w14:paraId="2529DB2E" w14:textId="29903883" w:rsidR="00375534" w:rsidRDefault="00573A1D">
          <w:pPr>
            <w:pStyle w:val="TOC3"/>
            <w:rPr>
              <w:rFonts w:eastAsiaTheme="minorEastAsia" w:cstheme="minorBidi"/>
              <w:noProof/>
              <w:sz w:val="22"/>
            </w:rPr>
          </w:pPr>
          <w:hyperlink w:anchor="_Toc113619784" w:history="1">
            <w:r w:rsidR="00375534" w:rsidRPr="00A63C77">
              <w:rPr>
                <w:rStyle w:val="Hyperlink"/>
                <w:noProof/>
                <w14:scene3d>
                  <w14:camera w14:prst="orthographicFront"/>
                  <w14:lightRig w14:rig="threePt" w14:dir="t">
                    <w14:rot w14:lat="0" w14:lon="0" w14:rev="0"/>
                  </w14:lightRig>
                </w14:scene3d>
              </w:rPr>
              <w:t>3.1.1</w:t>
            </w:r>
            <w:r w:rsidR="00375534">
              <w:rPr>
                <w:rFonts w:eastAsiaTheme="minorEastAsia" w:cstheme="minorBidi"/>
                <w:noProof/>
                <w:sz w:val="22"/>
              </w:rPr>
              <w:tab/>
            </w:r>
            <w:r w:rsidR="00375534" w:rsidRPr="00A63C77">
              <w:rPr>
                <w:rStyle w:val="Hyperlink"/>
                <w:noProof/>
              </w:rPr>
              <w:t>Core Non-Residential Free Ridership Protocol</w:t>
            </w:r>
            <w:r w:rsidR="00375534">
              <w:rPr>
                <w:noProof/>
                <w:webHidden/>
              </w:rPr>
              <w:tab/>
            </w:r>
            <w:r w:rsidR="00375534">
              <w:rPr>
                <w:noProof/>
                <w:webHidden/>
              </w:rPr>
              <w:fldChar w:fldCharType="begin"/>
            </w:r>
            <w:r w:rsidR="00375534">
              <w:rPr>
                <w:noProof/>
                <w:webHidden/>
              </w:rPr>
              <w:instrText xml:space="preserve"> PAGEREF _Toc113619784 \h </w:instrText>
            </w:r>
            <w:r w:rsidR="00375534">
              <w:rPr>
                <w:noProof/>
                <w:webHidden/>
              </w:rPr>
            </w:r>
            <w:r w:rsidR="00375534">
              <w:rPr>
                <w:noProof/>
                <w:webHidden/>
              </w:rPr>
              <w:fldChar w:fldCharType="separate"/>
            </w:r>
            <w:r w:rsidR="00375534">
              <w:rPr>
                <w:noProof/>
                <w:webHidden/>
              </w:rPr>
              <w:t>46</w:t>
            </w:r>
            <w:r w:rsidR="00375534">
              <w:rPr>
                <w:noProof/>
                <w:webHidden/>
              </w:rPr>
              <w:fldChar w:fldCharType="end"/>
            </w:r>
          </w:hyperlink>
        </w:p>
        <w:p w14:paraId="51CA3CEA" w14:textId="5E18C78E" w:rsidR="00375534" w:rsidRDefault="00573A1D">
          <w:pPr>
            <w:pStyle w:val="TOC2"/>
            <w:tabs>
              <w:tab w:val="left" w:pos="800"/>
              <w:tab w:val="right" w:leader="dot" w:pos="9350"/>
            </w:tabs>
            <w:rPr>
              <w:rFonts w:eastAsiaTheme="minorEastAsia" w:cstheme="minorBidi"/>
              <w:noProof/>
              <w:sz w:val="22"/>
            </w:rPr>
          </w:pPr>
          <w:hyperlink w:anchor="_Toc113619785" w:history="1">
            <w:r w:rsidR="00375534" w:rsidRPr="00A63C77">
              <w:rPr>
                <w:rStyle w:val="Hyperlink"/>
                <w:noProof/>
              </w:rPr>
              <w:t>3.2</w:t>
            </w:r>
            <w:r w:rsidR="00375534">
              <w:rPr>
                <w:rFonts w:eastAsiaTheme="minorEastAsia" w:cstheme="minorBidi"/>
                <w:noProof/>
                <w:sz w:val="22"/>
              </w:rPr>
              <w:tab/>
            </w:r>
            <w:r w:rsidR="00375534" w:rsidRPr="00A63C77">
              <w:rPr>
                <w:rStyle w:val="Hyperlink"/>
                <w:noProof/>
              </w:rPr>
              <w:t>Core Non-Residential Spillover Protocol</w:t>
            </w:r>
            <w:r w:rsidR="00375534">
              <w:rPr>
                <w:noProof/>
                <w:webHidden/>
              </w:rPr>
              <w:tab/>
            </w:r>
            <w:r w:rsidR="00375534">
              <w:rPr>
                <w:noProof/>
                <w:webHidden/>
              </w:rPr>
              <w:fldChar w:fldCharType="begin"/>
            </w:r>
            <w:r w:rsidR="00375534">
              <w:rPr>
                <w:noProof/>
                <w:webHidden/>
              </w:rPr>
              <w:instrText xml:space="preserve"> PAGEREF _Toc113619785 \h </w:instrText>
            </w:r>
            <w:r w:rsidR="00375534">
              <w:rPr>
                <w:noProof/>
                <w:webHidden/>
              </w:rPr>
            </w:r>
            <w:r w:rsidR="00375534">
              <w:rPr>
                <w:noProof/>
                <w:webHidden/>
              </w:rPr>
              <w:fldChar w:fldCharType="separate"/>
            </w:r>
            <w:r w:rsidR="00375534">
              <w:rPr>
                <w:noProof/>
                <w:webHidden/>
              </w:rPr>
              <w:t>53</w:t>
            </w:r>
            <w:r w:rsidR="00375534">
              <w:rPr>
                <w:noProof/>
                <w:webHidden/>
              </w:rPr>
              <w:fldChar w:fldCharType="end"/>
            </w:r>
          </w:hyperlink>
        </w:p>
        <w:p w14:paraId="568FC89B" w14:textId="5115CF8A" w:rsidR="00375534" w:rsidRDefault="00573A1D">
          <w:pPr>
            <w:pStyle w:val="TOC3"/>
            <w:rPr>
              <w:rFonts w:eastAsiaTheme="minorEastAsia" w:cstheme="minorBidi"/>
              <w:noProof/>
              <w:sz w:val="22"/>
            </w:rPr>
          </w:pPr>
          <w:hyperlink w:anchor="_Toc113619786" w:history="1">
            <w:r w:rsidR="00375534" w:rsidRPr="00A63C77">
              <w:rPr>
                <w:rStyle w:val="Hyperlink"/>
                <w:noProof/>
                <w14:scene3d>
                  <w14:camera w14:prst="orthographicFront"/>
                  <w14:lightRig w14:rig="threePt" w14:dir="t">
                    <w14:rot w14:lat="0" w14:lon="0" w14:rev="0"/>
                  </w14:lightRig>
                </w14:scene3d>
              </w:rPr>
              <w:t>3.2.1</w:t>
            </w:r>
            <w:r w:rsidR="00375534">
              <w:rPr>
                <w:rFonts w:eastAsiaTheme="minorEastAsia" w:cstheme="minorBidi"/>
                <w:noProof/>
                <w:sz w:val="22"/>
              </w:rPr>
              <w:tab/>
            </w:r>
            <w:r w:rsidR="00375534" w:rsidRPr="00A63C77">
              <w:rPr>
                <w:rStyle w:val="Hyperlink"/>
                <w:noProof/>
              </w:rPr>
              <w:t>Core Participant Spillover Protocol</w:t>
            </w:r>
            <w:r w:rsidR="00375534">
              <w:rPr>
                <w:noProof/>
                <w:webHidden/>
              </w:rPr>
              <w:tab/>
            </w:r>
            <w:r w:rsidR="00375534">
              <w:rPr>
                <w:noProof/>
                <w:webHidden/>
              </w:rPr>
              <w:fldChar w:fldCharType="begin"/>
            </w:r>
            <w:r w:rsidR="00375534">
              <w:rPr>
                <w:noProof/>
                <w:webHidden/>
              </w:rPr>
              <w:instrText xml:space="preserve"> PAGEREF _Toc113619786 \h </w:instrText>
            </w:r>
            <w:r w:rsidR="00375534">
              <w:rPr>
                <w:noProof/>
                <w:webHidden/>
              </w:rPr>
            </w:r>
            <w:r w:rsidR="00375534">
              <w:rPr>
                <w:noProof/>
                <w:webHidden/>
              </w:rPr>
              <w:fldChar w:fldCharType="separate"/>
            </w:r>
            <w:r w:rsidR="00375534">
              <w:rPr>
                <w:noProof/>
                <w:webHidden/>
              </w:rPr>
              <w:t>53</w:t>
            </w:r>
            <w:r w:rsidR="00375534">
              <w:rPr>
                <w:noProof/>
                <w:webHidden/>
              </w:rPr>
              <w:fldChar w:fldCharType="end"/>
            </w:r>
          </w:hyperlink>
        </w:p>
        <w:p w14:paraId="650FB5DA" w14:textId="505D3BA8" w:rsidR="00375534" w:rsidRDefault="00573A1D">
          <w:pPr>
            <w:pStyle w:val="TOC3"/>
            <w:rPr>
              <w:rFonts w:eastAsiaTheme="minorEastAsia" w:cstheme="minorBidi"/>
              <w:noProof/>
              <w:sz w:val="22"/>
            </w:rPr>
          </w:pPr>
          <w:hyperlink w:anchor="_Toc113619787" w:history="1">
            <w:r w:rsidR="00375534" w:rsidRPr="00A63C77">
              <w:rPr>
                <w:rStyle w:val="Hyperlink"/>
                <w:noProof/>
                <w14:scene3d>
                  <w14:camera w14:prst="orthographicFront"/>
                  <w14:lightRig w14:rig="threePt" w14:dir="t">
                    <w14:rot w14:lat="0" w14:lon="0" w14:rev="0"/>
                  </w14:lightRig>
                </w14:scene3d>
              </w:rPr>
              <w:t>3.2.2</w:t>
            </w:r>
            <w:r w:rsidR="00375534">
              <w:rPr>
                <w:rFonts w:eastAsiaTheme="minorEastAsia" w:cstheme="minorBidi"/>
                <w:noProof/>
                <w:sz w:val="22"/>
              </w:rPr>
              <w:tab/>
            </w:r>
            <w:r w:rsidR="00375534" w:rsidRPr="00A63C77">
              <w:rPr>
                <w:rStyle w:val="Hyperlink"/>
                <w:noProof/>
              </w:rPr>
              <w:t>Core Nonparticipant Spillover Protocol</w:t>
            </w:r>
            <w:r w:rsidR="00375534">
              <w:rPr>
                <w:noProof/>
                <w:webHidden/>
              </w:rPr>
              <w:tab/>
            </w:r>
            <w:r w:rsidR="00375534">
              <w:rPr>
                <w:noProof/>
                <w:webHidden/>
              </w:rPr>
              <w:fldChar w:fldCharType="begin"/>
            </w:r>
            <w:r w:rsidR="00375534">
              <w:rPr>
                <w:noProof/>
                <w:webHidden/>
              </w:rPr>
              <w:instrText xml:space="preserve"> PAGEREF _Toc113619787 \h </w:instrText>
            </w:r>
            <w:r w:rsidR="00375534">
              <w:rPr>
                <w:noProof/>
                <w:webHidden/>
              </w:rPr>
            </w:r>
            <w:r w:rsidR="00375534">
              <w:rPr>
                <w:noProof/>
                <w:webHidden/>
              </w:rPr>
              <w:fldChar w:fldCharType="separate"/>
            </w:r>
            <w:r w:rsidR="00375534">
              <w:rPr>
                <w:noProof/>
                <w:webHidden/>
              </w:rPr>
              <w:t>56</w:t>
            </w:r>
            <w:r w:rsidR="00375534">
              <w:rPr>
                <w:noProof/>
                <w:webHidden/>
              </w:rPr>
              <w:fldChar w:fldCharType="end"/>
            </w:r>
          </w:hyperlink>
        </w:p>
        <w:p w14:paraId="26C05A57" w14:textId="78805FE9" w:rsidR="00375534" w:rsidRDefault="00573A1D">
          <w:pPr>
            <w:pStyle w:val="TOC2"/>
            <w:tabs>
              <w:tab w:val="left" w:pos="800"/>
              <w:tab w:val="right" w:leader="dot" w:pos="9350"/>
            </w:tabs>
            <w:rPr>
              <w:rFonts w:eastAsiaTheme="minorEastAsia" w:cstheme="minorBidi"/>
              <w:noProof/>
              <w:sz w:val="22"/>
            </w:rPr>
          </w:pPr>
          <w:hyperlink w:anchor="_Toc113619788" w:history="1">
            <w:r w:rsidR="00375534" w:rsidRPr="00A63C77">
              <w:rPr>
                <w:rStyle w:val="Hyperlink"/>
                <w:noProof/>
              </w:rPr>
              <w:t>3.3</w:t>
            </w:r>
            <w:r w:rsidR="00375534">
              <w:rPr>
                <w:rFonts w:eastAsiaTheme="minorEastAsia" w:cstheme="minorBidi"/>
                <w:noProof/>
                <w:sz w:val="22"/>
              </w:rPr>
              <w:tab/>
            </w:r>
            <w:r w:rsidR="00375534" w:rsidRPr="00A63C77">
              <w:rPr>
                <w:rStyle w:val="Hyperlink"/>
                <w:noProof/>
              </w:rPr>
              <w:t>Small Business Protocol</w:t>
            </w:r>
            <w:r w:rsidR="00375534">
              <w:rPr>
                <w:noProof/>
                <w:webHidden/>
              </w:rPr>
              <w:tab/>
            </w:r>
            <w:r w:rsidR="00375534">
              <w:rPr>
                <w:noProof/>
                <w:webHidden/>
              </w:rPr>
              <w:fldChar w:fldCharType="begin"/>
            </w:r>
            <w:r w:rsidR="00375534">
              <w:rPr>
                <w:noProof/>
                <w:webHidden/>
              </w:rPr>
              <w:instrText xml:space="preserve"> PAGEREF _Toc113619788 \h </w:instrText>
            </w:r>
            <w:r w:rsidR="00375534">
              <w:rPr>
                <w:noProof/>
                <w:webHidden/>
              </w:rPr>
            </w:r>
            <w:r w:rsidR="00375534">
              <w:rPr>
                <w:noProof/>
                <w:webHidden/>
              </w:rPr>
              <w:fldChar w:fldCharType="separate"/>
            </w:r>
            <w:r w:rsidR="00375534">
              <w:rPr>
                <w:noProof/>
                <w:webHidden/>
              </w:rPr>
              <w:t>60</w:t>
            </w:r>
            <w:r w:rsidR="00375534">
              <w:rPr>
                <w:noProof/>
                <w:webHidden/>
              </w:rPr>
              <w:fldChar w:fldCharType="end"/>
            </w:r>
          </w:hyperlink>
        </w:p>
        <w:p w14:paraId="3C5695E5" w14:textId="076112FB" w:rsidR="00375534" w:rsidRDefault="00573A1D">
          <w:pPr>
            <w:pStyle w:val="TOC3"/>
            <w:rPr>
              <w:rFonts w:eastAsiaTheme="minorEastAsia" w:cstheme="minorBidi"/>
              <w:noProof/>
              <w:sz w:val="22"/>
            </w:rPr>
          </w:pPr>
          <w:hyperlink w:anchor="_Toc113619789" w:history="1">
            <w:r w:rsidR="00375534" w:rsidRPr="00A63C77">
              <w:rPr>
                <w:rStyle w:val="Hyperlink"/>
                <w:noProof/>
                <w14:scene3d>
                  <w14:camera w14:prst="orthographicFront"/>
                  <w14:lightRig w14:rig="threePt" w14:dir="t">
                    <w14:rot w14:lat="0" w14:lon="0" w14:rev="0"/>
                  </w14:lightRig>
                </w14:scene3d>
              </w:rPr>
              <w:t>3.3.1</w:t>
            </w:r>
            <w:r w:rsidR="00375534">
              <w:rPr>
                <w:rFonts w:eastAsiaTheme="minorEastAsia" w:cstheme="minorBidi"/>
                <w:noProof/>
                <w:sz w:val="22"/>
              </w:rPr>
              <w:tab/>
            </w:r>
            <w:r w:rsidR="00375534" w:rsidRPr="00A63C77">
              <w:rPr>
                <w:rStyle w:val="Hyperlink"/>
                <w:noProof/>
              </w:rPr>
              <w:t>Free Ridership</w:t>
            </w:r>
            <w:r w:rsidR="00375534">
              <w:rPr>
                <w:noProof/>
                <w:webHidden/>
              </w:rPr>
              <w:tab/>
            </w:r>
            <w:r w:rsidR="00375534">
              <w:rPr>
                <w:noProof/>
                <w:webHidden/>
              </w:rPr>
              <w:fldChar w:fldCharType="begin"/>
            </w:r>
            <w:r w:rsidR="00375534">
              <w:rPr>
                <w:noProof/>
                <w:webHidden/>
              </w:rPr>
              <w:instrText xml:space="preserve"> PAGEREF _Toc113619789 \h </w:instrText>
            </w:r>
            <w:r w:rsidR="00375534">
              <w:rPr>
                <w:noProof/>
                <w:webHidden/>
              </w:rPr>
            </w:r>
            <w:r w:rsidR="00375534">
              <w:rPr>
                <w:noProof/>
                <w:webHidden/>
              </w:rPr>
              <w:fldChar w:fldCharType="separate"/>
            </w:r>
            <w:r w:rsidR="00375534">
              <w:rPr>
                <w:noProof/>
                <w:webHidden/>
              </w:rPr>
              <w:t>60</w:t>
            </w:r>
            <w:r w:rsidR="00375534">
              <w:rPr>
                <w:noProof/>
                <w:webHidden/>
              </w:rPr>
              <w:fldChar w:fldCharType="end"/>
            </w:r>
          </w:hyperlink>
        </w:p>
        <w:p w14:paraId="60C1474F" w14:textId="29435C82" w:rsidR="00375534" w:rsidRDefault="00573A1D">
          <w:pPr>
            <w:pStyle w:val="TOC2"/>
            <w:tabs>
              <w:tab w:val="left" w:pos="800"/>
              <w:tab w:val="right" w:leader="dot" w:pos="9350"/>
            </w:tabs>
            <w:rPr>
              <w:rFonts w:eastAsiaTheme="minorEastAsia" w:cstheme="minorBidi"/>
              <w:noProof/>
              <w:sz w:val="22"/>
            </w:rPr>
          </w:pPr>
          <w:hyperlink w:anchor="_Toc113619790" w:history="1">
            <w:r w:rsidR="00375534" w:rsidRPr="00A63C77">
              <w:rPr>
                <w:rStyle w:val="Hyperlink"/>
                <w:noProof/>
              </w:rPr>
              <w:t>3.4</w:t>
            </w:r>
            <w:r w:rsidR="00375534">
              <w:rPr>
                <w:rFonts w:eastAsiaTheme="minorEastAsia" w:cstheme="minorBidi"/>
                <w:noProof/>
                <w:sz w:val="22"/>
              </w:rPr>
              <w:tab/>
            </w:r>
            <w:r w:rsidR="00375534" w:rsidRPr="00A63C77">
              <w:rPr>
                <w:rStyle w:val="Hyperlink"/>
                <w:noProof/>
              </w:rPr>
              <w:t>C&amp;I New Construction Protocol</w:t>
            </w:r>
            <w:r w:rsidR="00375534">
              <w:rPr>
                <w:noProof/>
                <w:webHidden/>
              </w:rPr>
              <w:tab/>
            </w:r>
            <w:r w:rsidR="00375534">
              <w:rPr>
                <w:noProof/>
                <w:webHidden/>
              </w:rPr>
              <w:fldChar w:fldCharType="begin"/>
            </w:r>
            <w:r w:rsidR="00375534">
              <w:rPr>
                <w:noProof/>
                <w:webHidden/>
              </w:rPr>
              <w:instrText xml:space="preserve"> PAGEREF _Toc113619790 \h </w:instrText>
            </w:r>
            <w:r w:rsidR="00375534">
              <w:rPr>
                <w:noProof/>
                <w:webHidden/>
              </w:rPr>
            </w:r>
            <w:r w:rsidR="00375534">
              <w:rPr>
                <w:noProof/>
                <w:webHidden/>
              </w:rPr>
              <w:fldChar w:fldCharType="separate"/>
            </w:r>
            <w:r w:rsidR="00375534">
              <w:rPr>
                <w:noProof/>
                <w:webHidden/>
              </w:rPr>
              <w:t>61</w:t>
            </w:r>
            <w:r w:rsidR="00375534">
              <w:rPr>
                <w:noProof/>
                <w:webHidden/>
              </w:rPr>
              <w:fldChar w:fldCharType="end"/>
            </w:r>
          </w:hyperlink>
        </w:p>
        <w:p w14:paraId="71D988B9" w14:textId="03069F72" w:rsidR="00375534" w:rsidRDefault="00573A1D">
          <w:pPr>
            <w:pStyle w:val="TOC3"/>
            <w:rPr>
              <w:rFonts w:eastAsiaTheme="minorEastAsia" w:cstheme="minorBidi"/>
              <w:noProof/>
              <w:sz w:val="22"/>
            </w:rPr>
          </w:pPr>
          <w:hyperlink w:anchor="_Toc113619791" w:history="1">
            <w:r w:rsidR="00375534" w:rsidRPr="00A63C77">
              <w:rPr>
                <w:rStyle w:val="Hyperlink"/>
                <w:noProof/>
                <w14:scene3d>
                  <w14:camera w14:prst="orthographicFront"/>
                  <w14:lightRig w14:rig="threePt" w14:dir="t">
                    <w14:rot w14:lat="0" w14:lon="0" w14:rev="0"/>
                  </w14:lightRig>
                </w14:scene3d>
              </w:rPr>
              <w:t>3.4.1</w:t>
            </w:r>
            <w:r w:rsidR="00375534">
              <w:rPr>
                <w:rFonts w:eastAsiaTheme="minorEastAsia" w:cstheme="minorBidi"/>
                <w:noProof/>
                <w:sz w:val="22"/>
              </w:rPr>
              <w:tab/>
            </w:r>
            <w:r w:rsidR="00375534" w:rsidRPr="00A63C77">
              <w:rPr>
                <w:rStyle w:val="Hyperlink"/>
                <w:noProof/>
              </w:rPr>
              <w:t>Free Ridership</w:t>
            </w:r>
            <w:r w:rsidR="00375534">
              <w:rPr>
                <w:noProof/>
                <w:webHidden/>
              </w:rPr>
              <w:tab/>
            </w:r>
            <w:r w:rsidR="00375534">
              <w:rPr>
                <w:noProof/>
                <w:webHidden/>
              </w:rPr>
              <w:fldChar w:fldCharType="begin"/>
            </w:r>
            <w:r w:rsidR="00375534">
              <w:rPr>
                <w:noProof/>
                <w:webHidden/>
              </w:rPr>
              <w:instrText xml:space="preserve"> PAGEREF _Toc113619791 \h </w:instrText>
            </w:r>
            <w:r w:rsidR="00375534">
              <w:rPr>
                <w:noProof/>
                <w:webHidden/>
              </w:rPr>
            </w:r>
            <w:r w:rsidR="00375534">
              <w:rPr>
                <w:noProof/>
                <w:webHidden/>
              </w:rPr>
              <w:fldChar w:fldCharType="separate"/>
            </w:r>
            <w:r w:rsidR="00375534">
              <w:rPr>
                <w:noProof/>
                <w:webHidden/>
              </w:rPr>
              <w:t>61</w:t>
            </w:r>
            <w:r w:rsidR="00375534">
              <w:rPr>
                <w:noProof/>
                <w:webHidden/>
              </w:rPr>
              <w:fldChar w:fldCharType="end"/>
            </w:r>
          </w:hyperlink>
        </w:p>
        <w:p w14:paraId="415F180B" w14:textId="73488151" w:rsidR="00375534" w:rsidRDefault="00573A1D">
          <w:pPr>
            <w:pStyle w:val="TOC2"/>
            <w:tabs>
              <w:tab w:val="left" w:pos="800"/>
              <w:tab w:val="right" w:leader="dot" w:pos="9350"/>
            </w:tabs>
            <w:rPr>
              <w:rFonts w:eastAsiaTheme="minorEastAsia" w:cstheme="minorBidi"/>
              <w:noProof/>
              <w:sz w:val="22"/>
            </w:rPr>
          </w:pPr>
          <w:hyperlink w:anchor="_Toc113619792" w:history="1">
            <w:r w:rsidR="00375534" w:rsidRPr="00A63C77">
              <w:rPr>
                <w:rStyle w:val="Hyperlink"/>
                <w:noProof/>
              </w:rPr>
              <w:t>3.5</w:t>
            </w:r>
            <w:r w:rsidR="00375534">
              <w:rPr>
                <w:rFonts w:eastAsiaTheme="minorEastAsia" w:cstheme="minorBidi"/>
                <w:noProof/>
                <w:sz w:val="22"/>
              </w:rPr>
              <w:tab/>
            </w:r>
            <w:r w:rsidR="00375534" w:rsidRPr="00A63C77">
              <w:rPr>
                <w:rStyle w:val="Hyperlink"/>
                <w:noProof/>
              </w:rPr>
              <w:t>Study-Based Protocol</w:t>
            </w:r>
            <w:r w:rsidR="00375534">
              <w:rPr>
                <w:noProof/>
                <w:webHidden/>
              </w:rPr>
              <w:tab/>
            </w:r>
            <w:r w:rsidR="00375534">
              <w:rPr>
                <w:noProof/>
                <w:webHidden/>
              </w:rPr>
              <w:fldChar w:fldCharType="begin"/>
            </w:r>
            <w:r w:rsidR="00375534">
              <w:rPr>
                <w:noProof/>
                <w:webHidden/>
              </w:rPr>
              <w:instrText xml:space="preserve"> PAGEREF _Toc113619792 \h </w:instrText>
            </w:r>
            <w:r w:rsidR="00375534">
              <w:rPr>
                <w:noProof/>
                <w:webHidden/>
              </w:rPr>
            </w:r>
            <w:r w:rsidR="00375534">
              <w:rPr>
                <w:noProof/>
                <w:webHidden/>
              </w:rPr>
              <w:fldChar w:fldCharType="separate"/>
            </w:r>
            <w:r w:rsidR="00375534">
              <w:rPr>
                <w:noProof/>
                <w:webHidden/>
              </w:rPr>
              <w:t>62</w:t>
            </w:r>
            <w:r w:rsidR="00375534">
              <w:rPr>
                <w:noProof/>
                <w:webHidden/>
              </w:rPr>
              <w:fldChar w:fldCharType="end"/>
            </w:r>
          </w:hyperlink>
        </w:p>
        <w:p w14:paraId="782A3B21" w14:textId="029B4EE0" w:rsidR="00375534" w:rsidRDefault="00573A1D">
          <w:pPr>
            <w:pStyle w:val="TOC3"/>
            <w:rPr>
              <w:rFonts w:eastAsiaTheme="minorEastAsia" w:cstheme="minorBidi"/>
              <w:noProof/>
              <w:sz w:val="22"/>
            </w:rPr>
          </w:pPr>
          <w:hyperlink w:anchor="_Toc113619793" w:history="1">
            <w:r w:rsidR="00375534" w:rsidRPr="00A63C77">
              <w:rPr>
                <w:rStyle w:val="Hyperlink"/>
                <w:noProof/>
                <w14:scene3d>
                  <w14:camera w14:prst="orthographicFront"/>
                  <w14:lightRig w14:rig="threePt" w14:dir="t">
                    <w14:rot w14:lat="0" w14:lon="0" w14:rev="0"/>
                  </w14:lightRig>
                </w14:scene3d>
              </w:rPr>
              <w:t>3.5.1</w:t>
            </w:r>
            <w:r w:rsidR="00375534">
              <w:rPr>
                <w:rFonts w:eastAsiaTheme="minorEastAsia" w:cstheme="minorBidi"/>
                <w:noProof/>
                <w:sz w:val="22"/>
              </w:rPr>
              <w:tab/>
            </w:r>
            <w:r w:rsidR="00375534" w:rsidRPr="00A63C77">
              <w:rPr>
                <w:rStyle w:val="Hyperlink"/>
                <w:noProof/>
              </w:rPr>
              <w:t>Free Ridership</w:t>
            </w:r>
            <w:r w:rsidR="00375534">
              <w:rPr>
                <w:noProof/>
                <w:webHidden/>
              </w:rPr>
              <w:tab/>
            </w:r>
            <w:r w:rsidR="00375534">
              <w:rPr>
                <w:noProof/>
                <w:webHidden/>
              </w:rPr>
              <w:fldChar w:fldCharType="begin"/>
            </w:r>
            <w:r w:rsidR="00375534">
              <w:rPr>
                <w:noProof/>
                <w:webHidden/>
              </w:rPr>
              <w:instrText xml:space="preserve"> PAGEREF _Toc113619793 \h </w:instrText>
            </w:r>
            <w:r w:rsidR="00375534">
              <w:rPr>
                <w:noProof/>
                <w:webHidden/>
              </w:rPr>
            </w:r>
            <w:r w:rsidR="00375534">
              <w:rPr>
                <w:noProof/>
                <w:webHidden/>
              </w:rPr>
              <w:fldChar w:fldCharType="separate"/>
            </w:r>
            <w:r w:rsidR="00375534">
              <w:rPr>
                <w:noProof/>
                <w:webHidden/>
              </w:rPr>
              <w:t>62</w:t>
            </w:r>
            <w:r w:rsidR="00375534">
              <w:rPr>
                <w:noProof/>
                <w:webHidden/>
              </w:rPr>
              <w:fldChar w:fldCharType="end"/>
            </w:r>
          </w:hyperlink>
        </w:p>
        <w:p w14:paraId="072B58BA" w14:textId="7F6A3869" w:rsidR="00375534" w:rsidRDefault="00573A1D">
          <w:pPr>
            <w:pStyle w:val="TOC2"/>
            <w:tabs>
              <w:tab w:val="left" w:pos="800"/>
              <w:tab w:val="right" w:leader="dot" w:pos="9350"/>
            </w:tabs>
            <w:rPr>
              <w:rFonts w:eastAsiaTheme="minorEastAsia" w:cstheme="minorBidi"/>
              <w:noProof/>
              <w:sz w:val="22"/>
            </w:rPr>
          </w:pPr>
          <w:hyperlink w:anchor="_Toc113619794" w:history="1">
            <w:r w:rsidR="00375534" w:rsidRPr="00A63C77">
              <w:rPr>
                <w:rStyle w:val="Hyperlink"/>
                <w:noProof/>
              </w:rPr>
              <w:t>3.6</w:t>
            </w:r>
            <w:r w:rsidR="00375534">
              <w:rPr>
                <w:rFonts w:eastAsiaTheme="minorEastAsia" w:cstheme="minorBidi"/>
                <w:noProof/>
                <w:sz w:val="22"/>
              </w:rPr>
              <w:tab/>
            </w:r>
            <w:r w:rsidR="00375534" w:rsidRPr="00A63C77">
              <w:rPr>
                <w:rStyle w:val="Hyperlink"/>
                <w:noProof/>
              </w:rPr>
              <w:t>Technical Assistance Protocol</w:t>
            </w:r>
            <w:r w:rsidR="00375534">
              <w:rPr>
                <w:noProof/>
                <w:webHidden/>
              </w:rPr>
              <w:tab/>
            </w:r>
            <w:r w:rsidR="00375534">
              <w:rPr>
                <w:noProof/>
                <w:webHidden/>
              </w:rPr>
              <w:fldChar w:fldCharType="begin"/>
            </w:r>
            <w:r w:rsidR="00375534">
              <w:rPr>
                <w:noProof/>
                <w:webHidden/>
              </w:rPr>
              <w:instrText xml:space="preserve"> PAGEREF _Toc113619794 \h </w:instrText>
            </w:r>
            <w:r w:rsidR="00375534">
              <w:rPr>
                <w:noProof/>
                <w:webHidden/>
              </w:rPr>
            </w:r>
            <w:r w:rsidR="00375534">
              <w:rPr>
                <w:noProof/>
                <w:webHidden/>
              </w:rPr>
              <w:fldChar w:fldCharType="separate"/>
            </w:r>
            <w:r w:rsidR="00375534">
              <w:rPr>
                <w:noProof/>
                <w:webHidden/>
              </w:rPr>
              <w:t>64</w:t>
            </w:r>
            <w:r w:rsidR="00375534">
              <w:rPr>
                <w:noProof/>
                <w:webHidden/>
              </w:rPr>
              <w:fldChar w:fldCharType="end"/>
            </w:r>
          </w:hyperlink>
        </w:p>
        <w:p w14:paraId="24F7953D" w14:textId="441EA819" w:rsidR="00375534" w:rsidRDefault="00573A1D">
          <w:pPr>
            <w:pStyle w:val="TOC3"/>
            <w:rPr>
              <w:rFonts w:eastAsiaTheme="minorEastAsia" w:cstheme="minorBidi"/>
              <w:noProof/>
              <w:sz w:val="22"/>
            </w:rPr>
          </w:pPr>
          <w:hyperlink w:anchor="_Toc113619795" w:history="1">
            <w:r w:rsidR="00375534" w:rsidRPr="00A63C77">
              <w:rPr>
                <w:rStyle w:val="Hyperlink"/>
                <w:noProof/>
                <w14:scene3d>
                  <w14:camera w14:prst="orthographicFront"/>
                  <w14:lightRig w14:rig="threePt" w14:dir="t">
                    <w14:rot w14:lat="0" w14:lon="0" w14:rev="0"/>
                  </w14:lightRig>
                </w14:scene3d>
              </w:rPr>
              <w:t>3.6.1</w:t>
            </w:r>
            <w:r w:rsidR="00375534">
              <w:rPr>
                <w:rFonts w:eastAsiaTheme="minorEastAsia" w:cstheme="minorBidi"/>
                <w:noProof/>
                <w:sz w:val="22"/>
              </w:rPr>
              <w:tab/>
            </w:r>
            <w:r w:rsidR="00375534" w:rsidRPr="00A63C77">
              <w:rPr>
                <w:rStyle w:val="Hyperlink"/>
                <w:noProof/>
              </w:rPr>
              <w:t>Free Ridership</w:t>
            </w:r>
            <w:r w:rsidR="00375534">
              <w:rPr>
                <w:noProof/>
                <w:webHidden/>
              </w:rPr>
              <w:tab/>
            </w:r>
            <w:r w:rsidR="00375534">
              <w:rPr>
                <w:noProof/>
                <w:webHidden/>
              </w:rPr>
              <w:fldChar w:fldCharType="begin"/>
            </w:r>
            <w:r w:rsidR="00375534">
              <w:rPr>
                <w:noProof/>
                <w:webHidden/>
              </w:rPr>
              <w:instrText xml:space="preserve"> PAGEREF _Toc113619795 \h </w:instrText>
            </w:r>
            <w:r w:rsidR="00375534">
              <w:rPr>
                <w:noProof/>
                <w:webHidden/>
              </w:rPr>
            </w:r>
            <w:r w:rsidR="00375534">
              <w:rPr>
                <w:noProof/>
                <w:webHidden/>
              </w:rPr>
              <w:fldChar w:fldCharType="separate"/>
            </w:r>
            <w:r w:rsidR="00375534">
              <w:rPr>
                <w:noProof/>
                <w:webHidden/>
              </w:rPr>
              <w:t>64</w:t>
            </w:r>
            <w:r w:rsidR="00375534">
              <w:rPr>
                <w:noProof/>
                <w:webHidden/>
              </w:rPr>
              <w:fldChar w:fldCharType="end"/>
            </w:r>
          </w:hyperlink>
        </w:p>
        <w:p w14:paraId="49250B71" w14:textId="15EECF80" w:rsidR="00375534" w:rsidRDefault="00573A1D">
          <w:pPr>
            <w:pStyle w:val="TOC1"/>
            <w:tabs>
              <w:tab w:val="left" w:pos="400"/>
              <w:tab w:val="right" w:leader="dot" w:pos="9350"/>
            </w:tabs>
            <w:rPr>
              <w:rFonts w:eastAsiaTheme="minorEastAsia" w:cstheme="minorBidi"/>
              <w:b w:val="0"/>
              <w:smallCaps w:val="0"/>
              <w:noProof/>
            </w:rPr>
          </w:pPr>
          <w:hyperlink w:anchor="_Toc113619796" w:history="1">
            <w:r w:rsidR="00375534" w:rsidRPr="00A63C77">
              <w:rPr>
                <w:rStyle w:val="Hyperlink"/>
                <w:noProof/>
                <w14:scene3d>
                  <w14:camera w14:prst="orthographicFront"/>
                  <w14:lightRig w14:rig="threePt" w14:dir="t">
                    <w14:rot w14:lat="0" w14:lon="0" w14:rev="0"/>
                  </w14:lightRig>
                </w14:scene3d>
              </w:rPr>
              <w:t>4</w:t>
            </w:r>
            <w:r w:rsidR="00375534">
              <w:rPr>
                <w:rFonts w:eastAsiaTheme="minorEastAsia" w:cstheme="minorBidi"/>
                <w:b w:val="0"/>
                <w:smallCaps w:val="0"/>
                <w:noProof/>
              </w:rPr>
              <w:tab/>
            </w:r>
            <w:r w:rsidR="00375534" w:rsidRPr="00A63C77">
              <w:rPr>
                <w:rStyle w:val="Hyperlink"/>
                <w:noProof/>
              </w:rPr>
              <w:t>Residential and Low Income Sector Protocols</w:t>
            </w:r>
            <w:r w:rsidR="00375534">
              <w:rPr>
                <w:noProof/>
                <w:webHidden/>
              </w:rPr>
              <w:tab/>
            </w:r>
            <w:r w:rsidR="00375534">
              <w:rPr>
                <w:noProof/>
                <w:webHidden/>
              </w:rPr>
              <w:fldChar w:fldCharType="begin"/>
            </w:r>
            <w:r w:rsidR="00375534">
              <w:rPr>
                <w:noProof/>
                <w:webHidden/>
              </w:rPr>
              <w:instrText xml:space="preserve"> PAGEREF _Toc113619796 \h </w:instrText>
            </w:r>
            <w:r w:rsidR="00375534">
              <w:rPr>
                <w:noProof/>
                <w:webHidden/>
              </w:rPr>
            </w:r>
            <w:r w:rsidR="00375534">
              <w:rPr>
                <w:noProof/>
                <w:webHidden/>
              </w:rPr>
              <w:fldChar w:fldCharType="separate"/>
            </w:r>
            <w:r w:rsidR="00375534">
              <w:rPr>
                <w:noProof/>
                <w:webHidden/>
              </w:rPr>
              <w:t>66</w:t>
            </w:r>
            <w:r w:rsidR="00375534">
              <w:rPr>
                <w:noProof/>
                <w:webHidden/>
              </w:rPr>
              <w:fldChar w:fldCharType="end"/>
            </w:r>
          </w:hyperlink>
        </w:p>
        <w:p w14:paraId="2D34D66D" w14:textId="201B81AA" w:rsidR="00375534" w:rsidRDefault="00573A1D">
          <w:pPr>
            <w:pStyle w:val="TOC2"/>
            <w:tabs>
              <w:tab w:val="left" w:pos="800"/>
              <w:tab w:val="right" w:leader="dot" w:pos="9350"/>
            </w:tabs>
            <w:rPr>
              <w:rFonts w:eastAsiaTheme="minorEastAsia" w:cstheme="minorBidi"/>
              <w:noProof/>
              <w:sz w:val="22"/>
            </w:rPr>
          </w:pPr>
          <w:hyperlink w:anchor="_Toc113619797" w:history="1">
            <w:r w:rsidR="00375534" w:rsidRPr="00A63C77">
              <w:rPr>
                <w:rStyle w:val="Hyperlink"/>
                <w:noProof/>
              </w:rPr>
              <w:t>4.1</w:t>
            </w:r>
            <w:r w:rsidR="00375534">
              <w:rPr>
                <w:rFonts w:eastAsiaTheme="minorEastAsia" w:cstheme="minorBidi"/>
                <w:noProof/>
                <w:sz w:val="22"/>
              </w:rPr>
              <w:tab/>
            </w:r>
            <w:r w:rsidR="00375534" w:rsidRPr="00A63C77">
              <w:rPr>
                <w:rStyle w:val="Hyperlink"/>
                <w:noProof/>
              </w:rPr>
              <w:t>Residential Cross-Cutting Approaches</w:t>
            </w:r>
            <w:r w:rsidR="00375534">
              <w:rPr>
                <w:noProof/>
                <w:webHidden/>
              </w:rPr>
              <w:tab/>
            </w:r>
            <w:r w:rsidR="00375534">
              <w:rPr>
                <w:noProof/>
                <w:webHidden/>
              </w:rPr>
              <w:fldChar w:fldCharType="begin"/>
            </w:r>
            <w:r w:rsidR="00375534">
              <w:rPr>
                <w:noProof/>
                <w:webHidden/>
              </w:rPr>
              <w:instrText xml:space="preserve"> PAGEREF _Toc113619797 \h </w:instrText>
            </w:r>
            <w:r w:rsidR="00375534">
              <w:rPr>
                <w:noProof/>
                <w:webHidden/>
              </w:rPr>
            </w:r>
            <w:r w:rsidR="00375534">
              <w:rPr>
                <w:noProof/>
                <w:webHidden/>
              </w:rPr>
              <w:fldChar w:fldCharType="separate"/>
            </w:r>
            <w:r w:rsidR="00375534">
              <w:rPr>
                <w:noProof/>
                <w:webHidden/>
              </w:rPr>
              <w:t>67</w:t>
            </w:r>
            <w:r w:rsidR="00375534">
              <w:rPr>
                <w:noProof/>
                <w:webHidden/>
              </w:rPr>
              <w:fldChar w:fldCharType="end"/>
            </w:r>
          </w:hyperlink>
        </w:p>
        <w:p w14:paraId="5F12EE69" w14:textId="1B5717F5" w:rsidR="00375534" w:rsidRDefault="00573A1D">
          <w:pPr>
            <w:pStyle w:val="TOC3"/>
            <w:rPr>
              <w:rFonts w:eastAsiaTheme="minorEastAsia" w:cstheme="minorBidi"/>
              <w:noProof/>
              <w:sz w:val="22"/>
            </w:rPr>
          </w:pPr>
          <w:hyperlink w:anchor="_Toc113619798" w:history="1">
            <w:r w:rsidR="00375534" w:rsidRPr="00A63C77">
              <w:rPr>
                <w:rStyle w:val="Hyperlink"/>
                <w:noProof/>
                <w14:scene3d>
                  <w14:camera w14:prst="orthographicFront"/>
                  <w14:lightRig w14:rig="threePt" w14:dir="t">
                    <w14:rot w14:lat="0" w14:lon="0" w14:rev="0"/>
                  </w14:lightRig>
                </w14:scene3d>
              </w:rPr>
              <w:t>4.1.1</w:t>
            </w:r>
            <w:r w:rsidR="00375534">
              <w:rPr>
                <w:rFonts w:eastAsiaTheme="minorEastAsia" w:cstheme="minorBidi"/>
                <w:noProof/>
                <w:sz w:val="22"/>
              </w:rPr>
              <w:tab/>
            </w:r>
            <w:r w:rsidR="00375534" w:rsidRPr="00A63C77">
              <w:rPr>
                <w:rStyle w:val="Hyperlink"/>
                <w:noProof/>
              </w:rPr>
              <w:t>Survey Design Issues</w:t>
            </w:r>
            <w:r w:rsidR="00375534">
              <w:rPr>
                <w:noProof/>
                <w:webHidden/>
              </w:rPr>
              <w:tab/>
            </w:r>
            <w:r w:rsidR="00375534">
              <w:rPr>
                <w:noProof/>
                <w:webHidden/>
              </w:rPr>
              <w:fldChar w:fldCharType="begin"/>
            </w:r>
            <w:r w:rsidR="00375534">
              <w:rPr>
                <w:noProof/>
                <w:webHidden/>
              </w:rPr>
              <w:instrText xml:space="preserve"> PAGEREF _Toc113619798 \h </w:instrText>
            </w:r>
            <w:r w:rsidR="00375534">
              <w:rPr>
                <w:noProof/>
                <w:webHidden/>
              </w:rPr>
            </w:r>
            <w:r w:rsidR="00375534">
              <w:rPr>
                <w:noProof/>
                <w:webHidden/>
              </w:rPr>
              <w:fldChar w:fldCharType="separate"/>
            </w:r>
            <w:r w:rsidR="00375534">
              <w:rPr>
                <w:noProof/>
                <w:webHidden/>
              </w:rPr>
              <w:t>67</w:t>
            </w:r>
            <w:r w:rsidR="00375534">
              <w:rPr>
                <w:noProof/>
                <w:webHidden/>
              </w:rPr>
              <w:fldChar w:fldCharType="end"/>
            </w:r>
          </w:hyperlink>
        </w:p>
        <w:p w14:paraId="745111AD" w14:textId="797966C7" w:rsidR="00375534" w:rsidRDefault="00573A1D">
          <w:pPr>
            <w:pStyle w:val="TOC3"/>
            <w:rPr>
              <w:rFonts w:eastAsiaTheme="minorEastAsia" w:cstheme="minorBidi"/>
              <w:noProof/>
              <w:sz w:val="22"/>
            </w:rPr>
          </w:pPr>
          <w:hyperlink w:anchor="_Toc113619799" w:history="1">
            <w:r w:rsidR="00375534" w:rsidRPr="00A63C77">
              <w:rPr>
                <w:rStyle w:val="Hyperlink"/>
                <w:noProof/>
                <w14:scene3d>
                  <w14:camera w14:prst="orthographicFront"/>
                  <w14:lightRig w14:rig="threePt" w14:dir="t">
                    <w14:rot w14:lat="0" w14:lon="0" w14:rev="0"/>
                  </w14:lightRig>
                </w14:scene3d>
              </w:rPr>
              <w:t>4.1.2</w:t>
            </w:r>
            <w:r w:rsidR="00375534">
              <w:rPr>
                <w:rFonts w:eastAsiaTheme="minorEastAsia" w:cstheme="minorBidi"/>
                <w:noProof/>
                <w:sz w:val="22"/>
              </w:rPr>
              <w:tab/>
            </w:r>
            <w:r w:rsidR="00375534" w:rsidRPr="00A63C77">
              <w:rPr>
                <w:rStyle w:val="Hyperlink"/>
                <w:noProof/>
              </w:rPr>
              <w:t>Participant Spillover</w:t>
            </w:r>
            <w:r w:rsidR="00375534">
              <w:rPr>
                <w:noProof/>
                <w:webHidden/>
              </w:rPr>
              <w:tab/>
            </w:r>
            <w:r w:rsidR="00375534">
              <w:rPr>
                <w:noProof/>
                <w:webHidden/>
              </w:rPr>
              <w:fldChar w:fldCharType="begin"/>
            </w:r>
            <w:r w:rsidR="00375534">
              <w:rPr>
                <w:noProof/>
                <w:webHidden/>
              </w:rPr>
              <w:instrText xml:space="preserve"> PAGEREF _Toc113619799 \h </w:instrText>
            </w:r>
            <w:r w:rsidR="00375534">
              <w:rPr>
                <w:noProof/>
                <w:webHidden/>
              </w:rPr>
            </w:r>
            <w:r w:rsidR="00375534">
              <w:rPr>
                <w:noProof/>
                <w:webHidden/>
              </w:rPr>
              <w:fldChar w:fldCharType="separate"/>
            </w:r>
            <w:r w:rsidR="00375534">
              <w:rPr>
                <w:noProof/>
                <w:webHidden/>
              </w:rPr>
              <w:t>68</w:t>
            </w:r>
            <w:r w:rsidR="00375534">
              <w:rPr>
                <w:noProof/>
                <w:webHidden/>
              </w:rPr>
              <w:fldChar w:fldCharType="end"/>
            </w:r>
          </w:hyperlink>
        </w:p>
        <w:p w14:paraId="65200A63" w14:textId="79C5DEEA" w:rsidR="00375534" w:rsidRDefault="00573A1D">
          <w:pPr>
            <w:pStyle w:val="TOC3"/>
            <w:rPr>
              <w:rFonts w:eastAsiaTheme="minorEastAsia" w:cstheme="minorBidi"/>
              <w:noProof/>
              <w:sz w:val="22"/>
            </w:rPr>
          </w:pPr>
          <w:hyperlink w:anchor="_Toc113619800" w:history="1">
            <w:r w:rsidR="00375534" w:rsidRPr="00A63C77">
              <w:rPr>
                <w:rStyle w:val="Hyperlink"/>
                <w:noProof/>
                <w14:scene3d>
                  <w14:camera w14:prst="orthographicFront"/>
                  <w14:lightRig w14:rig="threePt" w14:dir="t">
                    <w14:rot w14:lat="0" w14:lon="0" w14:rev="0"/>
                  </w14:lightRig>
                </w14:scene3d>
              </w:rPr>
              <w:t>4.1.3</w:t>
            </w:r>
            <w:r w:rsidR="00375534">
              <w:rPr>
                <w:rFonts w:eastAsiaTheme="minorEastAsia" w:cstheme="minorBidi"/>
                <w:noProof/>
                <w:sz w:val="22"/>
              </w:rPr>
              <w:tab/>
            </w:r>
            <w:r w:rsidR="00375534" w:rsidRPr="00A63C77">
              <w:rPr>
                <w:rStyle w:val="Hyperlink"/>
                <w:noProof/>
              </w:rPr>
              <w:t>Nonparticipant Spillover Measured from Customers</w:t>
            </w:r>
            <w:r w:rsidR="00375534">
              <w:rPr>
                <w:noProof/>
                <w:webHidden/>
              </w:rPr>
              <w:tab/>
            </w:r>
            <w:r w:rsidR="00375534">
              <w:rPr>
                <w:noProof/>
                <w:webHidden/>
              </w:rPr>
              <w:fldChar w:fldCharType="begin"/>
            </w:r>
            <w:r w:rsidR="00375534">
              <w:rPr>
                <w:noProof/>
                <w:webHidden/>
              </w:rPr>
              <w:instrText xml:space="preserve"> PAGEREF _Toc113619800 \h </w:instrText>
            </w:r>
            <w:r w:rsidR="00375534">
              <w:rPr>
                <w:noProof/>
                <w:webHidden/>
              </w:rPr>
            </w:r>
            <w:r w:rsidR="00375534">
              <w:rPr>
                <w:noProof/>
                <w:webHidden/>
              </w:rPr>
              <w:fldChar w:fldCharType="separate"/>
            </w:r>
            <w:r w:rsidR="00375534">
              <w:rPr>
                <w:noProof/>
                <w:webHidden/>
              </w:rPr>
              <w:t>69</w:t>
            </w:r>
            <w:r w:rsidR="00375534">
              <w:rPr>
                <w:noProof/>
                <w:webHidden/>
              </w:rPr>
              <w:fldChar w:fldCharType="end"/>
            </w:r>
          </w:hyperlink>
        </w:p>
        <w:p w14:paraId="193B7193" w14:textId="50001D56" w:rsidR="00375534" w:rsidRDefault="00573A1D">
          <w:pPr>
            <w:pStyle w:val="TOC2"/>
            <w:tabs>
              <w:tab w:val="left" w:pos="800"/>
              <w:tab w:val="right" w:leader="dot" w:pos="9350"/>
            </w:tabs>
            <w:rPr>
              <w:rFonts w:eastAsiaTheme="minorEastAsia" w:cstheme="minorBidi"/>
              <w:noProof/>
              <w:sz w:val="22"/>
            </w:rPr>
          </w:pPr>
          <w:hyperlink w:anchor="_Toc113619801" w:history="1">
            <w:r w:rsidR="00375534" w:rsidRPr="00A63C77">
              <w:rPr>
                <w:rStyle w:val="Hyperlink"/>
                <w:noProof/>
              </w:rPr>
              <w:t>4.2</w:t>
            </w:r>
            <w:r w:rsidR="00375534">
              <w:rPr>
                <w:rFonts w:eastAsiaTheme="minorEastAsia" w:cstheme="minorBidi"/>
                <w:noProof/>
                <w:sz w:val="22"/>
              </w:rPr>
              <w:tab/>
            </w:r>
            <w:r w:rsidR="00375534" w:rsidRPr="00A63C77">
              <w:rPr>
                <w:rStyle w:val="Hyperlink"/>
                <w:noProof/>
              </w:rPr>
              <w:t>Appliance Recycling Protocol</w:t>
            </w:r>
            <w:r w:rsidR="00375534">
              <w:rPr>
                <w:noProof/>
                <w:webHidden/>
              </w:rPr>
              <w:tab/>
            </w:r>
            <w:r w:rsidR="00375534">
              <w:rPr>
                <w:noProof/>
                <w:webHidden/>
              </w:rPr>
              <w:fldChar w:fldCharType="begin"/>
            </w:r>
            <w:r w:rsidR="00375534">
              <w:rPr>
                <w:noProof/>
                <w:webHidden/>
              </w:rPr>
              <w:instrText xml:space="preserve"> PAGEREF _Toc113619801 \h </w:instrText>
            </w:r>
            <w:r w:rsidR="00375534">
              <w:rPr>
                <w:noProof/>
                <w:webHidden/>
              </w:rPr>
            </w:r>
            <w:r w:rsidR="00375534">
              <w:rPr>
                <w:noProof/>
                <w:webHidden/>
              </w:rPr>
              <w:fldChar w:fldCharType="separate"/>
            </w:r>
            <w:r w:rsidR="00375534">
              <w:rPr>
                <w:noProof/>
                <w:webHidden/>
              </w:rPr>
              <w:t>72</w:t>
            </w:r>
            <w:r w:rsidR="00375534">
              <w:rPr>
                <w:noProof/>
                <w:webHidden/>
              </w:rPr>
              <w:fldChar w:fldCharType="end"/>
            </w:r>
          </w:hyperlink>
        </w:p>
        <w:p w14:paraId="1880E6AD" w14:textId="59A98F27" w:rsidR="00375534" w:rsidRDefault="00573A1D">
          <w:pPr>
            <w:pStyle w:val="TOC3"/>
            <w:rPr>
              <w:rFonts w:eastAsiaTheme="minorEastAsia" w:cstheme="minorBidi"/>
              <w:noProof/>
              <w:sz w:val="22"/>
            </w:rPr>
          </w:pPr>
          <w:hyperlink w:anchor="_Toc113619802" w:history="1">
            <w:r w:rsidR="00375534" w:rsidRPr="00A63C77">
              <w:rPr>
                <w:rStyle w:val="Hyperlink"/>
                <w:noProof/>
                <w14:scene3d>
                  <w14:camera w14:prst="orthographicFront"/>
                  <w14:lightRig w14:rig="threePt" w14:dir="t">
                    <w14:rot w14:lat="0" w14:lon="0" w14:rev="0"/>
                  </w14:lightRig>
                </w14:scene3d>
              </w:rPr>
              <w:t>4.2.1</w:t>
            </w:r>
            <w:r w:rsidR="00375534">
              <w:rPr>
                <w:rFonts w:eastAsiaTheme="minorEastAsia" w:cstheme="minorBidi"/>
                <w:noProof/>
                <w:sz w:val="22"/>
              </w:rPr>
              <w:tab/>
            </w:r>
            <w:r w:rsidR="00375534" w:rsidRPr="00A63C77">
              <w:rPr>
                <w:rStyle w:val="Hyperlink"/>
                <w:noProof/>
              </w:rPr>
              <w:t>Basic Method</w:t>
            </w:r>
            <w:r w:rsidR="00375534">
              <w:rPr>
                <w:noProof/>
                <w:webHidden/>
              </w:rPr>
              <w:tab/>
            </w:r>
            <w:r w:rsidR="00375534">
              <w:rPr>
                <w:noProof/>
                <w:webHidden/>
              </w:rPr>
              <w:fldChar w:fldCharType="begin"/>
            </w:r>
            <w:r w:rsidR="00375534">
              <w:rPr>
                <w:noProof/>
                <w:webHidden/>
              </w:rPr>
              <w:instrText xml:space="preserve"> PAGEREF _Toc113619802 \h </w:instrText>
            </w:r>
            <w:r w:rsidR="00375534">
              <w:rPr>
                <w:noProof/>
                <w:webHidden/>
              </w:rPr>
            </w:r>
            <w:r w:rsidR="00375534">
              <w:rPr>
                <w:noProof/>
                <w:webHidden/>
              </w:rPr>
              <w:fldChar w:fldCharType="separate"/>
            </w:r>
            <w:r w:rsidR="00375534">
              <w:rPr>
                <w:noProof/>
                <w:webHidden/>
              </w:rPr>
              <w:t>72</w:t>
            </w:r>
            <w:r w:rsidR="00375534">
              <w:rPr>
                <w:noProof/>
                <w:webHidden/>
              </w:rPr>
              <w:fldChar w:fldCharType="end"/>
            </w:r>
          </w:hyperlink>
        </w:p>
        <w:p w14:paraId="241E3F42" w14:textId="0B9DC7FF" w:rsidR="00375534" w:rsidRDefault="00573A1D">
          <w:pPr>
            <w:pStyle w:val="TOC3"/>
            <w:rPr>
              <w:rFonts w:eastAsiaTheme="minorEastAsia" w:cstheme="minorBidi"/>
              <w:noProof/>
              <w:sz w:val="22"/>
            </w:rPr>
          </w:pPr>
          <w:hyperlink w:anchor="_Toc113619803" w:history="1">
            <w:r w:rsidR="00375534" w:rsidRPr="00A63C77">
              <w:rPr>
                <w:rStyle w:val="Hyperlink"/>
                <w:rFonts w:eastAsia="Franklin Gothic Book"/>
                <w:noProof/>
                <w14:scene3d>
                  <w14:camera w14:prst="orthographicFront"/>
                  <w14:lightRig w14:rig="threePt" w14:dir="t">
                    <w14:rot w14:lat="0" w14:lon="0" w14:rev="0"/>
                  </w14:lightRig>
                </w14:scene3d>
              </w:rPr>
              <w:t>4.2.2</w:t>
            </w:r>
            <w:r w:rsidR="00375534">
              <w:rPr>
                <w:rFonts w:eastAsiaTheme="minorEastAsia" w:cstheme="minorBidi"/>
                <w:noProof/>
                <w:sz w:val="22"/>
              </w:rPr>
              <w:tab/>
            </w:r>
            <w:r w:rsidR="00375534" w:rsidRPr="00A63C77">
              <w:rPr>
                <w:rStyle w:val="Hyperlink"/>
                <w:noProof/>
              </w:rPr>
              <w:t>Enhanced Method</w:t>
            </w:r>
            <w:r w:rsidR="00375534">
              <w:rPr>
                <w:noProof/>
                <w:webHidden/>
              </w:rPr>
              <w:tab/>
            </w:r>
            <w:r w:rsidR="00375534">
              <w:rPr>
                <w:noProof/>
                <w:webHidden/>
              </w:rPr>
              <w:fldChar w:fldCharType="begin"/>
            </w:r>
            <w:r w:rsidR="00375534">
              <w:rPr>
                <w:noProof/>
                <w:webHidden/>
              </w:rPr>
              <w:instrText xml:space="preserve"> PAGEREF _Toc113619803 \h </w:instrText>
            </w:r>
            <w:r w:rsidR="00375534">
              <w:rPr>
                <w:noProof/>
                <w:webHidden/>
              </w:rPr>
            </w:r>
            <w:r w:rsidR="00375534">
              <w:rPr>
                <w:noProof/>
                <w:webHidden/>
              </w:rPr>
              <w:fldChar w:fldCharType="separate"/>
            </w:r>
            <w:r w:rsidR="00375534">
              <w:rPr>
                <w:noProof/>
                <w:webHidden/>
              </w:rPr>
              <w:t>76</w:t>
            </w:r>
            <w:r w:rsidR="00375534">
              <w:rPr>
                <w:noProof/>
                <w:webHidden/>
              </w:rPr>
              <w:fldChar w:fldCharType="end"/>
            </w:r>
          </w:hyperlink>
        </w:p>
        <w:p w14:paraId="376D9A99" w14:textId="2CA9D83F" w:rsidR="00375534" w:rsidRDefault="00573A1D">
          <w:pPr>
            <w:pStyle w:val="TOC2"/>
            <w:tabs>
              <w:tab w:val="left" w:pos="800"/>
              <w:tab w:val="right" w:leader="dot" w:pos="9350"/>
            </w:tabs>
            <w:rPr>
              <w:rFonts w:eastAsiaTheme="minorEastAsia" w:cstheme="minorBidi"/>
              <w:noProof/>
              <w:sz w:val="22"/>
            </w:rPr>
          </w:pPr>
          <w:hyperlink w:anchor="_Toc113619804" w:history="1">
            <w:r w:rsidR="00375534" w:rsidRPr="00A63C77">
              <w:rPr>
                <w:rStyle w:val="Hyperlink"/>
                <w:noProof/>
              </w:rPr>
              <w:t>4.3</w:t>
            </w:r>
            <w:r w:rsidR="00375534">
              <w:rPr>
                <w:rFonts w:eastAsiaTheme="minorEastAsia" w:cstheme="minorBidi"/>
                <w:noProof/>
                <w:sz w:val="22"/>
              </w:rPr>
              <w:tab/>
            </w:r>
            <w:r w:rsidR="00375534" w:rsidRPr="00A63C77">
              <w:rPr>
                <w:rStyle w:val="Hyperlink"/>
                <w:noProof/>
              </w:rPr>
              <w:t>Residential Upstream Lighting Protocol</w:t>
            </w:r>
            <w:r w:rsidR="00375534">
              <w:rPr>
                <w:noProof/>
                <w:webHidden/>
              </w:rPr>
              <w:tab/>
            </w:r>
            <w:r w:rsidR="00375534">
              <w:rPr>
                <w:noProof/>
                <w:webHidden/>
              </w:rPr>
              <w:fldChar w:fldCharType="begin"/>
            </w:r>
            <w:r w:rsidR="00375534">
              <w:rPr>
                <w:noProof/>
                <w:webHidden/>
              </w:rPr>
              <w:instrText xml:space="preserve"> PAGEREF _Toc113619804 \h </w:instrText>
            </w:r>
            <w:r w:rsidR="00375534">
              <w:rPr>
                <w:noProof/>
                <w:webHidden/>
              </w:rPr>
            </w:r>
            <w:r w:rsidR="00375534">
              <w:rPr>
                <w:noProof/>
                <w:webHidden/>
              </w:rPr>
              <w:fldChar w:fldCharType="separate"/>
            </w:r>
            <w:r w:rsidR="00375534">
              <w:rPr>
                <w:noProof/>
                <w:webHidden/>
              </w:rPr>
              <w:t>77</w:t>
            </w:r>
            <w:r w:rsidR="00375534">
              <w:rPr>
                <w:noProof/>
                <w:webHidden/>
              </w:rPr>
              <w:fldChar w:fldCharType="end"/>
            </w:r>
          </w:hyperlink>
        </w:p>
        <w:p w14:paraId="02D0AE56" w14:textId="3C62BC58" w:rsidR="00375534" w:rsidRDefault="00573A1D">
          <w:pPr>
            <w:pStyle w:val="TOC3"/>
            <w:rPr>
              <w:rFonts w:eastAsiaTheme="minorEastAsia" w:cstheme="minorBidi"/>
              <w:noProof/>
              <w:sz w:val="22"/>
            </w:rPr>
          </w:pPr>
          <w:hyperlink w:anchor="_Toc113619805" w:history="1">
            <w:r w:rsidR="00375534" w:rsidRPr="00A63C77">
              <w:rPr>
                <w:rStyle w:val="Hyperlink"/>
                <w:noProof/>
                <w14:scene3d>
                  <w14:camera w14:prst="orthographicFront"/>
                  <w14:lightRig w14:rig="threePt" w14:dir="t">
                    <w14:rot w14:lat="0" w14:lon="0" w14:rev="0"/>
                  </w14:lightRig>
                </w14:scene3d>
              </w:rPr>
              <w:t>4.3.1</w:t>
            </w:r>
            <w:r w:rsidR="00375534">
              <w:rPr>
                <w:rFonts w:eastAsiaTheme="minorEastAsia" w:cstheme="minorBidi"/>
                <w:noProof/>
                <w:sz w:val="22"/>
              </w:rPr>
              <w:tab/>
            </w:r>
            <w:r w:rsidR="00375534" w:rsidRPr="00A63C77">
              <w:rPr>
                <w:rStyle w:val="Hyperlink"/>
                <w:noProof/>
              </w:rPr>
              <w:t>Basic Method</w:t>
            </w:r>
            <w:r w:rsidR="00375534">
              <w:rPr>
                <w:noProof/>
                <w:webHidden/>
              </w:rPr>
              <w:tab/>
            </w:r>
            <w:r w:rsidR="00375534">
              <w:rPr>
                <w:noProof/>
                <w:webHidden/>
              </w:rPr>
              <w:fldChar w:fldCharType="begin"/>
            </w:r>
            <w:r w:rsidR="00375534">
              <w:rPr>
                <w:noProof/>
                <w:webHidden/>
              </w:rPr>
              <w:instrText xml:space="preserve"> PAGEREF _Toc113619805 \h </w:instrText>
            </w:r>
            <w:r w:rsidR="00375534">
              <w:rPr>
                <w:noProof/>
                <w:webHidden/>
              </w:rPr>
            </w:r>
            <w:r w:rsidR="00375534">
              <w:rPr>
                <w:noProof/>
                <w:webHidden/>
              </w:rPr>
              <w:fldChar w:fldCharType="separate"/>
            </w:r>
            <w:r w:rsidR="00375534">
              <w:rPr>
                <w:noProof/>
                <w:webHidden/>
              </w:rPr>
              <w:t>77</w:t>
            </w:r>
            <w:r w:rsidR="00375534">
              <w:rPr>
                <w:noProof/>
                <w:webHidden/>
              </w:rPr>
              <w:fldChar w:fldCharType="end"/>
            </w:r>
          </w:hyperlink>
        </w:p>
        <w:p w14:paraId="1ABCC90D" w14:textId="3A29DEC6" w:rsidR="00375534" w:rsidRDefault="00573A1D">
          <w:pPr>
            <w:pStyle w:val="TOC3"/>
            <w:rPr>
              <w:rFonts w:eastAsiaTheme="minorEastAsia" w:cstheme="minorBidi"/>
              <w:noProof/>
              <w:sz w:val="22"/>
            </w:rPr>
          </w:pPr>
          <w:hyperlink w:anchor="_Toc113619806" w:history="1">
            <w:r w:rsidR="00375534" w:rsidRPr="00A63C77">
              <w:rPr>
                <w:rStyle w:val="Hyperlink"/>
                <w:noProof/>
                <w14:scene3d>
                  <w14:camera w14:prst="orthographicFront"/>
                  <w14:lightRig w14:rig="threePt" w14:dir="t">
                    <w14:rot w14:lat="0" w14:lon="0" w14:rev="0"/>
                  </w14:lightRig>
                </w14:scene3d>
              </w:rPr>
              <w:t>4.3.2</w:t>
            </w:r>
            <w:r w:rsidR="00375534">
              <w:rPr>
                <w:rFonts w:eastAsiaTheme="minorEastAsia" w:cstheme="minorBidi"/>
                <w:noProof/>
                <w:sz w:val="22"/>
              </w:rPr>
              <w:tab/>
            </w:r>
            <w:r w:rsidR="00375534" w:rsidRPr="00A63C77">
              <w:rPr>
                <w:rStyle w:val="Hyperlink"/>
                <w:noProof/>
              </w:rPr>
              <w:t>Participant Spillover</w:t>
            </w:r>
            <w:r w:rsidR="00375534">
              <w:rPr>
                <w:noProof/>
                <w:webHidden/>
              </w:rPr>
              <w:tab/>
            </w:r>
            <w:r w:rsidR="00375534">
              <w:rPr>
                <w:noProof/>
                <w:webHidden/>
              </w:rPr>
              <w:fldChar w:fldCharType="begin"/>
            </w:r>
            <w:r w:rsidR="00375534">
              <w:rPr>
                <w:noProof/>
                <w:webHidden/>
              </w:rPr>
              <w:instrText xml:space="preserve"> PAGEREF _Toc113619806 \h </w:instrText>
            </w:r>
            <w:r w:rsidR="00375534">
              <w:rPr>
                <w:noProof/>
                <w:webHidden/>
              </w:rPr>
            </w:r>
            <w:r w:rsidR="00375534">
              <w:rPr>
                <w:noProof/>
                <w:webHidden/>
              </w:rPr>
              <w:fldChar w:fldCharType="separate"/>
            </w:r>
            <w:r w:rsidR="00375534">
              <w:rPr>
                <w:noProof/>
                <w:webHidden/>
              </w:rPr>
              <w:t>79</w:t>
            </w:r>
            <w:r w:rsidR="00375534">
              <w:rPr>
                <w:noProof/>
                <w:webHidden/>
              </w:rPr>
              <w:fldChar w:fldCharType="end"/>
            </w:r>
          </w:hyperlink>
        </w:p>
        <w:p w14:paraId="5779A6DB" w14:textId="145F2555" w:rsidR="00375534" w:rsidRDefault="00573A1D">
          <w:pPr>
            <w:pStyle w:val="TOC3"/>
            <w:rPr>
              <w:rFonts w:eastAsiaTheme="minorEastAsia" w:cstheme="minorBidi"/>
              <w:noProof/>
              <w:sz w:val="22"/>
            </w:rPr>
          </w:pPr>
          <w:hyperlink w:anchor="_Toc113619807" w:history="1">
            <w:r w:rsidR="00375534" w:rsidRPr="00A63C77">
              <w:rPr>
                <w:rStyle w:val="Hyperlink"/>
                <w:noProof/>
                <w14:scene3d>
                  <w14:camera w14:prst="orthographicFront"/>
                  <w14:lightRig w14:rig="threePt" w14:dir="t">
                    <w14:rot w14:lat="0" w14:lon="0" w14:rev="0"/>
                  </w14:lightRig>
                </w14:scene3d>
              </w:rPr>
              <w:t>4.3.3</w:t>
            </w:r>
            <w:r w:rsidR="00375534">
              <w:rPr>
                <w:rFonts w:eastAsiaTheme="minorEastAsia" w:cstheme="minorBidi"/>
                <w:noProof/>
                <w:sz w:val="22"/>
              </w:rPr>
              <w:tab/>
            </w:r>
            <w:r w:rsidR="00375534" w:rsidRPr="00A63C77">
              <w:rPr>
                <w:rStyle w:val="Hyperlink"/>
                <w:noProof/>
              </w:rPr>
              <w:t>Nonparticipant Spillover</w:t>
            </w:r>
            <w:r w:rsidR="00375534">
              <w:rPr>
                <w:noProof/>
                <w:webHidden/>
              </w:rPr>
              <w:tab/>
            </w:r>
            <w:r w:rsidR="00375534">
              <w:rPr>
                <w:noProof/>
                <w:webHidden/>
              </w:rPr>
              <w:fldChar w:fldCharType="begin"/>
            </w:r>
            <w:r w:rsidR="00375534">
              <w:rPr>
                <w:noProof/>
                <w:webHidden/>
              </w:rPr>
              <w:instrText xml:space="preserve"> PAGEREF _Toc113619807 \h </w:instrText>
            </w:r>
            <w:r w:rsidR="00375534">
              <w:rPr>
                <w:noProof/>
                <w:webHidden/>
              </w:rPr>
            </w:r>
            <w:r w:rsidR="00375534">
              <w:rPr>
                <w:noProof/>
                <w:webHidden/>
              </w:rPr>
              <w:fldChar w:fldCharType="separate"/>
            </w:r>
            <w:r w:rsidR="00375534">
              <w:rPr>
                <w:noProof/>
                <w:webHidden/>
              </w:rPr>
              <w:t>81</w:t>
            </w:r>
            <w:r w:rsidR="00375534">
              <w:rPr>
                <w:noProof/>
                <w:webHidden/>
              </w:rPr>
              <w:fldChar w:fldCharType="end"/>
            </w:r>
          </w:hyperlink>
        </w:p>
        <w:p w14:paraId="7102F3B3" w14:textId="05FB8D82" w:rsidR="00375534" w:rsidRDefault="00573A1D">
          <w:pPr>
            <w:pStyle w:val="TOC2"/>
            <w:tabs>
              <w:tab w:val="left" w:pos="800"/>
              <w:tab w:val="right" w:leader="dot" w:pos="9350"/>
            </w:tabs>
            <w:rPr>
              <w:rFonts w:eastAsiaTheme="minorEastAsia" w:cstheme="minorBidi"/>
              <w:noProof/>
              <w:sz w:val="22"/>
            </w:rPr>
          </w:pPr>
          <w:hyperlink w:anchor="_Toc113619808" w:history="1">
            <w:r w:rsidR="00375534" w:rsidRPr="00A63C77">
              <w:rPr>
                <w:rStyle w:val="Hyperlink"/>
                <w:noProof/>
              </w:rPr>
              <w:t>4.4</w:t>
            </w:r>
            <w:r w:rsidR="00375534">
              <w:rPr>
                <w:rFonts w:eastAsiaTheme="minorEastAsia" w:cstheme="minorBidi"/>
                <w:noProof/>
                <w:sz w:val="22"/>
              </w:rPr>
              <w:tab/>
            </w:r>
            <w:r w:rsidR="00375534" w:rsidRPr="00A63C77">
              <w:rPr>
                <w:rStyle w:val="Hyperlink"/>
                <w:noProof/>
              </w:rPr>
              <w:t>Prescriptive Rebate (With No Audit) Protocol</w:t>
            </w:r>
            <w:r w:rsidR="00375534">
              <w:rPr>
                <w:noProof/>
                <w:webHidden/>
              </w:rPr>
              <w:tab/>
            </w:r>
            <w:r w:rsidR="00375534">
              <w:rPr>
                <w:noProof/>
                <w:webHidden/>
              </w:rPr>
              <w:fldChar w:fldCharType="begin"/>
            </w:r>
            <w:r w:rsidR="00375534">
              <w:rPr>
                <w:noProof/>
                <w:webHidden/>
              </w:rPr>
              <w:instrText xml:space="preserve"> PAGEREF _Toc113619808 \h </w:instrText>
            </w:r>
            <w:r w:rsidR="00375534">
              <w:rPr>
                <w:noProof/>
                <w:webHidden/>
              </w:rPr>
            </w:r>
            <w:r w:rsidR="00375534">
              <w:rPr>
                <w:noProof/>
                <w:webHidden/>
              </w:rPr>
              <w:fldChar w:fldCharType="separate"/>
            </w:r>
            <w:r w:rsidR="00375534">
              <w:rPr>
                <w:noProof/>
                <w:webHidden/>
              </w:rPr>
              <w:t>83</w:t>
            </w:r>
            <w:r w:rsidR="00375534">
              <w:rPr>
                <w:noProof/>
                <w:webHidden/>
              </w:rPr>
              <w:fldChar w:fldCharType="end"/>
            </w:r>
          </w:hyperlink>
        </w:p>
        <w:p w14:paraId="194C198F" w14:textId="49CF072D" w:rsidR="00375534" w:rsidRDefault="00573A1D">
          <w:pPr>
            <w:pStyle w:val="TOC3"/>
            <w:rPr>
              <w:rFonts w:eastAsiaTheme="minorEastAsia" w:cstheme="minorBidi"/>
              <w:noProof/>
              <w:sz w:val="22"/>
            </w:rPr>
          </w:pPr>
          <w:hyperlink w:anchor="_Toc113619809" w:history="1">
            <w:r w:rsidR="00375534" w:rsidRPr="00A63C77">
              <w:rPr>
                <w:rStyle w:val="Hyperlink"/>
                <w:noProof/>
                <w14:scene3d>
                  <w14:camera w14:prst="orthographicFront"/>
                  <w14:lightRig w14:rig="threePt" w14:dir="t">
                    <w14:rot w14:lat="0" w14:lon="0" w14:rev="0"/>
                  </w14:lightRig>
                </w14:scene3d>
              </w:rPr>
              <w:t>4.4.1</w:t>
            </w:r>
            <w:r w:rsidR="00375534">
              <w:rPr>
                <w:rFonts w:eastAsiaTheme="minorEastAsia" w:cstheme="minorBidi"/>
                <w:noProof/>
                <w:sz w:val="22"/>
              </w:rPr>
              <w:tab/>
            </w:r>
            <w:r w:rsidR="00375534" w:rsidRPr="00A63C77">
              <w:rPr>
                <w:rStyle w:val="Hyperlink"/>
                <w:noProof/>
              </w:rPr>
              <w:t>Basic Method</w:t>
            </w:r>
            <w:r w:rsidR="00375534">
              <w:rPr>
                <w:noProof/>
                <w:webHidden/>
              </w:rPr>
              <w:tab/>
            </w:r>
            <w:r w:rsidR="00375534">
              <w:rPr>
                <w:noProof/>
                <w:webHidden/>
              </w:rPr>
              <w:fldChar w:fldCharType="begin"/>
            </w:r>
            <w:r w:rsidR="00375534">
              <w:rPr>
                <w:noProof/>
                <w:webHidden/>
              </w:rPr>
              <w:instrText xml:space="preserve"> PAGEREF _Toc113619809 \h </w:instrText>
            </w:r>
            <w:r w:rsidR="00375534">
              <w:rPr>
                <w:noProof/>
                <w:webHidden/>
              </w:rPr>
            </w:r>
            <w:r w:rsidR="00375534">
              <w:rPr>
                <w:noProof/>
                <w:webHidden/>
              </w:rPr>
              <w:fldChar w:fldCharType="separate"/>
            </w:r>
            <w:r w:rsidR="00375534">
              <w:rPr>
                <w:noProof/>
                <w:webHidden/>
              </w:rPr>
              <w:t>83</w:t>
            </w:r>
            <w:r w:rsidR="00375534">
              <w:rPr>
                <w:noProof/>
                <w:webHidden/>
              </w:rPr>
              <w:fldChar w:fldCharType="end"/>
            </w:r>
          </w:hyperlink>
        </w:p>
        <w:p w14:paraId="177D3C6C" w14:textId="08E0A5AB" w:rsidR="00375534" w:rsidRDefault="00573A1D">
          <w:pPr>
            <w:pStyle w:val="TOC2"/>
            <w:tabs>
              <w:tab w:val="left" w:pos="800"/>
              <w:tab w:val="right" w:leader="dot" w:pos="9350"/>
            </w:tabs>
            <w:rPr>
              <w:rFonts w:eastAsiaTheme="minorEastAsia" w:cstheme="minorBidi"/>
              <w:noProof/>
              <w:sz w:val="22"/>
            </w:rPr>
          </w:pPr>
          <w:hyperlink w:anchor="_Toc113619810" w:history="1">
            <w:r w:rsidR="00375534" w:rsidRPr="00A63C77">
              <w:rPr>
                <w:rStyle w:val="Hyperlink"/>
                <w:noProof/>
              </w:rPr>
              <w:t>4.5</w:t>
            </w:r>
            <w:r w:rsidR="00375534">
              <w:rPr>
                <w:rFonts w:eastAsiaTheme="minorEastAsia" w:cstheme="minorBidi"/>
                <w:noProof/>
                <w:sz w:val="22"/>
              </w:rPr>
              <w:tab/>
            </w:r>
            <w:r w:rsidR="00375534" w:rsidRPr="00A63C77">
              <w:rPr>
                <w:rStyle w:val="Hyperlink"/>
                <w:noProof/>
              </w:rPr>
              <w:t>Single-Family Home Energy Audit Protocol</w:t>
            </w:r>
            <w:r w:rsidR="00375534">
              <w:rPr>
                <w:noProof/>
                <w:webHidden/>
              </w:rPr>
              <w:tab/>
            </w:r>
            <w:r w:rsidR="00375534">
              <w:rPr>
                <w:noProof/>
                <w:webHidden/>
              </w:rPr>
              <w:fldChar w:fldCharType="begin"/>
            </w:r>
            <w:r w:rsidR="00375534">
              <w:rPr>
                <w:noProof/>
                <w:webHidden/>
              </w:rPr>
              <w:instrText xml:space="preserve"> PAGEREF _Toc113619810 \h </w:instrText>
            </w:r>
            <w:r w:rsidR="00375534">
              <w:rPr>
                <w:noProof/>
                <w:webHidden/>
              </w:rPr>
            </w:r>
            <w:r w:rsidR="00375534">
              <w:rPr>
                <w:noProof/>
                <w:webHidden/>
              </w:rPr>
              <w:fldChar w:fldCharType="separate"/>
            </w:r>
            <w:r w:rsidR="00375534">
              <w:rPr>
                <w:noProof/>
                <w:webHidden/>
              </w:rPr>
              <w:t>85</w:t>
            </w:r>
            <w:r w:rsidR="00375534">
              <w:rPr>
                <w:noProof/>
                <w:webHidden/>
              </w:rPr>
              <w:fldChar w:fldCharType="end"/>
            </w:r>
          </w:hyperlink>
        </w:p>
        <w:p w14:paraId="3A83BAED" w14:textId="1414F372" w:rsidR="00375534" w:rsidRDefault="00573A1D">
          <w:pPr>
            <w:pStyle w:val="TOC3"/>
            <w:rPr>
              <w:rFonts w:eastAsiaTheme="minorEastAsia" w:cstheme="minorBidi"/>
              <w:noProof/>
              <w:sz w:val="22"/>
            </w:rPr>
          </w:pPr>
          <w:hyperlink w:anchor="_Toc113619811" w:history="1">
            <w:r w:rsidR="00375534" w:rsidRPr="00A63C77">
              <w:rPr>
                <w:rStyle w:val="Hyperlink"/>
                <w:noProof/>
                <w14:scene3d>
                  <w14:camera w14:prst="orthographicFront"/>
                  <w14:lightRig w14:rig="threePt" w14:dir="t">
                    <w14:rot w14:lat="0" w14:lon="0" w14:rev="0"/>
                  </w14:lightRig>
                </w14:scene3d>
              </w:rPr>
              <w:t>4.5.1</w:t>
            </w:r>
            <w:r w:rsidR="00375534">
              <w:rPr>
                <w:rFonts w:eastAsiaTheme="minorEastAsia" w:cstheme="minorBidi"/>
                <w:noProof/>
                <w:sz w:val="22"/>
              </w:rPr>
              <w:tab/>
            </w:r>
            <w:r w:rsidR="00375534" w:rsidRPr="00A63C77">
              <w:rPr>
                <w:rStyle w:val="Hyperlink"/>
                <w:noProof/>
              </w:rPr>
              <w:t>Basic Method</w:t>
            </w:r>
            <w:r w:rsidR="00375534">
              <w:rPr>
                <w:noProof/>
                <w:webHidden/>
              </w:rPr>
              <w:tab/>
            </w:r>
            <w:r w:rsidR="00375534">
              <w:rPr>
                <w:noProof/>
                <w:webHidden/>
              </w:rPr>
              <w:fldChar w:fldCharType="begin"/>
            </w:r>
            <w:r w:rsidR="00375534">
              <w:rPr>
                <w:noProof/>
                <w:webHidden/>
              </w:rPr>
              <w:instrText xml:space="preserve"> PAGEREF _Toc113619811 \h </w:instrText>
            </w:r>
            <w:r w:rsidR="00375534">
              <w:rPr>
                <w:noProof/>
                <w:webHidden/>
              </w:rPr>
            </w:r>
            <w:r w:rsidR="00375534">
              <w:rPr>
                <w:noProof/>
                <w:webHidden/>
              </w:rPr>
              <w:fldChar w:fldCharType="separate"/>
            </w:r>
            <w:r w:rsidR="00375534">
              <w:rPr>
                <w:noProof/>
                <w:webHidden/>
              </w:rPr>
              <w:t>85</w:t>
            </w:r>
            <w:r w:rsidR="00375534">
              <w:rPr>
                <w:noProof/>
                <w:webHidden/>
              </w:rPr>
              <w:fldChar w:fldCharType="end"/>
            </w:r>
          </w:hyperlink>
        </w:p>
        <w:p w14:paraId="6AA6D8B5" w14:textId="24849E0E" w:rsidR="00375534" w:rsidRDefault="00573A1D">
          <w:pPr>
            <w:pStyle w:val="TOC2"/>
            <w:tabs>
              <w:tab w:val="left" w:pos="800"/>
              <w:tab w:val="right" w:leader="dot" w:pos="9350"/>
            </w:tabs>
            <w:rPr>
              <w:rFonts w:eastAsiaTheme="minorEastAsia" w:cstheme="minorBidi"/>
              <w:noProof/>
              <w:sz w:val="22"/>
            </w:rPr>
          </w:pPr>
          <w:hyperlink w:anchor="_Toc113619812" w:history="1">
            <w:r w:rsidR="00375534" w:rsidRPr="00A63C77">
              <w:rPr>
                <w:rStyle w:val="Hyperlink"/>
                <w:noProof/>
              </w:rPr>
              <w:t>4.6</w:t>
            </w:r>
            <w:r w:rsidR="00375534">
              <w:rPr>
                <w:rFonts w:eastAsiaTheme="minorEastAsia" w:cstheme="minorBidi"/>
                <w:noProof/>
                <w:sz w:val="22"/>
              </w:rPr>
              <w:tab/>
            </w:r>
            <w:r w:rsidR="00375534" w:rsidRPr="00A63C77">
              <w:rPr>
                <w:rStyle w:val="Hyperlink"/>
                <w:noProof/>
              </w:rPr>
              <w:t>Multifamily Protocol</w:t>
            </w:r>
            <w:r w:rsidR="00375534">
              <w:rPr>
                <w:noProof/>
                <w:webHidden/>
              </w:rPr>
              <w:tab/>
            </w:r>
            <w:r w:rsidR="00375534">
              <w:rPr>
                <w:noProof/>
                <w:webHidden/>
              </w:rPr>
              <w:fldChar w:fldCharType="begin"/>
            </w:r>
            <w:r w:rsidR="00375534">
              <w:rPr>
                <w:noProof/>
                <w:webHidden/>
              </w:rPr>
              <w:instrText xml:space="preserve"> PAGEREF _Toc113619812 \h </w:instrText>
            </w:r>
            <w:r w:rsidR="00375534">
              <w:rPr>
                <w:noProof/>
                <w:webHidden/>
              </w:rPr>
            </w:r>
            <w:r w:rsidR="00375534">
              <w:rPr>
                <w:noProof/>
                <w:webHidden/>
              </w:rPr>
              <w:fldChar w:fldCharType="separate"/>
            </w:r>
            <w:r w:rsidR="00375534">
              <w:rPr>
                <w:noProof/>
                <w:webHidden/>
              </w:rPr>
              <w:t>89</w:t>
            </w:r>
            <w:r w:rsidR="00375534">
              <w:rPr>
                <w:noProof/>
                <w:webHidden/>
              </w:rPr>
              <w:fldChar w:fldCharType="end"/>
            </w:r>
          </w:hyperlink>
        </w:p>
        <w:p w14:paraId="1DD483F4" w14:textId="0C05665A" w:rsidR="00375534" w:rsidRDefault="00573A1D">
          <w:pPr>
            <w:pStyle w:val="TOC3"/>
            <w:rPr>
              <w:rFonts w:eastAsiaTheme="minorEastAsia" w:cstheme="minorBidi"/>
              <w:noProof/>
              <w:sz w:val="22"/>
            </w:rPr>
          </w:pPr>
          <w:hyperlink w:anchor="_Toc113619813" w:history="1">
            <w:r w:rsidR="00375534" w:rsidRPr="00A63C77">
              <w:rPr>
                <w:rStyle w:val="Hyperlink"/>
                <w:noProof/>
                <w14:scene3d>
                  <w14:camera w14:prst="orthographicFront"/>
                  <w14:lightRig w14:rig="threePt" w14:dir="t">
                    <w14:rot w14:lat="0" w14:lon="0" w14:rev="0"/>
                  </w14:lightRig>
                </w14:scene3d>
              </w:rPr>
              <w:t>4.6.1</w:t>
            </w:r>
            <w:r w:rsidR="00375534">
              <w:rPr>
                <w:rFonts w:eastAsiaTheme="minorEastAsia" w:cstheme="minorBidi"/>
                <w:noProof/>
                <w:sz w:val="22"/>
              </w:rPr>
              <w:tab/>
            </w:r>
            <w:r w:rsidR="00375534" w:rsidRPr="00A63C77">
              <w:rPr>
                <w:rStyle w:val="Hyperlink"/>
                <w:noProof/>
              </w:rPr>
              <w:t>Basic Method</w:t>
            </w:r>
            <w:r w:rsidR="00375534">
              <w:rPr>
                <w:noProof/>
                <w:webHidden/>
              </w:rPr>
              <w:tab/>
            </w:r>
            <w:r w:rsidR="00375534">
              <w:rPr>
                <w:noProof/>
                <w:webHidden/>
              </w:rPr>
              <w:fldChar w:fldCharType="begin"/>
            </w:r>
            <w:r w:rsidR="00375534">
              <w:rPr>
                <w:noProof/>
                <w:webHidden/>
              </w:rPr>
              <w:instrText xml:space="preserve"> PAGEREF _Toc113619813 \h </w:instrText>
            </w:r>
            <w:r w:rsidR="00375534">
              <w:rPr>
                <w:noProof/>
                <w:webHidden/>
              </w:rPr>
            </w:r>
            <w:r w:rsidR="00375534">
              <w:rPr>
                <w:noProof/>
                <w:webHidden/>
              </w:rPr>
              <w:fldChar w:fldCharType="separate"/>
            </w:r>
            <w:r w:rsidR="00375534">
              <w:rPr>
                <w:noProof/>
                <w:webHidden/>
              </w:rPr>
              <w:t>89</w:t>
            </w:r>
            <w:r w:rsidR="00375534">
              <w:rPr>
                <w:noProof/>
                <w:webHidden/>
              </w:rPr>
              <w:fldChar w:fldCharType="end"/>
            </w:r>
          </w:hyperlink>
        </w:p>
        <w:p w14:paraId="7CD6E634" w14:textId="6ADDED40" w:rsidR="00375534" w:rsidRDefault="00573A1D">
          <w:pPr>
            <w:pStyle w:val="TOC2"/>
            <w:tabs>
              <w:tab w:val="left" w:pos="800"/>
              <w:tab w:val="right" w:leader="dot" w:pos="9350"/>
            </w:tabs>
            <w:rPr>
              <w:rFonts w:eastAsiaTheme="minorEastAsia" w:cstheme="minorBidi"/>
              <w:noProof/>
              <w:sz w:val="22"/>
            </w:rPr>
          </w:pPr>
          <w:hyperlink w:anchor="_Toc113619814" w:history="1">
            <w:r w:rsidR="00375534" w:rsidRPr="00A63C77">
              <w:rPr>
                <w:rStyle w:val="Hyperlink"/>
                <w:noProof/>
              </w:rPr>
              <w:t>4.7</w:t>
            </w:r>
            <w:r w:rsidR="00375534">
              <w:rPr>
                <w:rFonts w:eastAsiaTheme="minorEastAsia" w:cstheme="minorBidi"/>
                <w:noProof/>
                <w:sz w:val="22"/>
              </w:rPr>
              <w:tab/>
            </w:r>
            <w:r w:rsidR="00375534" w:rsidRPr="00A63C77">
              <w:rPr>
                <w:rStyle w:val="Hyperlink"/>
                <w:noProof/>
              </w:rPr>
              <w:t>Energy Saving Kits and Elementary Education Protocol</w:t>
            </w:r>
            <w:r w:rsidR="00375534">
              <w:rPr>
                <w:noProof/>
                <w:webHidden/>
              </w:rPr>
              <w:tab/>
            </w:r>
            <w:r w:rsidR="00375534">
              <w:rPr>
                <w:noProof/>
                <w:webHidden/>
              </w:rPr>
              <w:fldChar w:fldCharType="begin"/>
            </w:r>
            <w:r w:rsidR="00375534">
              <w:rPr>
                <w:noProof/>
                <w:webHidden/>
              </w:rPr>
              <w:instrText xml:space="preserve"> PAGEREF _Toc113619814 \h </w:instrText>
            </w:r>
            <w:r w:rsidR="00375534">
              <w:rPr>
                <w:noProof/>
                <w:webHidden/>
              </w:rPr>
            </w:r>
            <w:r w:rsidR="00375534">
              <w:rPr>
                <w:noProof/>
                <w:webHidden/>
              </w:rPr>
              <w:fldChar w:fldCharType="separate"/>
            </w:r>
            <w:r w:rsidR="00375534">
              <w:rPr>
                <w:noProof/>
                <w:webHidden/>
              </w:rPr>
              <w:t>91</w:t>
            </w:r>
            <w:r w:rsidR="00375534">
              <w:rPr>
                <w:noProof/>
                <w:webHidden/>
              </w:rPr>
              <w:fldChar w:fldCharType="end"/>
            </w:r>
          </w:hyperlink>
        </w:p>
        <w:p w14:paraId="5B4A4C6E" w14:textId="72DF53E3" w:rsidR="00375534" w:rsidRDefault="00573A1D">
          <w:pPr>
            <w:pStyle w:val="TOC3"/>
            <w:rPr>
              <w:rFonts w:eastAsiaTheme="minorEastAsia" w:cstheme="minorBidi"/>
              <w:noProof/>
              <w:sz w:val="22"/>
            </w:rPr>
          </w:pPr>
          <w:hyperlink w:anchor="_Toc113619815" w:history="1">
            <w:r w:rsidR="00375534" w:rsidRPr="00A63C77">
              <w:rPr>
                <w:rStyle w:val="Hyperlink"/>
                <w:noProof/>
                <w14:scene3d>
                  <w14:camera w14:prst="orthographicFront"/>
                  <w14:lightRig w14:rig="threePt" w14:dir="t">
                    <w14:rot w14:lat="0" w14:lon="0" w14:rev="0"/>
                  </w14:lightRig>
                </w14:scene3d>
              </w:rPr>
              <w:t>4.7.1</w:t>
            </w:r>
            <w:r w:rsidR="00375534">
              <w:rPr>
                <w:rFonts w:eastAsiaTheme="minorEastAsia" w:cstheme="minorBidi"/>
                <w:noProof/>
                <w:sz w:val="22"/>
              </w:rPr>
              <w:tab/>
            </w:r>
            <w:r w:rsidR="00375534" w:rsidRPr="00A63C77">
              <w:rPr>
                <w:rStyle w:val="Hyperlink"/>
                <w:noProof/>
              </w:rPr>
              <w:t>Basic Method</w:t>
            </w:r>
            <w:r w:rsidR="00375534">
              <w:rPr>
                <w:noProof/>
                <w:webHidden/>
              </w:rPr>
              <w:tab/>
            </w:r>
            <w:r w:rsidR="00375534">
              <w:rPr>
                <w:noProof/>
                <w:webHidden/>
              </w:rPr>
              <w:fldChar w:fldCharType="begin"/>
            </w:r>
            <w:r w:rsidR="00375534">
              <w:rPr>
                <w:noProof/>
                <w:webHidden/>
              </w:rPr>
              <w:instrText xml:space="preserve"> PAGEREF _Toc113619815 \h </w:instrText>
            </w:r>
            <w:r w:rsidR="00375534">
              <w:rPr>
                <w:noProof/>
                <w:webHidden/>
              </w:rPr>
            </w:r>
            <w:r w:rsidR="00375534">
              <w:rPr>
                <w:noProof/>
                <w:webHidden/>
              </w:rPr>
              <w:fldChar w:fldCharType="separate"/>
            </w:r>
            <w:r w:rsidR="00375534">
              <w:rPr>
                <w:noProof/>
                <w:webHidden/>
              </w:rPr>
              <w:t>92</w:t>
            </w:r>
            <w:r w:rsidR="00375534">
              <w:rPr>
                <w:noProof/>
                <w:webHidden/>
              </w:rPr>
              <w:fldChar w:fldCharType="end"/>
            </w:r>
          </w:hyperlink>
        </w:p>
        <w:p w14:paraId="4C62F565" w14:textId="6EED7B31" w:rsidR="00375534" w:rsidRDefault="00573A1D">
          <w:pPr>
            <w:pStyle w:val="TOC2"/>
            <w:tabs>
              <w:tab w:val="left" w:pos="800"/>
              <w:tab w:val="right" w:leader="dot" w:pos="9350"/>
            </w:tabs>
            <w:rPr>
              <w:rFonts w:eastAsiaTheme="minorEastAsia" w:cstheme="minorBidi"/>
              <w:noProof/>
              <w:sz w:val="22"/>
            </w:rPr>
          </w:pPr>
          <w:hyperlink w:anchor="_Toc113619816" w:history="1">
            <w:r w:rsidR="00375534" w:rsidRPr="00A63C77">
              <w:rPr>
                <w:rStyle w:val="Hyperlink"/>
                <w:noProof/>
              </w:rPr>
              <w:t>4.8</w:t>
            </w:r>
            <w:r w:rsidR="00375534">
              <w:rPr>
                <w:rFonts w:eastAsiaTheme="minorEastAsia" w:cstheme="minorBidi"/>
                <w:noProof/>
                <w:sz w:val="22"/>
              </w:rPr>
              <w:tab/>
            </w:r>
            <w:r w:rsidR="00375534" w:rsidRPr="00A63C77">
              <w:rPr>
                <w:rStyle w:val="Hyperlink"/>
                <w:noProof/>
              </w:rPr>
              <w:t>Residential New Construction Protocol</w:t>
            </w:r>
            <w:r w:rsidR="00375534">
              <w:rPr>
                <w:noProof/>
                <w:webHidden/>
              </w:rPr>
              <w:tab/>
            </w:r>
            <w:r w:rsidR="00375534">
              <w:rPr>
                <w:noProof/>
                <w:webHidden/>
              </w:rPr>
              <w:fldChar w:fldCharType="begin"/>
            </w:r>
            <w:r w:rsidR="00375534">
              <w:rPr>
                <w:noProof/>
                <w:webHidden/>
              </w:rPr>
              <w:instrText xml:space="preserve"> PAGEREF _Toc113619816 \h </w:instrText>
            </w:r>
            <w:r w:rsidR="00375534">
              <w:rPr>
                <w:noProof/>
                <w:webHidden/>
              </w:rPr>
            </w:r>
            <w:r w:rsidR="00375534">
              <w:rPr>
                <w:noProof/>
                <w:webHidden/>
              </w:rPr>
              <w:fldChar w:fldCharType="separate"/>
            </w:r>
            <w:r w:rsidR="00375534">
              <w:rPr>
                <w:noProof/>
                <w:webHidden/>
              </w:rPr>
              <w:t>92</w:t>
            </w:r>
            <w:r w:rsidR="00375534">
              <w:rPr>
                <w:noProof/>
                <w:webHidden/>
              </w:rPr>
              <w:fldChar w:fldCharType="end"/>
            </w:r>
          </w:hyperlink>
        </w:p>
        <w:p w14:paraId="0B6D10F1" w14:textId="51C3222F" w:rsidR="00375534" w:rsidRDefault="00573A1D">
          <w:pPr>
            <w:pStyle w:val="TOC3"/>
            <w:rPr>
              <w:rFonts w:eastAsiaTheme="minorEastAsia" w:cstheme="minorBidi"/>
              <w:noProof/>
              <w:sz w:val="22"/>
            </w:rPr>
          </w:pPr>
          <w:hyperlink w:anchor="_Toc113619817" w:history="1">
            <w:r w:rsidR="00375534" w:rsidRPr="00A63C77">
              <w:rPr>
                <w:rStyle w:val="Hyperlink"/>
                <w:noProof/>
                <w14:scene3d>
                  <w14:camera w14:prst="orthographicFront"/>
                  <w14:lightRig w14:rig="threePt" w14:dir="t">
                    <w14:rot w14:lat="0" w14:lon="0" w14:rev="0"/>
                  </w14:lightRig>
                </w14:scene3d>
              </w:rPr>
              <w:t>4.8.1</w:t>
            </w:r>
            <w:r w:rsidR="00375534">
              <w:rPr>
                <w:rFonts w:eastAsiaTheme="minorEastAsia" w:cstheme="minorBidi"/>
                <w:noProof/>
                <w:sz w:val="22"/>
              </w:rPr>
              <w:tab/>
            </w:r>
            <w:r w:rsidR="00375534" w:rsidRPr="00A63C77">
              <w:rPr>
                <w:rStyle w:val="Hyperlink"/>
                <w:noProof/>
              </w:rPr>
              <w:t>Basic Method</w:t>
            </w:r>
            <w:r w:rsidR="00375534">
              <w:rPr>
                <w:noProof/>
                <w:webHidden/>
              </w:rPr>
              <w:tab/>
            </w:r>
            <w:r w:rsidR="00375534">
              <w:rPr>
                <w:noProof/>
                <w:webHidden/>
              </w:rPr>
              <w:fldChar w:fldCharType="begin"/>
            </w:r>
            <w:r w:rsidR="00375534">
              <w:rPr>
                <w:noProof/>
                <w:webHidden/>
              </w:rPr>
              <w:instrText xml:space="preserve"> PAGEREF _Toc113619817 \h </w:instrText>
            </w:r>
            <w:r w:rsidR="00375534">
              <w:rPr>
                <w:noProof/>
                <w:webHidden/>
              </w:rPr>
            </w:r>
            <w:r w:rsidR="00375534">
              <w:rPr>
                <w:noProof/>
                <w:webHidden/>
              </w:rPr>
              <w:fldChar w:fldCharType="separate"/>
            </w:r>
            <w:r w:rsidR="00375534">
              <w:rPr>
                <w:noProof/>
                <w:webHidden/>
              </w:rPr>
              <w:t>92</w:t>
            </w:r>
            <w:r w:rsidR="00375534">
              <w:rPr>
                <w:noProof/>
                <w:webHidden/>
              </w:rPr>
              <w:fldChar w:fldCharType="end"/>
            </w:r>
          </w:hyperlink>
        </w:p>
        <w:p w14:paraId="722F9A94" w14:textId="790FCDFE" w:rsidR="00375534" w:rsidRDefault="00573A1D">
          <w:pPr>
            <w:pStyle w:val="TOC3"/>
            <w:rPr>
              <w:rFonts w:eastAsiaTheme="minorEastAsia" w:cstheme="minorBidi"/>
              <w:noProof/>
              <w:sz w:val="22"/>
            </w:rPr>
          </w:pPr>
          <w:hyperlink w:anchor="_Toc113619818" w:history="1">
            <w:r w:rsidR="00375534" w:rsidRPr="00A63C77">
              <w:rPr>
                <w:rStyle w:val="Hyperlink"/>
                <w:noProof/>
                <w14:scene3d>
                  <w14:camera w14:prst="orthographicFront"/>
                  <w14:lightRig w14:rig="threePt" w14:dir="t">
                    <w14:rot w14:lat="0" w14:lon="0" w14:rev="0"/>
                  </w14:lightRig>
                </w14:scene3d>
              </w:rPr>
              <w:t>4.8.2</w:t>
            </w:r>
            <w:r w:rsidR="00375534">
              <w:rPr>
                <w:rFonts w:eastAsiaTheme="minorEastAsia" w:cstheme="minorBidi"/>
                <w:noProof/>
                <w:sz w:val="22"/>
              </w:rPr>
              <w:tab/>
            </w:r>
            <w:r w:rsidR="00375534" w:rsidRPr="00A63C77">
              <w:rPr>
                <w:rStyle w:val="Hyperlink"/>
                <w:noProof/>
              </w:rPr>
              <w:t>Participant Spillover</w:t>
            </w:r>
            <w:r w:rsidR="00375534">
              <w:rPr>
                <w:noProof/>
                <w:webHidden/>
              </w:rPr>
              <w:tab/>
            </w:r>
            <w:r w:rsidR="00375534">
              <w:rPr>
                <w:noProof/>
                <w:webHidden/>
              </w:rPr>
              <w:fldChar w:fldCharType="begin"/>
            </w:r>
            <w:r w:rsidR="00375534">
              <w:rPr>
                <w:noProof/>
                <w:webHidden/>
              </w:rPr>
              <w:instrText xml:space="preserve"> PAGEREF _Toc113619818 \h </w:instrText>
            </w:r>
            <w:r w:rsidR="00375534">
              <w:rPr>
                <w:noProof/>
                <w:webHidden/>
              </w:rPr>
            </w:r>
            <w:r w:rsidR="00375534">
              <w:rPr>
                <w:noProof/>
                <w:webHidden/>
              </w:rPr>
              <w:fldChar w:fldCharType="separate"/>
            </w:r>
            <w:r w:rsidR="00375534">
              <w:rPr>
                <w:noProof/>
                <w:webHidden/>
              </w:rPr>
              <w:t>95</w:t>
            </w:r>
            <w:r w:rsidR="00375534">
              <w:rPr>
                <w:noProof/>
                <w:webHidden/>
              </w:rPr>
              <w:fldChar w:fldCharType="end"/>
            </w:r>
          </w:hyperlink>
        </w:p>
        <w:p w14:paraId="274A2657" w14:textId="334AE5CF" w:rsidR="00375534" w:rsidRDefault="00573A1D">
          <w:pPr>
            <w:pStyle w:val="TOC3"/>
            <w:rPr>
              <w:rFonts w:eastAsiaTheme="minorEastAsia" w:cstheme="minorBidi"/>
              <w:noProof/>
              <w:sz w:val="22"/>
            </w:rPr>
          </w:pPr>
          <w:hyperlink w:anchor="_Toc113619819" w:history="1">
            <w:r w:rsidR="00375534" w:rsidRPr="00A63C77">
              <w:rPr>
                <w:rStyle w:val="Hyperlink"/>
                <w:noProof/>
                <w14:scene3d>
                  <w14:camera w14:prst="orthographicFront"/>
                  <w14:lightRig w14:rig="threePt" w14:dir="t">
                    <w14:rot w14:lat="0" w14:lon="0" w14:rev="0"/>
                  </w14:lightRig>
                </w14:scene3d>
              </w:rPr>
              <w:t>4.8.3</w:t>
            </w:r>
            <w:r w:rsidR="00375534">
              <w:rPr>
                <w:rFonts w:eastAsiaTheme="minorEastAsia" w:cstheme="minorBidi"/>
                <w:noProof/>
                <w:sz w:val="22"/>
              </w:rPr>
              <w:tab/>
            </w:r>
            <w:r w:rsidR="00375534" w:rsidRPr="00A63C77">
              <w:rPr>
                <w:rStyle w:val="Hyperlink"/>
                <w:noProof/>
              </w:rPr>
              <w:t>Builder Nonparticipant Spillover</w:t>
            </w:r>
            <w:r w:rsidR="00375534">
              <w:rPr>
                <w:noProof/>
                <w:webHidden/>
              </w:rPr>
              <w:tab/>
            </w:r>
            <w:r w:rsidR="00375534">
              <w:rPr>
                <w:noProof/>
                <w:webHidden/>
              </w:rPr>
              <w:fldChar w:fldCharType="begin"/>
            </w:r>
            <w:r w:rsidR="00375534">
              <w:rPr>
                <w:noProof/>
                <w:webHidden/>
              </w:rPr>
              <w:instrText xml:space="preserve"> PAGEREF _Toc113619819 \h </w:instrText>
            </w:r>
            <w:r w:rsidR="00375534">
              <w:rPr>
                <w:noProof/>
                <w:webHidden/>
              </w:rPr>
            </w:r>
            <w:r w:rsidR="00375534">
              <w:rPr>
                <w:noProof/>
                <w:webHidden/>
              </w:rPr>
              <w:fldChar w:fldCharType="separate"/>
            </w:r>
            <w:r w:rsidR="00375534">
              <w:rPr>
                <w:noProof/>
                <w:webHidden/>
              </w:rPr>
              <w:t>96</w:t>
            </w:r>
            <w:r w:rsidR="00375534">
              <w:rPr>
                <w:noProof/>
                <w:webHidden/>
              </w:rPr>
              <w:fldChar w:fldCharType="end"/>
            </w:r>
          </w:hyperlink>
        </w:p>
        <w:p w14:paraId="62AD93C5" w14:textId="2DFB3BD6" w:rsidR="00375534" w:rsidRDefault="00573A1D">
          <w:pPr>
            <w:pStyle w:val="TOC1"/>
            <w:tabs>
              <w:tab w:val="left" w:pos="400"/>
              <w:tab w:val="right" w:leader="dot" w:pos="9350"/>
            </w:tabs>
            <w:rPr>
              <w:rFonts w:eastAsiaTheme="minorEastAsia" w:cstheme="minorBidi"/>
              <w:b w:val="0"/>
              <w:smallCaps w:val="0"/>
              <w:noProof/>
            </w:rPr>
          </w:pPr>
          <w:hyperlink w:anchor="_Toc113619820" w:history="1">
            <w:r w:rsidR="00375534" w:rsidRPr="00A63C77">
              <w:rPr>
                <w:rStyle w:val="Hyperlink"/>
                <w:noProof/>
                <w14:scene3d>
                  <w14:camera w14:prst="orthographicFront"/>
                  <w14:lightRig w14:rig="threePt" w14:dir="t">
                    <w14:rot w14:lat="0" w14:lon="0" w14:rev="0"/>
                  </w14:lightRig>
                </w14:scene3d>
              </w:rPr>
              <w:t>5</w:t>
            </w:r>
            <w:r w:rsidR="00375534">
              <w:rPr>
                <w:rFonts w:eastAsiaTheme="minorEastAsia" w:cstheme="minorBidi"/>
                <w:b w:val="0"/>
                <w:smallCaps w:val="0"/>
                <w:noProof/>
              </w:rPr>
              <w:tab/>
            </w:r>
            <w:r w:rsidR="00375534" w:rsidRPr="00A63C77">
              <w:rPr>
                <w:rStyle w:val="Hyperlink"/>
                <w:noProof/>
              </w:rPr>
              <w:t>Cross-Sector Protocols</w:t>
            </w:r>
            <w:r w:rsidR="00375534">
              <w:rPr>
                <w:noProof/>
                <w:webHidden/>
              </w:rPr>
              <w:tab/>
            </w:r>
            <w:r w:rsidR="00375534">
              <w:rPr>
                <w:noProof/>
                <w:webHidden/>
              </w:rPr>
              <w:fldChar w:fldCharType="begin"/>
            </w:r>
            <w:r w:rsidR="00375534">
              <w:rPr>
                <w:noProof/>
                <w:webHidden/>
              </w:rPr>
              <w:instrText xml:space="preserve"> PAGEREF _Toc113619820 \h </w:instrText>
            </w:r>
            <w:r w:rsidR="00375534">
              <w:rPr>
                <w:noProof/>
                <w:webHidden/>
              </w:rPr>
            </w:r>
            <w:r w:rsidR="00375534">
              <w:rPr>
                <w:noProof/>
                <w:webHidden/>
              </w:rPr>
              <w:fldChar w:fldCharType="separate"/>
            </w:r>
            <w:r w:rsidR="00375534">
              <w:rPr>
                <w:noProof/>
                <w:webHidden/>
              </w:rPr>
              <w:t>98</w:t>
            </w:r>
            <w:r w:rsidR="00375534">
              <w:rPr>
                <w:noProof/>
                <w:webHidden/>
              </w:rPr>
              <w:fldChar w:fldCharType="end"/>
            </w:r>
          </w:hyperlink>
        </w:p>
        <w:p w14:paraId="380AE74D" w14:textId="4E51B679" w:rsidR="00375534" w:rsidRDefault="00573A1D">
          <w:pPr>
            <w:pStyle w:val="TOC2"/>
            <w:tabs>
              <w:tab w:val="left" w:pos="800"/>
              <w:tab w:val="right" w:leader="dot" w:pos="9350"/>
            </w:tabs>
            <w:rPr>
              <w:rFonts w:eastAsiaTheme="minorEastAsia" w:cstheme="minorBidi"/>
              <w:noProof/>
              <w:sz w:val="22"/>
            </w:rPr>
          </w:pPr>
          <w:hyperlink w:anchor="_Toc113619821" w:history="1">
            <w:r w:rsidR="00375534" w:rsidRPr="00A63C77">
              <w:rPr>
                <w:rStyle w:val="Hyperlink"/>
                <w:noProof/>
              </w:rPr>
              <w:t>5.1</w:t>
            </w:r>
            <w:r w:rsidR="00375534">
              <w:rPr>
                <w:rFonts w:eastAsiaTheme="minorEastAsia" w:cstheme="minorBidi"/>
                <w:noProof/>
                <w:sz w:val="22"/>
              </w:rPr>
              <w:tab/>
            </w:r>
            <w:r w:rsidR="00375534" w:rsidRPr="00A63C77">
              <w:rPr>
                <w:rStyle w:val="Hyperlink"/>
                <w:noProof/>
              </w:rPr>
              <w:t>Combining Participant and Trade Ally Free Ridership Scores</w:t>
            </w:r>
            <w:r w:rsidR="00375534">
              <w:rPr>
                <w:noProof/>
                <w:webHidden/>
              </w:rPr>
              <w:tab/>
            </w:r>
            <w:r w:rsidR="00375534">
              <w:rPr>
                <w:noProof/>
                <w:webHidden/>
              </w:rPr>
              <w:fldChar w:fldCharType="begin"/>
            </w:r>
            <w:r w:rsidR="00375534">
              <w:rPr>
                <w:noProof/>
                <w:webHidden/>
              </w:rPr>
              <w:instrText xml:space="preserve"> PAGEREF _Toc113619821 \h </w:instrText>
            </w:r>
            <w:r w:rsidR="00375534">
              <w:rPr>
                <w:noProof/>
                <w:webHidden/>
              </w:rPr>
            </w:r>
            <w:r w:rsidR="00375534">
              <w:rPr>
                <w:noProof/>
                <w:webHidden/>
              </w:rPr>
              <w:fldChar w:fldCharType="separate"/>
            </w:r>
            <w:r w:rsidR="00375534">
              <w:rPr>
                <w:noProof/>
                <w:webHidden/>
              </w:rPr>
              <w:t>98</w:t>
            </w:r>
            <w:r w:rsidR="00375534">
              <w:rPr>
                <w:noProof/>
                <w:webHidden/>
              </w:rPr>
              <w:fldChar w:fldCharType="end"/>
            </w:r>
          </w:hyperlink>
        </w:p>
        <w:p w14:paraId="15583CAF" w14:textId="40A75216" w:rsidR="00375534" w:rsidRDefault="00573A1D">
          <w:pPr>
            <w:pStyle w:val="TOC3"/>
            <w:rPr>
              <w:rFonts w:eastAsiaTheme="minorEastAsia" w:cstheme="minorBidi"/>
              <w:noProof/>
              <w:sz w:val="22"/>
            </w:rPr>
          </w:pPr>
          <w:hyperlink w:anchor="_Toc113619822" w:history="1">
            <w:r w:rsidR="00375534" w:rsidRPr="00A63C77">
              <w:rPr>
                <w:rStyle w:val="Hyperlink"/>
                <w:noProof/>
                <w14:scene3d>
                  <w14:camera w14:prst="orthographicFront"/>
                  <w14:lightRig w14:rig="threePt" w14:dir="t">
                    <w14:rot w14:lat="0" w14:lon="0" w14:rev="0"/>
                  </w14:lightRig>
                </w14:scene3d>
              </w:rPr>
              <w:t>5.1.1</w:t>
            </w:r>
            <w:r w:rsidR="00375534">
              <w:rPr>
                <w:rFonts w:eastAsiaTheme="minorEastAsia" w:cstheme="minorBidi"/>
                <w:noProof/>
                <w:sz w:val="22"/>
              </w:rPr>
              <w:tab/>
            </w:r>
            <w:r w:rsidR="00375534" w:rsidRPr="00A63C77">
              <w:rPr>
                <w:rStyle w:val="Hyperlink"/>
                <w:noProof/>
              </w:rPr>
              <w:t>Trade Ally Free Ridership Calculation</w:t>
            </w:r>
            <w:r w:rsidR="00375534">
              <w:rPr>
                <w:noProof/>
                <w:webHidden/>
              </w:rPr>
              <w:tab/>
            </w:r>
            <w:r w:rsidR="00375534">
              <w:rPr>
                <w:noProof/>
                <w:webHidden/>
              </w:rPr>
              <w:fldChar w:fldCharType="begin"/>
            </w:r>
            <w:r w:rsidR="00375534">
              <w:rPr>
                <w:noProof/>
                <w:webHidden/>
              </w:rPr>
              <w:instrText xml:space="preserve"> PAGEREF _Toc113619822 \h </w:instrText>
            </w:r>
            <w:r w:rsidR="00375534">
              <w:rPr>
                <w:noProof/>
                <w:webHidden/>
              </w:rPr>
            </w:r>
            <w:r w:rsidR="00375534">
              <w:rPr>
                <w:noProof/>
                <w:webHidden/>
              </w:rPr>
              <w:fldChar w:fldCharType="separate"/>
            </w:r>
            <w:r w:rsidR="00375534">
              <w:rPr>
                <w:noProof/>
                <w:webHidden/>
              </w:rPr>
              <w:t>98</w:t>
            </w:r>
            <w:r w:rsidR="00375534">
              <w:rPr>
                <w:noProof/>
                <w:webHidden/>
              </w:rPr>
              <w:fldChar w:fldCharType="end"/>
            </w:r>
          </w:hyperlink>
        </w:p>
        <w:p w14:paraId="751CB287" w14:textId="7BC0F760" w:rsidR="00375534" w:rsidRDefault="00573A1D">
          <w:pPr>
            <w:pStyle w:val="TOC3"/>
            <w:rPr>
              <w:rFonts w:eastAsiaTheme="minorEastAsia" w:cstheme="minorBidi"/>
              <w:noProof/>
              <w:sz w:val="22"/>
            </w:rPr>
          </w:pPr>
          <w:hyperlink w:anchor="_Toc113619823" w:history="1">
            <w:r w:rsidR="00375534" w:rsidRPr="00A63C77">
              <w:rPr>
                <w:rStyle w:val="Hyperlink"/>
                <w:noProof/>
                <w14:scene3d>
                  <w14:camera w14:prst="orthographicFront"/>
                  <w14:lightRig w14:rig="threePt" w14:dir="t">
                    <w14:rot w14:lat="0" w14:lon="0" w14:rev="0"/>
                  </w14:lightRig>
                </w14:scene3d>
              </w:rPr>
              <w:t>5.1.2</w:t>
            </w:r>
            <w:r w:rsidR="00375534">
              <w:rPr>
                <w:rFonts w:eastAsiaTheme="minorEastAsia" w:cstheme="minorBidi"/>
                <w:noProof/>
                <w:sz w:val="22"/>
              </w:rPr>
              <w:tab/>
            </w:r>
            <w:r w:rsidR="00375534" w:rsidRPr="00A63C77">
              <w:rPr>
                <w:rStyle w:val="Hyperlink"/>
                <w:noProof/>
              </w:rPr>
              <w:t>Triangulation</w:t>
            </w:r>
            <w:r w:rsidR="00375534">
              <w:rPr>
                <w:noProof/>
                <w:webHidden/>
              </w:rPr>
              <w:tab/>
            </w:r>
            <w:r w:rsidR="00375534">
              <w:rPr>
                <w:noProof/>
                <w:webHidden/>
              </w:rPr>
              <w:fldChar w:fldCharType="begin"/>
            </w:r>
            <w:r w:rsidR="00375534">
              <w:rPr>
                <w:noProof/>
                <w:webHidden/>
              </w:rPr>
              <w:instrText xml:space="preserve"> PAGEREF _Toc113619823 \h </w:instrText>
            </w:r>
            <w:r w:rsidR="00375534">
              <w:rPr>
                <w:noProof/>
                <w:webHidden/>
              </w:rPr>
            </w:r>
            <w:r w:rsidR="00375534">
              <w:rPr>
                <w:noProof/>
                <w:webHidden/>
              </w:rPr>
              <w:fldChar w:fldCharType="separate"/>
            </w:r>
            <w:r w:rsidR="00375534">
              <w:rPr>
                <w:noProof/>
                <w:webHidden/>
              </w:rPr>
              <w:t>98</w:t>
            </w:r>
            <w:r w:rsidR="00375534">
              <w:rPr>
                <w:noProof/>
                <w:webHidden/>
              </w:rPr>
              <w:fldChar w:fldCharType="end"/>
            </w:r>
          </w:hyperlink>
        </w:p>
        <w:p w14:paraId="68F9E4A5" w14:textId="4BC2512A" w:rsidR="00375534" w:rsidRDefault="00573A1D">
          <w:pPr>
            <w:pStyle w:val="TOC2"/>
            <w:tabs>
              <w:tab w:val="left" w:pos="800"/>
              <w:tab w:val="right" w:leader="dot" w:pos="9350"/>
            </w:tabs>
            <w:rPr>
              <w:rFonts w:eastAsiaTheme="minorEastAsia" w:cstheme="minorBidi"/>
              <w:noProof/>
              <w:sz w:val="22"/>
            </w:rPr>
          </w:pPr>
          <w:hyperlink w:anchor="_Toc113619824" w:history="1">
            <w:r w:rsidR="00375534" w:rsidRPr="00A63C77">
              <w:rPr>
                <w:rStyle w:val="Hyperlink"/>
                <w:noProof/>
              </w:rPr>
              <w:t>5.2</w:t>
            </w:r>
            <w:r w:rsidR="00375534">
              <w:rPr>
                <w:rFonts w:eastAsiaTheme="minorEastAsia" w:cstheme="minorBidi"/>
                <w:noProof/>
                <w:sz w:val="22"/>
              </w:rPr>
              <w:tab/>
            </w:r>
            <w:r w:rsidR="00375534" w:rsidRPr="00A63C77">
              <w:rPr>
                <w:rStyle w:val="Hyperlink"/>
                <w:noProof/>
              </w:rPr>
              <w:t>Spillover Measured Through Trade Allies</w:t>
            </w:r>
            <w:r w:rsidR="00375534">
              <w:rPr>
                <w:noProof/>
                <w:webHidden/>
              </w:rPr>
              <w:tab/>
            </w:r>
            <w:r w:rsidR="00375534">
              <w:rPr>
                <w:noProof/>
                <w:webHidden/>
              </w:rPr>
              <w:fldChar w:fldCharType="begin"/>
            </w:r>
            <w:r w:rsidR="00375534">
              <w:rPr>
                <w:noProof/>
                <w:webHidden/>
              </w:rPr>
              <w:instrText xml:space="preserve"> PAGEREF _Toc113619824 \h </w:instrText>
            </w:r>
            <w:r w:rsidR="00375534">
              <w:rPr>
                <w:noProof/>
                <w:webHidden/>
              </w:rPr>
            </w:r>
            <w:r w:rsidR="00375534">
              <w:rPr>
                <w:noProof/>
                <w:webHidden/>
              </w:rPr>
              <w:fldChar w:fldCharType="separate"/>
            </w:r>
            <w:r w:rsidR="00375534">
              <w:rPr>
                <w:noProof/>
                <w:webHidden/>
              </w:rPr>
              <w:t>99</w:t>
            </w:r>
            <w:r w:rsidR="00375534">
              <w:rPr>
                <w:noProof/>
                <w:webHidden/>
              </w:rPr>
              <w:fldChar w:fldCharType="end"/>
            </w:r>
          </w:hyperlink>
        </w:p>
        <w:p w14:paraId="55C574AB" w14:textId="6743BC0A" w:rsidR="00375534" w:rsidRDefault="00573A1D">
          <w:pPr>
            <w:pStyle w:val="TOC3"/>
            <w:rPr>
              <w:rFonts w:eastAsiaTheme="minorEastAsia" w:cstheme="minorBidi"/>
              <w:noProof/>
              <w:sz w:val="22"/>
            </w:rPr>
          </w:pPr>
          <w:hyperlink w:anchor="_Toc113619825" w:history="1">
            <w:r w:rsidR="00375534" w:rsidRPr="00A63C77">
              <w:rPr>
                <w:rStyle w:val="Hyperlink"/>
                <w:noProof/>
                <w14:scene3d>
                  <w14:camera w14:prst="orthographicFront"/>
                  <w14:lightRig w14:rig="threePt" w14:dir="t">
                    <w14:rot w14:lat="0" w14:lon="0" w14:rev="0"/>
                  </w14:lightRig>
                </w14:scene3d>
              </w:rPr>
              <w:t>5.2.1</w:t>
            </w:r>
            <w:r w:rsidR="00375534">
              <w:rPr>
                <w:rFonts w:eastAsiaTheme="minorEastAsia" w:cstheme="minorBidi"/>
                <w:noProof/>
                <w:sz w:val="22"/>
              </w:rPr>
              <w:tab/>
            </w:r>
            <w:r w:rsidR="00375534" w:rsidRPr="00A63C77">
              <w:rPr>
                <w:rStyle w:val="Hyperlink"/>
                <w:noProof/>
              </w:rPr>
              <w:t>Spillover from Active Trade Allies</w:t>
            </w:r>
            <w:r w:rsidR="00375534">
              <w:rPr>
                <w:noProof/>
                <w:webHidden/>
              </w:rPr>
              <w:tab/>
            </w:r>
            <w:r w:rsidR="00375534">
              <w:rPr>
                <w:noProof/>
                <w:webHidden/>
              </w:rPr>
              <w:fldChar w:fldCharType="begin"/>
            </w:r>
            <w:r w:rsidR="00375534">
              <w:rPr>
                <w:noProof/>
                <w:webHidden/>
              </w:rPr>
              <w:instrText xml:space="preserve"> PAGEREF _Toc113619825 \h </w:instrText>
            </w:r>
            <w:r w:rsidR="00375534">
              <w:rPr>
                <w:noProof/>
                <w:webHidden/>
              </w:rPr>
            </w:r>
            <w:r w:rsidR="00375534">
              <w:rPr>
                <w:noProof/>
                <w:webHidden/>
              </w:rPr>
              <w:fldChar w:fldCharType="separate"/>
            </w:r>
            <w:r w:rsidR="00375534">
              <w:rPr>
                <w:noProof/>
                <w:webHidden/>
              </w:rPr>
              <w:t>100</w:t>
            </w:r>
            <w:r w:rsidR="00375534">
              <w:rPr>
                <w:noProof/>
                <w:webHidden/>
              </w:rPr>
              <w:fldChar w:fldCharType="end"/>
            </w:r>
          </w:hyperlink>
        </w:p>
        <w:p w14:paraId="13199F16" w14:textId="660C346D" w:rsidR="00375534" w:rsidRDefault="00573A1D">
          <w:pPr>
            <w:pStyle w:val="TOC3"/>
            <w:rPr>
              <w:rFonts w:eastAsiaTheme="minorEastAsia" w:cstheme="minorBidi"/>
              <w:noProof/>
              <w:sz w:val="22"/>
            </w:rPr>
          </w:pPr>
          <w:hyperlink w:anchor="_Toc113619826" w:history="1">
            <w:r w:rsidR="00375534" w:rsidRPr="00A63C77">
              <w:rPr>
                <w:rStyle w:val="Hyperlink"/>
                <w:noProof/>
                <w14:scene3d>
                  <w14:camera w14:prst="orthographicFront"/>
                  <w14:lightRig w14:rig="threePt" w14:dir="t">
                    <w14:rot w14:lat="0" w14:lon="0" w14:rev="0"/>
                  </w14:lightRig>
                </w14:scene3d>
              </w:rPr>
              <w:t>5.2.2</w:t>
            </w:r>
            <w:r w:rsidR="00375534">
              <w:rPr>
                <w:rFonts w:eastAsiaTheme="minorEastAsia" w:cstheme="minorBidi"/>
                <w:noProof/>
                <w:sz w:val="22"/>
              </w:rPr>
              <w:tab/>
            </w:r>
            <w:r w:rsidR="00375534" w:rsidRPr="00A63C77">
              <w:rPr>
                <w:rStyle w:val="Hyperlink"/>
                <w:noProof/>
              </w:rPr>
              <w:t>Spillover from Inactive Trade Allies</w:t>
            </w:r>
            <w:r w:rsidR="00375534">
              <w:rPr>
                <w:noProof/>
                <w:webHidden/>
              </w:rPr>
              <w:tab/>
            </w:r>
            <w:r w:rsidR="00375534">
              <w:rPr>
                <w:noProof/>
                <w:webHidden/>
              </w:rPr>
              <w:fldChar w:fldCharType="begin"/>
            </w:r>
            <w:r w:rsidR="00375534">
              <w:rPr>
                <w:noProof/>
                <w:webHidden/>
              </w:rPr>
              <w:instrText xml:space="preserve"> PAGEREF _Toc113619826 \h </w:instrText>
            </w:r>
            <w:r w:rsidR="00375534">
              <w:rPr>
                <w:noProof/>
                <w:webHidden/>
              </w:rPr>
            </w:r>
            <w:r w:rsidR="00375534">
              <w:rPr>
                <w:noProof/>
                <w:webHidden/>
              </w:rPr>
              <w:fldChar w:fldCharType="separate"/>
            </w:r>
            <w:r w:rsidR="00375534">
              <w:rPr>
                <w:noProof/>
                <w:webHidden/>
              </w:rPr>
              <w:t>102</w:t>
            </w:r>
            <w:r w:rsidR="00375534">
              <w:rPr>
                <w:noProof/>
                <w:webHidden/>
              </w:rPr>
              <w:fldChar w:fldCharType="end"/>
            </w:r>
          </w:hyperlink>
        </w:p>
        <w:p w14:paraId="58F8D619" w14:textId="5EAAE89F" w:rsidR="00375534" w:rsidRDefault="00573A1D">
          <w:pPr>
            <w:pStyle w:val="TOC2"/>
            <w:tabs>
              <w:tab w:val="left" w:pos="800"/>
              <w:tab w:val="right" w:leader="dot" w:pos="9350"/>
            </w:tabs>
            <w:rPr>
              <w:rFonts w:eastAsiaTheme="minorEastAsia" w:cstheme="minorBidi"/>
              <w:noProof/>
              <w:sz w:val="22"/>
            </w:rPr>
          </w:pPr>
          <w:hyperlink w:anchor="_Toc113619827" w:history="1">
            <w:r w:rsidR="00375534" w:rsidRPr="00A63C77">
              <w:rPr>
                <w:rStyle w:val="Hyperlink"/>
                <w:noProof/>
              </w:rPr>
              <w:t>5.3</w:t>
            </w:r>
            <w:r w:rsidR="00375534">
              <w:rPr>
                <w:rFonts w:eastAsiaTheme="minorEastAsia" w:cstheme="minorBidi"/>
                <w:noProof/>
                <w:sz w:val="22"/>
              </w:rPr>
              <w:tab/>
            </w:r>
            <w:r w:rsidR="00375534" w:rsidRPr="00A63C77">
              <w:rPr>
                <w:rStyle w:val="Hyperlink"/>
                <w:noProof/>
              </w:rPr>
              <w:t>Consumption Data Analysis Protocol</w:t>
            </w:r>
            <w:r w:rsidR="00375534">
              <w:rPr>
                <w:noProof/>
                <w:webHidden/>
              </w:rPr>
              <w:tab/>
            </w:r>
            <w:r w:rsidR="00375534">
              <w:rPr>
                <w:noProof/>
                <w:webHidden/>
              </w:rPr>
              <w:fldChar w:fldCharType="begin"/>
            </w:r>
            <w:r w:rsidR="00375534">
              <w:rPr>
                <w:noProof/>
                <w:webHidden/>
              </w:rPr>
              <w:instrText xml:space="preserve"> PAGEREF _Toc113619827 \h </w:instrText>
            </w:r>
            <w:r w:rsidR="00375534">
              <w:rPr>
                <w:noProof/>
                <w:webHidden/>
              </w:rPr>
            </w:r>
            <w:r w:rsidR="00375534">
              <w:rPr>
                <w:noProof/>
                <w:webHidden/>
              </w:rPr>
              <w:fldChar w:fldCharType="separate"/>
            </w:r>
            <w:r w:rsidR="00375534">
              <w:rPr>
                <w:noProof/>
                <w:webHidden/>
              </w:rPr>
              <w:t>103</w:t>
            </w:r>
            <w:r w:rsidR="00375534">
              <w:rPr>
                <w:noProof/>
                <w:webHidden/>
              </w:rPr>
              <w:fldChar w:fldCharType="end"/>
            </w:r>
          </w:hyperlink>
        </w:p>
        <w:p w14:paraId="5D3A6561" w14:textId="0EA4E592" w:rsidR="00375534" w:rsidRDefault="00573A1D">
          <w:pPr>
            <w:pStyle w:val="TOC3"/>
            <w:rPr>
              <w:rFonts w:eastAsiaTheme="minorEastAsia" w:cstheme="minorBidi"/>
              <w:noProof/>
              <w:sz w:val="22"/>
            </w:rPr>
          </w:pPr>
          <w:hyperlink w:anchor="_Toc113619828" w:history="1">
            <w:r w:rsidR="00375534" w:rsidRPr="00A63C77">
              <w:rPr>
                <w:rStyle w:val="Hyperlink"/>
                <w:noProof/>
                <w14:scene3d>
                  <w14:camera w14:prst="orthographicFront"/>
                  <w14:lightRig w14:rig="threePt" w14:dir="t">
                    <w14:rot w14:lat="0" w14:lon="0" w14:rev="0"/>
                  </w14:lightRig>
                </w14:scene3d>
              </w:rPr>
              <w:t>5.3.1</w:t>
            </w:r>
            <w:r w:rsidR="00375534">
              <w:rPr>
                <w:rFonts w:eastAsiaTheme="minorEastAsia" w:cstheme="minorBidi"/>
                <w:noProof/>
                <w:sz w:val="22"/>
              </w:rPr>
              <w:tab/>
            </w:r>
            <w:r w:rsidR="00375534" w:rsidRPr="00A63C77">
              <w:rPr>
                <w:rStyle w:val="Hyperlink"/>
                <w:noProof/>
              </w:rPr>
              <w:t>Consumption Data Analysis and NTG</w:t>
            </w:r>
            <w:r w:rsidR="00375534">
              <w:rPr>
                <w:noProof/>
                <w:webHidden/>
              </w:rPr>
              <w:tab/>
            </w:r>
            <w:r w:rsidR="00375534">
              <w:rPr>
                <w:noProof/>
                <w:webHidden/>
              </w:rPr>
              <w:fldChar w:fldCharType="begin"/>
            </w:r>
            <w:r w:rsidR="00375534">
              <w:rPr>
                <w:noProof/>
                <w:webHidden/>
              </w:rPr>
              <w:instrText xml:space="preserve"> PAGEREF _Toc113619828 \h </w:instrText>
            </w:r>
            <w:r w:rsidR="00375534">
              <w:rPr>
                <w:noProof/>
                <w:webHidden/>
              </w:rPr>
            </w:r>
            <w:r w:rsidR="00375534">
              <w:rPr>
                <w:noProof/>
                <w:webHidden/>
              </w:rPr>
              <w:fldChar w:fldCharType="separate"/>
            </w:r>
            <w:r w:rsidR="00375534">
              <w:rPr>
                <w:noProof/>
                <w:webHidden/>
              </w:rPr>
              <w:t>104</w:t>
            </w:r>
            <w:r w:rsidR="00375534">
              <w:rPr>
                <w:noProof/>
                <w:webHidden/>
              </w:rPr>
              <w:fldChar w:fldCharType="end"/>
            </w:r>
          </w:hyperlink>
        </w:p>
        <w:p w14:paraId="24503473" w14:textId="48CB2EB8" w:rsidR="00375534" w:rsidRDefault="00573A1D">
          <w:pPr>
            <w:pStyle w:val="TOC3"/>
            <w:rPr>
              <w:rFonts w:eastAsiaTheme="minorEastAsia" w:cstheme="minorBidi"/>
              <w:noProof/>
              <w:sz w:val="22"/>
            </w:rPr>
          </w:pPr>
          <w:hyperlink w:anchor="_Toc113619829" w:history="1">
            <w:r w:rsidR="00375534" w:rsidRPr="00A63C77">
              <w:rPr>
                <w:rStyle w:val="Hyperlink"/>
                <w:noProof/>
                <w14:scene3d>
                  <w14:camera w14:prst="orthographicFront"/>
                  <w14:lightRig w14:rig="threePt" w14:dir="t">
                    <w14:rot w14:lat="0" w14:lon="0" w14:rev="0"/>
                  </w14:lightRig>
                </w14:scene3d>
              </w:rPr>
              <w:t>5.3.2</w:t>
            </w:r>
            <w:r w:rsidR="00375534">
              <w:rPr>
                <w:rFonts w:eastAsiaTheme="minorEastAsia" w:cstheme="minorBidi"/>
                <w:noProof/>
                <w:sz w:val="22"/>
              </w:rPr>
              <w:tab/>
            </w:r>
            <w:r w:rsidR="00375534" w:rsidRPr="00A63C77">
              <w:rPr>
                <w:rStyle w:val="Hyperlink"/>
                <w:noProof/>
              </w:rPr>
              <w:t>Nonparticipant Spillover</w:t>
            </w:r>
            <w:r w:rsidR="00375534">
              <w:rPr>
                <w:noProof/>
                <w:webHidden/>
              </w:rPr>
              <w:tab/>
            </w:r>
            <w:r w:rsidR="00375534">
              <w:rPr>
                <w:noProof/>
                <w:webHidden/>
              </w:rPr>
              <w:fldChar w:fldCharType="begin"/>
            </w:r>
            <w:r w:rsidR="00375534">
              <w:rPr>
                <w:noProof/>
                <w:webHidden/>
              </w:rPr>
              <w:instrText xml:space="preserve"> PAGEREF _Toc113619829 \h </w:instrText>
            </w:r>
            <w:r w:rsidR="00375534">
              <w:rPr>
                <w:noProof/>
                <w:webHidden/>
              </w:rPr>
            </w:r>
            <w:r w:rsidR="00375534">
              <w:rPr>
                <w:noProof/>
                <w:webHidden/>
              </w:rPr>
              <w:fldChar w:fldCharType="separate"/>
            </w:r>
            <w:r w:rsidR="00375534">
              <w:rPr>
                <w:noProof/>
                <w:webHidden/>
              </w:rPr>
              <w:t>105</w:t>
            </w:r>
            <w:r w:rsidR="00375534">
              <w:rPr>
                <w:noProof/>
                <w:webHidden/>
              </w:rPr>
              <w:fldChar w:fldCharType="end"/>
            </w:r>
          </w:hyperlink>
        </w:p>
        <w:p w14:paraId="33F8DD12" w14:textId="168D3D72" w:rsidR="00375534" w:rsidRDefault="00573A1D">
          <w:pPr>
            <w:pStyle w:val="TOC3"/>
            <w:rPr>
              <w:rFonts w:eastAsiaTheme="minorEastAsia" w:cstheme="minorBidi"/>
              <w:noProof/>
              <w:sz w:val="22"/>
            </w:rPr>
          </w:pPr>
          <w:hyperlink w:anchor="_Toc113619830" w:history="1">
            <w:r w:rsidR="00375534" w:rsidRPr="00A63C77">
              <w:rPr>
                <w:rStyle w:val="Hyperlink"/>
                <w:noProof/>
                <w14:scene3d>
                  <w14:camera w14:prst="orthographicFront"/>
                  <w14:lightRig w14:rig="threePt" w14:dir="t">
                    <w14:rot w14:lat="0" w14:lon="0" w14:rev="0"/>
                  </w14:lightRig>
                </w14:scene3d>
              </w:rPr>
              <w:t>5.3.3</w:t>
            </w:r>
            <w:r w:rsidR="00375534">
              <w:rPr>
                <w:rFonts w:eastAsiaTheme="minorEastAsia" w:cstheme="minorBidi"/>
                <w:noProof/>
                <w:sz w:val="22"/>
              </w:rPr>
              <w:tab/>
            </w:r>
            <w:r w:rsidR="00375534" w:rsidRPr="00A63C77">
              <w:rPr>
                <w:rStyle w:val="Hyperlink"/>
                <w:noProof/>
              </w:rPr>
              <w:t>Participant Spillover</w:t>
            </w:r>
            <w:r w:rsidR="00375534">
              <w:rPr>
                <w:noProof/>
                <w:webHidden/>
              </w:rPr>
              <w:tab/>
            </w:r>
            <w:r w:rsidR="00375534">
              <w:rPr>
                <w:noProof/>
                <w:webHidden/>
              </w:rPr>
              <w:fldChar w:fldCharType="begin"/>
            </w:r>
            <w:r w:rsidR="00375534">
              <w:rPr>
                <w:noProof/>
                <w:webHidden/>
              </w:rPr>
              <w:instrText xml:space="preserve"> PAGEREF _Toc113619830 \h </w:instrText>
            </w:r>
            <w:r w:rsidR="00375534">
              <w:rPr>
                <w:noProof/>
                <w:webHidden/>
              </w:rPr>
            </w:r>
            <w:r w:rsidR="00375534">
              <w:rPr>
                <w:noProof/>
                <w:webHidden/>
              </w:rPr>
              <w:fldChar w:fldCharType="separate"/>
            </w:r>
            <w:r w:rsidR="00375534">
              <w:rPr>
                <w:noProof/>
                <w:webHidden/>
              </w:rPr>
              <w:t>105</w:t>
            </w:r>
            <w:r w:rsidR="00375534">
              <w:rPr>
                <w:noProof/>
                <w:webHidden/>
              </w:rPr>
              <w:fldChar w:fldCharType="end"/>
            </w:r>
          </w:hyperlink>
        </w:p>
        <w:p w14:paraId="6D45C557" w14:textId="561DD458" w:rsidR="00375534" w:rsidRDefault="00573A1D">
          <w:pPr>
            <w:pStyle w:val="TOC3"/>
            <w:rPr>
              <w:rFonts w:eastAsiaTheme="minorEastAsia" w:cstheme="minorBidi"/>
              <w:noProof/>
              <w:sz w:val="22"/>
            </w:rPr>
          </w:pPr>
          <w:hyperlink w:anchor="_Toc113619831" w:history="1">
            <w:r w:rsidR="00375534" w:rsidRPr="00A63C77">
              <w:rPr>
                <w:rStyle w:val="Hyperlink"/>
                <w:noProof/>
                <w14:scene3d>
                  <w14:camera w14:prst="orthographicFront"/>
                  <w14:lightRig w14:rig="threePt" w14:dir="t">
                    <w14:rot w14:lat="0" w14:lon="0" w14:rev="0"/>
                  </w14:lightRig>
                </w14:scene3d>
              </w:rPr>
              <w:t>5.3.4</w:t>
            </w:r>
            <w:r w:rsidR="00375534">
              <w:rPr>
                <w:rFonts w:eastAsiaTheme="minorEastAsia" w:cstheme="minorBidi"/>
                <w:noProof/>
                <w:sz w:val="22"/>
              </w:rPr>
              <w:tab/>
            </w:r>
            <w:r w:rsidR="00375534" w:rsidRPr="00A63C77">
              <w:rPr>
                <w:rStyle w:val="Hyperlink"/>
                <w:noProof/>
              </w:rPr>
              <w:t>Free Ridership</w:t>
            </w:r>
            <w:r w:rsidR="00375534">
              <w:rPr>
                <w:noProof/>
                <w:webHidden/>
              </w:rPr>
              <w:tab/>
            </w:r>
            <w:r w:rsidR="00375534">
              <w:rPr>
                <w:noProof/>
                <w:webHidden/>
              </w:rPr>
              <w:fldChar w:fldCharType="begin"/>
            </w:r>
            <w:r w:rsidR="00375534">
              <w:rPr>
                <w:noProof/>
                <w:webHidden/>
              </w:rPr>
              <w:instrText xml:space="preserve"> PAGEREF _Toc113619831 \h </w:instrText>
            </w:r>
            <w:r w:rsidR="00375534">
              <w:rPr>
                <w:noProof/>
                <w:webHidden/>
              </w:rPr>
            </w:r>
            <w:r w:rsidR="00375534">
              <w:rPr>
                <w:noProof/>
                <w:webHidden/>
              </w:rPr>
              <w:fldChar w:fldCharType="separate"/>
            </w:r>
            <w:r w:rsidR="00375534">
              <w:rPr>
                <w:noProof/>
                <w:webHidden/>
              </w:rPr>
              <w:t>105</w:t>
            </w:r>
            <w:r w:rsidR="00375534">
              <w:rPr>
                <w:noProof/>
                <w:webHidden/>
              </w:rPr>
              <w:fldChar w:fldCharType="end"/>
            </w:r>
          </w:hyperlink>
        </w:p>
        <w:p w14:paraId="28B09796" w14:textId="359EFED7" w:rsidR="00375534" w:rsidRDefault="00573A1D">
          <w:pPr>
            <w:pStyle w:val="TOC3"/>
            <w:rPr>
              <w:rFonts w:eastAsiaTheme="minorEastAsia" w:cstheme="minorBidi"/>
              <w:noProof/>
              <w:sz w:val="22"/>
            </w:rPr>
          </w:pPr>
          <w:hyperlink w:anchor="_Toc113619832" w:history="1">
            <w:r w:rsidR="00375534" w:rsidRPr="00A63C77">
              <w:rPr>
                <w:rStyle w:val="Hyperlink"/>
                <w:noProof/>
                <w14:scene3d>
                  <w14:camera w14:prst="orthographicFront"/>
                  <w14:lightRig w14:rig="threePt" w14:dir="t">
                    <w14:rot w14:lat="0" w14:lon="0" w14:rev="0"/>
                  </w14:lightRig>
                </w14:scene3d>
              </w:rPr>
              <w:t>5.3.5</w:t>
            </w:r>
            <w:r w:rsidR="00375534">
              <w:rPr>
                <w:rFonts w:eastAsiaTheme="minorEastAsia" w:cstheme="minorBidi"/>
                <w:noProof/>
                <w:sz w:val="22"/>
              </w:rPr>
              <w:tab/>
            </w:r>
            <w:r w:rsidR="00375534" w:rsidRPr="00A63C77">
              <w:rPr>
                <w:rStyle w:val="Hyperlink"/>
                <w:noProof/>
              </w:rPr>
              <w:t>Consumption Data Analysis Designs with a Comparison Group</w:t>
            </w:r>
            <w:r w:rsidR="00375534">
              <w:rPr>
                <w:noProof/>
                <w:webHidden/>
              </w:rPr>
              <w:tab/>
            </w:r>
            <w:r w:rsidR="00375534">
              <w:rPr>
                <w:noProof/>
                <w:webHidden/>
              </w:rPr>
              <w:fldChar w:fldCharType="begin"/>
            </w:r>
            <w:r w:rsidR="00375534">
              <w:rPr>
                <w:noProof/>
                <w:webHidden/>
              </w:rPr>
              <w:instrText xml:space="preserve"> PAGEREF _Toc113619832 \h </w:instrText>
            </w:r>
            <w:r w:rsidR="00375534">
              <w:rPr>
                <w:noProof/>
                <w:webHidden/>
              </w:rPr>
            </w:r>
            <w:r w:rsidR="00375534">
              <w:rPr>
                <w:noProof/>
                <w:webHidden/>
              </w:rPr>
              <w:fldChar w:fldCharType="separate"/>
            </w:r>
            <w:r w:rsidR="00375534">
              <w:rPr>
                <w:noProof/>
                <w:webHidden/>
              </w:rPr>
              <w:t>107</w:t>
            </w:r>
            <w:r w:rsidR="00375534">
              <w:rPr>
                <w:noProof/>
                <w:webHidden/>
              </w:rPr>
              <w:fldChar w:fldCharType="end"/>
            </w:r>
          </w:hyperlink>
        </w:p>
        <w:p w14:paraId="19B42E6F" w14:textId="15382C65" w:rsidR="00375534" w:rsidRDefault="00573A1D">
          <w:pPr>
            <w:pStyle w:val="TOC3"/>
            <w:rPr>
              <w:rFonts w:eastAsiaTheme="minorEastAsia" w:cstheme="minorBidi"/>
              <w:noProof/>
              <w:sz w:val="22"/>
            </w:rPr>
          </w:pPr>
          <w:hyperlink w:anchor="_Toc113619833" w:history="1">
            <w:r w:rsidR="00375534" w:rsidRPr="00A63C77">
              <w:rPr>
                <w:rStyle w:val="Hyperlink"/>
                <w:noProof/>
                <w14:scene3d>
                  <w14:camera w14:prst="orthographicFront"/>
                  <w14:lightRig w14:rig="threePt" w14:dir="t">
                    <w14:rot w14:lat="0" w14:lon="0" w14:rev="0"/>
                  </w14:lightRig>
                </w14:scene3d>
              </w:rPr>
              <w:t>5.3.6</w:t>
            </w:r>
            <w:r w:rsidR="00375534">
              <w:rPr>
                <w:rFonts w:eastAsiaTheme="minorEastAsia" w:cstheme="minorBidi"/>
                <w:noProof/>
                <w:sz w:val="22"/>
              </w:rPr>
              <w:tab/>
            </w:r>
            <w:r w:rsidR="00375534" w:rsidRPr="00A63C77">
              <w:rPr>
                <w:rStyle w:val="Hyperlink"/>
                <w:noProof/>
              </w:rPr>
              <w:t>Consumption Data Analysis Designs without a Comparison Group</w:t>
            </w:r>
            <w:r w:rsidR="00375534">
              <w:rPr>
                <w:noProof/>
                <w:webHidden/>
              </w:rPr>
              <w:tab/>
            </w:r>
            <w:r w:rsidR="00375534">
              <w:rPr>
                <w:noProof/>
                <w:webHidden/>
              </w:rPr>
              <w:fldChar w:fldCharType="begin"/>
            </w:r>
            <w:r w:rsidR="00375534">
              <w:rPr>
                <w:noProof/>
                <w:webHidden/>
              </w:rPr>
              <w:instrText xml:space="preserve"> PAGEREF _Toc113619833 \h </w:instrText>
            </w:r>
            <w:r w:rsidR="00375534">
              <w:rPr>
                <w:noProof/>
                <w:webHidden/>
              </w:rPr>
            </w:r>
            <w:r w:rsidR="00375534">
              <w:rPr>
                <w:noProof/>
                <w:webHidden/>
              </w:rPr>
              <w:fldChar w:fldCharType="separate"/>
            </w:r>
            <w:r w:rsidR="00375534">
              <w:rPr>
                <w:noProof/>
                <w:webHidden/>
              </w:rPr>
              <w:t>111</w:t>
            </w:r>
            <w:r w:rsidR="00375534">
              <w:rPr>
                <w:noProof/>
                <w:webHidden/>
              </w:rPr>
              <w:fldChar w:fldCharType="end"/>
            </w:r>
          </w:hyperlink>
        </w:p>
        <w:p w14:paraId="3066231B" w14:textId="0E493986" w:rsidR="00375534" w:rsidRDefault="00573A1D">
          <w:pPr>
            <w:pStyle w:val="TOC3"/>
            <w:rPr>
              <w:rFonts w:eastAsiaTheme="minorEastAsia" w:cstheme="minorBidi"/>
              <w:noProof/>
              <w:sz w:val="22"/>
            </w:rPr>
          </w:pPr>
          <w:hyperlink w:anchor="_Toc113619834" w:history="1">
            <w:r w:rsidR="00375534" w:rsidRPr="00A63C77">
              <w:rPr>
                <w:rStyle w:val="Hyperlink"/>
                <w:noProof/>
                <w14:scene3d>
                  <w14:camera w14:prst="orthographicFront"/>
                  <w14:lightRig w14:rig="threePt" w14:dir="t">
                    <w14:rot w14:lat="0" w14:lon="0" w14:rev="0"/>
                  </w14:lightRig>
                </w14:scene3d>
              </w:rPr>
              <w:t>5.3.7</w:t>
            </w:r>
            <w:r w:rsidR="00375534">
              <w:rPr>
                <w:rFonts w:eastAsiaTheme="minorEastAsia" w:cstheme="minorBidi"/>
                <w:noProof/>
                <w:sz w:val="22"/>
              </w:rPr>
              <w:tab/>
            </w:r>
            <w:r w:rsidR="00375534" w:rsidRPr="00A63C77">
              <w:rPr>
                <w:rStyle w:val="Hyperlink"/>
                <w:noProof/>
              </w:rPr>
              <w:t>Program Implementation and Consumption Data Analysis</w:t>
            </w:r>
            <w:r w:rsidR="00375534">
              <w:rPr>
                <w:noProof/>
                <w:webHidden/>
              </w:rPr>
              <w:tab/>
            </w:r>
            <w:r w:rsidR="00375534">
              <w:rPr>
                <w:noProof/>
                <w:webHidden/>
              </w:rPr>
              <w:fldChar w:fldCharType="begin"/>
            </w:r>
            <w:r w:rsidR="00375534">
              <w:rPr>
                <w:noProof/>
                <w:webHidden/>
              </w:rPr>
              <w:instrText xml:space="preserve"> PAGEREF _Toc113619834 \h </w:instrText>
            </w:r>
            <w:r w:rsidR="00375534">
              <w:rPr>
                <w:noProof/>
                <w:webHidden/>
              </w:rPr>
            </w:r>
            <w:r w:rsidR="00375534">
              <w:rPr>
                <w:noProof/>
                <w:webHidden/>
              </w:rPr>
              <w:fldChar w:fldCharType="separate"/>
            </w:r>
            <w:r w:rsidR="00375534">
              <w:rPr>
                <w:noProof/>
                <w:webHidden/>
              </w:rPr>
              <w:t>111</w:t>
            </w:r>
            <w:r w:rsidR="00375534">
              <w:rPr>
                <w:noProof/>
                <w:webHidden/>
              </w:rPr>
              <w:fldChar w:fldCharType="end"/>
            </w:r>
          </w:hyperlink>
        </w:p>
        <w:p w14:paraId="595D80EC" w14:textId="256C179C" w:rsidR="00375534" w:rsidRDefault="00573A1D">
          <w:pPr>
            <w:pStyle w:val="TOC2"/>
            <w:tabs>
              <w:tab w:val="left" w:pos="800"/>
              <w:tab w:val="right" w:leader="dot" w:pos="9350"/>
            </w:tabs>
            <w:rPr>
              <w:rFonts w:eastAsiaTheme="minorEastAsia" w:cstheme="minorBidi"/>
              <w:noProof/>
              <w:sz w:val="22"/>
            </w:rPr>
          </w:pPr>
          <w:hyperlink w:anchor="_Toc113619835" w:history="1">
            <w:r w:rsidR="00375534" w:rsidRPr="00A63C77">
              <w:rPr>
                <w:rStyle w:val="Hyperlink"/>
                <w:noProof/>
              </w:rPr>
              <w:t>5.4</w:t>
            </w:r>
            <w:r w:rsidR="00375534">
              <w:rPr>
                <w:rFonts w:eastAsiaTheme="minorEastAsia" w:cstheme="minorBidi"/>
                <w:noProof/>
                <w:sz w:val="22"/>
              </w:rPr>
              <w:tab/>
            </w:r>
            <w:r w:rsidR="00375534" w:rsidRPr="00A63C77">
              <w:rPr>
                <w:rStyle w:val="Hyperlink"/>
                <w:noProof/>
              </w:rPr>
              <w:t>Midstream Free-Ridership Protocol</w:t>
            </w:r>
            <w:r w:rsidR="00375534">
              <w:rPr>
                <w:noProof/>
                <w:webHidden/>
              </w:rPr>
              <w:tab/>
            </w:r>
            <w:r w:rsidR="00375534">
              <w:rPr>
                <w:noProof/>
                <w:webHidden/>
              </w:rPr>
              <w:fldChar w:fldCharType="begin"/>
            </w:r>
            <w:r w:rsidR="00375534">
              <w:rPr>
                <w:noProof/>
                <w:webHidden/>
              </w:rPr>
              <w:instrText xml:space="preserve"> PAGEREF _Toc113619835 \h </w:instrText>
            </w:r>
            <w:r w:rsidR="00375534">
              <w:rPr>
                <w:noProof/>
                <w:webHidden/>
              </w:rPr>
            </w:r>
            <w:r w:rsidR="00375534">
              <w:rPr>
                <w:noProof/>
                <w:webHidden/>
              </w:rPr>
              <w:fldChar w:fldCharType="separate"/>
            </w:r>
            <w:r w:rsidR="00375534">
              <w:rPr>
                <w:noProof/>
                <w:webHidden/>
              </w:rPr>
              <w:t>112</w:t>
            </w:r>
            <w:r w:rsidR="00375534">
              <w:rPr>
                <w:noProof/>
                <w:webHidden/>
              </w:rPr>
              <w:fldChar w:fldCharType="end"/>
            </w:r>
          </w:hyperlink>
        </w:p>
        <w:p w14:paraId="7327CDD3" w14:textId="2AE09149" w:rsidR="00375534" w:rsidRDefault="00573A1D">
          <w:pPr>
            <w:pStyle w:val="TOC3"/>
            <w:rPr>
              <w:rFonts w:eastAsiaTheme="minorEastAsia" w:cstheme="minorBidi"/>
              <w:noProof/>
              <w:sz w:val="22"/>
            </w:rPr>
          </w:pPr>
          <w:hyperlink w:anchor="_Toc113619836" w:history="1">
            <w:r w:rsidR="00375534" w:rsidRPr="00A63C77">
              <w:rPr>
                <w:rStyle w:val="Hyperlink"/>
                <w:noProof/>
                <w14:scene3d>
                  <w14:camera w14:prst="orthographicFront"/>
                  <w14:lightRig w14:rig="threePt" w14:dir="t">
                    <w14:rot w14:lat="0" w14:lon="0" w14:rev="0"/>
                  </w14:lightRig>
                </w14:scene3d>
              </w:rPr>
              <w:t>5.4.1</w:t>
            </w:r>
            <w:r w:rsidR="00375534">
              <w:rPr>
                <w:rFonts w:eastAsiaTheme="minorEastAsia" w:cstheme="minorBidi"/>
                <w:noProof/>
                <w:sz w:val="22"/>
              </w:rPr>
              <w:tab/>
            </w:r>
            <w:r w:rsidR="00375534" w:rsidRPr="00A63C77">
              <w:rPr>
                <w:rStyle w:val="Hyperlink"/>
                <w:noProof/>
              </w:rPr>
              <w:t>Using This Protocol</w:t>
            </w:r>
            <w:r w:rsidR="00375534">
              <w:rPr>
                <w:noProof/>
                <w:webHidden/>
              </w:rPr>
              <w:tab/>
            </w:r>
            <w:r w:rsidR="00375534">
              <w:rPr>
                <w:noProof/>
                <w:webHidden/>
              </w:rPr>
              <w:fldChar w:fldCharType="begin"/>
            </w:r>
            <w:r w:rsidR="00375534">
              <w:rPr>
                <w:noProof/>
                <w:webHidden/>
              </w:rPr>
              <w:instrText xml:space="preserve"> PAGEREF _Toc113619836 \h </w:instrText>
            </w:r>
            <w:r w:rsidR="00375534">
              <w:rPr>
                <w:noProof/>
                <w:webHidden/>
              </w:rPr>
            </w:r>
            <w:r w:rsidR="00375534">
              <w:rPr>
                <w:noProof/>
                <w:webHidden/>
              </w:rPr>
              <w:fldChar w:fldCharType="separate"/>
            </w:r>
            <w:r w:rsidR="00375534">
              <w:rPr>
                <w:noProof/>
                <w:webHidden/>
              </w:rPr>
              <w:t>112</w:t>
            </w:r>
            <w:r w:rsidR="00375534">
              <w:rPr>
                <w:noProof/>
                <w:webHidden/>
              </w:rPr>
              <w:fldChar w:fldCharType="end"/>
            </w:r>
          </w:hyperlink>
        </w:p>
        <w:p w14:paraId="59100DAA" w14:textId="359D393B" w:rsidR="00375534" w:rsidRDefault="00573A1D">
          <w:pPr>
            <w:pStyle w:val="TOC3"/>
            <w:rPr>
              <w:rFonts w:eastAsiaTheme="minorEastAsia" w:cstheme="minorBidi"/>
              <w:noProof/>
              <w:sz w:val="22"/>
            </w:rPr>
          </w:pPr>
          <w:hyperlink w:anchor="_Toc113619837" w:history="1">
            <w:r w:rsidR="00375534" w:rsidRPr="00A63C77">
              <w:rPr>
                <w:rStyle w:val="Hyperlink"/>
                <w:noProof/>
                <w14:scene3d>
                  <w14:camera w14:prst="orthographicFront"/>
                  <w14:lightRig w14:rig="threePt" w14:dir="t">
                    <w14:rot w14:lat="0" w14:lon="0" w14:rev="0"/>
                  </w14:lightRig>
                </w14:scene3d>
              </w:rPr>
              <w:t>5.4.2</w:t>
            </w:r>
            <w:r w:rsidR="00375534">
              <w:rPr>
                <w:rFonts w:eastAsiaTheme="minorEastAsia" w:cstheme="minorBidi"/>
                <w:noProof/>
                <w:sz w:val="22"/>
              </w:rPr>
              <w:tab/>
            </w:r>
            <w:r w:rsidR="00375534" w:rsidRPr="00A63C77">
              <w:rPr>
                <w:rStyle w:val="Hyperlink"/>
                <w:noProof/>
              </w:rPr>
              <w:t>Free Ridership Estimation Methodology</w:t>
            </w:r>
            <w:r w:rsidR="00375534">
              <w:rPr>
                <w:noProof/>
                <w:webHidden/>
              </w:rPr>
              <w:tab/>
            </w:r>
            <w:r w:rsidR="00375534">
              <w:rPr>
                <w:noProof/>
                <w:webHidden/>
              </w:rPr>
              <w:fldChar w:fldCharType="begin"/>
            </w:r>
            <w:r w:rsidR="00375534">
              <w:rPr>
                <w:noProof/>
                <w:webHidden/>
              </w:rPr>
              <w:instrText xml:space="preserve"> PAGEREF _Toc113619837 \h </w:instrText>
            </w:r>
            <w:r w:rsidR="00375534">
              <w:rPr>
                <w:noProof/>
                <w:webHidden/>
              </w:rPr>
            </w:r>
            <w:r w:rsidR="00375534">
              <w:rPr>
                <w:noProof/>
                <w:webHidden/>
              </w:rPr>
              <w:fldChar w:fldCharType="separate"/>
            </w:r>
            <w:r w:rsidR="00375534">
              <w:rPr>
                <w:noProof/>
                <w:webHidden/>
              </w:rPr>
              <w:t>114</w:t>
            </w:r>
            <w:r w:rsidR="00375534">
              <w:rPr>
                <w:noProof/>
                <w:webHidden/>
              </w:rPr>
              <w:fldChar w:fldCharType="end"/>
            </w:r>
          </w:hyperlink>
        </w:p>
        <w:p w14:paraId="57E90FE4" w14:textId="0D0C8265" w:rsidR="00375534" w:rsidRDefault="00573A1D">
          <w:pPr>
            <w:pStyle w:val="TOC1"/>
            <w:tabs>
              <w:tab w:val="left" w:pos="400"/>
              <w:tab w:val="right" w:leader="dot" w:pos="9350"/>
            </w:tabs>
            <w:rPr>
              <w:rFonts w:eastAsiaTheme="minorEastAsia" w:cstheme="minorBidi"/>
              <w:b w:val="0"/>
              <w:smallCaps w:val="0"/>
              <w:noProof/>
            </w:rPr>
          </w:pPr>
          <w:hyperlink w:anchor="_Toc113619838" w:history="1">
            <w:r w:rsidR="00375534" w:rsidRPr="00A63C77">
              <w:rPr>
                <w:rStyle w:val="Hyperlink"/>
                <w:noProof/>
                <w14:scene3d>
                  <w14:camera w14:prst="orthographicFront"/>
                  <w14:lightRig w14:rig="threePt" w14:dir="t">
                    <w14:rot w14:lat="0" w14:lon="0" w14:rev="0"/>
                  </w14:lightRig>
                </w14:scene3d>
              </w:rPr>
              <w:t>6</w:t>
            </w:r>
            <w:r w:rsidR="00375534">
              <w:rPr>
                <w:rFonts w:eastAsiaTheme="minorEastAsia" w:cstheme="minorBidi"/>
                <w:b w:val="0"/>
                <w:smallCaps w:val="0"/>
                <w:noProof/>
              </w:rPr>
              <w:tab/>
            </w:r>
            <w:r w:rsidR="00375534" w:rsidRPr="00A63C77">
              <w:rPr>
                <w:rStyle w:val="Hyperlink"/>
                <w:noProof/>
              </w:rPr>
              <w:t>Appendix A: Overview of NTG Methods</w:t>
            </w:r>
            <w:r w:rsidR="00375534">
              <w:rPr>
                <w:noProof/>
                <w:webHidden/>
              </w:rPr>
              <w:tab/>
            </w:r>
            <w:r w:rsidR="00375534">
              <w:rPr>
                <w:noProof/>
                <w:webHidden/>
              </w:rPr>
              <w:fldChar w:fldCharType="begin"/>
            </w:r>
            <w:r w:rsidR="00375534">
              <w:rPr>
                <w:noProof/>
                <w:webHidden/>
              </w:rPr>
              <w:instrText xml:space="preserve"> PAGEREF _Toc113619838 \h </w:instrText>
            </w:r>
            <w:r w:rsidR="00375534">
              <w:rPr>
                <w:noProof/>
                <w:webHidden/>
              </w:rPr>
            </w:r>
            <w:r w:rsidR="00375534">
              <w:rPr>
                <w:noProof/>
                <w:webHidden/>
              </w:rPr>
              <w:fldChar w:fldCharType="separate"/>
            </w:r>
            <w:r w:rsidR="00375534">
              <w:rPr>
                <w:noProof/>
                <w:webHidden/>
              </w:rPr>
              <w:t>117</w:t>
            </w:r>
            <w:r w:rsidR="00375534">
              <w:rPr>
                <w:noProof/>
                <w:webHidden/>
              </w:rPr>
              <w:fldChar w:fldCharType="end"/>
            </w:r>
          </w:hyperlink>
        </w:p>
        <w:p w14:paraId="23139591" w14:textId="7DE50F71" w:rsidR="00375534" w:rsidRDefault="00573A1D">
          <w:pPr>
            <w:pStyle w:val="TOC2"/>
            <w:tabs>
              <w:tab w:val="left" w:pos="800"/>
              <w:tab w:val="right" w:leader="dot" w:pos="9350"/>
            </w:tabs>
            <w:rPr>
              <w:rFonts w:eastAsiaTheme="minorEastAsia" w:cstheme="minorBidi"/>
              <w:noProof/>
              <w:sz w:val="22"/>
            </w:rPr>
          </w:pPr>
          <w:hyperlink w:anchor="_Toc113619839" w:history="1">
            <w:r w:rsidR="00375534" w:rsidRPr="00A63C77">
              <w:rPr>
                <w:rStyle w:val="Hyperlink"/>
                <w:noProof/>
              </w:rPr>
              <w:t>6.1</w:t>
            </w:r>
            <w:r w:rsidR="00375534">
              <w:rPr>
                <w:rFonts w:eastAsiaTheme="minorEastAsia" w:cstheme="minorBidi"/>
                <w:noProof/>
                <w:sz w:val="22"/>
              </w:rPr>
              <w:tab/>
            </w:r>
            <w:r w:rsidR="00375534" w:rsidRPr="00A63C77">
              <w:rPr>
                <w:rStyle w:val="Hyperlink"/>
                <w:noProof/>
              </w:rPr>
              <w:t>Survey-Based Approaches</w:t>
            </w:r>
            <w:r w:rsidR="00375534">
              <w:rPr>
                <w:noProof/>
                <w:webHidden/>
              </w:rPr>
              <w:tab/>
            </w:r>
            <w:r w:rsidR="00375534">
              <w:rPr>
                <w:noProof/>
                <w:webHidden/>
              </w:rPr>
              <w:fldChar w:fldCharType="begin"/>
            </w:r>
            <w:r w:rsidR="00375534">
              <w:rPr>
                <w:noProof/>
                <w:webHidden/>
              </w:rPr>
              <w:instrText xml:space="preserve"> PAGEREF _Toc113619839 \h </w:instrText>
            </w:r>
            <w:r w:rsidR="00375534">
              <w:rPr>
                <w:noProof/>
                <w:webHidden/>
              </w:rPr>
            </w:r>
            <w:r w:rsidR="00375534">
              <w:rPr>
                <w:noProof/>
                <w:webHidden/>
              </w:rPr>
              <w:fldChar w:fldCharType="separate"/>
            </w:r>
            <w:r w:rsidR="00375534">
              <w:rPr>
                <w:noProof/>
                <w:webHidden/>
              </w:rPr>
              <w:t>117</w:t>
            </w:r>
            <w:r w:rsidR="00375534">
              <w:rPr>
                <w:noProof/>
                <w:webHidden/>
              </w:rPr>
              <w:fldChar w:fldCharType="end"/>
            </w:r>
          </w:hyperlink>
        </w:p>
        <w:p w14:paraId="415D9931" w14:textId="6F2929E7" w:rsidR="00375534" w:rsidRDefault="00573A1D">
          <w:pPr>
            <w:pStyle w:val="TOC3"/>
            <w:rPr>
              <w:rFonts w:eastAsiaTheme="minorEastAsia" w:cstheme="minorBidi"/>
              <w:noProof/>
              <w:sz w:val="22"/>
            </w:rPr>
          </w:pPr>
          <w:hyperlink w:anchor="_Toc113619840" w:history="1">
            <w:r w:rsidR="00375534" w:rsidRPr="00A63C77">
              <w:rPr>
                <w:rStyle w:val="Hyperlink"/>
                <w:noProof/>
                <w14:scene3d>
                  <w14:camera w14:prst="orthographicFront"/>
                  <w14:lightRig w14:rig="threePt" w14:dir="t">
                    <w14:rot w14:lat="0" w14:lon="0" w14:rev="0"/>
                  </w14:lightRig>
                </w14:scene3d>
              </w:rPr>
              <w:t>6.1.1</w:t>
            </w:r>
            <w:r w:rsidR="00375534">
              <w:rPr>
                <w:rFonts w:eastAsiaTheme="minorEastAsia" w:cstheme="minorBidi"/>
                <w:noProof/>
                <w:sz w:val="22"/>
              </w:rPr>
              <w:tab/>
            </w:r>
            <w:r w:rsidR="00375534" w:rsidRPr="00A63C77">
              <w:rPr>
                <w:rStyle w:val="Hyperlink"/>
                <w:noProof/>
              </w:rPr>
              <w:t>Self-Report Approach</w:t>
            </w:r>
            <w:r w:rsidR="00375534">
              <w:rPr>
                <w:noProof/>
                <w:webHidden/>
              </w:rPr>
              <w:tab/>
            </w:r>
            <w:r w:rsidR="00375534">
              <w:rPr>
                <w:noProof/>
                <w:webHidden/>
              </w:rPr>
              <w:fldChar w:fldCharType="begin"/>
            </w:r>
            <w:r w:rsidR="00375534">
              <w:rPr>
                <w:noProof/>
                <w:webHidden/>
              </w:rPr>
              <w:instrText xml:space="preserve"> PAGEREF _Toc113619840 \h </w:instrText>
            </w:r>
            <w:r w:rsidR="00375534">
              <w:rPr>
                <w:noProof/>
                <w:webHidden/>
              </w:rPr>
            </w:r>
            <w:r w:rsidR="00375534">
              <w:rPr>
                <w:noProof/>
                <w:webHidden/>
              </w:rPr>
              <w:fldChar w:fldCharType="separate"/>
            </w:r>
            <w:r w:rsidR="00375534">
              <w:rPr>
                <w:noProof/>
                <w:webHidden/>
              </w:rPr>
              <w:t>117</w:t>
            </w:r>
            <w:r w:rsidR="00375534">
              <w:rPr>
                <w:noProof/>
                <w:webHidden/>
              </w:rPr>
              <w:fldChar w:fldCharType="end"/>
            </w:r>
          </w:hyperlink>
        </w:p>
        <w:p w14:paraId="3ECACB83" w14:textId="50A8AE4E" w:rsidR="00375534" w:rsidRDefault="00573A1D">
          <w:pPr>
            <w:pStyle w:val="TOC3"/>
            <w:rPr>
              <w:rFonts w:eastAsiaTheme="minorEastAsia" w:cstheme="minorBidi"/>
              <w:noProof/>
              <w:sz w:val="22"/>
            </w:rPr>
          </w:pPr>
          <w:hyperlink w:anchor="_Toc113619841" w:history="1">
            <w:r w:rsidR="00375534" w:rsidRPr="00A63C77">
              <w:rPr>
                <w:rStyle w:val="Hyperlink"/>
                <w:noProof/>
                <w14:scene3d>
                  <w14:camera w14:prst="orthographicFront"/>
                  <w14:lightRig w14:rig="threePt" w14:dir="t">
                    <w14:rot w14:lat="0" w14:lon="0" w14:rev="0"/>
                  </w14:lightRig>
                </w14:scene3d>
              </w:rPr>
              <w:t>6.1.2</w:t>
            </w:r>
            <w:r w:rsidR="00375534">
              <w:rPr>
                <w:rFonts w:eastAsiaTheme="minorEastAsia" w:cstheme="minorBidi"/>
                <w:noProof/>
                <w:sz w:val="22"/>
              </w:rPr>
              <w:tab/>
            </w:r>
            <w:r w:rsidR="00375534" w:rsidRPr="00A63C77">
              <w:rPr>
                <w:rStyle w:val="Hyperlink"/>
                <w:noProof/>
              </w:rPr>
              <w:t>Econometric/Revealed Preference Approach</w:t>
            </w:r>
            <w:r w:rsidR="00375534">
              <w:rPr>
                <w:noProof/>
                <w:webHidden/>
              </w:rPr>
              <w:tab/>
            </w:r>
            <w:r w:rsidR="00375534">
              <w:rPr>
                <w:noProof/>
                <w:webHidden/>
              </w:rPr>
              <w:fldChar w:fldCharType="begin"/>
            </w:r>
            <w:r w:rsidR="00375534">
              <w:rPr>
                <w:noProof/>
                <w:webHidden/>
              </w:rPr>
              <w:instrText xml:space="preserve"> PAGEREF _Toc113619841 \h </w:instrText>
            </w:r>
            <w:r w:rsidR="00375534">
              <w:rPr>
                <w:noProof/>
                <w:webHidden/>
              </w:rPr>
            </w:r>
            <w:r w:rsidR="00375534">
              <w:rPr>
                <w:noProof/>
                <w:webHidden/>
              </w:rPr>
              <w:fldChar w:fldCharType="separate"/>
            </w:r>
            <w:r w:rsidR="00375534">
              <w:rPr>
                <w:noProof/>
                <w:webHidden/>
              </w:rPr>
              <w:t>118</w:t>
            </w:r>
            <w:r w:rsidR="00375534">
              <w:rPr>
                <w:noProof/>
                <w:webHidden/>
              </w:rPr>
              <w:fldChar w:fldCharType="end"/>
            </w:r>
          </w:hyperlink>
        </w:p>
        <w:p w14:paraId="04EE2AD9" w14:textId="430D7925" w:rsidR="00375534" w:rsidRDefault="00573A1D">
          <w:pPr>
            <w:pStyle w:val="TOC2"/>
            <w:tabs>
              <w:tab w:val="left" w:pos="800"/>
              <w:tab w:val="right" w:leader="dot" w:pos="9350"/>
            </w:tabs>
            <w:rPr>
              <w:rFonts w:eastAsiaTheme="minorEastAsia" w:cstheme="minorBidi"/>
              <w:noProof/>
              <w:sz w:val="22"/>
            </w:rPr>
          </w:pPr>
          <w:hyperlink w:anchor="_Toc113619842" w:history="1">
            <w:r w:rsidR="00375534" w:rsidRPr="00A63C77">
              <w:rPr>
                <w:rStyle w:val="Hyperlink"/>
                <w:noProof/>
              </w:rPr>
              <w:t>6.2</w:t>
            </w:r>
            <w:r w:rsidR="00375534">
              <w:rPr>
                <w:rFonts w:eastAsiaTheme="minorEastAsia" w:cstheme="minorBidi"/>
                <w:noProof/>
                <w:sz w:val="22"/>
              </w:rPr>
              <w:tab/>
            </w:r>
            <w:r w:rsidR="00375534" w:rsidRPr="00A63C77">
              <w:rPr>
                <w:rStyle w:val="Hyperlink"/>
                <w:noProof/>
              </w:rPr>
              <w:t>NTG with Consumption Data Analysis</w:t>
            </w:r>
            <w:r w:rsidR="00375534">
              <w:rPr>
                <w:noProof/>
                <w:webHidden/>
              </w:rPr>
              <w:tab/>
            </w:r>
            <w:r w:rsidR="00375534">
              <w:rPr>
                <w:noProof/>
                <w:webHidden/>
              </w:rPr>
              <w:fldChar w:fldCharType="begin"/>
            </w:r>
            <w:r w:rsidR="00375534">
              <w:rPr>
                <w:noProof/>
                <w:webHidden/>
              </w:rPr>
              <w:instrText xml:space="preserve"> PAGEREF _Toc113619842 \h </w:instrText>
            </w:r>
            <w:r w:rsidR="00375534">
              <w:rPr>
                <w:noProof/>
                <w:webHidden/>
              </w:rPr>
            </w:r>
            <w:r w:rsidR="00375534">
              <w:rPr>
                <w:noProof/>
                <w:webHidden/>
              </w:rPr>
              <w:fldChar w:fldCharType="separate"/>
            </w:r>
            <w:r w:rsidR="00375534">
              <w:rPr>
                <w:noProof/>
                <w:webHidden/>
              </w:rPr>
              <w:t>118</w:t>
            </w:r>
            <w:r w:rsidR="00375534">
              <w:rPr>
                <w:noProof/>
                <w:webHidden/>
              </w:rPr>
              <w:fldChar w:fldCharType="end"/>
            </w:r>
          </w:hyperlink>
        </w:p>
        <w:p w14:paraId="3FEE7A88" w14:textId="1ABC0FA1" w:rsidR="00375534" w:rsidRDefault="00573A1D">
          <w:pPr>
            <w:pStyle w:val="TOC2"/>
            <w:tabs>
              <w:tab w:val="left" w:pos="800"/>
              <w:tab w:val="right" w:leader="dot" w:pos="9350"/>
            </w:tabs>
            <w:rPr>
              <w:rFonts w:eastAsiaTheme="minorEastAsia" w:cstheme="minorBidi"/>
              <w:noProof/>
              <w:sz w:val="22"/>
            </w:rPr>
          </w:pPr>
          <w:hyperlink w:anchor="_Toc113619843" w:history="1">
            <w:r w:rsidR="00375534" w:rsidRPr="00A63C77">
              <w:rPr>
                <w:rStyle w:val="Hyperlink"/>
                <w:noProof/>
              </w:rPr>
              <w:t>6.3</w:t>
            </w:r>
            <w:r w:rsidR="00375534">
              <w:rPr>
                <w:rFonts w:eastAsiaTheme="minorEastAsia" w:cstheme="minorBidi"/>
                <w:noProof/>
                <w:sz w:val="22"/>
              </w:rPr>
              <w:tab/>
            </w:r>
            <w:r w:rsidR="00375534" w:rsidRPr="00A63C77">
              <w:rPr>
                <w:rStyle w:val="Hyperlink"/>
                <w:noProof/>
              </w:rPr>
              <w:t>Deemed or Stipulated NTG Ratios</w:t>
            </w:r>
            <w:r w:rsidR="00375534">
              <w:rPr>
                <w:noProof/>
                <w:webHidden/>
              </w:rPr>
              <w:tab/>
            </w:r>
            <w:r w:rsidR="00375534">
              <w:rPr>
                <w:noProof/>
                <w:webHidden/>
              </w:rPr>
              <w:fldChar w:fldCharType="begin"/>
            </w:r>
            <w:r w:rsidR="00375534">
              <w:rPr>
                <w:noProof/>
                <w:webHidden/>
              </w:rPr>
              <w:instrText xml:space="preserve"> PAGEREF _Toc113619843 \h </w:instrText>
            </w:r>
            <w:r w:rsidR="00375534">
              <w:rPr>
                <w:noProof/>
                <w:webHidden/>
              </w:rPr>
            </w:r>
            <w:r w:rsidR="00375534">
              <w:rPr>
                <w:noProof/>
                <w:webHidden/>
              </w:rPr>
              <w:fldChar w:fldCharType="separate"/>
            </w:r>
            <w:r w:rsidR="00375534">
              <w:rPr>
                <w:noProof/>
                <w:webHidden/>
              </w:rPr>
              <w:t>118</w:t>
            </w:r>
            <w:r w:rsidR="00375534">
              <w:rPr>
                <w:noProof/>
                <w:webHidden/>
              </w:rPr>
              <w:fldChar w:fldCharType="end"/>
            </w:r>
          </w:hyperlink>
        </w:p>
        <w:p w14:paraId="3ADF99FC" w14:textId="629EF8D6" w:rsidR="00375534" w:rsidRDefault="00573A1D">
          <w:pPr>
            <w:pStyle w:val="TOC2"/>
            <w:tabs>
              <w:tab w:val="left" w:pos="800"/>
              <w:tab w:val="right" w:leader="dot" w:pos="9350"/>
            </w:tabs>
            <w:rPr>
              <w:rFonts w:eastAsiaTheme="minorEastAsia" w:cstheme="minorBidi"/>
              <w:noProof/>
              <w:sz w:val="22"/>
            </w:rPr>
          </w:pPr>
          <w:hyperlink w:anchor="_Toc113619844" w:history="1">
            <w:r w:rsidR="00375534" w:rsidRPr="00A63C77">
              <w:rPr>
                <w:rStyle w:val="Hyperlink"/>
                <w:noProof/>
              </w:rPr>
              <w:t>6.4</w:t>
            </w:r>
            <w:r w:rsidR="00375534">
              <w:rPr>
                <w:rFonts w:eastAsiaTheme="minorEastAsia" w:cstheme="minorBidi"/>
                <w:noProof/>
                <w:sz w:val="22"/>
              </w:rPr>
              <w:tab/>
            </w:r>
            <w:r w:rsidR="00375534" w:rsidRPr="00A63C77">
              <w:rPr>
                <w:rStyle w:val="Hyperlink"/>
                <w:noProof/>
              </w:rPr>
              <w:t>Common Practice Baseline Approaches</w:t>
            </w:r>
            <w:r w:rsidR="00375534">
              <w:rPr>
                <w:noProof/>
                <w:webHidden/>
              </w:rPr>
              <w:tab/>
            </w:r>
            <w:r w:rsidR="00375534">
              <w:rPr>
                <w:noProof/>
                <w:webHidden/>
              </w:rPr>
              <w:fldChar w:fldCharType="begin"/>
            </w:r>
            <w:r w:rsidR="00375534">
              <w:rPr>
                <w:noProof/>
                <w:webHidden/>
              </w:rPr>
              <w:instrText xml:space="preserve"> PAGEREF _Toc113619844 \h </w:instrText>
            </w:r>
            <w:r w:rsidR="00375534">
              <w:rPr>
                <w:noProof/>
                <w:webHidden/>
              </w:rPr>
            </w:r>
            <w:r w:rsidR="00375534">
              <w:rPr>
                <w:noProof/>
                <w:webHidden/>
              </w:rPr>
              <w:fldChar w:fldCharType="separate"/>
            </w:r>
            <w:r w:rsidR="00375534">
              <w:rPr>
                <w:noProof/>
                <w:webHidden/>
              </w:rPr>
              <w:t>118</w:t>
            </w:r>
            <w:r w:rsidR="00375534">
              <w:rPr>
                <w:noProof/>
                <w:webHidden/>
              </w:rPr>
              <w:fldChar w:fldCharType="end"/>
            </w:r>
          </w:hyperlink>
        </w:p>
        <w:p w14:paraId="2F232593" w14:textId="7AF2E228" w:rsidR="00375534" w:rsidRDefault="00573A1D">
          <w:pPr>
            <w:pStyle w:val="TOC2"/>
            <w:tabs>
              <w:tab w:val="left" w:pos="800"/>
              <w:tab w:val="right" w:leader="dot" w:pos="9350"/>
            </w:tabs>
            <w:rPr>
              <w:rFonts w:eastAsiaTheme="minorEastAsia" w:cstheme="minorBidi"/>
              <w:noProof/>
              <w:sz w:val="22"/>
            </w:rPr>
          </w:pPr>
          <w:hyperlink w:anchor="_Toc113619845" w:history="1">
            <w:r w:rsidR="00375534" w:rsidRPr="00A63C77">
              <w:rPr>
                <w:rStyle w:val="Hyperlink"/>
                <w:noProof/>
              </w:rPr>
              <w:t>6.5</w:t>
            </w:r>
            <w:r w:rsidR="00375534">
              <w:rPr>
                <w:rFonts w:eastAsiaTheme="minorEastAsia" w:cstheme="minorBidi"/>
                <w:noProof/>
                <w:sz w:val="22"/>
              </w:rPr>
              <w:tab/>
            </w:r>
            <w:r w:rsidR="00375534" w:rsidRPr="00A63C77">
              <w:rPr>
                <w:rStyle w:val="Hyperlink"/>
                <w:noProof/>
              </w:rPr>
              <w:t>Market Analyses</w:t>
            </w:r>
            <w:r w:rsidR="00375534">
              <w:rPr>
                <w:noProof/>
                <w:webHidden/>
              </w:rPr>
              <w:tab/>
            </w:r>
            <w:r w:rsidR="00375534">
              <w:rPr>
                <w:noProof/>
                <w:webHidden/>
              </w:rPr>
              <w:fldChar w:fldCharType="begin"/>
            </w:r>
            <w:r w:rsidR="00375534">
              <w:rPr>
                <w:noProof/>
                <w:webHidden/>
              </w:rPr>
              <w:instrText xml:space="preserve"> PAGEREF _Toc113619845 \h </w:instrText>
            </w:r>
            <w:r w:rsidR="00375534">
              <w:rPr>
                <w:noProof/>
                <w:webHidden/>
              </w:rPr>
            </w:r>
            <w:r w:rsidR="00375534">
              <w:rPr>
                <w:noProof/>
                <w:webHidden/>
              </w:rPr>
              <w:fldChar w:fldCharType="separate"/>
            </w:r>
            <w:r w:rsidR="00375534">
              <w:rPr>
                <w:noProof/>
                <w:webHidden/>
              </w:rPr>
              <w:t>118</w:t>
            </w:r>
            <w:r w:rsidR="00375534">
              <w:rPr>
                <w:noProof/>
                <w:webHidden/>
              </w:rPr>
              <w:fldChar w:fldCharType="end"/>
            </w:r>
          </w:hyperlink>
        </w:p>
        <w:p w14:paraId="726547C0" w14:textId="74735478" w:rsidR="00375534" w:rsidRDefault="00573A1D">
          <w:pPr>
            <w:pStyle w:val="TOC2"/>
            <w:tabs>
              <w:tab w:val="left" w:pos="800"/>
              <w:tab w:val="right" w:leader="dot" w:pos="9350"/>
            </w:tabs>
            <w:rPr>
              <w:rFonts w:eastAsiaTheme="minorEastAsia" w:cstheme="minorBidi"/>
              <w:noProof/>
              <w:sz w:val="22"/>
            </w:rPr>
          </w:pPr>
          <w:hyperlink w:anchor="_Toc113619846" w:history="1">
            <w:r w:rsidR="00375534" w:rsidRPr="00A63C77">
              <w:rPr>
                <w:rStyle w:val="Hyperlink"/>
                <w:noProof/>
              </w:rPr>
              <w:t>6.6</w:t>
            </w:r>
            <w:r w:rsidR="00375534">
              <w:rPr>
                <w:rFonts w:eastAsiaTheme="minorEastAsia" w:cstheme="minorBidi"/>
                <w:noProof/>
                <w:sz w:val="22"/>
              </w:rPr>
              <w:tab/>
            </w:r>
            <w:r w:rsidR="00375534" w:rsidRPr="00A63C77">
              <w:rPr>
                <w:rStyle w:val="Hyperlink"/>
                <w:noProof/>
              </w:rPr>
              <w:t>Structured Expert Judgment Approaches</w:t>
            </w:r>
            <w:r w:rsidR="00375534">
              <w:rPr>
                <w:noProof/>
                <w:webHidden/>
              </w:rPr>
              <w:tab/>
            </w:r>
            <w:r w:rsidR="00375534">
              <w:rPr>
                <w:noProof/>
                <w:webHidden/>
              </w:rPr>
              <w:fldChar w:fldCharType="begin"/>
            </w:r>
            <w:r w:rsidR="00375534">
              <w:rPr>
                <w:noProof/>
                <w:webHidden/>
              </w:rPr>
              <w:instrText xml:space="preserve"> PAGEREF _Toc113619846 \h </w:instrText>
            </w:r>
            <w:r w:rsidR="00375534">
              <w:rPr>
                <w:noProof/>
                <w:webHidden/>
              </w:rPr>
            </w:r>
            <w:r w:rsidR="00375534">
              <w:rPr>
                <w:noProof/>
                <w:webHidden/>
              </w:rPr>
              <w:fldChar w:fldCharType="separate"/>
            </w:r>
            <w:r w:rsidR="00375534">
              <w:rPr>
                <w:noProof/>
                <w:webHidden/>
              </w:rPr>
              <w:t>119</w:t>
            </w:r>
            <w:r w:rsidR="00375534">
              <w:rPr>
                <w:noProof/>
                <w:webHidden/>
              </w:rPr>
              <w:fldChar w:fldCharType="end"/>
            </w:r>
          </w:hyperlink>
        </w:p>
        <w:p w14:paraId="327E784D" w14:textId="1907A6BD" w:rsidR="00375534" w:rsidRDefault="00573A1D">
          <w:pPr>
            <w:pStyle w:val="TOC2"/>
            <w:tabs>
              <w:tab w:val="left" w:pos="800"/>
              <w:tab w:val="right" w:leader="dot" w:pos="9350"/>
            </w:tabs>
            <w:rPr>
              <w:rFonts w:eastAsiaTheme="minorEastAsia" w:cstheme="minorBidi"/>
              <w:noProof/>
              <w:sz w:val="22"/>
            </w:rPr>
          </w:pPr>
          <w:hyperlink w:anchor="_Toc113619847" w:history="1">
            <w:r w:rsidR="00375534" w:rsidRPr="00A63C77">
              <w:rPr>
                <w:rStyle w:val="Hyperlink"/>
                <w:noProof/>
              </w:rPr>
              <w:t>6.7</w:t>
            </w:r>
            <w:r w:rsidR="00375534">
              <w:rPr>
                <w:rFonts w:eastAsiaTheme="minorEastAsia" w:cstheme="minorBidi"/>
                <w:noProof/>
                <w:sz w:val="22"/>
              </w:rPr>
              <w:tab/>
            </w:r>
            <w:r w:rsidR="00375534" w:rsidRPr="00A63C77">
              <w:rPr>
                <w:rStyle w:val="Hyperlink"/>
                <w:noProof/>
              </w:rPr>
              <w:t>Program Theory-Driven Approach</w:t>
            </w:r>
            <w:r w:rsidR="00375534">
              <w:rPr>
                <w:noProof/>
                <w:webHidden/>
              </w:rPr>
              <w:tab/>
            </w:r>
            <w:r w:rsidR="00375534">
              <w:rPr>
                <w:noProof/>
                <w:webHidden/>
              </w:rPr>
              <w:fldChar w:fldCharType="begin"/>
            </w:r>
            <w:r w:rsidR="00375534">
              <w:rPr>
                <w:noProof/>
                <w:webHidden/>
              </w:rPr>
              <w:instrText xml:space="preserve"> PAGEREF _Toc113619847 \h </w:instrText>
            </w:r>
            <w:r w:rsidR="00375534">
              <w:rPr>
                <w:noProof/>
                <w:webHidden/>
              </w:rPr>
            </w:r>
            <w:r w:rsidR="00375534">
              <w:rPr>
                <w:noProof/>
                <w:webHidden/>
              </w:rPr>
              <w:fldChar w:fldCharType="separate"/>
            </w:r>
            <w:r w:rsidR="00375534">
              <w:rPr>
                <w:noProof/>
                <w:webHidden/>
              </w:rPr>
              <w:t>119</w:t>
            </w:r>
            <w:r w:rsidR="00375534">
              <w:rPr>
                <w:noProof/>
                <w:webHidden/>
              </w:rPr>
              <w:fldChar w:fldCharType="end"/>
            </w:r>
          </w:hyperlink>
        </w:p>
        <w:p w14:paraId="38D9FD03" w14:textId="63B46A43" w:rsidR="00375534" w:rsidRDefault="00573A1D">
          <w:pPr>
            <w:pStyle w:val="TOC2"/>
            <w:tabs>
              <w:tab w:val="left" w:pos="800"/>
              <w:tab w:val="right" w:leader="dot" w:pos="9350"/>
            </w:tabs>
            <w:rPr>
              <w:rFonts w:eastAsiaTheme="minorEastAsia" w:cstheme="minorBidi"/>
              <w:noProof/>
              <w:sz w:val="22"/>
            </w:rPr>
          </w:pPr>
          <w:hyperlink w:anchor="_Toc113619848" w:history="1">
            <w:r w:rsidR="00375534" w:rsidRPr="00A63C77">
              <w:rPr>
                <w:rStyle w:val="Hyperlink"/>
                <w:noProof/>
              </w:rPr>
              <w:t>6.8</w:t>
            </w:r>
            <w:r w:rsidR="00375534">
              <w:rPr>
                <w:rFonts w:eastAsiaTheme="minorEastAsia" w:cstheme="minorBidi"/>
                <w:noProof/>
                <w:sz w:val="22"/>
              </w:rPr>
              <w:tab/>
            </w:r>
            <w:r w:rsidR="00375534" w:rsidRPr="00A63C77">
              <w:rPr>
                <w:rStyle w:val="Hyperlink"/>
                <w:noProof/>
              </w:rPr>
              <w:t>Case Studies Design</w:t>
            </w:r>
            <w:r w:rsidR="00375534">
              <w:rPr>
                <w:noProof/>
                <w:webHidden/>
              </w:rPr>
              <w:tab/>
            </w:r>
            <w:r w:rsidR="00375534">
              <w:rPr>
                <w:noProof/>
                <w:webHidden/>
              </w:rPr>
              <w:fldChar w:fldCharType="begin"/>
            </w:r>
            <w:r w:rsidR="00375534">
              <w:rPr>
                <w:noProof/>
                <w:webHidden/>
              </w:rPr>
              <w:instrText xml:space="preserve"> PAGEREF _Toc113619848 \h </w:instrText>
            </w:r>
            <w:r w:rsidR="00375534">
              <w:rPr>
                <w:noProof/>
                <w:webHidden/>
              </w:rPr>
            </w:r>
            <w:r w:rsidR="00375534">
              <w:rPr>
                <w:noProof/>
                <w:webHidden/>
              </w:rPr>
              <w:fldChar w:fldCharType="separate"/>
            </w:r>
            <w:r w:rsidR="00375534">
              <w:rPr>
                <w:noProof/>
                <w:webHidden/>
              </w:rPr>
              <w:t>120</w:t>
            </w:r>
            <w:r w:rsidR="00375534">
              <w:rPr>
                <w:noProof/>
                <w:webHidden/>
              </w:rPr>
              <w:fldChar w:fldCharType="end"/>
            </w:r>
          </w:hyperlink>
        </w:p>
        <w:p w14:paraId="1DCC2A2B" w14:textId="147F61A3" w:rsidR="00375534" w:rsidRDefault="00573A1D">
          <w:pPr>
            <w:pStyle w:val="TOC1"/>
            <w:tabs>
              <w:tab w:val="left" w:pos="400"/>
              <w:tab w:val="right" w:leader="dot" w:pos="9350"/>
            </w:tabs>
            <w:rPr>
              <w:rFonts w:eastAsiaTheme="minorEastAsia" w:cstheme="minorBidi"/>
              <w:b w:val="0"/>
              <w:smallCaps w:val="0"/>
              <w:noProof/>
            </w:rPr>
          </w:pPr>
          <w:hyperlink w:anchor="_Toc113619849" w:history="1">
            <w:r w:rsidR="00375534" w:rsidRPr="00A63C77">
              <w:rPr>
                <w:rStyle w:val="Hyperlink"/>
                <w:noProof/>
                <w14:scene3d>
                  <w14:camera w14:prst="orthographicFront"/>
                  <w14:lightRig w14:rig="threePt" w14:dir="t">
                    <w14:rot w14:lat="0" w14:lon="0" w14:rev="0"/>
                  </w14:lightRig>
                </w14:scene3d>
              </w:rPr>
              <w:t>7</w:t>
            </w:r>
            <w:r w:rsidR="00375534">
              <w:rPr>
                <w:rFonts w:eastAsiaTheme="minorEastAsia" w:cstheme="minorBidi"/>
                <w:b w:val="0"/>
                <w:smallCaps w:val="0"/>
                <w:noProof/>
              </w:rPr>
              <w:tab/>
            </w:r>
            <w:r w:rsidR="00375534" w:rsidRPr="00A63C77">
              <w:rPr>
                <w:rStyle w:val="Hyperlink"/>
                <w:noProof/>
              </w:rPr>
              <w:t>Appendix B: References</w:t>
            </w:r>
            <w:r w:rsidR="00375534">
              <w:rPr>
                <w:noProof/>
                <w:webHidden/>
              </w:rPr>
              <w:tab/>
            </w:r>
            <w:r w:rsidR="00375534">
              <w:rPr>
                <w:noProof/>
                <w:webHidden/>
              </w:rPr>
              <w:fldChar w:fldCharType="begin"/>
            </w:r>
            <w:r w:rsidR="00375534">
              <w:rPr>
                <w:noProof/>
                <w:webHidden/>
              </w:rPr>
              <w:instrText xml:space="preserve"> PAGEREF _Toc113619849 \h </w:instrText>
            </w:r>
            <w:r w:rsidR="00375534">
              <w:rPr>
                <w:noProof/>
                <w:webHidden/>
              </w:rPr>
            </w:r>
            <w:r w:rsidR="00375534">
              <w:rPr>
                <w:noProof/>
                <w:webHidden/>
              </w:rPr>
              <w:fldChar w:fldCharType="separate"/>
            </w:r>
            <w:r w:rsidR="00375534">
              <w:rPr>
                <w:noProof/>
                <w:webHidden/>
              </w:rPr>
              <w:t>121</w:t>
            </w:r>
            <w:r w:rsidR="00375534">
              <w:rPr>
                <w:noProof/>
                <w:webHidden/>
              </w:rPr>
              <w:fldChar w:fldCharType="end"/>
            </w:r>
          </w:hyperlink>
        </w:p>
        <w:p w14:paraId="3C7A7170" w14:textId="429BBF6B" w:rsidR="00375534" w:rsidRDefault="00573A1D">
          <w:pPr>
            <w:pStyle w:val="TOC1"/>
            <w:tabs>
              <w:tab w:val="right" w:leader="dot" w:pos="9350"/>
            </w:tabs>
            <w:rPr>
              <w:rFonts w:eastAsiaTheme="minorEastAsia" w:cstheme="minorBidi"/>
              <w:b w:val="0"/>
              <w:smallCaps w:val="0"/>
              <w:noProof/>
            </w:rPr>
          </w:pPr>
          <w:hyperlink w:anchor="_Toc113619850" w:history="1">
            <w:r w:rsidR="00375534" w:rsidRPr="00A63C77">
              <w:rPr>
                <w:rStyle w:val="Hyperlink"/>
                <w:rFonts w:eastAsia="Franklin Gothic Book"/>
                <w:noProof/>
              </w:rPr>
              <w:t>Attachment B: Effective Useful Life for Custom Measure Guidelines</w:t>
            </w:r>
            <w:r w:rsidR="00375534">
              <w:rPr>
                <w:noProof/>
                <w:webHidden/>
              </w:rPr>
              <w:tab/>
            </w:r>
            <w:r w:rsidR="00375534">
              <w:rPr>
                <w:noProof/>
                <w:webHidden/>
              </w:rPr>
              <w:fldChar w:fldCharType="begin"/>
            </w:r>
            <w:r w:rsidR="00375534">
              <w:rPr>
                <w:noProof/>
                <w:webHidden/>
              </w:rPr>
              <w:instrText xml:space="preserve"> PAGEREF _Toc113619850 \h </w:instrText>
            </w:r>
            <w:r w:rsidR="00375534">
              <w:rPr>
                <w:noProof/>
                <w:webHidden/>
              </w:rPr>
            </w:r>
            <w:r w:rsidR="00375534">
              <w:rPr>
                <w:noProof/>
                <w:webHidden/>
              </w:rPr>
              <w:fldChar w:fldCharType="separate"/>
            </w:r>
            <w:r w:rsidR="00375534">
              <w:rPr>
                <w:noProof/>
                <w:webHidden/>
              </w:rPr>
              <w:t>123</w:t>
            </w:r>
            <w:r w:rsidR="00375534">
              <w:rPr>
                <w:noProof/>
                <w:webHidden/>
              </w:rPr>
              <w:fldChar w:fldCharType="end"/>
            </w:r>
          </w:hyperlink>
        </w:p>
        <w:p w14:paraId="405EA9E8" w14:textId="7B52D3A6" w:rsidR="00375534" w:rsidRDefault="00573A1D">
          <w:pPr>
            <w:pStyle w:val="TOC1"/>
            <w:tabs>
              <w:tab w:val="right" w:leader="dot" w:pos="9350"/>
            </w:tabs>
            <w:rPr>
              <w:rFonts w:eastAsiaTheme="minorEastAsia" w:cstheme="minorBidi"/>
              <w:b w:val="0"/>
              <w:smallCaps w:val="0"/>
              <w:noProof/>
            </w:rPr>
          </w:pPr>
          <w:hyperlink w:anchor="_Toc113619851" w:history="1">
            <w:r w:rsidR="00375534" w:rsidRPr="00A63C77">
              <w:rPr>
                <w:rStyle w:val="Hyperlink"/>
                <w:noProof/>
              </w:rPr>
              <w:t>Attachment C: Framework for Counting Market Transformation Savings in Illinois</w:t>
            </w:r>
            <w:r w:rsidR="00375534">
              <w:rPr>
                <w:noProof/>
                <w:webHidden/>
              </w:rPr>
              <w:tab/>
            </w:r>
            <w:r w:rsidR="00375534">
              <w:rPr>
                <w:noProof/>
                <w:webHidden/>
              </w:rPr>
              <w:fldChar w:fldCharType="begin"/>
            </w:r>
            <w:r w:rsidR="00375534">
              <w:rPr>
                <w:noProof/>
                <w:webHidden/>
              </w:rPr>
              <w:instrText xml:space="preserve"> PAGEREF _Toc113619851 \h </w:instrText>
            </w:r>
            <w:r w:rsidR="00375534">
              <w:rPr>
                <w:noProof/>
                <w:webHidden/>
              </w:rPr>
            </w:r>
            <w:r w:rsidR="00375534">
              <w:rPr>
                <w:noProof/>
                <w:webHidden/>
              </w:rPr>
              <w:fldChar w:fldCharType="separate"/>
            </w:r>
            <w:r w:rsidR="00375534">
              <w:rPr>
                <w:noProof/>
                <w:webHidden/>
              </w:rPr>
              <w:t>130</w:t>
            </w:r>
            <w:r w:rsidR="00375534">
              <w:rPr>
                <w:noProof/>
                <w:webHidden/>
              </w:rPr>
              <w:fldChar w:fldCharType="end"/>
            </w:r>
          </w:hyperlink>
        </w:p>
        <w:p w14:paraId="0AA9096B" w14:textId="18C8076C" w:rsidR="00375534" w:rsidRDefault="00573A1D">
          <w:pPr>
            <w:pStyle w:val="TOC1"/>
            <w:tabs>
              <w:tab w:val="left" w:pos="400"/>
              <w:tab w:val="right" w:leader="dot" w:pos="9350"/>
            </w:tabs>
            <w:rPr>
              <w:rFonts w:eastAsiaTheme="minorEastAsia" w:cstheme="minorBidi"/>
              <w:b w:val="0"/>
              <w:smallCaps w:val="0"/>
              <w:noProof/>
            </w:rPr>
          </w:pPr>
          <w:hyperlink w:anchor="_Toc113619852" w:history="1">
            <w:r w:rsidR="00375534" w:rsidRPr="00A63C77">
              <w:rPr>
                <w:rStyle w:val="Hyperlink"/>
                <w:noProof/>
              </w:rPr>
              <w:t>1</w:t>
            </w:r>
            <w:r w:rsidR="00375534">
              <w:rPr>
                <w:rFonts w:eastAsiaTheme="minorEastAsia" w:cstheme="minorBidi"/>
                <w:b w:val="0"/>
                <w:smallCaps w:val="0"/>
                <w:noProof/>
              </w:rPr>
              <w:tab/>
            </w:r>
            <w:r w:rsidR="00375534" w:rsidRPr="00A63C77">
              <w:rPr>
                <w:rStyle w:val="Hyperlink"/>
                <w:noProof/>
              </w:rPr>
              <w:t>Market Transformation Context</w:t>
            </w:r>
            <w:r w:rsidR="00375534">
              <w:rPr>
                <w:noProof/>
                <w:webHidden/>
              </w:rPr>
              <w:tab/>
            </w:r>
            <w:r w:rsidR="00375534">
              <w:rPr>
                <w:noProof/>
                <w:webHidden/>
              </w:rPr>
              <w:fldChar w:fldCharType="begin"/>
            </w:r>
            <w:r w:rsidR="00375534">
              <w:rPr>
                <w:noProof/>
                <w:webHidden/>
              </w:rPr>
              <w:instrText xml:space="preserve"> PAGEREF _Toc113619852 \h </w:instrText>
            </w:r>
            <w:r w:rsidR="00375534">
              <w:rPr>
                <w:noProof/>
                <w:webHidden/>
              </w:rPr>
            </w:r>
            <w:r w:rsidR="00375534">
              <w:rPr>
                <w:noProof/>
                <w:webHidden/>
              </w:rPr>
              <w:fldChar w:fldCharType="separate"/>
            </w:r>
            <w:r w:rsidR="00375534">
              <w:rPr>
                <w:noProof/>
                <w:webHidden/>
              </w:rPr>
              <w:t>130</w:t>
            </w:r>
            <w:r w:rsidR="00375534">
              <w:rPr>
                <w:noProof/>
                <w:webHidden/>
              </w:rPr>
              <w:fldChar w:fldCharType="end"/>
            </w:r>
          </w:hyperlink>
        </w:p>
        <w:p w14:paraId="11DB0313" w14:textId="1BA3A5DD" w:rsidR="00375534" w:rsidRDefault="00573A1D">
          <w:pPr>
            <w:pStyle w:val="TOC2"/>
            <w:tabs>
              <w:tab w:val="left" w:pos="800"/>
              <w:tab w:val="right" w:leader="dot" w:pos="9350"/>
            </w:tabs>
            <w:rPr>
              <w:rFonts w:eastAsiaTheme="minorEastAsia" w:cstheme="minorBidi"/>
              <w:noProof/>
              <w:sz w:val="22"/>
            </w:rPr>
          </w:pPr>
          <w:hyperlink w:anchor="_Toc113619853" w:history="1">
            <w:r w:rsidR="00375534" w:rsidRPr="00A63C77">
              <w:rPr>
                <w:rStyle w:val="Hyperlink"/>
                <w:noProof/>
              </w:rPr>
              <w:t>1.1</w:t>
            </w:r>
            <w:r w:rsidR="00375534">
              <w:rPr>
                <w:rFonts w:eastAsiaTheme="minorEastAsia" w:cstheme="minorBidi"/>
                <w:noProof/>
                <w:sz w:val="22"/>
              </w:rPr>
              <w:tab/>
            </w:r>
            <w:r w:rsidR="00375534" w:rsidRPr="00A63C77">
              <w:rPr>
                <w:rStyle w:val="Hyperlink"/>
                <w:noProof/>
              </w:rPr>
              <w:t>Market Transformation Definition</w:t>
            </w:r>
            <w:r w:rsidR="00375534">
              <w:rPr>
                <w:noProof/>
                <w:webHidden/>
              </w:rPr>
              <w:tab/>
            </w:r>
            <w:r w:rsidR="00375534">
              <w:rPr>
                <w:noProof/>
                <w:webHidden/>
              </w:rPr>
              <w:fldChar w:fldCharType="begin"/>
            </w:r>
            <w:r w:rsidR="00375534">
              <w:rPr>
                <w:noProof/>
                <w:webHidden/>
              </w:rPr>
              <w:instrText xml:space="preserve"> PAGEREF _Toc113619853 \h </w:instrText>
            </w:r>
            <w:r w:rsidR="00375534">
              <w:rPr>
                <w:noProof/>
                <w:webHidden/>
              </w:rPr>
            </w:r>
            <w:r w:rsidR="00375534">
              <w:rPr>
                <w:noProof/>
                <w:webHidden/>
              </w:rPr>
              <w:fldChar w:fldCharType="separate"/>
            </w:r>
            <w:r w:rsidR="00375534">
              <w:rPr>
                <w:noProof/>
                <w:webHidden/>
              </w:rPr>
              <w:t>130</w:t>
            </w:r>
            <w:r w:rsidR="00375534">
              <w:rPr>
                <w:noProof/>
                <w:webHidden/>
              </w:rPr>
              <w:fldChar w:fldCharType="end"/>
            </w:r>
          </w:hyperlink>
        </w:p>
        <w:p w14:paraId="1A11A208" w14:textId="31EC84AF" w:rsidR="00375534" w:rsidRDefault="00573A1D">
          <w:pPr>
            <w:pStyle w:val="TOC2"/>
            <w:tabs>
              <w:tab w:val="left" w:pos="800"/>
              <w:tab w:val="right" w:leader="dot" w:pos="9350"/>
            </w:tabs>
            <w:rPr>
              <w:rFonts w:eastAsiaTheme="minorEastAsia" w:cstheme="minorBidi"/>
              <w:noProof/>
              <w:sz w:val="22"/>
            </w:rPr>
          </w:pPr>
          <w:hyperlink w:anchor="_Toc113619854" w:history="1">
            <w:r w:rsidR="00375534" w:rsidRPr="00A63C77">
              <w:rPr>
                <w:rStyle w:val="Hyperlink"/>
                <w:noProof/>
              </w:rPr>
              <w:t>1.2</w:t>
            </w:r>
            <w:r w:rsidR="00375534">
              <w:rPr>
                <w:rFonts w:eastAsiaTheme="minorEastAsia" w:cstheme="minorBidi"/>
                <w:noProof/>
                <w:sz w:val="22"/>
              </w:rPr>
              <w:tab/>
            </w:r>
            <w:r w:rsidR="00375534" w:rsidRPr="00A63C77">
              <w:rPr>
                <w:rStyle w:val="Hyperlink"/>
                <w:noProof/>
              </w:rPr>
              <w:t>Market Transformation</w:t>
            </w:r>
            <w:r w:rsidR="00375534" w:rsidRPr="00A63C77">
              <w:rPr>
                <w:rStyle w:val="Hyperlink"/>
                <w:rFonts w:cstheme="minorHAnsi"/>
                <w:noProof/>
              </w:rPr>
              <w:t xml:space="preserve"> </w:t>
            </w:r>
            <w:r w:rsidR="00375534" w:rsidRPr="00A63C77">
              <w:rPr>
                <w:rStyle w:val="Hyperlink"/>
                <w:noProof/>
              </w:rPr>
              <w:t>and Resource Acquisition</w:t>
            </w:r>
            <w:r w:rsidR="00375534">
              <w:rPr>
                <w:noProof/>
                <w:webHidden/>
              </w:rPr>
              <w:tab/>
            </w:r>
            <w:r w:rsidR="00375534">
              <w:rPr>
                <w:noProof/>
                <w:webHidden/>
              </w:rPr>
              <w:fldChar w:fldCharType="begin"/>
            </w:r>
            <w:r w:rsidR="00375534">
              <w:rPr>
                <w:noProof/>
                <w:webHidden/>
              </w:rPr>
              <w:instrText xml:space="preserve"> PAGEREF _Toc113619854 \h </w:instrText>
            </w:r>
            <w:r w:rsidR="00375534">
              <w:rPr>
                <w:noProof/>
                <w:webHidden/>
              </w:rPr>
            </w:r>
            <w:r w:rsidR="00375534">
              <w:rPr>
                <w:noProof/>
                <w:webHidden/>
              </w:rPr>
              <w:fldChar w:fldCharType="separate"/>
            </w:r>
            <w:r w:rsidR="00375534">
              <w:rPr>
                <w:noProof/>
                <w:webHidden/>
              </w:rPr>
              <w:t>130</w:t>
            </w:r>
            <w:r w:rsidR="00375534">
              <w:rPr>
                <w:noProof/>
                <w:webHidden/>
              </w:rPr>
              <w:fldChar w:fldCharType="end"/>
            </w:r>
          </w:hyperlink>
        </w:p>
        <w:p w14:paraId="3181D43D" w14:textId="1D6B468C" w:rsidR="00375534" w:rsidRDefault="00573A1D">
          <w:pPr>
            <w:pStyle w:val="TOC2"/>
            <w:tabs>
              <w:tab w:val="left" w:pos="800"/>
              <w:tab w:val="right" w:leader="dot" w:pos="9350"/>
            </w:tabs>
            <w:rPr>
              <w:rFonts w:eastAsiaTheme="minorEastAsia" w:cstheme="minorBidi"/>
              <w:noProof/>
              <w:sz w:val="22"/>
            </w:rPr>
          </w:pPr>
          <w:hyperlink w:anchor="_Toc113619855" w:history="1">
            <w:r w:rsidR="00375534" w:rsidRPr="00A63C77">
              <w:rPr>
                <w:rStyle w:val="Hyperlink"/>
                <w:noProof/>
              </w:rPr>
              <w:t>1.3</w:t>
            </w:r>
            <w:r w:rsidR="00375534">
              <w:rPr>
                <w:rFonts w:eastAsiaTheme="minorEastAsia" w:cstheme="minorBidi"/>
                <w:noProof/>
                <w:sz w:val="22"/>
              </w:rPr>
              <w:tab/>
            </w:r>
            <w:r w:rsidR="00375534" w:rsidRPr="00A63C77">
              <w:rPr>
                <w:rStyle w:val="Hyperlink"/>
                <w:noProof/>
              </w:rPr>
              <w:t>Market Transformation and Attribution</w:t>
            </w:r>
            <w:r w:rsidR="00375534">
              <w:rPr>
                <w:noProof/>
                <w:webHidden/>
              </w:rPr>
              <w:tab/>
            </w:r>
            <w:r w:rsidR="00375534">
              <w:rPr>
                <w:noProof/>
                <w:webHidden/>
              </w:rPr>
              <w:fldChar w:fldCharType="begin"/>
            </w:r>
            <w:r w:rsidR="00375534">
              <w:rPr>
                <w:noProof/>
                <w:webHidden/>
              </w:rPr>
              <w:instrText xml:space="preserve"> PAGEREF _Toc113619855 \h </w:instrText>
            </w:r>
            <w:r w:rsidR="00375534">
              <w:rPr>
                <w:noProof/>
                <w:webHidden/>
              </w:rPr>
            </w:r>
            <w:r w:rsidR="00375534">
              <w:rPr>
                <w:noProof/>
                <w:webHidden/>
              </w:rPr>
              <w:fldChar w:fldCharType="separate"/>
            </w:r>
            <w:r w:rsidR="00375534">
              <w:rPr>
                <w:noProof/>
                <w:webHidden/>
              </w:rPr>
              <w:t>132</w:t>
            </w:r>
            <w:r w:rsidR="00375534">
              <w:rPr>
                <w:noProof/>
                <w:webHidden/>
              </w:rPr>
              <w:fldChar w:fldCharType="end"/>
            </w:r>
          </w:hyperlink>
        </w:p>
        <w:p w14:paraId="5CB7FF00" w14:textId="65F469A5" w:rsidR="00375534" w:rsidRDefault="00573A1D">
          <w:pPr>
            <w:pStyle w:val="TOC2"/>
            <w:tabs>
              <w:tab w:val="left" w:pos="800"/>
              <w:tab w:val="right" w:leader="dot" w:pos="9350"/>
            </w:tabs>
            <w:rPr>
              <w:rFonts w:eastAsiaTheme="minorEastAsia" w:cstheme="minorBidi"/>
              <w:noProof/>
              <w:sz w:val="22"/>
            </w:rPr>
          </w:pPr>
          <w:hyperlink w:anchor="_Toc113619856" w:history="1">
            <w:r w:rsidR="00375534" w:rsidRPr="00A63C77">
              <w:rPr>
                <w:rStyle w:val="Hyperlink"/>
                <w:noProof/>
              </w:rPr>
              <w:t>1.4</w:t>
            </w:r>
            <w:r w:rsidR="00375534">
              <w:rPr>
                <w:rFonts w:eastAsiaTheme="minorEastAsia" w:cstheme="minorBidi"/>
                <w:noProof/>
                <w:sz w:val="22"/>
              </w:rPr>
              <w:tab/>
            </w:r>
            <w:r w:rsidR="00375534" w:rsidRPr="00A63C77">
              <w:rPr>
                <w:rStyle w:val="Hyperlink"/>
                <w:noProof/>
              </w:rPr>
              <w:t>What Makes an MT Initiative Recognizable?</w:t>
            </w:r>
            <w:r w:rsidR="00375534">
              <w:rPr>
                <w:noProof/>
                <w:webHidden/>
              </w:rPr>
              <w:tab/>
            </w:r>
            <w:r w:rsidR="00375534">
              <w:rPr>
                <w:noProof/>
                <w:webHidden/>
              </w:rPr>
              <w:fldChar w:fldCharType="begin"/>
            </w:r>
            <w:r w:rsidR="00375534">
              <w:rPr>
                <w:noProof/>
                <w:webHidden/>
              </w:rPr>
              <w:instrText xml:space="preserve"> PAGEREF _Toc113619856 \h </w:instrText>
            </w:r>
            <w:r w:rsidR="00375534">
              <w:rPr>
                <w:noProof/>
                <w:webHidden/>
              </w:rPr>
            </w:r>
            <w:r w:rsidR="00375534">
              <w:rPr>
                <w:noProof/>
                <w:webHidden/>
              </w:rPr>
              <w:fldChar w:fldCharType="separate"/>
            </w:r>
            <w:r w:rsidR="00375534">
              <w:rPr>
                <w:noProof/>
                <w:webHidden/>
              </w:rPr>
              <w:t>133</w:t>
            </w:r>
            <w:r w:rsidR="00375534">
              <w:rPr>
                <w:noProof/>
                <w:webHidden/>
              </w:rPr>
              <w:fldChar w:fldCharType="end"/>
            </w:r>
          </w:hyperlink>
        </w:p>
        <w:p w14:paraId="19BE90D9" w14:textId="7845B02A" w:rsidR="00375534" w:rsidRDefault="00573A1D">
          <w:pPr>
            <w:pStyle w:val="TOC2"/>
            <w:tabs>
              <w:tab w:val="left" w:pos="800"/>
              <w:tab w:val="right" w:leader="dot" w:pos="9350"/>
            </w:tabs>
            <w:rPr>
              <w:rFonts w:eastAsiaTheme="minorEastAsia" w:cstheme="minorBidi"/>
              <w:noProof/>
              <w:sz w:val="22"/>
            </w:rPr>
          </w:pPr>
          <w:hyperlink w:anchor="_Toc113619857" w:history="1">
            <w:r w:rsidR="00375534" w:rsidRPr="00A63C77">
              <w:rPr>
                <w:rStyle w:val="Hyperlink"/>
                <w:noProof/>
              </w:rPr>
              <w:t>1.5</w:t>
            </w:r>
            <w:r w:rsidR="00375534">
              <w:rPr>
                <w:rFonts w:eastAsiaTheme="minorEastAsia" w:cstheme="minorBidi"/>
                <w:noProof/>
                <w:sz w:val="22"/>
              </w:rPr>
              <w:tab/>
            </w:r>
            <w:r w:rsidR="00375534" w:rsidRPr="00A63C77">
              <w:rPr>
                <w:rStyle w:val="Hyperlink"/>
                <w:noProof/>
              </w:rPr>
              <w:t>Evaluation and Measurement of Savings in MT Initiatives</w:t>
            </w:r>
            <w:r w:rsidR="00375534">
              <w:rPr>
                <w:noProof/>
                <w:webHidden/>
              </w:rPr>
              <w:tab/>
            </w:r>
            <w:r w:rsidR="00375534">
              <w:rPr>
                <w:noProof/>
                <w:webHidden/>
              </w:rPr>
              <w:fldChar w:fldCharType="begin"/>
            </w:r>
            <w:r w:rsidR="00375534">
              <w:rPr>
                <w:noProof/>
                <w:webHidden/>
              </w:rPr>
              <w:instrText xml:space="preserve"> PAGEREF _Toc113619857 \h </w:instrText>
            </w:r>
            <w:r w:rsidR="00375534">
              <w:rPr>
                <w:noProof/>
                <w:webHidden/>
              </w:rPr>
            </w:r>
            <w:r w:rsidR="00375534">
              <w:rPr>
                <w:noProof/>
                <w:webHidden/>
              </w:rPr>
              <w:fldChar w:fldCharType="separate"/>
            </w:r>
            <w:r w:rsidR="00375534">
              <w:rPr>
                <w:noProof/>
                <w:webHidden/>
              </w:rPr>
              <w:t>133</w:t>
            </w:r>
            <w:r w:rsidR="00375534">
              <w:rPr>
                <w:noProof/>
                <w:webHidden/>
              </w:rPr>
              <w:fldChar w:fldCharType="end"/>
            </w:r>
          </w:hyperlink>
        </w:p>
        <w:p w14:paraId="3EC7933F" w14:textId="0F9F689C" w:rsidR="00375534" w:rsidRDefault="00573A1D">
          <w:pPr>
            <w:pStyle w:val="TOC3"/>
            <w:rPr>
              <w:rFonts w:eastAsiaTheme="minorEastAsia" w:cstheme="minorBidi"/>
              <w:noProof/>
              <w:sz w:val="22"/>
            </w:rPr>
          </w:pPr>
          <w:hyperlink w:anchor="_Toc113619858" w:history="1">
            <w:r w:rsidR="00375534" w:rsidRPr="00A63C77">
              <w:rPr>
                <w:rStyle w:val="Hyperlink"/>
                <w:noProof/>
              </w:rPr>
              <w:t>1.5.1</w:t>
            </w:r>
            <w:r w:rsidR="00375534">
              <w:rPr>
                <w:rFonts w:eastAsiaTheme="minorEastAsia" w:cstheme="minorBidi"/>
                <w:noProof/>
                <w:sz w:val="22"/>
              </w:rPr>
              <w:tab/>
            </w:r>
            <w:r w:rsidR="00375534" w:rsidRPr="00A63C77">
              <w:rPr>
                <w:rStyle w:val="Hyperlink"/>
                <w:noProof/>
              </w:rPr>
              <w:t>Evaluation Approach – Theory-based Evaluation</w:t>
            </w:r>
            <w:r w:rsidR="00375534">
              <w:rPr>
                <w:noProof/>
                <w:webHidden/>
              </w:rPr>
              <w:tab/>
            </w:r>
            <w:r w:rsidR="00375534">
              <w:rPr>
                <w:noProof/>
                <w:webHidden/>
              </w:rPr>
              <w:fldChar w:fldCharType="begin"/>
            </w:r>
            <w:r w:rsidR="00375534">
              <w:rPr>
                <w:noProof/>
                <w:webHidden/>
              </w:rPr>
              <w:instrText xml:space="preserve"> PAGEREF _Toc113619858 \h </w:instrText>
            </w:r>
            <w:r w:rsidR="00375534">
              <w:rPr>
                <w:noProof/>
                <w:webHidden/>
              </w:rPr>
            </w:r>
            <w:r w:rsidR="00375534">
              <w:rPr>
                <w:noProof/>
                <w:webHidden/>
              </w:rPr>
              <w:fldChar w:fldCharType="separate"/>
            </w:r>
            <w:r w:rsidR="00375534">
              <w:rPr>
                <w:noProof/>
                <w:webHidden/>
              </w:rPr>
              <w:t>134</w:t>
            </w:r>
            <w:r w:rsidR="00375534">
              <w:rPr>
                <w:noProof/>
                <w:webHidden/>
              </w:rPr>
              <w:fldChar w:fldCharType="end"/>
            </w:r>
          </w:hyperlink>
        </w:p>
        <w:p w14:paraId="0968BD7E" w14:textId="79947C95" w:rsidR="00375534" w:rsidRDefault="00573A1D">
          <w:pPr>
            <w:pStyle w:val="TOC3"/>
            <w:rPr>
              <w:rFonts w:eastAsiaTheme="minorEastAsia" w:cstheme="minorBidi"/>
              <w:noProof/>
              <w:sz w:val="22"/>
            </w:rPr>
          </w:pPr>
          <w:hyperlink w:anchor="_Toc113619859" w:history="1">
            <w:r w:rsidR="00375534" w:rsidRPr="00A63C77">
              <w:rPr>
                <w:rStyle w:val="Hyperlink"/>
                <w:noProof/>
              </w:rPr>
              <w:t>1.5.2</w:t>
            </w:r>
            <w:r w:rsidR="00375534">
              <w:rPr>
                <w:rFonts w:eastAsiaTheme="minorEastAsia" w:cstheme="minorBidi"/>
                <w:noProof/>
                <w:sz w:val="22"/>
              </w:rPr>
              <w:tab/>
            </w:r>
            <w:r w:rsidR="00375534" w:rsidRPr="00A63C77">
              <w:rPr>
                <w:rStyle w:val="Hyperlink"/>
                <w:noProof/>
              </w:rPr>
              <w:t>Evaluation Products</w:t>
            </w:r>
            <w:r w:rsidR="00375534">
              <w:rPr>
                <w:noProof/>
                <w:webHidden/>
              </w:rPr>
              <w:tab/>
            </w:r>
            <w:r w:rsidR="00375534">
              <w:rPr>
                <w:noProof/>
                <w:webHidden/>
              </w:rPr>
              <w:fldChar w:fldCharType="begin"/>
            </w:r>
            <w:r w:rsidR="00375534">
              <w:rPr>
                <w:noProof/>
                <w:webHidden/>
              </w:rPr>
              <w:instrText xml:space="preserve"> PAGEREF _Toc113619859 \h </w:instrText>
            </w:r>
            <w:r w:rsidR="00375534">
              <w:rPr>
                <w:noProof/>
                <w:webHidden/>
              </w:rPr>
            </w:r>
            <w:r w:rsidR="00375534">
              <w:rPr>
                <w:noProof/>
                <w:webHidden/>
              </w:rPr>
              <w:fldChar w:fldCharType="separate"/>
            </w:r>
            <w:r w:rsidR="00375534">
              <w:rPr>
                <w:noProof/>
                <w:webHidden/>
              </w:rPr>
              <w:t>134</w:t>
            </w:r>
            <w:r w:rsidR="00375534">
              <w:rPr>
                <w:noProof/>
                <w:webHidden/>
              </w:rPr>
              <w:fldChar w:fldCharType="end"/>
            </w:r>
          </w:hyperlink>
        </w:p>
        <w:p w14:paraId="123A49F1" w14:textId="493C8D6E" w:rsidR="00375534" w:rsidRDefault="00573A1D">
          <w:pPr>
            <w:pStyle w:val="TOC2"/>
            <w:tabs>
              <w:tab w:val="left" w:pos="800"/>
              <w:tab w:val="right" w:leader="dot" w:pos="9350"/>
            </w:tabs>
            <w:rPr>
              <w:rFonts w:eastAsiaTheme="minorEastAsia" w:cstheme="minorBidi"/>
              <w:noProof/>
              <w:sz w:val="22"/>
            </w:rPr>
          </w:pPr>
          <w:hyperlink w:anchor="_Toc113619860" w:history="1">
            <w:r w:rsidR="00375534" w:rsidRPr="00A63C77">
              <w:rPr>
                <w:rStyle w:val="Hyperlink"/>
                <w:noProof/>
              </w:rPr>
              <w:t>1.6</w:t>
            </w:r>
            <w:r w:rsidR="00375534">
              <w:rPr>
                <w:rFonts w:eastAsiaTheme="minorEastAsia" w:cstheme="minorBidi"/>
                <w:noProof/>
                <w:sz w:val="22"/>
              </w:rPr>
              <w:tab/>
            </w:r>
            <w:r w:rsidR="00375534" w:rsidRPr="00A63C77">
              <w:rPr>
                <w:rStyle w:val="Hyperlink"/>
                <w:noProof/>
              </w:rPr>
              <w:t>Uncertainty and Risk in MT Savings Estimates</w:t>
            </w:r>
            <w:r w:rsidR="00375534">
              <w:rPr>
                <w:noProof/>
                <w:webHidden/>
              </w:rPr>
              <w:tab/>
            </w:r>
            <w:r w:rsidR="00375534">
              <w:rPr>
                <w:noProof/>
                <w:webHidden/>
              </w:rPr>
              <w:fldChar w:fldCharType="begin"/>
            </w:r>
            <w:r w:rsidR="00375534">
              <w:rPr>
                <w:noProof/>
                <w:webHidden/>
              </w:rPr>
              <w:instrText xml:space="preserve"> PAGEREF _Toc113619860 \h </w:instrText>
            </w:r>
            <w:r w:rsidR="00375534">
              <w:rPr>
                <w:noProof/>
                <w:webHidden/>
              </w:rPr>
            </w:r>
            <w:r w:rsidR="00375534">
              <w:rPr>
                <w:noProof/>
                <w:webHidden/>
              </w:rPr>
              <w:fldChar w:fldCharType="separate"/>
            </w:r>
            <w:r w:rsidR="00375534">
              <w:rPr>
                <w:noProof/>
                <w:webHidden/>
              </w:rPr>
              <w:t>135</w:t>
            </w:r>
            <w:r w:rsidR="00375534">
              <w:rPr>
                <w:noProof/>
                <w:webHidden/>
              </w:rPr>
              <w:fldChar w:fldCharType="end"/>
            </w:r>
          </w:hyperlink>
        </w:p>
        <w:p w14:paraId="61335ABF" w14:textId="2BBD36AE" w:rsidR="00375534" w:rsidRDefault="00573A1D">
          <w:pPr>
            <w:pStyle w:val="TOC2"/>
            <w:tabs>
              <w:tab w:val="left" w:pos="800"/>
              <w:tab w:val="right" w:leader="dot" w:pos="9350"/>
            </w:tabs>
            <w:rPr>
              <w:rFonts w:eastAsiaTheme="minorEastAsia" w:cstheme="minorBidi"/>
              <w:noProof/>
              <w:sz w:val="22"/>
            </w:rPr>
          </w:pPr>
          <w:hyperlink w:anchor="_Toc113619861" w:history="1">
            <w:r w:rsidR="00375534" w:rsidRPr="00A63C77">
              <w:rPr>
                <w:rStyle w:val="Hyperlink"/>
                <w:noProof/>
              </w:rPr>
              <w:t>1.7</w:t>
            </w:r>
            <w:r w:rsidR="00375534">
              <w:rPr>
                <w:rFonts w:eastAsiaTheme="minorEastAsia" w:cstheme="minorBidi"/>
                <w:noProof/>
                <w:sz w:val="22"/>
              </w:rPr>
              <w:tab/>
            </w:r>
            <w:r w:rsidR="00375534" w:rsidRPr="00A63C77">
              <w:rPr>
                <w:rStyle w:val="Hyperlink"/>
                <w:noProof/>
              </w:rPr>
              <w:t>Market Transformation Savings Protocol Process Recommendation</w:t>
            </w:r>
            <w:r w:rsidR="00375534">
              <w:rPr>
                <w:noProof/>
                <w:webHidden/>
              </w:rPr>
              <w:tab/>
            </w:r>
            <w:r w:rsidR="00375534">
              <w:rPr>
                <w:noProof/>
                <w:webHidden/>
              </w:rPr>
              <w:fldChar w:fldCharType="begin"/>
            </w:r>
            <w:r w:rsidR="00375534">
              <w:rPr>
                <w:noProof/>
                <w:webHidden/>
              </w:rPr>
              <w:instrText xml:space="preserve"> PAGEREF _Toc113619861 \h </w:instrText>
            </w:r>
            <w:r w:rsidR="00375534">
              <w:rPr>
                <w:noProof/>
                <w:webHidden/>
              </w:rPr>
            </w:r>
            <w:r w:rsidR="00375534">
              <w:rPr>
                <w:noProof/>
                <w:webHidden/>
              </w:rPr>
              <w:fldChar w:fldCharType="separate"/>
            </w:r>
            <w:r w:rsidR="00375534">
              <w:rPr>
                <w:noProof/>
                <w:webHidden/>
              </w:rPr>
              <w:t>135</w:t>
            </w:r>
            <w:r w:rsidR="00375534">
              <w:rPr>
                <w:noProof/>
                <w:webHidden/>
              </w:rPr>
              <w:fldChar w:fldCharType="end"/>
            </w:r>
          </w:hyperlink>
        </w:p>
        <w:p w14:paraId="0A2D3412" w14:textId="3791E533" w:rsidR="00375534" w:rsidRDefault="00573A1D">
          <w:pPr>
            <w:pStyle w:val="TOC1"/>
            <w:tabs>
              <w:tab w:val="left" w:pos="400"/>
              <w:tab w:val="right" w:leader="dot" w:pos="9350"/>
            </w:tabs>
            <w:rPr>
              <w:rFonts w:eastAsiaTheme="minorEastAsia" w:cstheme="minorBidi"/>
              <w:b w:val="0"/>
              <w:smallCaps w:val="0"/>
              <w:noProof/>
            </w:rPr>
          </w:pPr>
          <w:hyperlink w:anchor="_Toc113619862" w:history="1">
            <w:r w:rsidR="00375534" w:rsidRPr="00A63C77">
              <w:rPr>
                <w:rStyle w:val="Hyperlink"/>
                <w:noProof/>
              </w:rPr>
              <w:t>2</w:t>
            </w:r>
            <w:r w:rsidR="00375534">
              <w:rPr>
                <w:rFonts w:eastAsiaTheme="minorEastAsia" w:cstheme="minorBidi"/>
                <w:b w:val="0"/>
                <w:smallCaps w:val="0"/>
                <w:noProof/>
              </w:rPr>
              <w:tab/>
            </w:r>
            <w:r w:rsidR="00375534" w:rsidRPr="00A63C77">
              <w:rPr>
                <w:rStyle w:val="Hyperlink"/>
                <w:noProof/>
              </w:rPr>
              <w:t>Estimating Savings for MT Initiatives</w:t>
            </w:r>
            <w:r w:rsidR="00375534">
              <w:rPr>
                <w:noProof/>
                <w:webHidden/>
              </w:rPr>
              <w:tab/>
            </w:r>
            <w:r w:rsidR="00375534">
              <w:rPr>
                <w:noProof/>
                <w:webHidden/>
              </w:rPr>
              <w:fldChar w:fldCharType="begin"/>
            </w:r>
            <w:r w:rsidR="00375534">
              <w:rPr>
                <w:noProof/>
                <w:webHidden/>
              </w:rPr>
              <w:instrText xml:space="preserve"> PAGEREF _Toc113619862 \h </w:instrText>
            </w:r>
            <w:r w:rsidR="00375534">
              <w:rPr>
                <w:noProof/>
                <w:webHidden/>
              </w:rPr>
            </w:r>
            <w:r w:rsidR="00375534">
              <w:rPr>
                <w:noProof/>
                <w:webHidden/>
              </w:rPr>
              <w:fldChar w:fldCharType="separate"/>
            </w:r>
            <w:r w:rsidR="00375534">
              <w:rPr>
                <w:noProof/>
                <w:webHidden/>
              </w:rPr>
              <w:t>135</w:t>
            </w:r>
            <w:r w:rsidR="00375534">
              <w:rPr>
                <w:noProof/>
                <w:webHidden/>
              </w:rPr>
              <w:fldChar w:fldCharType="end"/>
            </w:r>
          </w:hyperlink>
        </w:p>
        <w:p w14:paraId="0333527C" w14:textId="212A5577" w:rsidR="00375534" w:rsidRDefault="00573A1D">
          <w:pPr>
            <w:pStyle w:val="TOC2"/>
            <w:tabs>
              <w:tab w:val="left" w:pos="800"/>
              <w:tab w:val="right" w:leader="dot" w:pos="9350"/>
            </w:tabs>
            <w:rPr>
              <w:rFonts w:eastAsiaTheme="minorEastAsia" w:cstheme="minorBidi"/>
              <w:noProof/>
              <w:sz w:val="22"/>
            </w:rPr>
          </w:pPr>
          <w:hyperlink w:anchor="_Toc113619863" w:history="1">
            <w:r w:rsidR="00375534" w:rsidRPr="00A63C77">
              <w:rPr>
                <w:rStyle w:val="Hyperlink"/>
                <w:noProof/>
              </w:rPr>
              <w:t>2.1</w:t>
            </w:r>
            <w:r w:rsidR="00375534">
              <w:rPr>
                <w:rFonts w:eastAsiaTheme="minorEastAsia" w:cstheme="minorBidi"/>
                <w:noProof/>
                <w:sz w:val="22"/>
              </w:rPr>
              <w:tab/>
            </w:r>
            <w:r w:rsidR="00375534" w:rsidRPr="00A63C77">
              <w:rPr>
                <w:rStyle w:val="Hyperlink"/>
                <w:noProof/>
              </w:rPr>
              <w:t>Overall Approach</w:t>
            </w:r>
            <w:r w:rsidR="00375534">
              <w:rPr>
                <w:noProof/>
                <w:webHidden/>
              </w:rPr>
              <w:tab/>
            </w:r>
            <w:r w:rsidR="00375534">
              <w:rPr>
                <w:noProof/>
                <w:webHidden/>
              </w:rPr>
              <w:fldChar w:fldCharType="begin"/>
            </w:r>
            <w:r w:rsidR="00375534">
              <w:rPr>
                <w:noProof/>
                <w:webHidden/>
              </w:rPr>
              <w:instrText xml:space="preserve"> PAGEREF _Toc113619863 \h </w:instrText>
            </w:r>
            <w:r w:rsidR="00375534">
              <w:rPr>
                <w:noProof/>
                <w:webHidden/>
              </w:rPr>
            </w:r>
            <w:r w:rsidR="00375534">
              <w:rPr>
                <w:noProof/>
                <w:webHidden/>
              </w:rPr>
              <w:fldChar w:fldCharType="separate"/>
            </w:r>
            <w:r w:rsidR="00375534">
              <w:rPr>
                <w:noProof/>
                <w:webHidden/>
              </w:rPr>
              <w:t>135</w:t>
            </w:r>
            <w:r w:rsidR="00375534">
              <w:rPr>
                <w:noProof/>
                <w:webHidden/>
              </w:rPr>
              <w:fldChar w:fldCharType="end"/>
            </w:r>
          </w:hyperlink>
        </w:p>
        <w:p w14:paraId="62F01E82" w14:textId="00E1AB87" w:rsidR="00375534" w:rsidRDefault="00573A1D">
          <w:pPr>
            <w:pStyle w:val="TOC3"/>
            <w:rPr>
              <w:rFonts w:eastAsiaTheme="minorEastAsia" w:cstheme="minorBidi"/>
              <w:noProof/>
              <w:sz w:val="22"/>
            </w:rPr>
          </w:pPr>
          <w:hyperlink w:anchor="_Toc113619864" w:history="1">
            <w:r w:rsidR="00375534" w:rsidRPr="00A63C77">
              <w:rPr>
                <w:rStyle w:val="Hyperlink"/>
                <w:noProof/>
              </w:rPr>
              <w:t>2.1.1</w:t>
            </w:r>
            <w:r w:rsidR="00375534">
              <w:rPr>
                <w:rFonts w:eastAsiaTheme="minorEastAsia" w:cstheme="minorBidi"/>
                <w:noProof/>
                <w:sz w:val="22"/>
              </w:rPr>
              <w:tab/>
            </w:r>
            <w:r w:rsidR="00375534" w:rsidRPr="00A63C77">
              <w:rPr>
                <w:rStyle w:val="Hyperlink"/>
                <w:noProof/>
              </w:rPr>
              <w:t>Unit Energy Savings</w:t>
            </w:r>
            <w:r w:rsidR="00375534">
              <w:rPr>
                <w:noProof/>
                <w:webHidden/>
              </w:rPr>
              <w:tab/>
            </w:r>
            <w:r w:rsidR="00375534">
              <w:rPr>
                <w:noProof/>
                <w:webHidden/>
              </w:rPr>
              <w:fldChar w:fldCharType="begin"/>
            </w:r>
            <w:r w:rsidR="00375534">
              <w:rPr>
                <w:noProof/>
                <w:webHidden/>
              </w:rPr>
              <w:instrText xml:space="preserve"> PAGEREF _Toc113619864 \h </w:instrText>
            </w:r>
            <w:r w:rsidR="00375534">
              <w:rPr>
                <w:noProof/>
                <w:webHidden/>
              </w:rPr>
            </w:r>
            <w:r w:rsidR="00375534">
              <w:rPr>
                <w:noProof/>
                <w:webHidden/>
              </w:rPr>
              <w:fldChar w:fldCharType="separate"/>
            </w:r>
            <w:r w:rsidR="00375534">
              <w:rPr>
                <w:noProof/>
                <w:webHidden/>
              </w:rPr>
              <w:t>136</w:t>
            </w:r>
            <w:r w:rsidR="00375534">
              <w:rPr>
                <w:noProof/>
                <w:webHidden/>
              </w:rPr>
              <w:fldChar w:fldCharType="end"/>
            </w:r>
          </w:hyperlink>
        </w:p>
        <w:p w14:paraId="30CF5BAA" w14:textId="4BA381D7" w:rsidR="00375534" w:rsidRDefault="00573A1D">
          <w:pPr>
            <w:pStyle w:val="TOC3"/>
            <w:rPr>
              <w:rFonts w:eastAsiaTheme="minorEastAsia" w:cstheme="minorBidi"/>
              <w:noProof/>
              <w:sz w:val="22"/>
            </w:rPr>
          </w:pPr>
          <w:hyperlink w:anchor="_Toc113619865" w:history="1">
            <w:r w:rsidR="00375534" w:rsidRPr="00A63C77">
              <w:rPr>
                <w:rStyle w:val="Hyperlink"/>
                <w:noProof/>
              </w:rPr>
              <w:t>2.1.2</w:t>
            </w:r>
            <w:r w:rsidR="00375534">
              <w:rPr>
                <w:rFonts w:eastAsiaTheme="minorEastAsia" w:cstheme="minorBidi"/>
                <w:noProof/>
                <w:sz w:val="22"/>
              </w:rPr>
              <w:tab/>
            </w:r>
            <w:r w:rsidR="00375534" w:rsidRPr="00A63C77">
              <w:rPr>
                <w:rStyle w:val="Hyperlink"/>
                <w:noProof/>
              </w:rPr>
              <w:t>Estimating Total Market Units</w:t>
            </w:r>
            <w:r w:rsidR="00375534">
              <w:rPr>
                <w:noProof/>
                <w:webHidden/>
              </w:rPr>
              <w:tab/>
            </w:r>
            <w:r w:rsidR="00375534">
              <w:rPr>
                <w:noProof/>
                <w:webHidden/>
              </w:rPr>
              <w:fldChar w:fldCharType="begin"/>
            </w:r>
            <w:r w:rsidR="00375534">
              <w:rPr>
                <w:noProof/>
                <w:webHidden/>
              </w:rPr>
              <w:instrText xml:space="preserve"> PAGEREF _Toc113619865 \h </w:instrText>
            </w:r>
            <w:r w:rsidR="00375534">
              <w:rPr>
                <w:noProof/>
                <w:webHidden/>
              </w:rPr>
            </w:r>
            <w:r w:rsidR="00375534">
              <w:rPr>
                <w:noProof/>
                <w:webHidden/>
              </w:rPr>
              <w:fldChar w:fldCharType="separate"/>
            </w:r>
            <w:r w:rsidR="00375534">
              <w:rPr>
                <w:noProof/>
                <w:webHidden/>
              </w:rPr>
              <w:t>137</w:t>
            </w:r>
            <w:r w:rsidR="00375534">
              <w:rPr>
                <w:noProof/>
                <w:webHidden/>
              </w:rPr>
              <w:fldChar w:fldCharType="end"/>
            </w:r>
          </w:hyperlink>
        </w:p>
        <w:p w14:paraId="1DFC4B99" w14:textId="21706DAB" w:rsidR="00375534" w:rsidRDefault="00573A1D">
          <w:pPr>
            <w:pStyle w:val="TOC2"/>
            <w:tabs>
              <w:tab w:val="left" w:pos="800"/>
              <w:tab w:val="right" w:leader="dot" w:pos="9350"/>
            </w:tabs>
            <w:rPr>
              <w:rFonts w:eastAsiaTheme="minorEastAsia" w:cstheme="minorBidi"/>
              <w:noProof/>
              <w:sz w:val="22"/>
            </w:rPr>
          </w:pPr>
          <w:hyperlink w:anchor="_Toc113619866" w:history="1">
            <w:r w:rsidR="00375534" w:rsidRPr="00A63C77">
              <w:rPr>
                <w:rStyle w:val="Hyperlink"/>
                <w:noProof/>
              </w:rPr>
              <w:t>2.2</w:t>
            </w:r>
            <w:r w:rsidR="00375534">
              <w:rPr>
                <w:rFonts w:eastAsiaTheme="minorEastAsia" w:cstheme="minorBidi"/>
                <w:noProof/>
                <w:sz w:val="22"/>
              </w:rPr>
              <w:tab/>
            </w:r>
            <w:r w:rsidR="00375534" w:rsidRPr="00A63C77">
              <w:rPr>
                <w:rStyle w:val="Hyperlink"/>
                <w:noProof/>
              </w:rPr>
              <w:t>Estimating Natural Market Baseline</w:t>
            </w:r>
            <w:r w:rsidR="00375534">
              <w:rPr>
                <w:noProof/>
                <w:webHidden/>
              </w:rPr>
              <w:tab/>
            </w:r>
            <w:r w:rsidR="00375534">
              <w:rPr>
                <w:noProof/>
                <w:webHidden/>
              </w:rPr>
              <w:fldChar w:fldCharType="begin"/>
            </w:r>
            <w:r w:rsidR="00375534">
              <w:rPr>
                <w:noProof/>
                <w:webHidden/>
              </w:rPr>
              <w:instrText xml:space="preserve"> PAGEREF _Toc113619866 \h </w:instrText>
            </w:r>
            <w:r w:rsidR="00375534">
              <w:rPr>
                <w:noProof/>
                <w:webHidden/>
              </w:rPr>
            </w:r>
            <w:r w:rsidR="00375534">
              <w:rPr>
                <w:noProof/>
                <w:webHidden/>
              </w:rPr>
              <w:fldChar w:fldCharType="separate"/>
            </w:r>
            <w:r w:rsidR="00375534">
              <w:rPr>
                <w:noProof/>
                <w:webHidden/>
              </w:rPr>
              <w:t>138</w:t>
            </w:r>
            <w:r w:rsidR="00375534">
              <w:rPr>
                <w:noProof/>
                <w:webHidden/>
              </w:rPr>
              <w:fldChar w:fldCharType="end"/>
            </w:r>
          </w:hyperlink>
        </w:p>
        <w:p w14:paraId="72ECE0F4" w14:textId="5FAC7579" w:rsidR="00375534" w:rsidRDefault="00573A1D">
          <w:pPr>
            <w:pStyle w:val="TOC3"/>
            <w:rPr>
              <w:rFonts w:eastAsiaTheme="minorEastAsia" w:cstheme="minorBidi"/>
              <w:noProof/>
              <w:sz w:val="22"/>
            </w:rPr>
          </w:pPr>
          <w:hyperlink w:anchor="_Toc113619867" w:history="1">
            <w:r w:rsidR="00375534" w:rsidRPr="00A63C77">
              <w:rPr>
                <w:rStyle w:val="Hyperlink"/>
                <w:noProof/>
              </w:rPr>
              <w:t>2.2.1</w:t>
            </w:r>
            <w:r w:rsidR="00375534">
              <w:rPr>
                <w:rFonts w:eastAsiaTheme="minorEastAsia" w:cstheme="minorBidi"/>
                <w:noProof/>
                <w:sz w:val="22"/>
              </w:rPr>
              <w:tab/>
            </w:r>
            <w:r w:rsidR="00375534" w:rsidRPr="00A63C77">
              <w:rPr>
                <w:rStyle w:val="Hyperlink"/>
                <w:noProof/>
              </w:rPr>
              <w:t>The Role of Natural Market Baseline and Attribution</w:t>
            </w:r>
            <w:r w:rsidR="00375534">
              <w:rPr>
                <w:noProof/>
                <w:webHidden/>
              </w:rPr>
              <w:tab/>
            </w:r>
            <w:r w:rsidR="00375534">
              <w:rPr>
                <w:noProof/>
                <w:webHidden/>
              </w:rPr>
              <w:fldChar w:fldCharType="begin"/>
            </w:r>
            <w:r w:rsidR="00375534">
              <w:rPr>
                <w:noProof/>
                <w:webHidden/>
              </w:rPr>
              <w:instrText xml:space="preserve"> PAGEREF _Toc113619867 \h </w:instrText>
            </w:r>
            <w:r w:rsidR="00375534">
              <w:rPr>
                <w:noProof/>
                <w:webHidden/>
              </w:rPr>
            </w:r>
            <w:r w:rsidR="00375534">
              <w:rPr>
                <w:noProof/>
                <w:webHidden/>
              </w:rPr>
              <w:fldChar w:fldCharType="separate"/>
            </w:r>
            <w:r w:rsidR="00375534">
              <w:rPr>
                <w:noProof/>
                <w:webHidden/>
              </w:rPr>
              <w:t>138</w:t>
            </w:r>
            <w:r w:rsidR="00375534">
              <w:rPr>
                <w:noProof/>
                <w:webHidden/>
              </w:rPr>
              <w:fldChar w:fldCharType="end"/>
            </w:r>
          </w:hyperlink>
        </w:p>
        <w:p w14:paraId="047EEF93" w14:textId="3652B2D1" w:rsidR="00375534" w:rsidRDefault="00573A1D">
          <w:pPr>
            <w:pStyle w:val="TOC3"/>
            <w:rPr>
              <w:rFonts w:eastAsiaTheme="minorEastAsia" w:cstheme="minorBidi"/>
              <w:noProof/>
              <w:sz w:val="22"/>
            </w:rPr>
          </w:pPr>
          <w:hyperlink w:anchor="_Toc113619868" w:history="1">
            <w:r w:rsidR="00375534" w:rsidRPr="00A63C77">
              <w:rPr>
                <w:rStyle w:val="Hyperlink"/>
                <w:rFonts w:cstheme="minorHAnsi"/>
                <w:noProof/>
              </w:rPr>
              <w:t>2.2.2</w:t>
            </w:r>
            <w:r w:rsidR="00375534">
              <w:rPr>
                <w:rFonts w:eastAsiaTheme="minorEastAsia" w:cstheme="minorBidi"/>
                <w:noProof/>
                <w:sz w:val="22"/>
              </w:rPr>
              <w:tab/>
            </w:r>
            <w:r w:rsidR="00375534" w:rsidRPr="00A63C77">
              <w:rPr>
                <w:rStyle w:val="Hyperlink"/>
                <w:noProof/>
              </w:rPr>
              <w:t>Natural Market Baseline Units</w:t>
            </w:r>
            <w:r w:rsidR="00375534">
              <w:rPr>
                <w:noProof/>
                <w:webHidden/>
              </w:rPr>
              <w:tab/>
            </w:r>
            <w:r w:rsidR="00375534">
              <w:rPr>
                <w:noProof/>
                <w:webHidden/>
              </w:rPr>
              <w:fldChar w:fldCharType="begin"/>
            </w:r>
            <w:r w:rsidR="00375534">
              <w:rPr>
                <w:noProof/>
                <w:webHidden/>
              </w:rPr>
              <w:instrText xml:space="preserve"> PAGEREF _Toc113619868 \h </w:instrText>
            </w:r>
            <w:r w:rsidR="00375534">
              <w:rPr>
                <w:noProof/>
                <w:webHidden/>
              </w:rPr>
            </w:r>
            <w:r w:rsidR="00375534">
              <w:rPr>
                <w:noProof/>
                <w:webHidden/>
              </w:rPr>
              <w:fldChar w:fldCharType="separate"/>
            </w:r>
            <w:r w:rsidR="00375534">
              <w:rPr>
                <w:noProof/>
                <w:webHidden/>
              </w:rPr>
              <w:t>139</w:t>
            </w:r>
            <w:r w:rsidR="00375534">
              <w:rPr>
                <w:noProof/>
                <w:webHidden/>
              </w:rPr>
              <w:fldChar w:fldCharType="end"/>
            </w:r>
          </w:hyperlink>
        </w:p>
        <w:p w14:paraId="14B9827E" w14:textId="234262F0" w:rsidR="00375534" w:rsidRDefault="00573A1D">
          <w:pPr>
            <w:pStyle w:val="TOC2"/>
            <w:tabs>
              <w:tab w:val="left" w:pos="800"/>
              <w:tab w:val="right" w:leader="dot" w:pos="9350"/>
            </w:tabs>
            <w:rPr>
              <w:rFonts w:eastAsiaTheme="minorEastAsia" w:cstheme="minorBidi"/>
              <w:noProof/>
              <w:sz w:val="22"/>
            </w:rPr>
          </w:pPr>
          <w:hyperlink w:anchor="_Toc113619869" w:history="1">
            <w:r w:rsidR="00375534" w:rsidRPr="00A63C77">
              <w:rPr>
                <w:rStyle w:val="Hyperlink"/>
                <w:noProof/>
              </w:rPr>
              <w:t>2.3</w:t>
            </w:r>
            <w:r w:rsidR="00375534">
              <w:rPr>
                <w:rFonts w:eastAsiaTheme="minorEastAsia" w:cstheme="minorBidi"/>
                <w:noProof/>
                <w:sz w:val="22"/>
              </w:rPr>
              <w:tab/>
            </w:r>
            <w:r w:rsidR="00375534" w:rsidRPr="00A63C77">
              <w:rPr>
                <w:rStyle w:val="Hyperlink"/>
                <w:noProof/>
              </w:rPr>
              <w:t>Accounting for RA Savings</w:t>
            </w:r>
            <w:r w:rsidR="00375534">
              <w:rPr>
                <w:noProof/>
                <w:webHidden/>
              </w:rPr>
              <w:tab/>
            </w:r>
            <w:r w:rsidR="00375534">
              <w:rPr>
                <w:noProof/>
                <w:webHidden/>
              </w:rPr>
              <w:fldChar w:fldCharType="begin"/>
            </w:r>
            <w:r w:rsidR="00375534">
              <w:rPr>
                <w:noProof/>
                <w:webHidden/>
              </w:rPr>
              <w:instrText xml:space="preserve"> PAGEREF _Toc113619869 \h </w:instrText>
            </w:r>
            <w:r w:rsidR="00375534">
              <w:rPr>
                <w:noProof/>
                <w:webHidden/>
              </w:rPr>
            </w:r>
            <w:r w:rsidR="00375534">
              <w:rPr>
                <w:noProof/>
                <w:webHidden/>
              </w:rPr>
              <w:fldChar w:fldCharType="separate"/>
            </w:r>
            <w:r w:rsidR="00375534">
              <w:rPr>
                <w:noProof/>
                <w:webHidden/>
              </w:rPr>
              <w:t>141</w:t>
            </w:r>
            <w:r w:rsidR="00375534">
              <w:rPr>
                <w:noProof/>
                <w:webHidden/>
              </w:rPr>
              <w:fldChar w:fldCharType="end"/>
            </w:r>
          </w:hyperlink>
        </w:p>
        <w:p w14:paraId="2BCFD612" w14:textId="408F2533" w:rsidR="00375534" w:rsidRDefault="00573A1D">
          <w:pPr>
            <w:pStyle w:val="TOC2"/>
            <w:tabs>
              <w:tab w:val="left" w:pos="800"/>
              <w:tab w:val="right" w:leader="dot" w:pos="9350"/>
            </w:tabs>
            <w:rPr>
              <w:rFonts w:eastAsiaTheme="minorEastAsia" w:cstheme="minorBidi"/>
              <w:noProof/>
              <w:sz w:val="22"/>
            </w:rPr>
          </w:pPr>
          <w:hyperlink w:anchor="_Toc113619870" w:history="1">
            <w:r w:rsidR="00375534" w:rsidRPr="00A63C77">
              <w:rPr>
                <w:rStyle w:val="Hyperlink"/>
                <w:noProof/>
              </w:rPr>
              <w:t>2.4</w:t>
            </w:r>
            <w:r w:rsidR="00375534">
              <w:rPr>
                <w:rFonts w:eastAsiaTheme="minorEastAsia" w:cstheme="minorBidi"/>
                <w:noProof/>
                <w:sz w:val="22"/>
              </w:rPr>
              <w:tab/>
            </w:r>
            <w:r w:rsidR="00375534" w:rsidRPr="00A63C77">
              <w:rPr>
                <w:rStyle w:val="Hyperlink"/>
                <w:noProof/>
              </w:rPr>
              <w:t>Allocating Energy Savings to Individual Utility Sponsors</w:t>
            </w:r>
            <w:r w:rsidR="00375534">
              <w:rPr>
                <w:noProof/>
                <w:webHidden/>
              </w:rPr>
              <w:tab/>
            </w:r>
            <w:r w:rsidR="00375534">
              <w:rPr>
                <w:noProof/>
                <w:webHidden/>
              </w:rPr>
              <w:fldChar w:fldCharType="begin"/>
            </w:r>
            <w:r w:rsidR="00375534">
              <w:rPr>
                <w:noProof/>
                <w:webHidden/>
              </w:rPr>
              <w:instrText xml:space="preserve"> PAGEREF _Toc113619870 \h </w:instrText>
            </w:r>
            <w:r w:rsidR="00375534">
              <w:rPr>
                <w:noProof/>
                <w:webHidden/>
              </w:rPr>
            </w:r>
            <w:r w:rsidR="00375534">
              <w:rPr>
                <w:noProof/>
                <w:webHidden/>
              </w:rPr>
              <w:fldChar w:fldCharType="separate"/>
            </w:r>
            <w:r w:rsidR="00375534">
              <w:rPr>
                <w:noProof/>
                <w:webHidden/>
              </w:rPr>
              <w:t>142</w:t>
            </w:r>
            <w:r w:rsidR="00375534">
              <w:rPr>
                <w:noProof/>
                <w:webHidden/>
              </w:rPr>
              <w:fldChar w:fldCharType="end"/>
            </w:r>
          </w:hyperlink>
        </w:p>
        <w:p w14:paraId="5F543027" w14:textId="6B7B2293" w:rsidR="00375534" w:rsidRDefault="00573A1D">
          <w:pPr>
            <w:pStyle w:val="TOC2"/>
            <w:tabs>
              <w:tab w:val="left" w:pos="800"/>
              <w:tab w:val="right" w:leader="dot" w:pos="9350"/>
            </w:tabs>
            <w:rPr>
              <w:rFonts w:eastAsiaTheme="minorEastAsia" w:cstheme="minorBidi"/>
              <w:noProof/>
              <w:sz w:val="22"/>
            </w:rPr>
          </w:pPr>
          <w:hyperlink w:anchor="_Toc113619871" w:history="1">
            <w:r w:rsidR="00375534" w:rsidRPr="00A63C77">
              <w:rPr>
                <w:rStyle w:val="Hyperlink"/>
                <w:noProof/>
              </w:rPr>
              <w:t>2.5</w:t>
            </w:r>
            <w:r w:rsidR="00375534">
              <w:rPr>
                <w:rFonts w:eastAsiaTheme="minorEastAsia" w:cstheme="minorBidi"/>
                <w:noProof/>
                <w:sz w:val="22"/>
              </w:rPr>
              <w:tab/>
            </w:r>
            <w:r w:rsidR="00375534" w:rsidRPr="00A63C77">
              <w:rPr>
                <w:rStyle w:val="Hyperlink"/>
                <w:noProof/>
              </w:rPr>
              <w:t>Estimating Savings Post Active-Market Engagement in Markets without Codes or Standards as an Endpoint</w:t>
            </w:r>
            <w:r w:rsidR="00375534">
              <w:rPr>
                <w:noProof/>
                <w:webHidden/>
              </w:rPr>
              <w:lastRenderedPageBreak/>
              <w:tab/>
            </w:r>
            <w:r w:rsidR="00375534">
              <w:rPr>
                <w:noProof/>
                <w:webHidden/>
              </w:rPr>
              <w:fldChar w:fldCharType="begin"/>
            </w:r>
            <w:r w:rsidR="00375534">
              <w:rPr>
                <w:noProof/>
                <w:webHidden/>
              </w:rPr>
              <w:instrText xml:space="preserve"> PAGEREF _Toc113619871 \h </w:instrText>
            </w:r>
            <w:r w:rsidR="00375534">
              <w:rPr>
                <w:noProof/>
                <w:webHidden/>
              </w:rPr>
            </w:r>
            <w:r w:rsidR="00375534">
              <w:rPr>
                <w:noProof/>
                <w:webHidden/>
              </w:rPr>
              <w:fldChar w:fldCharType="separate"/>
            </w:r>
            <w:r w:rsidR="00375534">
              <w:rPr>
                <w:noProof/>
                <w:webHidden/>
              </w:rPr>
              <w:t>143</w:t>
            </w:r>
            <w:r w:rsidR="00375534">
              <w:rPr>
                <w:noProof/>
                <w:webHidden/>
              </w:rPr>
              <w:fldChar w:fldCharType="end"/>
            </w:r>
          </w:hyperlink>
        </w:p>
        <w:p w14:paraId="3BC82A2D" w14:textId="0E738B64" w:rsidR="00375534" w:rsidRDefault="00573A1D">
          <w:pPr>
            <w:pStyle w:val="TOC3"/>
            <w:rPr>
              <w:rFonts w:eastAsiaTheme="minorEastAsia" w:cstheme="minorBidi"/>
              <w:noProof/>
              <w:sz w:val="22"/>
            </w:rPr>
          </w:pPr>
          <w:hyperlink w:anchor="_Toc113619872" w:history="1">
            <w:r w:rsidR="00375534" w:rsidRPr="00A63C77">
              <w:rPr>
                <w:rStyle w:val="Hyperlink"/>
                <w:noProof/>
              </w:rPr>
              <w:t>2.5.1</w:t>
            </w:r>
            <w:r w:rsidR="00375534">
              <w:rPr>
                <w:rFonts w:eastAsiaTheme="minorEastAsia" w:cstheme="minorBidi"/>
                <w:noProof/>
                <w:sz w:val="22"/>
              </w:rPr>
              <w:tab/>
            </w:r>
            <w:r w:rsidR="00375534" w:rsidRPr="00A63C77">
              <w:rPr>
                <w:rStyle w:val="Hyperlink"/>
                <w:noProof/>
              </w:rPr>
              <w:t>Duration of Savings Post Active Market Engagement in Markets without Codes or Standards as an Endpoint</w:t>
            </w:r>
            <w:r w:rsidR="00375534">
              <w:rPr>
                <w:noProof/>
                <w:webHidden/>
              </w:rPr>
              <w:tab/>
            </w:r>
            <w:r w:rsidR="00375534">
              <w:rPr>
                <w:noProof/>
                <w:webHidden/>
              </w:rPr>
              <w:fldChar w:fldCharType="begin"/>
            </w:r>
            <w:r w:rsidR="00375534">
              <w:rPr>
                <w:noProof/>
                <w:webHidden/>
              </w:rPr>
              <w:instrText xml:space="preserve"> PAGEREF _Toc113619872 \h </w:instrText>
            </w:r>
            <w:r w:rsidR="00375534">
              <w:rPr>
                <w:noProof/>
                <w:webHidden/>
              </w:rPr>
            </w:r>
            <w:r w:rsidR="00375534">
              <w:rPr>
                <w:noProof/>
                <w:webHidden/>
              </w:rPr>
              <w:fldChar w:fldCharType="separate"/>
            </w:r>
            <w:r w:rsidR="00375534">
              <w:rPr>
                <w:noProof/>
                <w:webHidden/>
              </w:rPr>
              <w:t>144</w:t>
            </w:r>
            <w:r w:rsidR="00375534">
              <w:rPr>
                <w:noProof/>
                <w:webHidden/>
              </w:rPr>
              <w:fldChar w:fldCharType="end"/>
            </w:r>
          </w:hyperlink>
        </w:p>
        <w:p w14:paraId="0906CA4E" w14:textId="2876352B" w:rsidR="00375534" w:rsidRDefault="00573A1D">
          <w:pPr>
            <w:pStyle w:val="TOC2"/>
            <w:tabs>
              <w:tab w:val="left" w:pos="800"/>
              <w:tab w:val="right" w:leader="dot" w:pos="9350"/>
            </w:tabs>
            <w:rPr>
              <w:rFonts w:eastAsiaTheme="minorEastAsia" w:cstheme="minorBidi"/>
              <w:noProof/>
              <w:sz w:val="22"/>
            </w:rPr>
          </w:pPr>
          <w:hyperlink w:anchor="_Toc113619873" w:history="1">
            <w:r w:rsidR="00375534" w:rsidRPr="00A63C77">
              <w:rPr>
                <w:rStyle w:val="Hyperlink"/>
                <w:noProof/>
              </w:rPr>
              <w:t>2.6</w:t>
            </w:r>
            <w:r w:rsidR="00375534">
              <w:rPr>
                <w:rFonts w:eastAsiaTheme="minorEastAsia" w:cstheme="minorBidi"/>
                <w:noProof/>
                <w:sz w:val="22"/>
              </w:rPr>
              <w:tab/>
            </w:r>
            <w:r w:rsidR="00375534" w:rsidRPr="00A63C77">
              <w:rPr>
                <w:rStyle w:val="Hyperlink"/>
                <w:noProof/>
              </w:rPr>
              <w:t>Energy Codes and Appliance Standards</w:t>
            </w:r>
            <w:r w:rsidR="00375534">
              <w:rPr>
                <w:noProof/>
                <w:webHidden/>
              </w:rPr>
              <w:tab/>
            </w:r>
            <w:r w:rsidR="00375534">
              <w:rPr>
                <w:noProof/>
                <w:webHidden/>
              </w:rPr>
              <w:fldChar w:fldCharType="begin"/>
            </w:r>
            <w:r w:rsidR="00375534">
              <w:rPr>
                <w:noProof/>
                <w:webHidden/>
              </w:rPr>
              <w:instrText xml:space="preserve"> PAGEREF _Toc113619873 \h </w:instrText>
            </w:r>
            <w:r w:rsidR="00375534">
              <w:rPr>
                <w:noProof/>
                <w:webHidden/>
              </w:rPr>
            </w:r>
            <w:r w:rsidR="00375534">
              <w:rPr>
                <w:noProof/>
                <w:webHidden/>
              </w:rPr>
              <w:fldChar w:fldCharType="separate"/>
            </w:r>
            <w:r w:rsidR="00375534">
              <w:rPr>
                <w:noProof/>
                <w:webHidden/>
              </w:rPr>
              <w:t>144</w:t>
            </w:r>
            <w:r w:rsidR="00375534">
              <w:rPr>
                <w:noProof/>
                <w:webHidden/>
              </w:rPr>
              <w:fldChar w:fldCharType="end"/>
            </w:r>
          </w:hyperlink>
        </w:p>
        <w:p w14:paraId="648BD086" w14:textId="65D51E8C" w:rsidR="00375534" w:rsidRDefault="00573A1D">
          <w:pPr>
            <w:pStyle w:val="TOC3"/>
            <w:rPr>
              <w:rFonts w:eastAsiaTheme="minorEastAsia" w:cstheme="minorBidi"/>
              <w:noProof/>
              <w:sz w:val="22"/>
            </w:rPr>
          </w:pPr>
          <w:hyperlink w:anchor="_Toc113619874" w:history="1">
            <w:r w:rsidR="00375534" w:rsidRPr="00A63C77">
              <w:rPr>
                <w:rStyle w:val="Hyperlink"/>
                <w:rFonts w:cstheme="minorHAnsi"/>
                <w:i/>
                <w:noProof/>
              </w:rPr>
              <w:t>2.6.1</w:t>
            </w:r>
            <w:r w:rsidR="00375534">
              <w:rPr>
                <w:rFonts w:eastAsiaTheme="minorEastAsia" w:cstheme="minorBidi"/>
                <w:noProof/>
                <w:sz w:val="22"/>
              </w:rPr>
              <w:tab/>
            </w:r>
            <w:r w:rsidR="00375534" w:rsidRPr="00A63C77">
              <w:rPr>
                <w:rStyle w:val="Hyperlink"/>
                <w:noProof/>
              </w:rPr>
              <w:t>Additional Considerations for Savings from Codes and Standards</w:t>
            </w:r>
            <w:r w:rsidR="00375534" w:rsidRPr="00A63C77">
              <w:rPr>
                <w:rStyle w:val="Hyperlink"/>
                <w:rFonts w:cstheme="minorHAnsi"/>
                <w:i/>
                <w:noProof/>
              </w:rPr>
              <w:t xml:space="preserve"> </w:t>
            </w:r>
            <w:r w:rsidR="00375534">
              <w:rPr>
                <w:noProof/>
                <w:webHidden/>
              </w:rPr>
              <w:tab/>
            </w:r>
            <w:r w:rsidR="00375534">
              <w:rPr>
                <w:noProof/>
                <w:webHidden/>
              </w:rPr>
              <w:fldChar w:fldCharType="begin"/>
            </w:r>
            <w:r w:rsidR="00375534">
              <w:rPr>
                <w:noProof/>
                <w:webHidden/>
              </w:rPr>
              <w:instrText xml:space="preserve"> PAGEREF _Toc113619874 \h </w:instrText>
            </w:r>
            <w:r w:rsidR="00375534">
              <w:rPr>
                <w:noProof/>
                <w:webHidden/>
              </w:rPr>
            </w:r>
            <w:r w:rsidR="00375534">
              <w:rPr>
                <w:noProof/>
                <w:webHidden/>
              </w:rPr>
              <w:fldChar w:fldCharType="separate"/>
            </w:r>
            <w:r w:rsidR="00375534">
              <w:rPr>
                <w:noProof/>
                <w:webHidden/>
              </w:rPr>
              <w:t>145</w:t>
            </w:r>
            <w:r w:rsidR="00375534">
              <w:rPr>
                <w:noProof/>
                <w:webHidden/>
              </w:rPr>
              <w:fldChar w:fldCharType="end"/>
            </w:r>
          </w:hyperlink>
        </w:p>
        <w:p w14:paraId="62CB9BBD" w14:textId="0E482687" w:rsidR="00375534" w:rsidRDefault="00573A1D">
          <w:pPr>
            <w:pStyle w:val="TOC2"/>
            <w:tabs>
              <w:tab w:val="left" w:pos="800"/>
              <w:tab w:val="right" w:leader="dot" w:pos="9350"/>
            </w:tabs>
            <w:rPr>
              <w:rFonts w:eastAsiaTheme="minorEastAsia" w:cstheme="minorBidi"/>
              <w:noProof/>
              <w:sz w:val="22"/>
            </w:rPr>
          </w:pPr>
          <w:hyperlink w:anchor="_Toc113619875" w:history="1">
            <w:r w:rsidR="00375534" w:rsidRPr="00A63C77">
              <w:rPr>
                <w:rStyle w:val="Hyperlink"/>
                <w:noProof/>
              </w:rPr>
              <w:t>2.7</w:t>
            </w:r>
            <w:r w:rsidR="00375534">
              <w:rPr>
                <w:rFonts w:eastAsiaTheme="minorEastAsia" w:cstheme="minorBidi"/>
                <w:noProof/>
                <w:sz w:val="22"/>
              </w:rPr>
              <w:tab/>
            </w:r>
            <w:r w:rsidR="00375534" w:rsidRPr="00A63C77">
              <w:rPr>
                <w:rStyle w:val="Hyperlink"/>
                <w:noProof/>
              </w:rPr>
              <w:t>Energy Savings from Enhanced Energy Code Compliance Activities</w:t>
            </w:r>
            <w:r w:rsidR="00375534">
              <w:rPr>
                <w:noProof/>
                <w:webHidden/>
              </w:rPr>
              <w:tab/>
            </w:r>
            <w:r w:rsidR="00375534">
              <w:rPr>
                <w:noProof/>
                <w:webHidden/>
              </w:rPr>
              <w:fldChar w:fldCharType="begin"/>
            </w:r>
            <w:r w:rsidR="00375534">
              <w:rPr>
                <w:noProof/>
                <w:webHidden/>
              </w:rPr>
              <w:instrText xml:space="preserve"> PAGEREF _Toc113619875 \h </w:instrText>
            </w:r>
            <w:r w:rsidR="00375534">
              <w:rPr>
                <w:noProof/>
                <w:webHidden/>
              </w:rPr>
            </w:r>
            <w:r w:rsidR="00375534">
              <w:rPr>
                <w:noProof/>
                <w:webHidden/>
              </w:rPr>
              <w:fldChar w:fldCharType="separate"/>
            </w:r>
            <w:r w:rsidR="00375534">
              <w:rPr>
                <w:noProof/>
                <w:webHidden/>
              </w:rPr>
              <w:t>146</w:t>
            </w:r>
            <w:r w:rsidR="00375534">
              <w:rPr>
                <w:noProof/>
                <w:webHidden/>
              </w:rPr>
              <w:fldChar w:fldCharType="end"/>
            </w:r>
          </w:hyperlink>
        </w:p>
        <w:p w14:paraId="3822938D" w14:textId="46BE73C8" w:rsidR="00375534" w:rsidRDefault="00573A1D">
          <w:pPr>
            <w:pStyle w:val="TOC3"/>
            <w:rPr>
              <w:rFonts w:eastAsiaTheme="minorEastAsia" w:cstheme="minorBidi"/>
              <w:noProof/>
              <w:sz w:val="22"/>
            </w:rPr>
          </w:pPr>
          <w:hyperlink w:anchor="_Toc113619876" w:history="1">
            <w:r w:rsidR="00375534" w:rsidRPr="00A63C77">
              <w:rPr>
                <w:rStyle w:val="Hyperlink"/>
                <w:noProof/>
              </w:rPr>
              <w:t>2.7.1</w:t>
            </w:r>
            <w:r w:rsidR="00375534">
              <w:rPr>
                <w:rFonts w:eastAsiaTheme="minorEastAsia" w:cstheme="minorBidi"/>
                <w:noProof/>
                <w:sz w:val="22"/>
              </w:rPr>
              <w:tab/>
            </w:r>
            <w:r w:rsidR="00375534" w:rsidRPr="00A63C77">
              <w:rPr>
                <w:rStyle w:val="Hyperlink"/>
                <w:noProof/>
              </w:rPr>
              <w:t>Duration of Enhanced Energy Code Compliance Savings</w:t>
            </w:r>
            <w:r w:rsidR="00375534">
              <w:rPr>
                <w:noProof/>
                <w:webHidden/>
              </w:rPr>
              <w:tab/>
            </w:r>
            <w:r w:rsidR="00375534">
              <w:rPr>
                <w:noProof/>
                <w:webHidden/>
              </w:rPr>
              <w:fldChar w:fldCharType="begin"/>
            </w:r>
            <w:r w:rsidR="00375534">
              <w:rPr>
                <w:noProof/>
                <w:webHidden/>
              </w:rPr>
              <w:instrText xml:space="preserve"> PAGEREF _Toc113619876 \h </w:instrText>
            </w:r>
            <w:r w:rsidR="00375534">
              <w:rPr>
                <w:noProof/>
                <w:webHidden/>
              </w:rPr>
            </w:r>
            <w:r w:rsidR="00375534">
              <w:rPr>
                <w:noProof/>
                <w:webHidden/>
              </w:rPr>
              <w:fldChar w:fldCharType="separate"/>
            </w:r>
            <w:r w:rsidR="00375534">
              <w:rPr>
                <w:noProof/>
                <w:webHidden/>
              </w:rPr>
              <w:t>148</w:t>
            </w:r>
            <w:r w:rsidR="00375534">
              <w:rPr>
                <w:noProof/>
                <w:webHidden/>
              </w:rPr>
              <w:fldChar w:fldCharType="end"/>
            </w:r>
          </w:hyperlink>
        </w:p>
        <w:p w14:paraId="218365A9" w14:textId="1DDFE841" w:rsidR="00375534" w:rsidRDefault="00573A1D">
          <w:pPr>
            <w:pStyle w:val="TOC1"/>
            <w:tabs>
              <w:tab w:val="left" w:pos="400"/>
              <w:tab w:val="right" w:leader="dot" w:pos="9350"/>
            </w:tabs>
            <w:rPr>
              <w:rFonts w:eastAsiaTheme="minorEastAsia" w:cstheme="minorBidi"/>
              <w:b w:val="0"/>
              <w:smallCaps w:val="0"/>
              <w:noProof/>
            </w:rPr>
          </w:pPr>
          <w:hyperlink w:anchor="_Toc113619877" w:history="1">
            <w:r w:rsidR="00375534" w:rsidRPr="00A63C77">
              <w:rPr>
                <w:rStyle w:val="Hyperlink"/>
                <w:noProof/>
              </w:rPr>
              <w:t>3</w:t>
            </w:r>
            <w:r w:rsidR="00375534">
              <w:rPr>
                <w:rFonts w:eastAsiaTheme="minorEastAsia" w:cstheme="minorBidi"/>
                <w:b w:val="0"/>
                <w:smallCaps w:val="0"/>
                <w:noProof/>
              </w:rPr>
              <w:tab/>
            </w:r>
            <w:r w:rsidR="00375534" w:rsidRPr="00A63C77">
              <w:rPr>
                <w:rStyle w:val="Hyperlink"/>
                <w:noProof/>
              </w:rPr>
              <w:t>Addendum: Market Transformation ENERGY STAR Retail Products Platform Evaluation Protocol</w:t>
            </w:r>
            <w:r w:rsidR="00375534">
              <w:rPr>
                <w:noProof/>
                <w:webHidden/>
              </w:rPr>
              <w:tab/>
            </w:r>
            <w:r w:rsidR="00375534">
              <w:rPr>
                <w:noProof/>
                <w:webHidden/>
              </w:rPr>
              <w:fldChar w:fldCharType="begin"/>
            </w:r>
            <w:r w:rsidR="00375534">
              <w:rPr>
                <w:noProof/>
                <w:webHidden/>
              </w:rPr>
              <w:instrText xml:space="preserve"> PAGEREF _Toc113619877 \h </w:instrText>
            </w:r>
            <w:r w:rsidR="00375534">
              <w:rPr>
                <w:noProof/>
                <w:webHidden/>
              </w:rPr>
            </w:r>
            <w:r w:rsidR="00375534">
              <w:rPr>
                <w:noProof/>
                <w:webHidden/>
              </w:rPr>
              <w:fldChar w:fldCharType="separate"/>
            </w:r>
            <w:r w:rsidR="00375534">
              <w:rPr>
                <w:noProof/>
                <w:webHidden/>
              </w:rPr>
              <w:t>148</w:t>
            </w:r>
            <w:r w:rsidR="00375534">
              <w:rPr>
                <w:noProof/>
                <w:webHidden/>
              </w:rPr>
              <w:fldChar w:fldCharType="end"/>
            </w:r>
          </w:hyperlink>
        </w:p>
        <w:p w14:paraId="48DFCB47" w14:textId="343B934C" w:rsidR="00375534" w:rsidRDefault="00573A1D">
          <w:pPr>
            <w:pStyle w:val="TOC2"/>
            <w:tabs>
              <w:tab w:val="left" w:pos="800"/>
              <w:tab w:val="right" w:leader="dot" w:pos="9350"/>
            </w:tabs>
            <w:rPr>
              <w:rFonts w:eastAsiaTheme="minorEastAsia" w:cstheme="minorBidi"/>
              <w:noProof/>
              <w:sz w:val="22"/>
            </w:rPr>
          </w:pPr>
          <w:hyperlink w:anchor="_Toc113619878" w:history="1">
            <w:r w:rsidR="00375534" w:rsidRPr="00A63C77">
              <w:rPr>
                <w:rStyle w:val="Hyperlink"/>
                <w:noProof/>
              </w:rPr>
              <w:t>3.1</w:t>
            </w:r>
            <w:r w:rsidR="00375534">
              <w:rPr>
                <w:rFonts w:eastAsiaTheme="minorEastAsia" w:cstheme="minorBidi"/>
                <w:noProof/>
                <w:sz w:val="22"/>
              </w:rPr>
              <w:tab/>
            </w:r>
            <w:r w:rsidR="00375534" w:rsidRPr="00A63C77">
              <w:rPr>
                <w:rStyle w:val="Hyperlink"/>
                <w:noProof/>
              </w:rPr>
              <w:t>Purpose and Introduction</w:t>
            </w:r>
            <w:r w:rsidR="00375534">
              <w:rPr>
                <w:noProof/>
                <w:webHidden/>
              </w:rPr>
              <w:tab/>
            </w:r>
            <w:r w:rsidR="00375534">
              <w:rPr>
                <w:noProof/>
                <w:webHidden/>
              </w:rPr>
              <w:fldChar w:fldCharType="begin"/>
            </w:r>
            <w:r w:rsidR="00375534">
              <w:rPr>
                <w:noProof/>
                <w:webHidden/>
              </w:rPr>
              <w:instrText xml:space="preserve"> PAGEREF _Toc113619878 \h </w:instrText>
            </w:r>
            <w:r w:rsidR="00375534">
              <w:rPr>
                <w:noProof/>
                <w:webHidden/>
              </w:rPr>
            </w:r>
            <w:r w:rsidR="00375534">
              <w:rPr>
                <w:noProof/>
                <w:webHidden/>
              </w:rPr>
              <w:fldChar w:fldCharType="separate"/>
            </w:r>
            <w:r w:rsidR="00375534">
              <w:rPr>
                <w:noProof/>
                <w:webHidden/>
              </w:rPr>
              <w:t>148</w:t>
            </w:r>
            <w:r w:rsidR="00375534">
              <w:rPr>
                <w:noProof/>
                <w:webHidden/>
              </w:rPr>
              <w:fldChar w:fldCharType="end"/>
            </w:r>
          </w:hyperlink>
        </w:p>
        <w:p w14:paraId="4C863630" w14:textId="364E1927" w:rsidR="00375534" w:rsidRDefault="00573A1D">
          <w:pPr>
            <w:pStyle w:val="TOC2"/>
            <w:tabs>
              <w:tab w:val="left" w:pos="1000"/>
              <w:tab w:val="right" w:leader="dot" w:pos="9350"/>
            </w:tabs>
            <w:rPr>
              <w:rFonts w:eastAsiaTheme="minorEastAsia" w:cstheme="minorBidi"/>
              <w:noProof/>
              <w:sz w:val="22"/>
            </w:rPr>
          </w:pPr>
          <w:hyperlink w:anchor="_Toc113619879" w:history="1">
            <w:r w:rsidR="00375534" w:rsidRPr="00A63C77">
              <w:rPr>
                <w:rStyle w:val="Hyperlink"/>
                <w:noProof/>
              </w:rPr>
              <w:t>3.1.1</w:t>
            </w:r>
            <w:r w:rsidR="00375534">
              <w:rPr>
                <w:rFonts w:eastAsiaTheme="minorEastAsia" w:cstheme="minorBidi"/>
                <w:noProof/>
                <w:sz w:val="22"/>
              </w:rPr>
              <w:tab/>
            </w:r>
            <w:r w:rsidR="00375534" w:rsidRPr="00A63C77">
              <w:rPr>
                <w:rStyle w:val="Hyperlink"/>
                <w:noProof/>
              </w:rPr>
              <w:t>Purpose</w:t>
            </w:r>
            <w:r w:rsidR="00375534">
              <w:rPr>
                <w:noProof/>
                <w:webHidden/>
              </w:rPr>
              <w:tab/>
            </w:r>
            <w:r w:rsidR="00375534">
              <w:rPr>
                <w:noProof/>
                <w:webHidden/>
              </w:rPr>
              <w:fldChar w:fldCharType="begin"/>
            </w:r>
            <w:r w:rsidR="00375534">
              <w:rPr>
                <w:noProof/>
                <w:webHidden/>
              </w:rPr>
              <w:instrText xml:space="preserve"> PAGEREF _Toc113619879 \h </w:instrText>
            </w:r>
            <w:r w:rsidR="00375534">
              <w:rPr>
                <w:noProof/>
                <w:webHidden/>
              </w:rPr>
            </w:r>
            <w:r w:rsidR="00375534">
              <w:rPr>
                <w:noProof/>
                <w:webHidden/>
              </w:rPr>
              <w:fldChar w:fldCharType="separate"/>
            </w:r>
            <w:r w:rsidR="00375534">
              <w:rPr>
                <w:noProof/>
                <w:webHidden/>
              </w:rPr>
              <w:t>148</w:t>
            </w:r>
            <w:r w:rsidR="00375534">
              <w:rPr>
                <w:noProof/>
                <w:webHidden/>
              </w:rPr>
              <w:fldChar w:fldCharType="end"/>
            </w:r>
          </w:hyperlink>
        </w:p>
        <w:p w14:paraId="53D9AFA5" w14:textId="40760336" w:rsidR="00375534" w:rsidRDefault="00573A1D">
          <w:pPr>
            <w:pStyle w:val="TOC2"/>
            <w:tabs>
              <w:tab w:val="left" w:pos="1000"/>
              <w:tab w:val="right" w:leader="dot" w:pos="9350"/>
            </w:tabs>
            <w:rPr>
              <w:rFonts w:eastAsiaTheme="minorEastAsia" w:cstheme="minorBidi"/>
              <w:noProof/>
              <w:sz w:val="22"/>
            </w:rPr>
          </w:pPr>
          <w:hyperlink w:anchor="_Toc113619880" w:history="1">
            <w:r w:rsidR="00375534" w:rsidRPr="00A63C77">
              <w:rPr>
                <w:rStyle w:val="Hyperlink"/>
                <w:noProof/>
              </w:rPr>
              <w:t>3.1.2</w:t>
            </w:r>
            <w:r w:rsidR="00375534">
              <w:rPr>
                <w:rFonts w:eastAsiaTheme="minorEastAsia" w:cstheme="minorBidi"/>
                <w:noProof/>
                <w:sz w:val="22"/>
              </w:rPr>
              <w:tab/>
            </w:r>
            <w:r w:rsidR="00375534" w:rsidRPr="00A63C77">
              <w:rPr>
                <w:rStyle w:val="Hyperlink"/>
                <w:noProof/>
              </w:rPr>
              <w:t>Introduction</w:t>
            </w:r>
            <w:r w:rsidR="00375534">
              <w:rPr>
                <w:noProof/>
                <w:webHidden/>
              </w:rPr>
              <w:tab/>
            </w:r>
            <w:r w:rsidR="00375534">
              <w:rPr>
                <w:noProof/>
                <w:webHidden/>
              </w:rPr>
              <w:fldChar w:fldCharType="begin"/>
            </w:r>
            <w:r w:rsidR="00375534">
              <w:rPr>
                <w:noProof/>
                <w:webHidden/>
              </w:rPr>
              <w:instrText xml:space="preserve"> PAGEREF _Toc113619880 \h </w:instrText>
            </w:r>
            <w:r w:rsidR="00375534">
              <w:rPr>
                <w:noProof/>
                <w:webHidden/>
              </w:rPr>
            </w:r>
            <w:r w:rsidR="00375534">
              <w:rPr>
                <w:noProof/>
                <w:webHidden/>
              </w:rPr>
              <w:fldChar w:fldCharType="separate"/>
            </w:r>
            <w:r w:rsidR="00375534">
              <w:rPr>
                <w:noProof/>
                <w:webHidden/>
              </w:rPr>
              <w:t>148</w:t>
            </w:r>
            <w:r w:rsidR="00375534">
              <w:rPr>
                <w:noProof/>
                <w:webHidden/>
              </w:rPr>
              <w:fldChar w:fldCharType="end"/>
            </w:r>
          </w:hyperlink>
        </w:p>
        <w:p w14:paraId="61342F78" w14:textId="01AA07EA" w:rsidR="00375534" w:rsidRDefault="00573A1D">
          <w:pPr>
            <w:pStyle w:val="TOC2"/>
            <w:tabs>
              <w:tab w:val="left" w:pos="800"/>
              <w:tab w:val="right" w:leader="dot" w:pos="9350"/>
            </w:tabs>
            <w:rPr>
              <w:rFonts w:eastAsiaTheme="minorEastAsia" w:cstheme="minorBidi"/>
              <w:noProof/>
              <w:sz w:val="22"/>
            </w:rPr>
          </w:pPr>
          <w:hyperlink w:anchor="_Toc113619881" w:history="1">
            <w:r w:rsidR="00375534" w:rsidRPr="00A63C77">
              <w:rPr>
                <w:rStyle w:val="Hyperlink"/>
                <w:noProof/>
              </w:rPr>
              <w:t>3.2</w:t>
            </w:r>
            <w:r w:rsidR="00375534">
              <w:rPr>
                <w:rFonts w:eastAsiaTheme="minorEastAsia" w:cstheme="minorBidi"/>
                <w:noProof/>
                <w:sz w:val="22"/>
              </w:rPr>
              <w:tab/>
            </w:r>
            <w:r w:rsidR="00375534" w:rsidRPr="00A63C77">
              <w:rPr>
                <w:rStyle w:val="Hyperlink"/>
                <w:noProof/>
              </w:rPr>
              <w:t>Program Theory and Logic Model</w:t>
            </w:r>
            <w:r w:rsidR="00375534">
              <w:rPr>
                <w:noProof/>
                <w:webHidden/>
              </w:rPr>
              <w:tab/>
            </w:r>
            <w:r w:rsidR="00375534">
              <w:rPr>
                <w:noProof/>
                <w:webHidden/>
              </w:rPr>
              <w:fldChar w:fldCharType="begin"/>
            </w:r>
            <w:r w:rsidR="00375534">
              <w:rPr>
                <w:noProof/>
                <w:webHidden/>
              </w:rPr>
              <w:instrText xml:space="preserve"> PAGEREF _Toc113619881 \h </w:instrText>
            </w:r>
            <w:r w:rsidR="00375534">
              <w:rPr>
                <w:noProof/>
                <w:webHidden/>
              </w:rPr>
            </w:r>
            <w:r w:rsidR="00375534">
              <w:rPr>
                <w:noProof/>
                <w:webHidden/>
              </w:rPr>
              <w:fldChar w:fldCharType="separate"/>
            </w:r>
            <w:r w:rsidR="00375534">
              <w:rPr>
                <w:noProof/>
                <w:webHidden/>
              </w:rPr>
              <w:t>148</w:t>
            </w:r>
            <w:r w:rsidR="00375534">
              <w:rPr>
                <w:noProof/>
                <w:webHidden/>
              </w:rPr>
              <w:fldChar w:fldCharType="end"/>
            </w:r>
          </w:hyperlink>
        </w:p>
        <w:p w14:paraId="2A0E0954" w14:textId="7FD5EFAC" w:rsidR="00375534" w:rsidRDefault="00573A1D">
          <w:pPr>
            <w:pStyle w:val="TOC2"/>
            <w:tabs>
              <w:tab w:val="left" w:pos="800"/>
              <w:tab w:val="right" w:leader="dot" w:pos="9350"/>
            </w:tabs>
            <w:rPr>
              <w:rFonts w:eastAsiaTheme="minorEastAsia" w:cstheme="minorBidi"/>
              <w:noProof/>
              <w:sz w:val="22"/>
            </w:rPr>
          </w:pPr>
          <w:hyperlink w:anchor="_Toc113619882" w:history="1">
            <w:r w:rsidR="00375534" w:rsidRPr="00A63C77">
              <w:rPr>
                <w:rStyle w:val="Hyperlink"/>
                <w:noProof/>
              </w:rPr>
              <w:t>3.3</w:t>
            </w:r>
            <w:r w:rsidR="00375534">
              <w:rPr>
                <w:rFonts w:eastAsiaTheme="minorEastAsia" w:cstheme="minorBidi"/>
                <w:noProof/>
                <w:sz w:val="22"/>
              </w:rPr>
              <w:tab/>
            </w:r>
            <w:r w:rsidR="00375534" w:rsidRPr="00A63C77">
              <w:rPr>
                <w:rStyle w:val="Hyperlink"/>
                <w:noProof/>
              </w:rPr>
              <w:t>ESRPP Data and Cleaning</w:t>
            </w:r>
            <w:r w:rsidR="00375534">
              <w:rPr>
                <w:noProof/>
                <w:webHidden/>
              </w:rPr>
              <w:tab/>
            </w:r>
            <w:r w:rsidR="00375534">
              <w:rPr>
                <w:noProof/>
                <w:webHidden/>
              </w:rPr>
              <w:fldChar w:fldCharType="begin"/>
            </w:r>
            <w:r w:rsidR="00375534">
              <w:rPr>
                <w:noProof/>
                <w:webHidden/>
              </w:rPr>
              <w:instrText xml:space="preserve"> PAGEREF _Toc113619882 \h </w:instrText>
            </w:r>
            <w:r w:rsidR="00375534">
              <w:rPr>
                <w:noProof/>
                <w:webHidden/>
              </w:rPr>
            </w:r>
            <w:r w:rsidR="00375534">
              <w:rPr>
                <w:noProof/>
                <w:webHidden/>
              </w:rPr>
              <w:fldChar w:fldCharType="separate"/>
            </w:r>
            <w:r w:rsidR="00375534">
              <w:rPr>
                <w:noProof/>
                <w:webHidden/>
              </w:rPr>
              <w:t>153</w:t>
            </w:r>
            <w:r w:rsidR="00375534">
              <w:rPr>
                <w:noProof/>
                <w:webHidden/>
              </w:rPr>
              <w:fldChar w:fldCharType="end"/>
            </w:r>
          </w:hyperlink>
        </w:p>
        <w:p w14:paraId="7788A338" w14:textId="080B7172" w:rsidR="00375534" w:rsidRDefault="00573A1D">
          <w:pPr>
            <w:pStyle w:val="TOC2"/>
            <w:tabs>
              <w:tab w:val="left" w:pos="1000"/>
              <w:tab w:val="right" w:leader="dot" w:pos="9350"/>
            </w:tabs>
            <w:rPr>
              <w:rFonts w:eastAsiaTheme="minorEastAsia" w:cstheme="minorBidi"/>
              <w:noProof/>
              <w:sz w:val="22"/>
            </w:rPr>
          </w:pPr>
          <w:hyperlink w:anchor="_Toc113619883" w:history="1">
            <w:r w:rsidR="00375534" w:rsidRPr="00A63C77">
              <w:rPr>
                <w:rStyle w:val="Hyperlink"/>
                <w:noProof/>
              </w:rPr>
              <w:t>3.3.1</w:t>
            </w:r>
            <w:r w:rsidR="00375534">
              <w:rPr>
                <w:rFonts w:eastAsiaTheme="minorEastAsia" w:cstheme="minorBidi"/>
                <w:noProof/>
                <w:sz w:val="22"/>
              </w:rPr>
              <w:tab/>
            </w:r>
            <w:r w:rsidR="00375534" w:rsidRPr="00A63C77">
              <w:rPr>
                <w:rStyle w:val="Hyperlink"/>
                <w:noProof/>
              </w:rPr>
              <w:t>Data Cleaning</w:t>
            </w:r>
            <w:r w:rsidR="00375534">
              <w:rPr>
                <w:noProof/>
                <w:webHidden/>
              </w:rPr>
              <w:tab/>
            </w:r>
            <w:r w:rsidR="00375534">
              <w:rPr>
                <w:noProof/>
                <w:webHidden/>
              </w:rPr>
              <w:fldChar w:fldCharType="begin"/>
            </w:r>
            <w:r w:rsidR="00375534">
              <w:rPr>
                <w:noProof/>
                <w:webHidden/>
              </w:rPr>
              <w:instrText xml:space="preserve"> PAGEREF _Toc113619883 \h </w:instrText>
            </w:r>
            <w:r w:rsidR="00375534">
              <w:rPr>
                <w:noProof/>
                <w:webHidden/>
              </w:rPr>
            </w:r>
            <w:r w:rsidR="00375534">
              <w:rPr>
                <w:noProof/>
                <w:webHidden/>
              </w:rPr>
              <w:fldChar w:fldCharType="separate"/>
            </w:r>
            <w:r w:rsidR="00375534">
              <w:rPr>
                <w:noProof/>
                <w:webHidden/>
              </w:rPr>
              <w:t>154</w:t>
            </w:r>
            <w:r w:rsidR="00375534">
              <w:rPr>
                <w:noProof/>
                <w:webHidden/>
              </w:rPr>
              <w:fldChar w:fldCharType="end"/>
            </w:r>
          </w:hyperlink>
        </w:p>
        <w:p w14:paraId="4FEA9507" w14:textId="1898750E" w:rsidR="00375534" w:rsidRDefault="00573A1D">
          <w:pPr>
            <w:pStyle w:val="TOC2"/>
            <w:tabs>
              <w:tab w:val="left" w:pos="800"/>
              <w:tab w:val="right" w:leader="dot" w:pos="9350"/>
            </w:tabs>
            <w:rPr>
              <w:rFonts w:eastAsiaTheme="minorEastAsia" w:cstheme="minorBidi"/>
              <w:noProof/>
              <w:sz w:val="22"/>
            </w:rPr>
          </w:pPr>
          <w:hyperlink w:anchor="_Toc113619884" w:history="1">
            <w:r w:rsidR="00375534" w:rsidRPr="00A63C77">
              <w:rPr>
                <w:rStyle w:val="Hyperlink"/>
                <w:noProof/>
              </w:rPr>
              <w:t>3.4</w:t>
            </w:r>
            <w:r w:rsidR="00375534">
              <w:rPr>
                <w:rFonts w:eastAsiaTheme="minorEastAsia" w:cstheme="minorBidi"/>
                <w:noProof/>
                <w:sz w:val="22"/>
              </w:rPr>
              <w:tab/>
            </w:r>
            <w:r w:rsidR="00375534" w:rsidRPr="00A63C77">
              <w:rPr>
                <w:rStyle w:val="Hyperlink"/>
                <w:noProof/>
              </w:rPr>
              <w:t>ESRPP Natural Market Baselines</w:t>
            </w:r>
            <w:r w:rsidR="00375534">
              <w:rPr>
                <w:noProof/>
                <w:webHidden/>
              </w:rPr>
              <w:tab/>
            </w:r>
            <w:r w:rsidR="00375534">
              <w:rPr>
                <w:noProof/>
                <w:webHidden/>
              </w:rPr>
              <w:fldChar w:fldCharType="begin"/>
            </w:r>
            <w:r w:rsidR="00375534">
              <w:rPr>
                <w:noProof/>
                <w:webHidden/>
              </w:rPr>
              <w:instrText xml:space="preserve"> PAGEREF _Toc113619884 \h </w:instrText>
            </w:r>
            <w:r w:rsidR="00375534">
              <w:rPr>
                <w:noProof/>
                <w:webHidden/>
              </w:rPr>
            </w:r>
            <w:r w:rsidR="00375534">
              <w:rPr>
                <w:noProof/>
                <w:webHidden/>
              </w:rPr>
              <w:fldChar w:fldCharType="separate"/>
            </w:r>
            <w:r w:rsidR="00375534">
              <w:rPr>
                <w:noProof/>
                <w:webHidden/>
              </w:rPr>
              <w:t>154</w:t>
            </w:r>
            <w:r w:rsidR="00375534">
              <w:rPr>
                <w:noProof/>
                <w:webHidden/>
              </w:rPr>
              <w:fldChar w:fldCharType="end"/>
            </w:r>
          </w:hyperlink>
        </w:p>
        <w:p w14:paraId="756406C8" w14:textId="40BB7A50" w:rsidR="00375534" w:rsidRDefault="00573A1D">
          <w:pPr>
            <w:pStyle w:val="TOC2"/>
            <w:tabs>
              <w:tab w:val="left" w:pos="1000"/>
              <w:tab w:val="right" w:leader="dot" w:pos="9350"/>
            </w:tabs>
            <w:rPr>
              <w:rFonts w:eastAsiaTheme="minorEastAsia" w:cstheme="minorBidi"/>
              <w:noProof/>
              <w:sz w:val="22"/>
            </w:rPr>
          </w:pPr>
          <w:hyperlink w:anchor="_Toc113619885" w:history="1">
            <w:r w:rsidR="00375534" w:rsidRPr="00A63C77">
              <w:rPr>
                <w:rStyle w:val="Hyperlink"/>
                <w:noProof/>
              </w:rPr>
              <w:t>3.4.1</w:t>
            </w:r>
            <w:r w:rsidR="00375534">
              <w:rPr>
                <w:rFonts w:eastAsiaTheme="minorEastAsia" w:cstheme="minorBidi"/>
                <w:noProof/>
                <w:sz w:val="22"/>
              </w:rPr>
              <w:tab/>
            </w:r>
            <w:r w:rsidR="00375534" w:rsidRPr="00A63C77">
              <w:rPr>
                <w:rStyle w:val="Hyperlink"/>
                <w:noProof/>
              </w:rPr>
              <w:t>Data for NMB Determination</w:t>
            </w:r>
            <w:r w:rsidR="00375534">
              <w:rPr>
                <w:noProof/>
                <w:webHidden/>
              </w:rPr>
              <w:tab/>
            </w:r>
            <w:r w:rsidR="00375534">
              <w:rPr>
                <w:noProof/>
                <w:webHidden/>
              </w:rPr>
              <w:fldChar w:fldCharType="begin"/>
            </w:r>
            <w:r w:rsidR="00375534">
              <w:rPr>
                <w:noProof/>
                <w:webHidden/>
              </w:rPr>
              <w:instrText xml:space="preserve"> PAGEREF _Toc113619885 \h </w:instrText>
            </w:r>
            <w:r w:rsidR="00375534">
              <w:rPr>
                <w:noProof/>
                <w:webHidden/>
              </w:rPr>
            </w:r>
            <w:r w:rsidR="00375534">
              <w:rPr>
                <w:noProof/>
                <w:webHidden/>
              </w:rPr>
              <w:fldChar w:fldCharType="separate"/>
            </w:r>
            <w:r w:rsidR="00375534">
              <w:rPr>
                <w:noProof/>
                <w:webHidden/>
              </w:rPr>
              <w:t>155</w:t>
            </w:r>
            <w:r w:rsidR="00375534">
              <w:rPr>
                <w:noProof/>
                <w:webHidden/>
              </w:rPr>
              <w:fldChar w:fldCharType="end"/>
            </w:r>
          </w:hyperlink>
        </w:p>
        <w:p w14:paraId="19650D50" w14:textId="6C1973E0" w:rsidR="00375534" w:rsidRDefault="00573A1D">
          <w:pPr>
            <w:pStyle w:val="TOC2"/>
            <w:tabs>
              <w:tab w:val="left" w:pos="1000"/>
              <w:tab w:val="right" w:leader="dot" w:pos="9350"/>
            </w:tabs>
            <w:rPr>
              <w:rFonts w:eastAsiaTheme="minorEastAsia" w:cstheme="minorBidi"/>
              <w:noProof/>
              <w:sz w:val="22"/>
            </w:rPr>
          </w:pPr>
          <w:hyperlink w:anchor="_Toc113619886" w:history="1">
            <w:r w:rsidR="00375534" w:rsidRPr="00A63C77">
              <w:rPr>
                <w:rStyle w:val="Hyperlink"/>
                <w:noProof/>
              </w:rPr>
              <w:t>3.4.2</w:t>
            </w:r>
            <w:r w:rsidR="00375534">
              <w:rPr>
                <w:rFonts w:eastAsiaTheme="minorEastAsia" w:cstheme="minorBidi"/>
                <w:noProof/>
                <w:sz w:val="22"/>
              </w:rPr>
              <w:tab/>
            </w:r>
            <w:r w:rsidR="00375534" w:rsidRPr="00A63C77">
              <w:rPr>
                <w:rStyle w:val="Hyperlink"/>
                <w:noProof/>
              </w:rPr>
              <w:t>NMB Algorithm</w:t>
            </w:r>
            <w:r w:rsidR="00375534">
              <w:rPr>
                <w:noProof/>
                <w:webHidden/>
              </w:rPr>
              <w:tab/>
            </w:r>
            <w:r w:rsidR="00375534">
              <w:rPr>
                <w:noProof/>
                <w:webHidden/>
              </w:rPr>
              <w:fldChar w:fldCharType="begin"/>
            </w:r>
            <w:r w:rsidR="00375534">
              <w:rPr>
                <w:noProof/>
                <w:webHidden/>
              </w:rPr>
              <w:instrText xml:space="preserve"> PAGEREF _Toc113619886 \h </w:instrText>
            </w:r>
            <w:r w:rsidR="00375534">
              <w:rPr>
                <w:noProof/>
                <w:webHidden/>
              </w:rPr>
            </w:r>
            <w:r w:rsidR="00375534">
              <w:rPr>
                <w:noProof/>
                <w:webHidden/>
              </w:rPr>
              <w:fldChar w:fldCharType="separate"/>
            </w:r>
            <w:r w:rsidR="00375534">
              <w:rPr>
                <w:noProof/>
                <w:webHidden/>
              </w:rPr>
              <w:t>155</w:t>
            </w:r>
            <w:r w:rsidR="00375534">
              <w:rPr>
                <w:noProof/>
                <w:webHidden/>
              </w:rPr>
              <w:fldChar w:fldCharType="end"/>
            </w:r>
          </w:hyperlink>
        </w:p>
        <w:p w14:paraId="54BC63D8" w14:textId="4DAE4C2E" w:rsidR="00375534" w:rsidRDefault="00573A1D">
          <w:pPr>
            <w:pStyle w:val="TOC2"/>
            <w:tabs>
              <w:tab w:val="left" w:pos="1000"/>
              <w:tab w:val="right" w:leader="dot" w:pos="9350"/>
            </w:tabs>
            <w:rPr>
              <w:rFonts w:eastAsiaTheme="minorEastAsia" w:cstheme="minorBidi"/>
              <w:noProof/>
              <w:sz w:val="22"/>
            </w:rPr>
          </w:pPr>
          <w:hyperlink w:anchor="_Toc113619887" w:history="1">
            <w:r w:rsidR="00375534" w:rsidRPr="00A63C77">
              <w:rPr>
                <w:rStyle w:val="Hyperlink"/>
                <w:noProof/>
              </w:rPr>
              <w:t>3.4.3</w:t>
            </w:r>
            <w:r w:rsidR="00375534">
              <w:rPr>
                <w:rFonts w:eastAsiaTheme="minorEastAsia" w:cstheme="minorBidi"/>
                <w:noProof/>
                <w:sz w:val="22"/>
              </w:rPr>
              <w:tab/>
            </w:r>
            <w:r w:rsidR="00375534" w:rsidRPr="00A63C77">
              <w:rPr>
                <w:rStyle w:val="Hyperlink"/>
                <w:noProof/>
              </w:rPr>
              <w:t>Criteria for NMB Updates</w:t>
            </w:r>
            <w:r w:rsidR="00375534">
              <w:rPr>
                <w:noProof/>
                <w:webHidden/>
              </w:rPr>
              <w:tab/>
            </w:r>
            <w:r w:rsidR="00375534">
              <w:rPr>
                <w:noProof/>
                <w:webHidden/>
              </w:rPr>
              <w:fldChar w:fldCharType="begin"/>
            </w:r>
            <w:r w:rsidR="00375534">
              <w:rPr>
                <w:noProof/>
                <w:webHidden/>
              </w:rPr>
              <w:instrText xml:space="preserve"> PAGEREF _Toc113619887 \h </w:instrText>
            </w:r>
            <w:r w:rsidR="00375534">
              <w:rPr>
                <w:noProof/>
                <w:webHidden/>
              </w:rPr>
            </w:r>
            <w:r w:rsidR="00375534">
              <w:rPr>
                <w:noProof/>
                <w:webHidden/>
              </w:rPr>
              <w:fldChar w:fldCharType="separate"/>
            </w:r>
            <w:r w:rsidR="00375534">
              <w:rPr>
                <w:noProof/>
                <w:webHidden/>
              </w:rPr>
              <w:t>155</w:t>
            </w:r>
            <w:r w:rsidR="00375534">
              <w:rPr>
                <w:noProof/>
                <w:webHidden/>
              </w:rPr>
              <w:fldChar w:fldCharType="end"/>
            </w:r>
          </w:hyperlink>
        </w:p>
        <w:p w14:paraId="5A4F2EA2" w14:textId="74050287" w:rsidR="00375534" w:rsidRDefault="00573A1D">
          <w:pPr>
            <w:pStyle w:val="TOC2"/>
            <w:tabs>
              <w:tab w:val="left" w:pos="800"/>
              <w:tab w:val="right" w:leader="dot" w:pos="9350"/>
            </w:tabs>
            <w:rPr>
              <w:rFonts w:eastAsiaTheme="minorEastAsia" w:cstheme="minorBidi"/>
              <w:noProof/>
              <w:sz w:val="22"/>
            </w:rPr>
          </w:pPr>
          <w:hyperlink w:anchor="_Toc113619888" w:history="1">
            <w:r w:rsidR="00375534" w:rsidRPr="00A63C77">
              <w:rPr>
                <w:rStyle w:val="Hyperlink"/>
                <w:noProof/>
              </w:rPr>
              <w:t>3.5</w:t>
            </w:r>
            <w:r w:rsidR="00375534">
              <w:rPr>
                <w:rFonts w:eastAsiaTheme="minorEastAsia" w:cstheme="minorBidi"/>
                <w:noProof/>
                <w:sz w:val="22"/>
              </w:rPr>
              <w:tab/>
            </w:r>
            <w:r w:rsidR="00375534" w:rsidRPr="00A63C77">
              <w:rPr>
                <w:rStyle w:val="Hyperlink"/>
                <w:rFonts w:cstheme="majorHAnsi"/>
                <w:noProof/>
              </w:rPr>
              <w:t>Unit</w:t>
            </w:r>
            <w:r w:rsidR="00375534" w:rsidRPr="00A63C77">
              <w:rPr>
                <w:rStyle w:val="Hyperlink"/>
                <w:noProof/>
              </w:rPr>
              <w:t xml:space="preserve"> Energy Savings (UES)</w:t>
            </w:r>
            <w:r w:rsidR="00375534">
              <w:rPr>
                <w:noProof/>
                <w:webHidden/>
              </w:rPr>
              <w:tab/>
            </w:r>
            <w:r w:rsidR="00375534">
              <w:rPr>
                <w:noProof/>
                <w:webHidden/>
              </w:rPr>
              <w:fldChar w:fldCharType="begin"/>
            </w:r>
            <w:r w:rsidR="00375534">
              <w:rPr>
                <w:noProof/>
                <w:webHidden/>
              </w:rPr>
              <w:instrText xml:space="preserve"> PAGEREF _Toc113619888 \h </w:instrText>
            </w:r>
            <w:r w:rsidR="00375534">
              <w:rPr>
                <w:noProof/>
                <w:webHidden/>
              </w:rPr>
            </w:r>
            <w:r w:rsidR="00375534">
              <w:rPr>
                <w:noProof/>
                <w:webHidden/>
              </w:rPr>
              <w:fldChar w:fldCharType="separate"/>
            </w:r>
            <w:r w:rsidR="00375534">
              <w:rPr>
                <w:noProof/>
                <w:webHidden/>
              </w:rPr>
              <w:t>156</w:t>
            </w:r>
            <w:r w:rsidR="00375534">
              <w:rPr>
                <w:noProof/>
                <w:webHidden/>
              </w:rPr>
              <w:fldChar w:fldCharType="end"/>
            </w:r>
          </w:hyperlink>
        </w:p>
        <w:p w14:paraId="2ABCDC89" w14:textId="3681FBF0" w:rsidR="00375534" w:rsidRDefault="00573A1D">
          <w:pPr>
            <w:pStyle w:val="TOC2"/>
            <w:tabs>
              <w:tab w:val="left" w:pos="800"/>
              <w:tab w:val="right" w:leader="dot" w:pos="9350"/>
            </w:tabs>
            <w:rPr>
              <w:rFonts w:eastAsiaTheme="minorEastAsia" w:cstheme="minorBidi"/>
              <w:noProof/>
              <w:sz w:val="22"/>
            </w:rPr>
          </w:pPr>
          <w:hyperlink w:anchor="_Toc113619889" w:history="1">
            <w:r w:rsidR="00375534" w:rsidRPr="00A63C77">
              <w:rPr>
                <w:rStyle w:val="Hyperlink"/>
                <w:noProof/>
              </w:rPr>
              <w:t>3.6</w:t>
            </w:r>
            <w:r w:rsidR="00375534">
              <w:rPr>
                <w:rFonts w:eastAsiaTheme="minorEastAsia" w:cstheme="minorBidi"/>
                <w:noProof/>
                <w:sz w:val="22"/>
              </w:rPr>
              <w:tab/>
            </w:r>
            <w:r w:rsidR="00375534" w:rsidRPr="00A63C77">
              <w:rPr>
                <w:rStyle w:val="Hyperlink"/>
                <w:noProof/>
              </w:rPr>
              <w:t>Annual ESRPP Savings</w:t>
            </w:r>
            <w:r w:rsidR="00375534">
              <w:rPr>
                <w:noProof/>
                <w:webHidden/>
              </w:rPr>
              <w:tab/>
            </w:r>
            <w:r w:rsidR="00375534">
              <w:rPr>
                <w:noProof/>
                <w:webHidden/>
              </w:rPr>
              <w:fldChar w:fldCharType="begin"/>
            </w:r>
            <w:r w:rsidR="00375534">
              <w:rPr>
                <w:noProof/>
                <w:webHidden/>
              </w:rPr>
              <w:instrText xml:space="preserve"> PAGEREF _Toc113619889 \h </w:instrText>
            </w:r>
            <w:r w:rsidR="00375534">
              <w:rPr>
                <w:noProof/>
                <w:webHidden/>
              </w:rPr>
            </w:r>
            <w:r w:rsidR="00375534">
              <w:rPr>
                <w:noProof/>
                <w:webHidden/>
              </w:rPr>
              <w:fldChar w:fldCharType="separate"/>
            </w:r>
            <w:r w:rsidR="00375534">
              <w:rPr>
                <w:noProof/>
                <w:webHidden/>
              </w:rPr>
              <w:t>156</w:t>
            </w:r>
            <w:r w:rsidR="00375534">
              <w:rPr>
                <w:noProof/>
                <w:webHidden/>
              </w:rPr>
              <w:fldChar w:fldCharType="end"/>
            </w:r>
          </w:hyperlink>
        </w:p>
        <w:p w14:paraId="2A654BE3" w14:textId="4E1165FA" w:rsidR="00375534" w:rsidRDefault="00573A1D">
          <w:pPr>
            <w:pStyle w:val="TOC2"/>
            <w:tabs>
              <w:tab w:val="left" w:pos="1000"/>
              <w:tab w:val="right" w:leader="dot" w:pos="9350"/>
            </w:tabs>
            <w:rPr>
              <w:rFonts w:eastAsiaTheme="minorEastAsia" w:cstheme="minorBidi"/>
              <w:noProof/>
              <w:sz w:val="22"/>
            </w:rPr>
          </w:pPr>
          <w:hyperlink w:anchor="_Toc113619890" w:history="1">
            <w:r w:rsidR="00375534" w:rsidRPr="00A63C77">
              <w:rPr>
                <w:rStyle w:val="Hyperlink"/>
                <w:noProof/>
              </w:rPr>
              <w:t>3.6.1</w:t>
            </w:r>
            <w:r w:rsidR="00375534">
              <w:rPr>
                <w:rFonts w:eastAsiaTheme="minorEastAsia" w:cstheme="minorBidi"/>
                <w:noProof/>
                <w:sz w:val="22"/>
              </w:rPr>
              <w:tab/>
            </w:r>
            <w:r w:rsidR="00375534" w:rsidRPr="00A63C77">
              <w:rPr>
                <w:rStyle w:val="Hyperlink"/>
                <w:noProof/>
              </w:rPr>
              <w:t>Sales from Non-Participating Retailers</w:t>
            </w:r>
            <w:r w:rsidR="00375534">
              <w:rPr>
                <w:noProof/>
                <w:webHidden/>
              </w:rPr>
              <w:tab/>
            </w:r>
            <w:r w:rsidR="00375534">
              <w:rPr>
                <w:noProof/>
                <w:webHidden/>
              </w:rPr>
              <w:fldChar w:fldCharType="begin"/>
            </w:r>
            <w:r w:rsidR="00375534">
              <w:rPr>
                <w:noProof/>
                <w:webHidden/>
              </w:rPr>
              <w:instrText xml:space="preserve"> PAGEREF _Toc113619890 \h </w:instrText>
            </w:r>
            <w:r w:rsidR="00375534">
              <w:rPr>
                <w:noProof/>
                <w:webHidden/>
              </w:rPr>
            </w:r>
            <w:r w:rsidR="00375534">
              <w:rPr>
                <w:noProof/>
                <w:webHidden/>
              </w:rPr>
              <w:fldChar w:fldCharType="separate"/>
            </w:r>
            <w:r w:rsidR="00375534">
              <w:rPr>
                <w:noProof/>
                <w:webHidden/>
              </w:rPr>
              <w:t>156</w:t>
            </w:r>
            <w:r w:rsidR="00375534">
              <w:rPr>
                <w:noProof/>
                <w:webHidden/>
              </w:rPr>
              <w:fldChar w:fldCharType="end"/>
            </w:r>
          </w:hyperlink>
        </w:p>
        <w:p w14:paraId="0B1D0E52" w14:textId="6974854A" w:rsidR="00375534" w:rsidRDefault="00573A1D">
          <w:pPr>
            <w:pStyle w:val="TOC2"/>
            <w:tabs>
              <w:tab w:val="left" w:pos="1000"/>
              <w:tab w:val="right" w:leader="dot" w:pos="9350"/>
            </w:tabs>
            <w:rPr>
              <w:rFonts w:eastAsiaTheme="minorEastAsia" w:cstheme="minorBidi"/>
              <w:noProof/>
              <w:sz w:val="22"/>
            </w:rPr>
          </w:pPr>
          <w:hyperlink w:anchor="_Toc113619891" w:history="1">
            <w:r w:rsidR="00375534" w:rsidRPr="00A63C77">
              <w:rPr>
                <w:rStyle w:val="Hyperlink"/>
                <w:noProof/>
              </w:rPr>
              <w:t>3.6.2</w:t>
            </w:r>
            <w:r w:rsidR="00375534">
              <w:rPr>
                <w:rFonts w:eastAsiaTheme="minorEastAsia" w:cstheme="minorBidi"/>
                <w:noProof/>
                <w:sz w:val="22"/>
              </w:rPr>
              <w:tab/>
            </w:r>
            <w:r w:rsidR="00375534" w:rsidRPr="00A63C77">
              <w:rPr>
                <w:rStyle w:val="Hyperlink"/>
                <w:noProof/>
              </w:rPr>
              <w:t>Savings from Non-participating Retailers</w:t>
            </w:r>
            <w:r w:rsidR="00375534">
              <w:rPr>
                <w:noProof/>
                <w:webHidden/>
              </w:rPr>
              <w:tab/>
            </w:r>
            <w:r w:rsidR="00375534">
              <w:rPr>
                <w:noProof/>
                <w:webHidden/>
              </w:rPr>
              <w:fldChar w:fldCharType="begin"/>
            </w:r>
            <w:r w:rsidR="00375534">
              <w:rPr>
                <w:noProof/>
                <w:webHidden/>
              </w:rPr>
              <w:instrText xml:space="preserve"> PAGEREF _Toc113619891 \h </w:instrText>
            </w:r>
            <w:r w:rsidR="00375534">
              <w:rPr>
                <w:noProof/>
                <w:webHidden/>
              </w:rPr>
            </w:r>
            <w:r w:rsidR="00375534">
              <w:rPr>
                <w:noProof/>
                <w:webHidden/>
              </w:rPr>
              <w:fldChar w:fldCharType="separate"/>
            </w:r>
            <w:r w:rsidR="00375534">
              <w:rPr>
                <w:noProof/>
                <w:webHidden/>
              </w:rPr>
              <w:t>157</w:t>
            </w:r>
            <w:r w:rsidR="00375534">
              <w:rPr>
                <w:noProof/>
                <w:webHidden/>
              </w:rPr>
              <w:fldChar w:fldCharType="end"/>
            </w:r>
          </w:hyperlink>
        </w:p>
        <w:p w14:paraId="74BB24DF" w14:textId="0A435F3D" w:rsidR="00375534" w:rsidRDefault="00573A1D">
          <w:pPr>
            <w:pStyle w:val="TOC2"/>
            <w:tabs>
              <w:tab w:val="left" w:pos="1000"/>
              <w:tab w:val="right" w:leader="dot" w:pos="9350"/>
            </w:tabs>
            <w:rPr>
              <w:rFonts w:eastAsiaTheme="minorEastAsia" w:cstheme="minorBidi"/>
              <w:noProof/>
              <w:sz w:val="22"/>
            </w:rPr>
          </w:pPr>
          <w:hyperlink w:anchor="_Toc113619892" w:history="1">
            <w:r w:rsidR="00375534" w:rsidRPr="00A63C77">
              <w:rPr>
                <w:rStyle w:val="Hyperlink"/>
                <w:noProof/>
              </w:rPr>
              <w:t>3.6.3</w:t>
            </w:r>
            <w:r w:rsidR="00375534">
              <w:rPr>
                <w:rFonts w:eastAsiaTheme="minorEastAsia" w:cstheme="minorBidi"/>
                <w:noProof/>
                <w:sz w:val="22"/>
              </w:rPr>
              <w:tab/>
            </w:r>
            <w:r w:rsidR="00375534" w:rsidRPr="00A63C77">
              <w:rPr>
                <w:rStyle w:val="Hyperlink"/>
                <w:noProof/>
              </w:rPr>
              <w:t>Interactions with Other Efficiency Programs</w:t>
            </w:r>
            <w:r w:rsidR="00375534">
              <w:rPr>
                <w:noProof/>
                <w:webHidden/>
              </w:rPr>
              <w:tab/>
            </w:r>
            <w:r w:rsidR="00375534">
              <w:rPr>
                <w:noProof/>
                <w:webHidden/>
              </w:rPr>
              <w:fldChar w:fldCharType="begin"/>
            </w:r>
            <w:r w:rsidR="00375534">
              <w:rPr>
                <w:noProof/>
                <w:webHidden/>
              </w:rPr>
              <w:instrText xml:space="preserve"> PAGEREF _Toc113619892 \h </w:instrText>
            </w:r>
            <w:r w:rsidR="00375534">
              <w:rPr>
                <w:noProof/>
                <w:webHidden/>
              </w:rPr>
            </w:r>
            <w:r w:rsidR="00375534">
              <w:rPr>
                <w:noProof/>
                <w:webHidden/>
              </w:rPr>
              <w:fldChar w:fldCharType="separate"/>
            </w:r>
            <w:r w:rsidR="00375534">
              <w:rPr>
                <w:noProof/>
                <w:webHidden/>
              </w:rPr>
              <w:t>157</w:t>
            </w:r>
            <w:r w:rsidR="00375534">
              <w:rPr>
                <w:noProof/>
                <w:webHidden/>
              </w:rPr>
              <w:fldChar w:fldCharType="end"/>
            </w:r>
          </w:hyperlink>
        </w:p>
        <w:p w14:paraId="4A826AFC" w14:textId="4BA589C7" w:rsidR="00375534" w:rsidRDefault="00573A1D">
          <w:pPr>
            <w:pStyle w:val="TOC1"/>
            <w:tabs>
              <w:tab w:val="left" w:pos="400"/>
              <w:tab w:val="right" w:leader="dot" w:pos="9350"/>
            </w:tabs>
            <w:rPr>
              <w:rFonts w:eastAsiaTheme="minorEastAsia" w:cstheme="minorBidi"/>
              <w:b w:val="0"/>
              <w:smallCaps w:val="0"/>
              <w:noProof/>
            </w:rPr>
          </w:pPr>
          <w:hyperlink w:anchor="_Toc113619893" w:history="1">
            <w:r w:rsidR="00375534" w:rsidRPr="00A63C77">
              <w:rPr>
                <w:rStyle w:val="Hyperlink"/>
                <w:noProof/>
              </w:rPr>
              <w:t>4</w:t>
            </w:r>
            <w:r w:rsidR="00375534">
              <w:rPr>
                <w:rFonts w:eastAsiaTheme="minorEastAsia" w:cstheme="minorBidi"/>
                <w:b w:val="0"/>
                <w:smallCaps w:val="0"/>
                <w:noProof/>
              </w:rPr>
              <w:tab/>
            </w:r>
            <w:r w:rsidR="00375534" w:rsidRPr="00A63C77">
              <w:rPr>
                <w:rStyle w:val="Hyperlink"/>
                <w:noProof/>
              </w:rPr>
              <w:t>Addendum: Stretch Code Market Transformation Programs</w:t>
            </w:r>
            <w:r w:rsidR="00375534">
              <w:rPr>
                <w:noProof/>
                <w:webHidden/>
              </w:rPr>
              <w:tab/>
            </w:r>
            <w:r w:rsidR="00375534">
              <w:rPr>
                <w:noProof/>
                <w:webHidden/>
              </w:rPr>
              <w:fldChar w:fldCharType="begin"/>
            </w:r>
            <w:r w:rsidR="00375534">
              <w:rPr>
                <w:noProof/>
                <w:webHidden/>
              </w:rPr>
              <w:instrText xml:space="preserve"> PAGEREF _Toc113619893 \h </w:instrText>
            </w:r>
            <w:r w:rsidR="00375534">
              <w:rPr>
                <w:noProof/>
                <w:webHidden/>
              </w:rPr>
            </w:r>
            <w:r w:rsidR="00375534">
              <w:rPr>
                <w:noProof/>
                <w:webHidden/>
              </w:rPr>
              <w:fldChar w:fldCharType="separate"/>
            </w:r>
            <w:r w:rsidR="00375534">
              <w:rPr>
                <w:noProof/>
                <w:webHidden/>
              </w:rPr>
              <w:t>158</w:t>
            </w:r>
            <w:r w:rsidR="00375534">
              <w:rPr>
                <w:noProof/>
                <w:webHidden/>
              </w:rPr>
              <w:fldChar w:fldCharType="end"/>
            </w:r>
          </w:hyperlink>
        </w:p>
        <w:p w14:paraId="084F15A6" w14:textId="349251F9" w:rsidR="00375534" w:rsidRDefault="00573A1D">
          <w:pPr>
            <w:pStyle w:val="TOC2"/>
            <w:tabs>
              <w:tab w:val="left" w:pos="800"/>
              <w:tab w:val="right" w:leader="dot" w:pos="9350"/>
            </w:tabs>
            <w:rPr>
              <w:rFonts w:eastAsiaTheme="minorEastAsia" w:cstheme="minorBidi"/>
              <w:noProof/>
              <w:sz w:val="22"/>
            </w:rPr>
          </w:pPr>
          <w:hyperlink w:anchor="_Toc113619894" w:history="1">
            <w:r w:rsidR="00375534" w:rsidRPr="00A63C77">
              <w:rPr>
                <w:rStyle w:val="Hyperlink"/>
                <w:noProof/>
              </w:rPr>
              <w:t>4.1</w:t>
            </w:r>
            <w:r w:rsidR="00375534">
              <w:rPr>
                <w:rFonts w:eastAsiaTheme="minorEastAsia" w:cstheme="minorBidi"/>
                <w:noProof/>
                <w:sz w:val="22"/>
              </w:rPr>
              <w:tab/>
            </w:r>
            <w:r w:rsidR="00375534" w:rsidRPr="00A63C77">
              <w:rPr>
                <w:rStyle w:val="Hyperlink"/>
                <w:noProof/>
              </w:rPr>
              <w:t>Introduction</w:t>
            </w:r>
            <w:r w:rsidR="00375534">
              <w:rPr>
                <w:noProof/>
                <w:webHidden/>
              </w:rPr>
              <w:tab/>
            </w:r>
            <w:r w:rsidR="00375534">
              <w:rPr>
                <w:noProof/>
                <w:webHidden/>
              </w:rPr>
              <w:fldChar w:fldCharType="begin"/>
            </w:r>
            <w:r w:rsidR="00375534">
              <w:rPr>
                <w:noProof/>
                <w:webHidden/>
              </w:rPr>
              <w:instrText xml:space="preserve"> PAGEREF _Toc113619894 \h </w:instrText>
            </w:r>
            <w:r w:rsidR="00375534">
              <w:rPr>
                <w:noProof/>
                <w:webHidden/>
              </w:rPr>
            </w:r>
            <w:r w:rsidR="00375534">
              <w:rPr>
                <w:noProof/>
                <w:webHidden/>
              </w:rPr>
              <w:fldChar w:fldCharType="separate"/>
            </w:r>
            <w:r w:rsidR="00375534">
              <w:rPr>
                <w:noProof/>
                <w:webHidden/>
              </w:rPr>
              <w:t>158</w:t>
            </w:r>
            <w:r w:rsidR="00375534">
              <w:rPr>
                <w:noProof/>
                <w:webHidden/>
              </w:rPr>
              <w:fldChar w:fldCharType="end"/>
            </w:r>
          </w:hyperlink>
        </w:p>
        <w:p w14:paraId="5CFE3B73" w14:textId="40242A23" w:rsidR="00375534" w:rsidRDefault="00573A1D">
          <w:pPr>
            <w:pStyle w:val="TOC2"/>
            <w:tabs>
              <w:tab w:val="left" w:pos="800"/>
              <w:tab w:val="right" w:leader="dot" w:pos="9350"/>
            </w:tabs>
            <w:rPr>
              <w:rFonts w:eastAsiaTheme="minorEastAsia" w:cstheme="minorBidi"/>
              <w:noProof/>
              <w:sz w:val="22"/>
            </w:rPr>
          </w:pPr>
          <w:hyperlink w:anchor="_Toc113619895" w:history="1">
            <w:r w:rsidR="00375534" w:rsidRPr="00A63C77">
              <w:rPr>
                <w:rStyle w:val="Hyperlink"/>
                <w:noProof/>
              </w:rPr>
              <w:t>4.2</w:t>
            </w:r>
            <w:r w:rsidR="00375534">
              <w:rPr>
                <w:rFonts w:eastAsiaTheme="minorEastAsia" w:cstheme="minorBidi"/>
                <w:noProof/>
                <w:sz w:val="22"/>
              </w:rPr>
              <w:tab/>
            </w:r>
            <w:r w:rsidR="00375534" w:rsidRPr="00A63C77">
              <w:rPr>
                <w:rStyle w:val="Hyperlink"/>
                <w:noProof/>
              </w:rPr>
              <w:t>Stretch Codes Paths in Illinois</w:t>
            </w:r>
            <w:r w:rsidR="00375534">
              <w:rPr>
                <w:noProof/>
                <w:webHidden/>
              </w:rPr>
              <w:tab/>
            </w:r>
            <w:r w:rsidR="00375534">
              <w:rPr>
                <w:noProof/>
                <w:webHidden/>
              </w:rPr>
              <w:fldChar w:fldCharType="begin"/>
            </w:r>
            <w:r w:rsidR="00375534">
              <w:rPr>
                <w:noProof/>
                <w:webHidden/>
              </w:rPr>
              <w:instrText xml:space="preserve"> PAGEREF _Toc113619895 \h </w:instrText>
            </w:r>
            <w:r w:rsidR="00375534">
              <w:rPr>
                <w:noProof/>
                <w:webHidden/>
              </w:rPr>
            </w:r>
            <w:r w:rsidR="00375534">
              <w:rPr>
                <w:noProof/>
                <w:webHidden/>
              </w:rPr>
              <w:fldChar w:fldCharType="separate"/>
            </w:r>
            <w:r w:rsidR="00375534">
              <w:rPr>
                <w:noProof/>
                <w:webHidden/>
              </w:rPr>
              <w:t>158</w:t>
            </w:r>
            <w:r w:rsidR="00375534">
              <w:rPr>
                <w:noProof/>
                <w:webHidden/>
              </w:rPr>
              <w:fldChar w:fldCharType="end"/>
            </w:r>
          </w:hyperlink>
        </w:p>
        <w:p w14:paraId="203B82D2" w14:textId="7DF6F034" w:rsidR="00375534" w:rsidRDefault="00573A1D">
          <w:pPr>
            <w:pStyle w:val="TOC2"/>
            <w:tabs>
              <w:tab w:val="left" w:pos="800"/>
              <w:tab w:val="right" w:leader="dot" w:pos="9350"/>
            </w:tabs>
            <w:rPr>
              <w:rFonts w:eastAsiaTheme="minorEastAsia" w:cstheme="minorBidi"/>
              <w:noProof/>
              <w:sz w:val="22"/>
            </w:rPr>
          </w:pPr>
          <w:hyperlink w:anchor="_Toc113619896" w:history="1">
            <w:r w:rsidR="00375534" w:rsidRPr="00A63C77">
              <w:rPr>
                <w:rStyle w:val="Hyperlink"/>
                <w:noProof/>
              </w:rPr>
              <w:t>4.3</w:t>
            </w:r>
            <w:r w:rsidR="00375534">
              <w:rPr>
                <w:rFonts w:eastAsiaTheme="minorEastAsia" w:cstheme="minorBidi"/>
                <w:noProof/>
                <w:sz w:val="22"/>
              </w:rPr>
              <w:tab/>
            </w:r>
            <w:r w:rsidR="00375534" w:rsidRPr="00A63C77">
              <w:rPr>
                <w:rStyle w:val="Hyperlink"/>
                <w:noProof/>
              </w:rPr>
              <w:t>Market Transformation Stretch Code Policy Advancement and Compliance Support Program Description</w:t>
            </w:r>
            <w:r w:rsidR="00375534">
              <w:rPr>
                <w:noProof/>
                <w:webHidden/>
              </w:rPr>
              <w:tab/>
            </w:r>
            <w:r w:rsidR="00375534">
              <w:rPr>
                <w:noProof/>
                <w:webHidden/>
              </w:rPr>
              <w:fldChar w:fldCharType="begin"/>
            </w:r>
            <w:r w:rsidR="00375534">
              <w:rPr>
                <w:noProof/>
                <w:webHidden/>
              </w:rPr>
              <w:instrText xml:space="preserve"> PAGEREF _Toc113619896 \h </w:instrText>
            </w:r>
            <w:r w:rsidR="00375534">
              <w:rPr>
                <w:noProof/>
                <w:webHidden/>
              </w:rPr>
            </w:r>
            <w:r w:rsidR="00375534">
              <w:rPr>
                <w:noProof/>
                <w:webHidden/>
              </w:rPr>
              <w:fldChar w:fldCharType="separate"/>
            </w:r>
            <w:r w:rsidR="00375534">
              <w:rPr>
                <w:noProof/>
                <w:webHidden/>
              </w:rPr>
              <w:t>159</w:t>
            </w:r>
            <w:r w:rsidR="00375534">
              <w:rPr>
                <w:noProof/>
                <w:webHidden/>
              </w:rPr>
              <w:fldChar w:fldCharType="end"/>
            </w:r>
          </w:hyperlink>
        </w:p>
        <w:p w14:paraId="2616762D" w14:textId="1DE2B6D9" w:rsidR="00375534" w:rsidRDefault="00573A1D">
          <w:pPr>
            <w:pStyle w:val="TOC2"/>
            <w:tabs>
              <w:tab w:val="left" w:pos="1000"/>
              <w:tab w:val="right" w:leader="dot" w:pos="9350"/>
            </w:tabs>
            <w:rPr>
              <w:rFonts w:eastAsiaTheme="minorEastAsia" w:cstheme="minorBidi"/>
              <w:noProof/>
              <w:sz w:val="22"/>
            </w:rPr>
          </w:pPr>
          <w:hyperlink w:anchor="_Toc113619897" w:history="1">
            <w:r w:rsidR="00375534" w:rsidRPr="00A63C77">
              <w:rPr>
                <w:rStyle w:val="Hyperlink"/>
                <w:noProof/>
              </w:rPr>
              <w:t>4.3.1</w:t>
            </w:r>
            <w:r w:rsidR="00375534">
              <w:rPr>
                <w:rFonts w:eastAsiaTheme="minorEastAsia" w:cstheme="minorBidi"/>
                <w:noProof/>
                <w:sz w:val="22"/>
              </w:rPr>
              <w:tab/>
            </w:r>
            <w:r w:rsidR="00375534" w:rsidRPr="00A63C77">
              <w:rPr>
                <w:rStyle w:val="Hyperlink"/>
                <w:noProof/>
              </w:rPr>
              <w:t>Stretch Code Policy Advancement Activities</w:t>
            </w:r>
            <w:r w:rsidR="00375534">
              <w:rPr>
                <w:noProof/>
                <w:webHidden/>
              </w:rPr>
              <w:tab/>
            </w:r>
            <w:r w:rsidR="00375534">
              <w:rPr>
                <w:noProof/>
                <w:webHidden/>
              </w:rPr>
              <w:fldChar w:fldCharType="begin"/>
            </w:r>
            <w:r w:rsidR="00375534">
              <w:rPr>
                <w:noProof/>
                <w:webHidden/>
              </w:rPr>
              <w:instrText xml:space="preserve"> PAGEREF _Toc113619897 \h </w:instrText>
            </w:r>
            <w:r w:rsidR="00375534">
              <w:rPr>
                <w:noProof/>
                <w:webHidden/>
              </w:rPr>
            </w:r>
            <w:r w:rsidR="00375534">
              <w:rPr>
                <w:noProof/>
                <w:webHidden/>
              </w:rPr>
              <w:fldChar w:fldCharType="separate"/>
            </w:r>
            <w:r w:rsidR="00375534">
              <w:rPr>
                <w:noProof/>
                <w:webHidden/>
              </w:rPr>
              <w:t>159</w:t>
            </w:r>
            <w:r w:rsidR="00375534">
              <w:rPr>
                <w:noProof/>
                <w:webHidden/>
              </w:rPr>
              <w:fldChar w:fldCharType="end"/>
            </w:r>
          </w:hyperlink>
        </w:p>
        <w:p w14:paraId="46C0658D" w14:textId="39A92C7C" w:rsidR="00375534" w:rsidRDefault="00573A1D">
          <w:pPr>
            <w:pStyle w:val="TOC2"/>
            <w:tabs>
              <w:tab w:val="left" w:pos="1000"/>
              <w:tab w:val="right" w:leader="dot" w:pos="9350"/>
            </w:tabs>
            <w:rPr>
              <w:rFonts w:eastAsiaTheme="minorEastAsia" w:cstheme="minorBidi"/>
              <w:noProof/>
              <w:sz w:val="22"/>
            </w:rPr>
          </w:pPr>
          <w:hyperlink w:anchor="_Toc113619898" w:history="1">
            <w:r w:rsidR="00375534" w:rsidRPr="00A63C77">
              <w:rPr>
                <w:rStyle w:val="Hyperlink"/>
                <w:noProof/>
              </w:rPr>
              <w:t>4.3.2</w:t>
            </w:r>
            <w:r w:rsidR="00375534">
              <w:rPr>
                <w:rFonts w:eastAsiaTheme="minorEastAsia" w:cstheme="minorBidi"/>
                <w:noProof/>
                <w:sz w:val="22"/>
              </w:rPr>
              <w:tab/>
            </w:r>
            <w:r w:rsidR="00375534" w:rsidRPr="00A63C77">
              <w:rPr>
                <w:rStyle w:val="Hyperlink"/>
                <w:noProof/>
              </w:rPr>
              <w:t>Stretch Code Compliance Support Activities</w:t>
            </w:r>
            <w:r w:rsidR="00375534">
              <w:rPr>
                <w:noProof/>
                <w:webHidden/>
              </w:rPr>
              <w:tab/>
            </w:r>
            <w:r w:rsidR="00375534">
              <w:rPr>
                <w:noProof/>
                <w:webHidden/>
              </w:rPr>
              <w:fldChar w:fldCharType="begin"/>
            </w:r>
            <w:r w:rsidR="00375534">
              <w:rPr>
                <w:noProof/>
                <w:webHidden/>
              </w:rPr>
              <w:instrText xml:space="preserve"> PAGEREF _Toc113619898 \h </w:instrText>
            </w:r>
            <w:r w:rsidR="00375534">
              <w:rPr>
                <w:noProof/>
                <w:webHidden/>
              </w:rPr>
            </w:r>
            <w:r w:rsidR="00375534">
              <w:rPr>
                <w:noProof/>
                <w:webHidden/>
              </w:rPr>
              <w:fldChar w:fldCharType="separate"/>
            </w:r>
            <w:r w:rsidR="00375534">
              <w:rPr>
                <w:noProof/>
                <w:webHidden/>
              </w:rPr>
              <w:t>159</w:t>
            </w:r>
            <w:r w:rsidR="00375534">
              <w:rPr>
                <w:noProof/>
                <w:webHidden/>
              </w:rPr>
              <w:fldChar w:fldCharType="end"/>
            </w:r>
          </w:hyperlink>
        </w:p>
        <w:p w14:paraId="5E04BDD1" w14:textId="55CF0A6E" w:rsidR="00375534" w:rsidRDefault="00573A1D">
          <w:pPr>
            <w:pStyle w:val="TOC2"/>
            <w:tabs>
              <w:tab w:val="left" w:pos="1000"/>
              <w:tab w:val="right" w:leader="dot" w:pos="9350"/>
            </w:tabs>
            <w:rPr>
              <w:rFonts w:eastAsiaTheme="minorEastAsia" w:cstheme="minorBidi"/>
              <w:noProof/>
              <w:sz w:val="22"/>
            </w:rPr>
          </w:pPr>
          <w:hyperlink w:anchor="_Toc113619899" w:history="1">
            <w:r w:rsidR="00375534" w:rsidRPr="00A63C77">
              <w:rPr>
                <w:rStyle w:val="Hyperlink"/>
                <w:noProof/>
              </w:rPr>
              <w:t>4.3.3</w:t>
            </w:r>
            <w:r w:rsidR="00375534">
              <w:rPr>
                <w:rFonts w:eastAsiaTheme="minorEastAsia" w:cstheme="minorBidi"/>
                <w:noProof/>
                <w:sz w:val="22"/>
              </w:rPr>
              <w:tab/>
            </w:r>
            <w:r w:rsidR="00375534" w:rsidRPr="00A63C77">
              <w:rPr>
                <w:rStyle w:val="Hyperlink"/>
                <w:noProof/>
              </w:rPr>
              <w:t>Logic Model</w:t>
            </w:r>
            <w:r w:rsidR="00375534">
              <w:rPr>
                <w:noProof/>
                <w:webHidden/>
              </w:rPr>
              <w:tab/>
            </w:r>
            <w:r w:rsidR="00375534">
              <w:rPr>
                <w:noProof/>
                <w:webHidden/>
              </w:rPr>
              <w:fldChar w:fldCharType="begin"/>
            </w:r>
            <w:r w:rsidR="00375534">
              <w:rPr>
                <w:noProof/>
                <w:webHidden/>
              </w:rPr>
              <w:instrText xml:space="preserve"> PAGEREF _Toc113619899 \h </w:instrText>
            </w:r>
            <w:r w:rsidR="00375534">
              <w:rPr>
                <w:noProof/>
                <w:webHidden/>
              </w:rPr>
            </w:r>
            <w:r w:rsidR="00375534">
              <w:rPr>
                <w:noProof/>
                <w:webHidden/>
              </w:rPr>
              <w:fldChar w:fldCharType="separate"/>
            </w:r>
            <w:r w:rsidR="00375534">
              <w:rPr>
                <w:noProof/>
                <w:webHidden/>
              </w:rPr>
              <w:t>160</w:t>
            </w:r>
            <w:r w:rsidR="00375534">
              <w:rPr>
                <w:noProof/>
                <w:webHidden/>
              </w:rPr>
              <w:fldChar w:fldCharType="end"/>
            </w:r>
          </w:hyperlink>
        </w:p>
        <w:p w14:paraId="76F2F4D5" w14:textId="53E855FE" w:rsidR="00375534" w:rsidRDefault="00573A1D">
          <w:pPr>
            <w:pStyle w:val="TOC2"/>
            <w:tabs>
              <w:tab w:val="left" w:pos="1000"/>
              <w:tab w:val="right" w:leader="dot" w:pos="9350"/>
            </w:tabs>
            <w:rPr>
              <w:rFonts w:eastAsiaTheme="minorEastAsia" w:cstheme="minorBidi"/>
              <w:noProof/>
              <w:sz w:val="22"/>
            </w:rPr>
          </w:pPr>
          <w:hyperlink w:anchor="_Toc113619900" w:history="1">
            <w:r w:rsidR="00375534" w:rsidRPr="00A63C77">
              <w:rPr>
                <w:rStyle w:val="Hyperlink"/>
                <w:noProof/>
              </w:rPr>
              <w:t>4.3.3.1</w:t>
            </w:r>
            <w:r w:rsidR="00375534">
              <w:rPr>
                <w:rFonts w:eastAsiaTheme="minorEastAsia" w:cstheme="minorBidi"/>
                <w:noProof/>
                <w:sz w:val="22"/>
              </w:rPr>
              <w:tab/>
            </w:r>
            <w:r w:rsidR="00375534" w:rsidRPr="00A63C77">
              <w:rPr>
                <w:rStyle w:val="Hyperlink"/>
                <w:noProof/>
              </w:rPr>
              <w:t>Target Markets</w:t>
            </w:r>
            <w:r w:rsidR="00375534">
              <w:rPr>
                <w:noProof/>
                <w:webHidden/>
              </w:rPr>
              <w:tab/>
            </w:r>
            <w:r w:rsidR="00375534">
              <w:rPr>
                <w:noProof/>
                <w:webHidden/>
              </w:rPr>
              <w:fldChar w:fldCharType="begin"/>
            </w:r>
            <w:r w:rsidR="00375534">
              <w:rPr>
                <w:noProof/>
                <w:webHidden/>
              </w:rPr>
              <w:instrText xml:space="preserve"> PAGEREF _Toc113619900 \h </w:instrText>
            </w:r>
            <w:r w:rsidR="00375534">
              <w:rPr>
                <w:noProof/>
                <w:webHidden/>
              </w:rPr>
            </w:r>
            <w:r w:rsidR="00375534">
              <w:rPr>
                <w:noProof/>
                <w:webHidden/>
              </w:rPr>
              <w:fldChar w:fldCharType="separate"/>
            </w:r>
            <w:r w:rsidR="00375534">
              <w:rPr>
                <w:noProof/>
                <w:webHidden/>
              </w:rPr>
              <w:t>160</w:t>
            </w:r>
            <w:r w:rsidR="00375534">
              <w:rPr>
                <w:noProof/>
                <w:webHidden/>
              </w:rPr>
              <w:fldChar w:fldCharType="end"/>
            </w:r>
          </w:hyperlink>
        </w:p>
        <w:p w14:paraId="61A77D86" w14:textId="18707362" w:rsidR="00375534" w:rsidRDefault="00573A1D">
          <w:pPr>
            <w:pStyle w:val="TOC2"/>
            <w:tabs>
              <w:tab w:val="left" w:pos="1000"/>
              <w:tab w:val="right" w:leader="dot" w:pos="9350"/>
            </w:tabs>
            <w:rPr>
              <w:rFonts w:eastAsiaTheme="minorEastAsia" w:cstheme="minorBidi"/>
              <w:noProof/>
              <w:sz w:val="22"/>
            </w:rPr>
          </w:pPr>
          <w:hyperlink w:anchor="_Toc113619901" w:history="1">
            <w:r w:rsidR="00375534" w:rsidRPr="00A63C77">
              <w:rPr>
                <w:rStyle w:val="Hyperlink"/>
                <w:noProof/>
              </w:rPr>
              <w:t>4.3.3.2</w:t>
            </w:r>
            <w:r w:rsidR="00375534">
              <w:rPr>
                <w:rFonts w:eastAsiaTheme="minorEastAsia" w:cstheme="minorBidi"/>
                <w:noProof/>
                <w:sz w:val="22"/>
              </w:rPr>
              <w:tab/>
            </w:r>
            <w:r w:rsidR="00375534" w:rsidRPr="00A63C77">
              <w:rPr>
                <w:rStyle w:val="Hyperlink"/>
                <w:noProof/>
              </w:rPr>
              <w:t>Major Barriers</w:t>
            </w:r>
            <w:r w:rsidR="00375534">
              <w:rPr>
                <w:noProof/>
                <w:webHidden/>
              </w:rPr>
              <w:tab/>
            </w:r>
            <w:r w:rsidR="00375534">
              <w:rPr>
                <w:noProof/>
                <w:webHidden/>
              </w:rPr>
              <w:fldChar w:fldCharType="begin"/>
            </w:r>
            <w:r w:rsidR="00375534">
              <w:rPr>
                <w:noProof/>
                <w:webHidden/>
              </w:rPr>
              <w:instrText xml:space="preserve"> PAGEREF _Toc113619901 \h </w:instrText>
            </w:r>
            <w:r w:rsidR="00375534">
              <w:rPr>
                <w:noProof/>
                <w:webHidden/>
              </w:rPr>
            </w:r>
            <w:r w:rsidR="00375534">
              <w:rPr>
                <w:noProof/>
                <w:webHidden/>
              </w:rPr>
              <w:fldChar w:fldCharType="separate"/>
            </w:r>
            <w:r w:rsidR="00375534">
              <w:rPr>
                <w:noProof/>
                <w:webHidden/>
              </w:rPr>
              <w:t>161</w:t>
            </w:r>
            <w:r w:rsidR="00375534">
              <w:rPr>
                <w:noProof/>
                <w:webHidden/>
              </w:rPr>
              <w:fldChar w:fldCharType="end"/>
            </w:r>
          </w:hyperlink>
        </w:p>
        <w:p w14:paraId="7187581E" w14:textId="2363FECE" w:rsidR="00375534" w:rsidRDefault="00573A1D">
          <w:pPr>
            <w:pStyle w:val="TOC2"/>
            <w:tabs>
              <w:tab w:val="left" w:pos="1000"/>
              <w:tab w:val="right" w:leader="dot" w:pos="9350"/>
            </w:tabs>
            <w:rPr>
              <w:rFonts w:eastAsiaTheme="minorEastAsia" w:cstheme="minorBidi"/>
              <w:noProof/>
              <w:sz w:val="22"/>
            </w:rPr>
          </w:pPr>
          <w:hyperlink w:anchor="_Toc113619902" w:history="1">
            <w:r w:rsidR="00375534" w:rsidRPr="00A63C77">
              <w:rPr>
                <w:rStyle w:val="Hyperlink"/>
                <w:noProof/>
              </w:rPr>
              <w:t>4.3.3.3</w:t>
            </w:r>
            <w:r w:rsidR="00375534">
              <w:rPr>
                <w:rFonts w:eastAsiaTheme="minorEastAsia" w:cstheme="minorBidi"/>
                <w:noProof/>
                <w:sz w:val="22"/>
              </w:rPr>
              <w:tab/>
            </w:r>
            <w:r w:rsidR="00375534" w:rsidRPr="00A63C77">
              <w:rPr>
                <w:rStyle w:val="Hyperlink"/>
                <w:noProof/>
              </w:rPr>
              <w:t>Logic Model and Stretch Code Activity Details</w:t>
            </w:r>
            <w:r w:rsidR="00375534">
              <w:rPr>
                <w:noProof/>
                <w:webHidden/>
              </w:rPr>
              <w:tab/>
            </w:r>
            <w:r w:rsidR="00375534">
              <w:rPr>
                <w:noProof/>
                <w:webHidden/>
              </w:rPr>
              <w:fldChar w:fldCharType="begin"/>
            </w:r>
            <w:r w:rsidR="00375534">
              <w:rPr>
                <w:noProof/>
                <w:webHidden/>
              </w:rPr>
              <w:instrText xml:space="preserve"> PAGEREF _Toc113619902 \h </w:instrText>
            </w:r>
            <w:r w:rsidR="00375534">
              <w:rPr>
                <w:noProof/>
                <w:webHidden/>
              </w:rPr>
            </w:r>
            <w:r w:rsidR="00375534">
              <w:rPr>
                <w:noProof/>
                <w:webHidden/>
              </w:rPr>
              <w:fldChar w:fldCharType="separate"/>
            </w:r>
            <w:r w:rsidR="00375534">
              <w:rPr>
                <w:noProof/>
                <w:webHidden/>
              </w:rPr>
              <w:t>161</w:t>
            </w:r>
            <w:r w:rsidR="00375534">
              <w:rPr>
                <w:noProof/>
                <w:webHidden/>
              </w:rPr>
              <w:fldChar w:fldCharType="end"/>
            </w:r>
          </w:hyperlink>
        </w:p>
        <w:p w14:paraId="704C59F3" w14:textId="6E8D2588" w:rsidR="00375534" w:rsidRDefault="00573A1D">
          <w:pPr>
            <w:pStyle w:val="TOC2"/>
            <w:tabs>
              <w:tab w:val="left" w:pos="800"/>
              <w:tab w:val="right" w:leader="dot" w:pos="9350"/>
            </w:tabs>
            <w:rPr>
              <w:rFonts w:eastAsiaTheme="minorEastAsia" w:cstheme="minorBidi"/>
              <w:noProof/>
              <w:sz w:val="22"/>
            </w:rPr>
          </w:pPr>
          <w:hyperlink w:anchor="_Toc113619903" w:history="1">
            <w:r w:rsidR="00375534" w:rsidRPr="00A63C77">
              <w:rPr>
                <w:rStyle w:val="Hyperlink"/>
                <w:noProof/>
              </w:rPr>
              <w:t>4.4</w:t>
            </w:r>
            <w:r w:rsidR="00375534">
              <w:rPr>
                <w:rFonts w:eastAsiaTheme="minorEastAsia" w:cstheme="minorBidi"/>
                <w:noProof/>
                <w:sz w:val="22"/>
              </w:rPr>
              <w:tab/>
            </w:r>
            <w:r w:rsidR="00375534" w:rsidRPr="00A63C77">
              <w:rPr>
                <w:rStyle w:val="Hyperlink"/>
                <w:noProof/>
              </w:rPr>
              <w:t>Next Steps</w:t>
            </w:r>
            <w:r w:rsidR="00375534">
              <w:rPr>
                <w:noProof/>
                <w:webHidden/>
              </w:rPr>
              <w:tab/>
            </w:r>
            <w:r w:rsidR="00375534">
              <w:rPr>
                <w:noProof/>
                <w:webHidden/>
              </w:rPr>
              <w:fldChar w:fldCharType="begin"/>
            </w:r>
            <w:r w:rsidR="00375534">
              <w:rPr>
                <w:noProof/>
                <w:webHidden/>
              </w:rPr>
              <w:instrText xml:space="preserve"> PAGEREF _Toc113619903 \h </w:instrText>
            </w:r>
            <w:r w:rsidR="00375534">
              <w:rPr>
                <w:noProof/>
                <w:webHidden/>
              </w:rPr>
            </w:r>
            <w:r w:rsidR="00375534">
              <w:rPr>
                <w:noProof/>
                <w:webHidden/>
              </w:rPr>
              <w:fldChar w:fldCharType="separate"/>
            </w:r>
            <w:r w:rsidR="00375534">
              <w:rPr>
                <w:noProof/>
                <w:webHidden/>
              </w:rPr>
              <w:t>165</w:t>
            </w:r>
            <w:r w:rsidR="00375534">
              <w:rPr>
                <w:noProof/>
                <w:webHidden/>
              </w:rPr>
              <w:fldChar w:fldCharType="end"/>
            </w:r>
          </w:hyperlink>
        </w:p>
        <w:p w14:paraId="3C23C493" w14:textId="23D31B41" w:rsidR="00375534" w:rsidRDefault="00573A1D">
          <w:pPr>
            <w:pStyle w:val="TOC1"/>
            <w:tabs>
              <w:tab w:val="left" w:pos="400"/>
              <w:tab w:val="right" w:leader="dot" w:pos="9350"/>
            </w:tabs>
            <w:rPr>
              <w:rFonts w:eastAsiaTheme="minorEastAsia" w:cstheme="minorBidi"/>
              <w:b w:val="0"/>
              <w:smallCaps w:val="0"/>
              <w:noProof/>
            </w:rPr>
          </w:pPr>
          <w:hyperlink w:anchor="_Toc113619904" w:history="1">
            <w:r w:rsidR="00375534" w:rsidRPr="00A63C77">
              <w:rPr>
                <w:rStyle w:val="Hyperlink"/>
                <w:noProof/>
              </w:rPr>
              <w:t>5</w:t>
            </w:r>
            <w:r w:rsidR="00375534">
              <w:rPr>
                <w:rFonts w:eastAsiaTheme="minorEastAsia" w:cstheme="minorBidi"/>
                <w:b w:val="0"/>
                <w:smallCaps w:val="0"/>
                <w:noProof/>
              </w:rPr>
              <w:tab/>
            </w:r>
            <w:r w:rsidR="00375534" w:rsidRPr="00A63C77">
              <w:rPr>
                <w:rStyle w:val="Hyperlink"/>
                <w:noProof/>
              </w:rPr>
              <w:t>Appendices</w:t>
            </w:r>
            <w:r w:rsidR="00375534">
              <w:rPr>
                <w:noProof/>
                <w:webHidden/>
              </w:rPr>
              <w:tab/>
            </w:r>
            <w:r w:rsidR="00375534">
              <w:rPr>
                <w:noProof/>
                <w:webHidden/>
              </w:rPr>
              <w:fldChar w:fldCharType="begin"/>
            </w:r>
            <w:r w:rsidR="00375534">
              <w:rPr>
                <w:noProof/>
                <w:webHidden/>
              </w:rPr>
              <w:instrText xml:space="preserve"> PAGEREF _Toc113619904 \h </w:instrText>
            </w:r>
            <w:r w:rsidR="00375534">
              <w:rPr>
                <w:noProof/>
                <w:webHidden/>
              </w:rPr>
            </w:r>
            <w:r w:rsidR="00375534">
              <w:rPr>
                <w:noProof/>
                <w:webHidden/>
              </w:rPr>
              <w:fldChar w:fldCharType="separate"/>
            </w:r>
            <w:r w:rsidR="00375534">
              <w:rPr>
                <w:noProof/>
                <w:webHidden/>
              </w:rPr>
              <w:t>166</w:t>
            </w:r>
            <w:r w:rsidR="00375534">
              <w:rPr>
                <w:noProof/>
                <w:webHidden/>
              </w:rPr>
              <w:fldChar w:fldCharType="end"/>
            </w:r>
          </w:hyperlink>
        </w:p>
        <w:p w14:paraId="43391AA3" w14:textId="177C9A95" w:rsidR="00375534" w:rsidRDefault="00573A1D">
          <w:pPr>
            <w:pStyle w:val="TOC2"/>
            <w:tabs>
              <w:tab w:val="left" w:pos="800"/>
              <w:tab w:val="right" w:leader="dot" w:pos="9350"/>
            </w:tabs>
            <w:rPr>
              <w:rFonts w:eastAsiaTheme="minorEastAsia" w:cstheme="minorBidi"/>
              <w:noProof/>
              <w:sz w:val="22"/>
            </w:rPr>
          </w:pPr>
          <w:hyperlink w:anchor="_Toc113619905" w:history="1">
            <w:r w:rsidR="00375534" w:rsidRPr="00A63C77">
              <w:rPr>
                <w:rStyle w:val="Hyperlink"/>
                <w:noProof/>
              </w:rPr>
              <w:t>5.1</w:t>
            </w:r>
            <w:r w:rsidR="00375534">
              <w:rPr>
                <w:rFonts w:eastAsiaTheme="minorEastAsia" w:cstheme="minorBidi"/>
                <w:noProof/>
                <w:sz w:val="22"/>
              </w:rPr>
              <w:tab/>
            </w:r>
            <w:r w:rsidR="00375534" w:rsidRPr="00A63C77">
              <w:rPr>
                <w:rStyle w:val="Hyperlink"/>
                <w:noProof/>
              </w:rPr>
              <w:t>Appendix A: MT Initiative Business Plan Outline</w:t>
            </w:r>
            <w:r w:rsidR="00375534">
              <w:rPr>
                <w:noProof/>
                <w:webHidden/>
              </w:rPr>
              <w:tab/>
            </w:r>
            <w:r w:rsidR="00375534">
              <w:rPr>
                <w:noProof/>
                <w:webHidden/>
              </w:rPr>
              <w:fldChar w:fldCharType="begin"/>
            </w:r>
            <w:r w:rsidR="00375534">
              <w:rPr>
                <w:noProof/>
                <w:webHidden/>
              </w:rPr>
              <w:instrText xml:space="preserve"> PAGEREF _Toc113619905 \h </w:instrText>
            </w:r>
            <w:r w:rsidR="00375534">
              <w:rPr>
                <w:noProof/>
                <w:webHidden/>
              </w:rPr>
            </w:r>
            <w:r w:rsidR="00375534">
              <w:rPr>
                <w:noProof/>
                <w:webHidden/>
              </w:rPr>
              <w:fldChar w:fldCharType="separate"/>
            </w:r>
            <w:r w:rsidR="00375534">
              <w:rPr>
                <w:noProof/>
                <w:webHidden/>
              </w:rPr>
              <w:t>166</w:t>
            </w:r>
            <w:r w:rsidR="00375534">
              <w:rPr>
                <w:noProof/>
                <w:webHidden/>
              </w:rPr>
              <w:fldChar w:fldCharType="end"/>
            </w:r>
          </w:hyperlink>
        </w:p>
        <w:p w14:paraId="00BFB3E3" w14:textId="2E153A66" w:rsidR="00375534" w:rsidRDefault="00573A1D">
          <w:pPr>
            <w:pStyle w:val="TOC2"/>
            <w:tabs>
              <w:tab w:val="left" w:pos="800"/>
              <w:tab w:val="right" w:leader="dot" w:pos="9350"/>
            </w:tabs>
            <w:rPr>
              <w:rFonts w:eastAsiaTheme="minorEastAsia" w:cstheme="minorBidi"/>
              <w:noProof/>
              <w:sz w:val="22"/>
            </w:rPr>
          </w:pPr>
          <w:hyperlink w:anchor="_Toc113619906" w:history="1">
            <w:r w:rsidR="00375534" w:rsidRPr="00A63C77">
              <w:rPr>
                <w:rStyle w:val="Hyperlink"/>
                <w:noProof/>
              </w:rPr>
              <w:t>5.2</w:t>
            </w:r>
            <w:r w:rsidR="00375534">
              <w:rPr>
                <w:rFonts w:eastAsiaTheme="minorEastAsia" w:cstheme="minorBidi"/>
                <w:noProof/>
                <w:sz w:val="22"/>
              </w:rPr>
              <w:tab/>
            </w:r>
            <w:r w:rsidR="00375534" w:rsidRPr="00A63C77">
              <w:rPr>
                <w:rStyle w:val="Hyperlink"/>
                <w:noProof/>
              </w:rPr>
              <w:t>Appendix B: Glossary of Terms</w:t>
            </w:r>
            <w:r w:rsidR="00375534">
              <w:rPr>
                <w:noProof/>
                <w:webHidden/>
              </w:rPr>
              <w:tab/>
            </w:r>
            <w:r w:rsidR="00375534">
              <w:rPr>
                <w:noProof/>
                <w:webHidden/>
              </w:rPr>
              <w:fldChar w:fldCharType="begin"/>
            </w:r>
            <w:r w:rsidR="00375534">
              <w:rPr>
                <w:noProof/>
                <w:webHidden/>
              </w:rPr>
              <w:instrText xml:space="preserve"> PAGEREF _Toc113619906 \h </w:instrText>
            </w:r>
            <w:r w:rsidR="00375534">
              <w:rPr>
                <w:noProof/>
                <w:webHidden/>
              </w:rPr>
            </w:r>
            <w:r w:rsidR="00375534">
              <w:rPr>
                <w:noProof/>
                <w:webHidden/>
              </w:rPr>
              <w:fldChar w:fldCharType="separate"/>
            </w:r>
            <w:r w:rsidR="00375534">
              <w:rPr>
                <w:noProof/>
                <w:webHidden/>
              </w:rPr>
              <w:t>166</w:t>
            </w:r>
            <w:r w:rsidR="00375534">
              <w:rPr>
                <w:noProof/>
                <w:webHidden/>
              </w:rPr>
              <w:fldChar w:fldCharType="end"/>
            </w:r>
          </w:hyperlink>
        </w:p>
        <w:p w14:paraId="5564C8AE" w14:textId="6977FD97" w:rsidR="00375534" w:rsidRDefault="00573A1D">
          <w:pPr>
            <w:pStyle w:val="TOC2"/>
            <w:tabs>
              <w:tab w:val="left" w:pos="800"/>
              <w:tab w:val="right" w:leader="dot" w:pos="9350"/>
            </w:tabs>
            <w:rPr>
              <w:rFonts w:eastAsiaTheme="minorEastAsia" w:cstheme="minorBidi"/>
              <w:noProof/>
              <w:sz w:val="22"/>
            </w:rPr>
          </w:pPr>
          <w:hyperlink w:anchor="_Toc113619907" w:history="1">
            <w:r w:rsidR="00375534" w:rsidRPr="00A63C77">
              <w:rPr>
                <w:rStyle w:val="Hyperlink"/>
                <w:noProof/>
              </w:rPr>
              <w:t>5.3</w:t>
            </w:r>
            <w:r w:rsidR="00375534">
              <w:rPr>
                <w:rFonts w:eastAsiaTheme="minorEastAsia" w:cstheme="minorBidi"/>
                <w:noProof/>
                <w:sz w:val="22"/>
              </w:rPr>
              <w:tab/>
            </w:r>
            <w:r w:rsidR="00375534" w:rsidRPr="00A63C77">
              <w:rPr>
                <w:rStyle w:val="Hyperlink"/>
                <w:noProof/>
              </w:rPr>
              <w:t>Appendix C:  References</w:t>
            </w:r>
            <w:r w:rsidR="00375534">
              <w:rPr>
                <w:noProof/>
                <w:webHidden/>
              </w:rPr>
              <w:tab/>
            </w:r>
            <w:r w:rsidR="00375534">
              <w:rPr>
                <w:noProof/>
                <w:webHidden/>
              </w:rPr>
              <w:fldChar w:fldCharType="begin"/>
            </w:r>
            <w:r w:rsidR="00375534">
              <w:rPr>
                <w:noProof/>
                <w:webHidden/>
              </w:rPr>
              <w:instrText xml:space="preserve"> PAGEREF _Toc113619907 \h </w:instrText>
            </w:r>
            <w:r w:rsidR="00375534">
              <w:rPr>
                <w:noProof/>
                <w:webHidden/>
              </w:rPr>
            </w:r>
            <w:r w:rsidR="00375534">
              <w:rPr>
                <w:noProof/>
                <w:webHidden/>
              </w:rPr>
              <w:fldChar w:fldCharType="separate"/>
            </w:r>
            <w:r w:rsidR="00375534">
              <w:rPr>
                <w:noProof/>
                <w:webHidden/>
              </w:rPr>
              <w:t>168</w:t>
            </w:r>
            <w:r w:rsidR="00375534">
              <w:rPr>
                <w:noProof/>
                <w:webHidden/>
              </w:rPr>
              <w:fldChar w:fldCharType="end"/>
            </w:r>
          </w:hyperlink>
        </w:p>
        <w:p w14:paraId="0C51F6B1" w14:textId="1673A46A" w:rsidR="00272524" w:rsidRDefault="0031601D">
          <w:pPr>
            <w:rPr>
              <w:b/>
              <w:bCs/>
              <w:noProof/>
            </w:rPr>
          </w:pPr>
          <w:r>
            <w:rPr>
              <w:sz w:val="22"/>
            </w:rPr>
            <w:fldChar w:fldCharType="end"/>
          </w:r>
        </w:p>
      </w:sdtContent>
    </w:sdt>
    <w:p w14:paraId="14C91AC2" w14:textId="77777777" w:rsidR="00B3146E" w:rsidRDefault="00B3146E" w:rsidP="00B3146E">
      <w:pPr>
        <w:pStyle w:val="TableofFigures"/>
        <w:tabs>
          <w:tab w:val="right" w:leader="dot" w:pos="9350"/>
        </w:tabs>
        <w:rPr>
          <w:rFonts w:eastAsia="Franklin Gothic Book"/>
          <w:b/>
          <w:sz w:val="24"/>
        </w:rPr>
        <w:sectPr w:rsidR="00B3146E" w:rsidSect="00C80BDF">
          <w:pgSz w:w="12240" w:h="15840"/>
          <w:pgMar w:top="1440" w:right="1440" w:bottom="1440" w:left="1440" w:header="720" w:footer="720" w:gutter="0"/>
          <w:cols w:space="720"/>
          <w:docGrid w:linePitch="360"/>
        </w:sectPr>
      </w:pPr>
    </w:p>
    <w:p w14:paraId="561436E5" w14:textId="7EEEEFDC" w:rsidR="00482E90" w:rsidRDefault="00482E90">
      <w:pPr>
        <w:pStyle w:val="TableofFigures"/>
        <w:tabs>
          <w:tab w:val="right" w:leader="dot" w:pos="9350"/>
        </w:tabs>
        <w:jc w:val="center"/>
        <w:rPr>
          <w:rFonts w:eastAsia="Franklin Gothic Book"/>
          <w:b/>
          <w:sz w:val="24"/>
        </w:rPr>
      </w:pPr>
      <w:r w:rsidRPr="00EC019B">
        <w:rPr>
          <w:rFonts w:eastAsia="Franklin Gothic Book"/>
          <w:b/>
          <w:sz w:val="24"/>
        </w:rPr>
        <w:lastRenderedPageBreak/>
        <w:t>Table of Figures</w:t>
      </w:r>
    </w:p>
    <w:p w14:paraId="2F74B88B" w14:textId="79838C61" w:rsidR="005A7CAB" w:rsidRPr="00286F82" w:rsidRDefault="005A7CAB" w:rsidP="005A7CAB">
      <w:pPr>
        <w:rPr>
          <w:rFonts w:eastAsia="Franklin Gothic Book"/>
          <w:b/>
        </w:rPr>
      </w:pPr>
      <w:r w:rsidRPr="00286F82">
        <w:rPr>
          <w:rFonts w:eastAsia="Franklin Gothic Book"/>
          <w:b/>
        </w:rPr>
        <w:t>Att</w:t>
      </w:r>
      <w:r w:rsidR="00BD7207" w:rsidRPr="00286F82">
        <w:rPr>
          <w:rFonts w:eastAsia="Franklin Gothic Book"/>
          <w:b/>
        </w:rPr>
        <w:t>achment</w:t>
      </w:r>
      <w:r w:rsidR="00357F90" w:rsidRPr="00286F82">
        <w:rPr>
          <w:rFonts w:eastAsia="Franklin Gothic Book"/>
          <w:b/>
        </w:rPr>
        <w:t xml:space="preserve"> </w:t>
      </w:r>
      <w:r w:rsidRPr="00286F82">
        <w:rPr>
          <w:rFonts w:eastAsia="Franklin Gothic Book"/>
          <w:b/>
        </w:rPr>
        <w:t>A</w:t>
      </w:r>
    </w:p>
    <w:p w14:paraId="4031A94E" w14:textId="29F3A6CF" w:rsidR="00FA38F6" w:rsidRDefault="005B157F">
      <w:pPr>
        <w:pStyle w:val="TableofFigures"/>
        <w:tabs>
          <w:tab w:val="right" w:leader="dot" w:pos="9350"/>
        </w:tabs>
        <w:rPr>
          <w:rFonts w:eastAsiaTheme="minorEastAsia" w:cstheme="minorBidi"/>
          <w:noProof/>
          <w:sz w:val="22"/>
        </w:rPr>
      </w:pPr>
      <w:r>
        <w:rPr>
          <w:rFonts w:eastAsia="Franklin Gothic Book"/>
        </w:rPr>
        <w:fldChar w:fldCharType="begin"/>
      </w:r>
      <w:r>
        <w:rPr>
          <w:rFonts w:eastAsia="Franklin Gothic Book"/>
        </w:rPr>
        <w:instrText xml:space="preserve"> TOC \h \z \t "Captions" \c </w:instrText>
      </w:r>
      <w:r>
        <w:rPr>
          <w:rFonts w:eastAsia="Franklin Gothic Book"/>
        </w:rPr>
        <w:fldChar w:fldCharType="separate"/>
      </w:r>
      <w:hyperlink w:anchor="_Toc83376827" w:history="1">
        <w:r w:rsidR="00FA38F6" w:rsidRPr="00B209CE">
          <w:rPr>
            <w:rStyle w:val="Hyperlink"/>
            <w:noProof/>
          </w:rPr>
          <w:t>Figure 2</w:t>
        </w:r>
        <w:r w:rsidR="00FA38F6" w:rsidRPr="00B209CE">
          <w:rPr>
            <w:rStyle w:val="Hyperlink"/>
            <w:noProof/>
          </w:rPr>
          <w:noBreakHyphen/>
          <w:t xml:space="preserve">1. Example - </w:t>
        </w:r>
        <w:r w:rsidR="00FA38F6" w:rsidRPr="00B209CE">
          <w:rPr>
            <w:rStyle w:val="Hyperlink"/>
            <w:rFonts w:eastAsia="Franklin Gothic Book"/>
            <w:noProof/>
          </w:rPr>
          <w:t>Types of Spillover and Methods for Assessment</w:t>
        </w:r>
        <w:r w:rsidR="00FA38F6">
          <w:rPr>
            <w:noProof/>
            <w:webHidden/>
          </w:rPr>
          <w:tab/>
        </w:r>
        <w:r w:rsidR="00FA38F6">
          <w:rPr>
            <w:noProof/>
            <w:webHidden/>
          </w:rPr>
          <w:fldChar w:fldCharType="begin"/>
        </w:r>
        <w:r w:rsidR="00FA38F6">
          <w:rPr>
            <w:noProof/>
            <w:webHidden/>
          </w:rPr>
          <w:instrText xml:space="preserve"> PAGEREF _Toc83376827 \h </w:instrText>
        </w:r>
        <w:r w:rsidR="00FA38F6">
          <w:rPr>
            <w:noProof/>
            <w:webHidden/>
          </w:rPr>
        </w:r>
        <w:r w:rsidR="00FA38F6">
          <w:rPr>
            <w:noProof/>
            <w:webHidden/>
          </w:rPr>
          <w:fldChar w:fldCharType="separate"/>
        </w:r>
        <w:r w:rsidR="00FA38F6">
          <w:rPr>
            <w:noProof/>
            <w:webHidden/>
          </w:rPr>
          <w:t>39</w:t>
        </w:r>
        <w:r w:rsidR="00FA38F6">
          <w:rPr>
            <w:noProof/>
            <w:webHidden/>
          </w:rPr>
          <w:fldChar w:fldCharType="end"/>
        </w:r>
      </w:hyperlink>
    </w:p>
    <w:p w14:paraId="4C38EB47" w14:textId="41C3C983" w:rsidR="00FA38F6" w:rsidRDefault="00573A1D">
      <w:pPr>
        <w:pStyle w:val="TableofFigures"/>
        <w:tabs>
          <w:tab w:val="right" w:leader="dot" w:pos="9350"/>
        </w:tabs>
        <w:rPr>
          <w:rFonts w:eastAsiaTheme="minorEastAsia" w:cstheme="minorBidi"/>
          <w:noProof/>
          <w:sz w:val="22"/>
        </w:rPr>
      </w:pPr>
      <w:hyperlink w:anchor="_Toc83376828" w:history="1">
        <w:r w:rsidR="00FA38F6" w:rsidRPr="00B209CE">
          <w:rPr>
            <w:rStyle w:val="Hyperlink"/>
            <w:noProof/>
          </w:rPr>
          <w:t>Figure 3</w:t>
        </w:r>
        <w:r w:rsidR="00FA38F6" w:rsidRPr="00B209CE">
          <w:rPr>
            <w:rStyle w:val="Hyperlink"/>
            <w:noProof/>
          </w:rPr>
          <w:noBreakHyphen/>
          <w:t>1. Core Free Ridership Algorithm 1</w:t>
        </w:r>
        <w:r w:rsidR="00FA38F6">
          <w:rPr>
            <w:noProof/>
            <w:webHidden/>
          </w:rPr>
          <w:tab/>
        </w:r>
        <w:r w:rsidR="00FA38F6">
          <w:rPr>
            <w:noProof/>
            <w:webHidden/>
          </w:rPr>
          <w:fldChar w:fldCharType="begin"/>
        </w:r>
        <w:r w:rsidR="00FA38F6">
          <w:rPr>
            <w:noProof/>
            <w:webHidden/>
          </w:rPr>
          <w:instrText xml:space="preserve"> PAGEREF _Toc83376828 \h </w:instrText>
        </w:r>
        <w:r w:rsidR="00FA38F6">
          <w:rPr>
            <w:noProof/>
            <w:webHidden/>
          </w:rPr>
        </w:r>
        <w:r w:rsidR="00FA38F6">
          <w:rPr>
            <w:noProof/>
            <w:webHidden/>
          </w:rPr>
          <w:fldChar w:fldCharType="separate"/>
        </w:r>
        <w:r w:rsidR="00FA38F6">
          <w:rPr>
            <w:noProof/>
            <w:webHidden/>
          </w:rPr>
          <w:t>42</w:t>
        </w:r>
        <w:r w:rsidR="00FA38F6">
          <w:rPr>
            <w:noProof/>
            <w:webHidden/>
          </w:rPr>
          <w:fldChar w:fldCharType="end"/>
        </w:r>
      </w:hyperlink>
    </w:p>
    <w:p w14:paraId="3EA6E9BF" w14:textId="5FFD2639" w:rsidR="00FA38F6" w:rsidRDefault="00573A1D">
      <w:pPr>
        <w:pStyle w:val="TableofFigures"/>
        <w:tabs>
          <w:tab w:val="right" w:leader="dot" w:pos="9350"/>
        </w:tabs>
        <w:rPr>
          <w:rFonts w:eastAsiaTheme="minorEastAsia" w:cstheme="minorBidi"/>
          <w:noProof/>
          <w:sz w:val="22"/>
        </w:rPr>
      </w:pPr>
      <w:hyperlink w:anchor="_Toc83376829" w:history="1">
        <w:r w:rsidR="00FA38F6" w:rsidRPr="00B209CE">
          <w:rPr>
            <w:rStyle w:val="Hyperlink"/>
            <w:noProof/>
          </w:rPr>
          <w:t>Figure 3</w:t>
        </w:r>
        <w:r w:rsidR="00FA38F6" w:rsidRPr="00B209CE">
          <w:rPr>
            <w:rStyle w:val="Hyperlink"/>
            <w:noProof/>
          </w:rPr>
          <w:noBreakHyphen/>
          <w:t>2. Core Free Ridership Algorithm 2</w:t>
        </w:r>
        <w:r w:rsidR="00FA38F6">
          <w:rPr>
            <w:noProof/>
            <w:webHidden/>
          </w:rPr>
          <w:tab/>
        </w:r>
        <w:r w:rsidR="00FA38F6">
          <w:rPr>
            <w:noProof/>
            <w:webHidden/>
          </w:rPr>
          <w:fldChar w:fldCharType="begin"/>
        </w:r>
        <w:r w:rsidR="00FA38F6">
          <w:rPr>
            <w:noProof/>
            <w:webHidden/>
          </w:rPr>
          <w:instrText xml:space="preserve"> PAGEREF _Toc83376829 \h </w:instrText>
        </w:r>
        <w:r w:rsidR="00FA38F6">
          <w:rPr>
            <w:noProof/>
            <w:webHidden/>
          </w:rPr>
        </w:r>
        <w:r w:rsidR="00FA38F6">
          <w:rPr>
            <w:noProof/>
            <w:webHidden/>
          </w:rPr>
          <w:fldChar w:fldCharType="separate"/>
        </w:r>
        <w:r w:rsidR="00FA38F6">
          <w:rPr>
            <w:noProof/>
            <w:webHidden/>
          </w:rPr>
          <w:t>43</w:t>
        </w:r>
        <w:r w:rsidR="00FA38F6">
          <w:rPr>
            <w:noProof/>
            <w:webHidden/>
          </w:rPr>
          <w:fldChar w:fldCharType="end"/>
        </w:r>
      </w:hyperlink>
    </w:p>
    <w:p w14:paraId="24620DE5" w14:textId="59655DE2" w:rsidR="00FA38F6" w:rsidRDefault="00573A1D">
      <w:pPr>
        <w:pStyle w:val="TableofFigures"/>
        <w:tabs>
          <w:tab w:val="right" w:leader="dot" w:pos="9350"/>
        </w:tabs>
        <w:rPr>
          <w:rFonts w:eastAsiaTheme="minorEastAsia" w:cstheme="minorBidi"/>
          <w:noProof/>
          <w:sz w:val="22"/>
        </w:rPr>
      </w:pPr>
      <w:hyperlink w:anchor="_Toc83376830" w:history="1">
        <w:r w:rsidR="00FA38F6" w:rsidRPr="00B209CE">
          <w:rPr>
            <w:rStyle w:val="Hyperlink"/>
            <w:noProof/>
          </w:rPr>
          <w:t>Figure 3</w:t>
        </w:r>
        <w:r w:rsidR="00FA38F6" w:rsidRPr="00B209CE">
          <w:rPr>
            <w:rStyle w:val="Hyperlink"/>
            <w:noProof/>
          </w:rPr>
          <w:noBreakHyphen/>
          <w:t>3</w:t>
        </w:r>
        <w:r w:rsidR="00FA38F6" w:rsidRPr="00B209CE">
          <w:rPr>
            <w:rStyle w:val="Hyperlink"/>
            <w:rFonts w:eastAsia="Franklin Gothic Book"/>
            <w:noProof/>
          </w:rPr>
          <w:t>. Small Business Free Ridership</w:t>
        </w:r>
        <w:r w:rsidR="00FA38F6">
          <w:rPr>
            <w:noProof/>
            <w:webHidden/>
          </w:rPr>
          <w:tab/>
        </w:r>
        <w:r w:rsidR="00FA38F6">
          <w:rPr>
            <w:noProof/>
            <w:webHidden/>
          </w:rPr>
          <w:fldChar w:fldCharType="begin"/>
        </w:r>
        <w:r w:rsidR="00FA38F6">
          <w:rPr>
            <w:noProof/>
            <w:webHidden/>
          </w:rPr>
          <w:instrText xml:space="preserve"> PAGEREF _Toc83376830 \h </w:instrText>
        </w:r>
        <w:r w:rsidR="00FA38F6">
          <w:rPr>
            <w:noProof/>
            <w:webHidden/>
          </w:rPr>
        </w:r>
        <w:r w:rsidR="00FA38F6">
          <w:rPr>
            <w:noProof/>
            <w:webHidden/>
          </w:rPr>
          <w:fldChar w:fldCharType="separate"/>
        </w:r>
        <w:r w:rsidR="00FA38F6">
          <w:rPr>
            <w:noProof/>
            <w:webHidden/>
          </w:rPr>
          <w:t>56</w:t>
        </w:r>
        <w:r w:rsidR="00FA38F6">
          <w:rPr>
            <w:noProof/>
            <w:webHidden/>
          </w:rPr>
          <w:fldChar w:fldCharType="end"/>
        </w:r>
      </w:hyperlink>
    </w:p>
    <w:p w14:paraId="60BBC4EF" w14:textId="4CE909D0" w:rsidR="00FA38F6" w:rsidRDefault="00573A1D">
      <w:pPr>
        <w:pStyle w:val="TableofFigures"/>
        <w:tabs>
          <w:tab w:val="right" w:leader="dot" w:pos="9350"/>
        </w:tabs>
        <w:rPr>
          <w:rFonts w:eastAsiaTheme="minorEastAsia" w:cstheme="minorBidi"/>
          <w:noProof/>
          <w:sz w:val="22"/>
        </w:rPr>
      </w:pPr>
      <w:hyperlink w:anchor="_Toc83376831" w:history="1">
        <w:r w:rsidR="00FA38F6" w:rsidRPr="00B209CE">
          <w:rPr>
            <w:rStyle w:val="Hyperlink"/>
            <w:noProof/>
          </w:rPr>
          <w:t>Figure 3</w:t>
        </w:r>
        <w:r w:rsidR="00FA38F6" w:rsidRPr="00B209CE">
          <w:rPr>
            <w:rStyle w:val="Hyperlink"/>
            <w:noProof/>
          </w:rPr>
          <w:noBreakHyphen/>
          <w:t>4. Study-Based Free Ridership—Overview</w:t>
        </w:r>
        <w:r w:rsidR="00FA38F6">
          <w:rPr>
            <w:noProof/>
            <w:webHidden/>
          </w:rPr>
          <w:tab/>
        </w:r>
        <w:r w:rsidR="00FA38F6">
          <w:rPr>
            <w:noProof/>
            <w:webHidden/>
          </w:rPr>
          <w:fldChar w:fldCharType="begin"/>
        </w:r>
        <w:r w:rsidR="00FA38F6">
          <w:rPr>
            <w:noProof/>
            <w:webHidden/>
          </w:rPr>
          <w:instrText xml:space="preserve"> PAGEREF _Toc83376831 \h </w:instrText>
        </w:r>
        <w:r w:rsidR="00FA38F6">
          <w:rPr>
            <w:noProof/>
            <w:webHidden/>
          </w:rPr>
        </w:r>
        <w:r w:rsidR="00FA38F6">
          <w:rPr>
            <w:noProof/>
            <w:webHidden/>
          </w:rPr>
          <w:fldChar w:fldCharType="separate"/>
        </w:r>
        <w:r w:rsidR="00FA38F6">
          <w:rPr>
            <w:noProof/>
            <w:webHidden/>
          </w:rPr>
          <w:t>58</w:t>
        </w:r>
        <w:r w:rsidR="00FA38F6">
          <w:rPr>
            <w:noProof/>
            <w:webHidden/>
          </w:rPr>
          <w:fldChar w:fldCharType="end"/>
        </w:r>
      </w:hyperlink>
    </w:p>
    <w:p w14:paraId="1E7EEE40" w14:textId="2DC2BB99" w:rsidR="00FA38F6" w:rsidRDefault="00573A1D">
      <w:pPr>
        <w:pStyle w:val="TableofFigures"/>
        <w:tabs>
          <w:tab w:val="right" w:leader="dot" w:pos="9350"/>
        </w:tabs>
        <w:rPr>
          <w:rFonts w:eastAsiaTheme="minorEastAsia" w:cstheme="minorBidi"/>
          <w:noProof/>
          <w:sz w:val="22"/>
        </w:rPr>
      </w:pPr>
      <w:hyperlink w:anchor="_Toc83376832" w:history="1">
        <w:r w:rsidR="00FA38F6" w:rsidRPr="00B209CE">
          <w:rPr>
            <w:rStyle w:val="Hyperlink"/>
            <w:noProof/>
          </w:rPr>
          <w:t>Figure 3</w:t>
        </w:r>
        <w:r w:rsidR="00FA38F6" w:rsidRPr="00B209CE">
          <w:rPr>
            <w:rStyle w:val="Hyperlink"/>
            <w:noProof/>
          </w:rPr>
          <w:noBreakHyphen/>
          <w:t>5. Study-Based Free Ridership—No-Program FR Score Option #1</w:t>
        </w:r>
        <w:r w:rsidR="00FA38F6">
          <w:rPr>
            <w:noProof/>
            <w:webHidden/>
          </w:rPr>
          <w:tab/>
        </w:r>
        <w:r w:rsidR="00FA38F6">
          <w:rPr>
            <w:noProof/>
            <w:webHidden/>
          </w:rPr>
          <w:fldChar w:fldCharType="begin"/>
        </w:r>
        <w:r w:rsidR="00FA38F6">
          <w:rPr>
            <w:noProof/>
            <w:webHidden/>
          </w:rPr>
          <w:instrText xml:space="preserve"> PAGEREF _Toc83376832 \h </w:instrText>
        </w:r>
        <w:r w:rsidR="00FA38F6">
          <w:rPr>
            <w:noProof/>
            <w:webHidden/>
          </w:rPr>
        </w:r>
        <w:r w:rsidR="00FA38F6">
          <w:rPr>
            <w:noProof/>
            <w:webHidden/>
          </w:rPr>
          <w:fldChar w:fldCharType="separate"/>
        </w:r>
        <w:r w:rsidR="00FA38F6">
          <w:rPr>
            <w:noProof/>
            <w:webHidden/>
          </w:rPr>
          <w:t>58</w:t>
        </w:r>
        <w:r w:rsidR="00FA38F6">
          <w:rPr>
            <w:noProof/>
            <w:webHidden/>
          </w:rPr>
          <w:fldChar w:fldCharType="end"/>
        </w:r>
      </w:hyperlink>
    </w:p>
    <w:p w14:paraId="0686D689" w14:textId="11A99CF5" w:rsidR="00FA38F6" w:rsidRDefault="00573A1D">
      <w:pPr>
        <w:pStyle w:val="TableofFigures"/>
        <w:tabs>
          <w:tab w:val="right" w:leader="dot" w:pos="9350"/>
        </w:tabs>
        <w:rPr>
          <w:rFonts w:eastAsiaTheme="minorEastAsia" w:cstheme="minorBidi"/>
          <w:noProof/>
          <w:sz w:val="22"/>
        </w:rPr>
      </w:pPr>
      <w:hyperlink w:anchor="_Toc83376833" w:history="1">
        <w:r w:rsidR="00FA38F6" w:rsidRPr="00B209CE">
          <w:rPr>
            <w:rStyle w:val="Hyperlink"/>
            <w:noProof/>
          </w:rPr>
          <w:t>Figure 3</w:t>
        </w:r>
        <w:r w:rsidR="00FA38F6" w:rsidRPr="00B209CE">
          <w:rPr>
            <w:rStyle w:val="Hyperlink"/>
            <w:noProof/>
          </w:rPr>
          <w:noBreakHyphen/>
          <w:t>6. Study-Based Free Ridership—No-Program FR Score Option #2</w:t>
        </w:r>
        <w:r w:rsidR="00FA38F6">
          <w:rPr>
            <w:noProof/>
            <w:webHidden/>
          </w:rPr>
          <w:tab/>
        </w:r>
        <w:r w:rsidR="00FA38F6">
          <w:rPr>
            <w:noProof/>
            <w:webHidden/>
          </w:rPr>
          <w:fldChar w:fldCharType="begin"/>
        </w:r>
        <w:r w:rsidR="00FA38F6">
          <w:rPr>
            <w:noProof/>
            <w:webHidden/>
          </w:rPr>
          <w:instrText xml:space="preserve"> PAGEREF _Toc83376833 \h </w:instrText>
        </w:r>
        <w:r w:rsidR="00FA38F6">
          <w:rPr>
            <w:noProof/>
            <w:webHidden/>
          </w:rPr>
        </w:r>
        <w:r w:rsidR="00FA38F6">
          <w:rPr>
            <w:noProof/>
            <w:webHidden/>
          </w:rPr>
          <w:fldChar w:fldCharType="separate"/>
        </w:r>
        <w:r w:rsidR="00FA38F6">
          <w:rPr>
            <w:noProof/>
            <w:webHidden/>
          </w:rPr>
          <w:t>59</w:t>
        </w:r>
        <w:r w:rsidR="00FA38F6">
          <w:rPr>
            <w:noProof/>
            <w:webHidden/>
          </w:rPr>
          <w:fldChar w:fldCharType="end"/>
        </w:r>
      </w:hyperlink>
    </w:p>
    <w:p w14:paraId="7DE0EB9B" w14:textId="523E126B" w:rsidR="00FA38F6" w:rsidRDefault="00573A1D">
      <w:pPr>
        <w:pStyle w:val="TableofFigures"/>
        <w:tabs>
          <w:tab w:val="right" w:leader="dot" w:pos="9350"/>
        </w:tabs>
        <w:rPr>
          <w:rFonts w:eastAsiaTheme="minorEastAsia" w:cstheme="minorBidi"/>
          <w:noProof/>
          <w:sz w:val="22"/>
        </w:rPr>
      </w:pPr>
      <w:hyperlink w:anchor="_Toc83376834" w:history="1">
        <w:r w:rsidR="00FA38F6" w:rsidRPr="00B209CE">
          <w:rPr>
            <w:rStyle w:val="Hyperlink"/>
            <w:noProof/>
          </w:rPr>
          <w:t>Figure 4</w:t>
        </w:r>
        <w:r w:rsidR="00FA38F6" w:rsidRPr="00B209CE">
          <w:rPr>
            <w:rStyle w:val="Hyperlink"/>
            <w:noProof/>
          </w:rPr>
          <w:noBreakHyphen/>
          <w:t>1. NPSO Question Logic</w:t>
        </w:r>
        <w:r w:rsidR="00FA38F6">
          <w:rPr>
            <w:noProof/>
            <w:webHidden/>
          </w:rPr>
          <w:tab/>
        </w:r>
        <w:r w:rsidR="00FA38F6">
          <w:rPr>
            <w:noProof/>
            <w:webHidden/>
          </w:rPr>
          <w:fldChar w:fldCharType="begin"/>
        </w:r>
        <w:r w:rsidR="00FA38F6">
          <w:rPr>
            <w:noProof/>
            <w:webHidden/>
          </w:rPr>
          <w:instrText xml:space="preserve"> PAGEREF _Toc83376834 \h </w:instrText>
        </w:r>
        <w:r w:rsidR="00FA38F6">
          <w:rPr>
            <w:noProof/>
            <w:webHidden/>
          </w:rPr>
        </w:r>
        <w:r w:rsidR="00FA38F6">
          <w:rPr>
            <w:noProof/>
            <w:webHidden/>
          </w:rPr>
          <w:fldChar w:fldCharType="separate"/>
        </w:r>
        <w:r w:rsidR="00FA38F6">
          <w:rPr>
            <w:noProof/>
            <w:webHidden/>
          </w:rPr>
          <w:t>66</w:t>
        </w:r>
        <w:r w:rsidR="00FA38F6">
          <w:rPr>
            <w:noProof/>
            <w:webHidden/>
          </w:rPr>
          <w:fldChar w:fldCharType="end"/>
        </w:r>
      </w:hyperlink>
    </w:p>
    <w:p w14:paraId="38BB8F19" w14:textId="561984E3" w:rsidR="00FA38F6" w:rsidRDefault="00573A1D">
      <w:pPr>
        <w:pStyle w:val="TableofFigures"/>
        <w:tabs>
          <w:tab w:val="right" w:leader="dot" w:pos="9350"/>
        </w:tabs>
        <w:rPr>
          <w:rFonts w:eastAsiaTheme="minorEastAsia" w:cstheme="minorBidi"/>
          <w:noProof/>
          <w:sz w:val="22"/>
        </w:rPr>
      </w:pPr>
      <w:hyperlink w:anchor="_Toc83376835" w:history="1">
        <w:r w:rsidR="00FA38F6" w:rsidRPr="00B209CE">
          <w:rPr>
            <w:rStyle w:val="Hyperlink"/>
            <w:noProof/>
          </w:rPr>
          <w:t>Figure 4</w:t>
        </w:r>
        <w:r w:rsidR="00FA38F6" w:rsidRPr="00B209CE">
          <w:rPr>
            <w:rStyle w:val="Hyperlink"/>
            <w:noProof/>
          </w:rPr>
          <w:noBreakHyphen/>
          <w:t>2</w:t>
        </w:r>
        <w:r w:rsidR="00FA38F6" w:rsidRPr="00B209CE">
          <w:rPr>
            <w:rStyle w:val="Hyperlink"/>
            <w:rFonts w:eastAsia="Franklin Gothic Book"/>
            <w:noProof/>
          </w:rPr>
          <w:t>. Appliance Retirement Scenarios</w:t>
        </w:r>
        <w:r w:rsidR="00FA38F6">
          <w:rPr>
            <w:noProof/>
            <w:webHidden/>
          </w:rPr>
          <w:tab/>
        </w:r>
        <w:r w:rsidR="00FA38F6">
          <w:rPr>
            <w:noProof/>
            <w:webHidden/>
          </w:rPr>
          <w:fldChar w:fldCharType="begin"/>
        </w:r>
        <w:r w:rsidR="00FA38F6">
          <w:rPr>
            <w:noProof/>
            <w:webHidden/>
          </w:rPr>
          <w:instrText xml:space="preserve"> PAGEREF _Toc83376835 \h </w:instrText>
        </w:r>
        <w:r w:rsidR="00FA38F6">
          <w:rPr>
            <w:noProof/>
            <w:webHidden/>
          </w:rPr>
        </w:r>
        <w:r w:rsidR="00FA38F6">
          <w:rPr>
            <w:noProof/>
            <w:webHidden/>
          </w:rPr>
          <w:fldChar w:fldCharType="separate"/>
        </w:r>
        <w:r w:rsidR="00FA38F6">
          <w:rPr>
            <w:noProof/>
            <w:webHidden/>
          </w:rPr>
          <w:t>70</w:t>
        </w:r>
        <w:r w:rsidR="00FA38F6">
          <w:rPr>
            <w:noProof/>
            <w:webHidden/>
          </w:rPr>
          <w:fldChar w:fldCharType="end"/>
        </w:r>
      </w:hyperlink>
    </w:p>
    <w:p w14:paraId="0E6D7A3E" w14:textId="4D1246F2" w:rsidR="00FA38F6" w:rsidRDefault="00573A1D">
      <w:pPr>
        <w:pStyle w:val="TableofFigures"/>
        <w:tabs>
          <w:tab w:val="right" w:leader="dot" w:pos="9350"/>
        </w:tabs>
        <w:rPr>
          <w:rFonts w:eastAsiaTheme="minorEastAsia" w:cstheme="minorBidi"/>
          <w:noProof/>
          <w:sz w:val="22"/>
        </w:rPr>
      </w:pPr>
      <w:hyperlink w:anchor="_Toc83376836" w:history="1">
        <w:r w:rsidR="00FA38F6" w:rsidRPr="00B209CE">
          <w:rPr>
            <w:rStyle w:val="Hyperlink"/>
            <w:noProof/>
          </w:rPr>
          <w:t>Figure 4</w:t>
        </w:r>
        <w:r w:rsidR="00FA38F6" w:rsidRPr="00B209CE">
          <w:rPr>
            <w:rStyle w:val="Hyperlink"/>
            <w:noProof/>
          </w:rPr>
          <w:noBreakHyphen/>
          <w:t>3. Residential Upstream Lighting Free Ridership via In-Store Intercept</w:t>
        </w:r>
        <w:r w:rsidR="00FA38F6">
          <w:rPr>
            <w:noProof/>
            <w:webHidden/>
          </w:rPr>
          <w:tab/>
        </w:r>
        <w:r w:rsidR="00FA38F6">
          <w:rPr>
            <w:noProof/>
            <w:webHidden/>
          </w:rPr>
          <w:fldChar w:fldCharType="begin"/>
        </w:r>
        <w:r w:rsidR="00FA38F6">
          <w:rPr>
            <w:noProof/>
            <w:webHidden/>
          </w:rPr>
          <w:instrText xml:space="preserve"> PAGEREF _Toc83376836 \h </w:instrText>
        </w:r>
        <w:r w:rsidR="00FA38F6">
          <w:rPr>
            <w:noProof/>
            <w:webHidden/>
          </w:rPr>
        </w:r>
        <w:r w:rsidR="00FA38F6">
          <w:rPr>
            <w:noProof/>
            <w:webHidden/>
          </w:rPr>
          <w:fldChar w:fldCharType="separate"/>
        </w:r>
        <w:r w:rsidR="00FA38F6">
          <w:rPr>
            <w:noProof/>
            <w:webHidden/>
          </w:rPr>
          <w:t>73</w:t>
        </w:r>
        <w:r w:rsidR="00FA38F6">
          <w:rPr>
            <w:noProof/>
            <w:webHidden/>
          </w:rPr>
          <w:fldChar w:fldCharType="end"/>
        </w:r>
      </w:hyperlink>
    </w:p>
    <w:p w14:paraId="18F74CEE" w14:textId="1DFC33E5" w:rsidR="00FA38F6" w:rsidRDefault="00573A1D">
      <w:pPr>
        <w:pStyle w:val="TableofFigures"/>
        <w:tabs>
          <w:tab w:val="right" w:leader="dot" w:pos="9350"/>
        </w:tabs>
        <w:rPr>
          <w:rFonts w:eastAsiaTheme="minorEastAsia" w:cstheme="minorBidi"/>
          <w:noProof/>
          <w:sz w:val="22"/>
        </w:rPr>
      </w:pPr>
      <w:hyperlink w:anchor="_Toc83376837" w:history="1">
        <w:r w:rsidR="00FA38F6" w:rsidRPr="00B209CE">
          <w:rPr>
            <w:rStyle w:val="Hyperlink"/>
            <w:noProof/>
          </w:rPr>
          <w:t>Figure 4</w:t>
        </w:r>
        <w:r w:rsidR="00FA38F6" w:rsidRPr="00B209CE">
          <w:rPr>
            <w:rStyle w:val="Hyperlink"/>
            <w:noProof/>
          </w:rPr>
          <w:noBreakHyphen/>
          <w:t>4. Residential Upstream Lighting Participant Spillover Determination</w:t>
        </w:r>
        <w:r w:rsidR="00FA38F6">
          <w:rPr>
            <w:noProof/>
            <w:webHidden/>
          </w:rPr>
          <w:tab/>
        </w:r>
        <w:r w:rsidR="00FA38F6">
          <w:rPr>
            <w:noProof/>
            <w:webHidden/>
          </w:rPr>
          <w:fldChar w:fldCharType="begin"/>
        </w:r>
        <w:r w:rsidR="00FA38F6">
          <w:rPr>
            <w:noProof/>
            <w:webHidden/>
          </w:rPr>
          <w:instrText xml:space="preserve"> PAGEREF _Toc83376837 \h </w:instrText>
        </w:r>
        <w:r w:rsidR="00FA38F6">
          <w:rPr>
            <w:noProof/>
            <w:webHidden/>
          </w:rPr>
        </w:r>
        <w:r w:rsidR="00FA38F6">
          <w:rPr>
            <w:noProof/>
            <w:webHidden/>
          </w:rPr>
          <w:fldChar w:fldCharType="separate"/>
        </w:r>
        <w:r w:rsidR="00FA38F6">
          <w:rPr>
            <w:noProof/>
            <w:webHidden/>
          </w:rPr>
          <w:t>75</w:t>
        </w:r>
        <w:r w:rsidR="00FA38F6">
          <w:rPr>
            <w:noProof/>
            <w:webHidden/>
          </w:rPr>
          <w:fldChar w:fldCharType="end"/>
        </w:r>
      </w:hyperlink>
    </w:p>
    <w:p w14:paraId="624F06F9" w14:textId="74D83C2A" w:rsidR="00FA38F6" w:rsidRDefault="00573A1D">
      <w:pPr>
        <w:pStyle w:val="TableofFigures"/>
        <w:tabs>
          <w:tab w:val="right" w:leader="dot" w:pos="9350"/>
        </w:tabs>
        <w:rPr>
          <w:rFonts w:eastAsiaTheme="minorEastAsia" w:cstheme="minorBidi"/>
          <w:noProof/>
          <w:sz w:val="22"/>
        </w:rPr>
      </w:pPr>
      <w:hyperlink w:anchor="_Toc83376838" w:history="1">
        <w:r w:rsidR="00FA38F6" w:rsidRPr="00B209CE">
          <w:rPr>
            <w:rStyle w:val="Hyperlink"/>
            <w:noProof/>
          </w:rPr>
          <w:t>Figure 4</w:t>
        </w:r>
        <w:r w:rsidR="00FA38F6" w:rsidRPr="00B209CE">
          <w:rPr>
            <w:rStyle w:val="Hyperlink"/>
            <w:noProof/>
          </w:rPr>
          <w:noBreakHyphen/>
          <w:t>5. Residential Upstream Lighting Nonparticipant Spillover Determination</w:t>
        </w:r>
        <w:r w:rsidR="00FA38F6">
          <w:rPr>
            <w:noProof/>
            <w:webHidden/>
          </w:rPr>
          <w:tab/>
        </w:r>
        <w:r w:rsidR="00FA38F6">
          <w:rPr>
            <w:noProof/>
            <w:webHidden/>
          </w:rPr>
          <w:fldChar w:fldCharType="begin"/>
        </w:r>
        <w:r w:rsidR="00FA38F6">
          <w:rPr>
            <w:noProof/>
            <w:webHidden/>
          </w:rPr>
          <w:instrText xml:space="preserve"> PAGEREF _Toc83376838 \h </w:instrText>
        </w:r>
        <w:r w:rsidR="00FA38F6">
          <w:rPr>
            <w:noProof/>
            <w:webHidden/>
          </w:rPr>
        </w:r>
        <w:r w:rsidR="00FA38F6">
          <w:rPr>
            <w:noProof/>
            <w:webHidden/>
          </w:rPr>
          <w:fldChar w:fldCharType="separate"/>
        </w:r>
        <w:r w:rsidR="00FA38F6">
          <w:rPr>
            <w:noProof/>
            <w:webHidden/>
          </w:rPr>
          <w:t>77</w:t>
        </w:r>
        <w:r w:rsidR="00FA38F6">
          <w:rPr>
            <w:noProof/>
            <w:webHidden/>
          </w:rPr>
          <w:fldChar w:fldCharType="end"/>
        </w:r>
      </w:hyperlink>
    </w:p>
    <w:p w14:paraId="0CCB675C" w14:textId="508DAE9E" w:rsidR="00FA38F6" w:rsidRDefault="00573A1D">
      <w:pPr>
        <w:pStyle w:val="TableofFigures"/>
        <w:tabs>
          <w:tab w:val="right" w:leader="dot" w:pos="9350"/>
        </w:tabs>
        <w:rPr>
          <w:rFonts w:eastAsiaTheme="minorEastAsia" w:cstheme="minorBidi"/>
          <w:noProof/>
          <w:sz w:val="22"/>
        </w:rPr>
      </w:pPr>
      <w:hyperlink w:anchor="_Toc83376839" w:history="1">
        <w:r w:rsidR="00FA38F6" w:rsidRPr="00B209CE">
          <w:rPr>
            <w:rStyle w:val="Hyperlink"/>
            <w:noProof/>
          </w:rPr>
          <w:t>Figure 4</w:t>
        </w:r>
        <w:r w:rsidR="00FA38F6" w:rsidRPr="00B209CE">
          <w:rPr>
            <w:rStyle w:val="Hyperlink"/>
            <w:noProof/>
          </w:rPr>
          <w:noBreakHyphen/>
          <w:t>6. Residential Prescriptive Rebate (With No Audit) Free Ridership</w:t>
        </w:r>
        <w:r w:rsidR="00FA38F6">
          <w:rPr>
            <w:noProof/>
            <w:webHidden/>
          </w:rPr>
          <w:tab/>
        </w:r>
        <w:r w:rsidR="00FA38F6">
          <w:rPr>
            <w:noProof/>
            <w:webHidden/>
          </w:rPr>
          <w:fldChar w:fldCharType="begin"/>
        </w:r>
        <w:r w:rsidR="00FA38F6">
          <w:rPr>
            <w:noProof/>
            <w:webHidden/>
          </w:rPr>
          <w:instrText xml:space="preserve"> PAGEREF _Toc83376839 \h </w:instrText>
        </w:r>
        <w:r w:rsidR="00FA38F6">
          <w:rPr>
            <w:noProof/>
            <w:webHidden/>
          </w:rPr>
        </w:r>
        <w:r w:rsidR="00FA38F6">
          <w:rPr>
            <w:noProof/>
            <w:webHidden/>
          </w:rPr>
          <w:fldChar w:fldCharType="separate"/>
        </w:r>
        <w:r w:rsidR="00FA38F6">
          <w:rPr>
            <w:noProof/>
            <w:webHidden/>
          </w:rPr>
          <w:t>79</w:t>
        </w:r>
        <w:r w:rsidR="00FA38F6">
          <w:rPr>
            <w:noProof/>
            <w:webHidden/>
          </w:rPr>
          <w:fldChar w:fldCharType="end"/>
        </w:r>
      </w:hyperlink>
    </w:p>
    <w:p w14:paraId="7248F349" w14:textId="5D45F1C7" w:rsidR="00FA38F6" w:rsidRDefault="00573A1D">
      <w:pPr>
        <w:pStyle w:val="TableofFigures"/>
        <w:tabs>
          <w:tab w:val="right" w:leader="dot" w:pos="9350"/>
        </w:tabs>
        <w:rPr>
          <w:rFonts w:eastAsiaTheme="minorEastAsia" w:cstheme="minorBidi"/>
          <w:noProof/>
          <w:sz w:val="22"/>
        </w:rPr>
      </w:pPr>
      <w:hyperlink w:anchor="_Toc83376840" w:history="1">
        <w:r w:rsidR="00FA38F6" w:rsidRPr="00B209CE">
          <w:rPr>
            <w:rStyle w:val="Hyperlink"/>
            <w:noProof/>
          </w:rPr>
          <w:t>Figure 4</w:t>
        </w:r>
        <w:r w:rsidR="00FA38F6" w:rsidRPr="00B209CE">
          <w:rPr>
            <w:rStyle w:val="Hyperlink"/>
            <w:noProof/>
          </w:rPr>
          <w:noBreakHyphen/>
          <w:t>7. Single-Family Home Energy Audit Free Ridership—No Cost Measures</w:t>
        </w:r>
        <w:r w:rsidR="00FA38F6">
          <w:rPr>
            <w:noProof/>
            <w:webHidden/>
          </w:rPr>
          <w:tab/>
        </w:r>
        <w:r w:rsidR="00FA38F6">
          <w:rPr>
            <w:noProof/>
            <w:webHidden/>
          </w:rPr>
          <w:fldChar w:fldCharType="begin"/>
        </w:r>
        <w:r w:rsidR="00FA38F6">
          <w:rPr>
            <w:noProof/>
            <w:webHidden/>
          </w:rPr>
          <w:instrText xml:space="preserve"> PAGEREF _Toc83376840 \h </w:instrText>
        </w:r>
        <w:r w:rsidR="00FA38F6">
          <w:rPr>
            <w:noProof/>
            <w:webHidden/>
          </w:rPr>
        </w:r>
        <w:r w:rsidR="00FA38F6">
          <w:rPr>
            <w:noProof/>
            <w:webHidden/>
          </w:rPr>
          <w:fldChar w:fldCharType="separate"/>
        </w:r>
        <w:r w:rsidR="00FA38F6">
          <w:rPr>
            <w:noProof/>
            <w:webHidden/>
          </w:rPr>
          <w:t>82</w:t>
        </w:r>
        <w:r w:rsidR="00FA38F6">
          <w:rPr>
            <w:noProof/>
            <w:webHidden/>
          </w:rPr>
          <w:fldChar w:fldCharType="end"/>
        </w:r>
      </w:hyperlink>
    </w:p>
    <w:p w14:paraId="73AA2091" w14:textId="22446C9D" w:rsidR="00FA38F6" w:rsidRDefault="00573A1D">
      <w:pPr>
        <w:pStyle w:val="TableofFigures"/>
        <w:tabs>
          <w:tab w:val="right" w:leader="dot" w:pos="9350"/>
        </w:tabs>
        <w:rPr>
          <w:rFonts w:eastAsiaTheme="minorEastAsia" w:cstheme="minorBidi"/>
          <w:noProof/>
          <w:sz w:val="22"/>
        </w:rPr>
      </w:pPr>
      <w:hyperlink w:anchor="_Toc83376841" w:history="1">
        <w:r w:rsidR="00FA38F6" w:rsidRPr="00B209CE">
          <w:rPr>
            <w:rStyle w:val="Hyperlink"/>
            <w:noProof/>
          </w:rPr>
          <w:t>Figure 4</w:t>
        </w:r>
        <w:r w:rsidR="00FA38F6" w:rsidRPr="00B209CE">
          <w:rPr>
            <w:rStyle w:val="Hyperlink"/>
            <w:noProof/>
          </w:rPr>
          <w:noBreakHyphen/>
          <w:t>9. Multifamily Free Ridership—Non-CFL/Non-LED Measures</w:t>
        </w:r>
        <w:r w:rsidR="00FA38F6">
          <w:rPr>
            <w:noProof/>
            <w:webHidden/>
          </w:rPr>
          <w:tab/>
        </w:r>
        <w:r w:rsidR="00FA38F6">
          <w:rPr>
            <w:noProof/>
            <w:webHidden/>
          </w:rPr>
          <w:fldChar w:fldCharType="begin"/>
        </w:r>
        <w:r w:rsidR="00FA38F6">
          <w:rPr>
            <w:noProof/>
            <w:webHidden/>
          </w:rPr>
          <w:instrText xml:space="preserve"> PAGEREF _Toc83376841 \h </w:instrText>
        </w:r>
        <w:r w:rsidR="00FA38F6">
          <w:rPr>
            <w:noProof/>
            <w:webHidden/>
          </w:rPr>
        </w:r>
        <w:r w:rsidR="00FA38F6">
          <w:rPr>
            <w:noProof/>
            <w:webHidden/>
          </w:rPr>
          <w:fldChar w:fldCharType="separate"/>
        </w:r>
        <w:r w:rsidR="00FA38F6">
          <w:rPr>
            <w:noProof/>
            <w:webHidden/>
          </w:rPr>
          <w:t>85</w:t>
        </w:r>
        <w:r w:rsidR="00FA38F6">
          <w:rPr>
            <w:noProof/>
            <w:webHidden/>
          </w:rPr>
          <w:fldChar w:fldCharType="end"/>
        </w:r>
      </w:hyperlink>
    </w:p>
    <w:p w14:paraId="60B04DFD" w14:textId="63466BE6" w:rsidR="00FA38F6" w:rsidRDefault="00573A1D">
      <w:pPr>
        <w:pStyle w:val="TableofFigures"/>
        <w:tabs>
          <w:tab w:val="right" w:leader="dot" w:pos="9350"/>
        </w:tabs>
        <w:rPr>
          <w:rFonts w:eastAsiaTheme="minorEastAsia" w:cstheme="minorBidi"/>
          <w:noProof/>
          <w:sz w:val="22"/>
        </w:rPr>
      </w:pPr>
      <w:hyperlink w:anchor="_Toc83376842" w:history="1">
        <w:r w:rsidR="00FA38F6" w:rsidRPr="00B209CE">
          <w:rPr>
            <w:rStyle w:val="Hyperlink"/>
            <w:noProof/>
          </w:rPr>
          <w:t>Figure 4</w:t>
        </w:r>
        <w:r w:rsidR="00FA38F6" w:rsidRPr="00B209CE">
          <w:rPr>
            <w:rStyle w:val="Hyperlink"/>
            <w:noProof/>
          </w:rPr>
          <w:noBreakHyphen/>
          <w:t>10. Multifamily Free Ridership for Property Managers—CFL/LED Measures</w:t>
        </w:r>
        <w:r w:rsidR="00FA38F6">
          <w:rPr>
            <w:noProof/>
            <w:webHidden/>
          </w:rPr>
          <w:tab/>
        </w:r>
        <w:r w:rsidR="00FA38F6">
          <w:rPr>
            <w:noProof/>
            <w:webHidden/>
          </w:rPr>
          <w:fldChar w:fldCharType="begin"/>
        </w:r>
        <w:r w:rsidR="00FA38F6">
          <w:rPr>
            <w:noProof/>
            <w:webHidden/>
          </w:rPr>
          <w:instrText xml:space="preserve"> PAGEREF _Toc83376842 \h </w:instrText>
        </w:r>
        <w:r w:rsidR="00FA38F6">
          <w:rPr>
            <w:noProof/>
            <w:webHidden/>
          </w:rPr>
        </w:r>
        <w:r w:rsidR="00FA38F6">
          <w:rPr>
            <w:noProof/>
            <w:webHidden/>
          </w:rPr>
          <w:fldChar w:fldCharType="separate"/>
        </w:r>
        <w:r w:rsidR="00FA38F6">
          <w:rPr>
            <w:noProof/>
            <w:webHidden/>
          </w:rPr>
          <w:t>85</w:t>
        </w:r>
        <w:r w:rsidR="00FA38F6">
          <w:rPr>
            <w:noProof/>
            <w:webHidden/>
          </w:rPr>
          <w:fldChar w:fldCharType="end"/>
        </w:r>
      </w:hyperlink>
    </w:p>
    <w:p w14:paraId="66ACD1BA" w14:textId="638891A2" w:rsidR="00FA38F6" w:rsidRDefault="00573A1D">
      <w:pPr>
        <w:pStyle w:val="TableofFigures"/>
        <w:tabs>
          <w:tab w:val="right" w:leader="dot" w:pos="9350"/>
        </w:tabs>
        <w:rPr>
          <w:rFonts w:eastAsiaTheme="minorEastAsia" w:cstheme="minorBidi"/>
          <w:noProof/>
          <w:sz w:val="22"/>
        </w:rPr>
      </w:pPr>
      <w:hyperlink w:anchor="_Toc83376843" w:history="1">
        <w:r w:rsidR="00FA38F6" w:rsidRPr="00B209CE">
          <w:rPr>
            <w:rStyle w:val="Hyperlink"/>
            <w:noProof/>
          </w:rPr>
          <w:t>Figure 4</w:t>
        </w:r>
        <w:r w:rsidR="00FA38F6" w:rsidRPr="00B209CE">
          <w:rPr>
            <w:rStyle w:val="Hyperlink"/>
            <w:noProof/>
          </w:rPr>
          <w:noBreakHyphen/>
          <w:t>11. Energy Saving Kits and Elementary Education Free Ridership</w:t>
        </w:r>
        <w:r w:rsidR="00FA38F6">
          <w:rPr>
            <w:noProof/>
            <w:webHidden/>
          </w:rPr>
          <w:tab/>
        </w:r>
        <w:r w:rsidR="00FA38F6">
          <w:rPr>
            <w:noProof/>
            <w:webHidden/>
          </w:rPr>
          <w:fldChar w:fldCharType="begin"/>
        </w:r>
        <w:r w:rsidR="00FA38F6">
          <w:rPr>
            <w:noProof/>
            <w:webHidden/>
          </w:rPr>
          <w:instrText xml:space="preserve"> PAGEREF _Toc83376843 \h </w:instrText>
        </w:r>
        <w:r w:rsidR="00FA38F6">
          <w:rPr>
            <w:noProof/>
            <w:webHidden/>
          </w:rPr>
        </w:r>
        <w:r w:rsidR="00FA38F6">
          <w:rPr>
            <w:noProof/>
            <w:webHidden/>
          </w:rPr>
          <w:fldChar w:fldCharType="separate"/>
        </w:r>
        <w:r w:rsidR="00FA38F6">
          <w:rPr>
            <w:noProof/>
            <w:webHidden/>
          </w:rPr>
          <w:t>86</w:t>
        </w:r>
        <w:r w:rsidR="00FA38F6">
          <w:rPr>
            <w:noProof/>
            <w:webHidden/>
          </w:rPr>
          <w:fldChar w:fldCharType="end"/>
        </w:r>
      </w:hyperlink>
    </w:p>
    <w:p w14:paraId="0EF6BF37" w14:textId="45D7E173" w:rsidR="00FA38F6" w:rsidRDefault="00573A1D">
      <w:pPr>
        <w:pStyle w:val="TableofFigures"/>
        <w:tabs>
          <w:tab w:val="right" w:leader="dot" w:pos="9350"/>
        </w:tabs>
        <w:rPr>
          <w:rFonts w:eastAsiaTheme="minorEastAsia" w:cstheme="minorBidi"/>
          <w:noProof/>
          <w:sz w:val="22"/>
        </w:rPr>
      </w:pPr>
      <w:hyperlink w:anchor="_Toc83376844" w:history="1">
        <w:r w:rsidR="00FA38F6" w:rsidRPr="00B209CE">
          <w:rPr>
            <w:rStyle w:val="Hyperlink"/>
            <w:noProof/>
          </w:rPr>
          <w:t>Figure 4</w:t>
        </w:r>
        <w:r w:rsidR="00FA38F6" w:rsidRPr="00B209CE">
          <w:rPr>
            <w:rStyle w:val="Hyperlink"/>
            <w:noProof/>
          </w:rPr>
          <w:noBreakHyphen/>
          <w:t>12. Residential New Construction Free Ridership</w:t>
        </w:r>
        <w:r w:rsidR="00FA38F6">
          <w:rPr>
            <w:noProof/>
            <w:webHidden/>
          </w:rPr>
          <w:tab/>
        </w:r>
        <w:r w:rsidR="00FA38F6">
          <w:rPr>
            <w:noProof/>
            <w:webHidden/>
          </w:rPr>
          <w:fldChar w:fldCharType="begin"/>
        </w:r>
        <w:r w:rsidR="00FA38F6">
          <w:rPr>
            <w:noProof/>
            <w:webHidden/>
          </w:rPr>
          <w:instrText xml:space="preserve"> PAGEREF _Toc83376844 \h </w:instrText>
        </w:r>
        <w:r w:rsidR="00FA38F6">
          <w:rPr>
            <w:noProof/>
            <w:webHidden/>
          </w:rPr>
        </w:r>
        <w:r w:rsidR="00FA38F6">
          <w:rPr>
            <w:noProof/>
            <w:webHidden/>
          </w:rPr>
          <w:fldChar w:fldCharType="separate"/>
        </w:r>
        <w:r w:rsidR="00FA38F6">
          <w:rPr>
            <w:noProof/>
            <w:webHidden/>
          </w:rPr>
          <w:t>88</w:t>
        </w:r>
        <w:r w:rsidR="00FA38F6">
          <w:rPr>
            <w:noProof/>
            <w:webHidden/>
          </w:rPr>
          <w:fldChar w:fldCharType="end"/>
        </w:r>
      </w:hyperlink>
    </w:p>
    <w:p w14:paraId="2B125103" w14:textId="0F258102" w:rsidR="00FA38F6" w:rsidRDefault="00573A1D">
      <w:pPr>
        <w:pStyle w:val="TableofFigures"/>
        <w:tabs>
          <w:tab w:val="right" w:leader="dot" w:pos="9350"/>
        </w:tabs>
        <w:rPr>
          <w:rFonts w:eastAsiaTheme="minorEastAsia" w:cstheme="minorBidi"/>
          <w:noProof/>
          <w:sz w:val="22"/>
        </w:rPr>
      </w:pPr>
      <w:hyperlink w:anchor="_Toc83376845" w:history="1">
        <w:r w:rsidR="00FA38F6" w:rsidRPr="00B209CE">
          <w:rPr>
            <w:rStyle w:val="Hyperlink"/>
            <w:noProof/>
          </w:rPr>
          <w:t>Figure 1-1:  Examples of Potential MT Activities Under a “Theory Umbrella”</w:t>
        </w:r>
        <w:r w:rsidR="00FA38F6">
          <w:rPr>
            <w:noProof/>
            <w:webHidden/>
          </w:rPr>
          <w:tab/>
        </w:r>
        <w:r w:rsidR="00FA38F6">
          <w:rPr>
            <w:noProof/>
            <w:webHidden/>
          </w:rPr>
          <w:fldChar w:fldCharType="begin"/>
        </w:r>
        <w:r w:rsidR="00FA38F6">
          <w:rPr>
            <w:noProof/>
            <w:webHidden/>
          </w:rPr>
          <w:instrText xml:space="preserve"> PAGEREF _Toc83376845 \h </w:instrText>
        </w:r>
        <w:r w:rsidR="00FA38F6">
          <w:rPr>
            <w:noProof/>
            <w:webHidden/>
          </w:rPr>
        </w:r>
        <w:r w:rsidR="00FA38F6">
          <w:rPr>
            <w:noProof/>
            <w:webHidden/>
          </w:rPr>
          <w:fldChar w:fldCharType="separate"/>
        </w:r>
        <w:r w:rsidR="00FA38F6">
          <w:rPr>
            <w:noProof/>
            <w:webHidden/>
          </w:rPr>
          <w:t>126</w:t>
        </w:r>
        <w:r w:rsidR="00FA38F6">
          <w:rPr>
            <w:noProof/>
            <w:webHidden/>
          </w:rPr>
          <w:fldChar w:fldCharType="end"/>
        </w:r>
      </w:hyperlink>
    </w:p>
    <w:p w14:paraId="78BAA41F" w14:textId="2F193B59" w:rsidR="00FA38F6" w:rsidRDefault="00573A1D">
      <w:pPr>
        <w:pStyle w:val="TableofFigures"/>
        <w:tabs>
          <w:tab w:val="right" w:leader="dot" w:pos="9350"/>
        </w:tabs>
        <w:rPr>
          <w:rFonts w:eastAsiaTheme="minorEastAsia" w:cstheme="minorBidi"/>
          <w:noProof/>
          <w:sz w:val="22"/>
        </w:rPr>
      </w:pPr>
      <w:hyperlink w:anchor="_Toc83376846" w:history="1">
        <w:r w:rsidR="00FA38F6" w:rsidRPr="00B209CE">
          <w:rPr>
            <w:rStyle w:val="Hyperlink"/>
            <w:noProof/>
          </w:rPr>
          <w:t>Figure 2-1: Framework for MT Savings</w:t>
        </w:r>
        <w:r w:rsidR="00FA38F6">
          <w:rPr>
            <w:noProof/>
            <w:webHidden/>
          </w:rPr>
          <w:tab/>
        </w:r>
        <w:r w:rsidR="00FA38F6">
          <w:rPr>
            <w:noProof/>
            <w:webHidden/>
          </w:rPr>
          <w:fldChar w:fldCharType="begin"/>
        </w:r>
        <w:r w:rsidR="00FA38F6">
          <w:rPr>
            <w:noProof/>
            <w:webHidden/>
          </w:rPr>
          <w:instrText xml:space="preserve"> PAGEREF _Toc83376846 \h </w:instrText>
        </w:r>
        <w:r w:rsidR="00FA38F6">
          <w:rPr>
            <w:noProof/>
            <w:webHidden/>
          </w:rPr>
        </w:r>
        <w:r w:rsidR="00FA38F6">
          <w:rPr>
            <w:noProof/>
            <w:webHidden/>
          </w:rPr>
          <w:fldChar w:fldCharType="separate"/>
        </w:r>
        <w:r w:rsidR="00FA38F6">
          <w:rPr>
            <w:noProof/>
            <w:webHidden/>
          </w:rPr>
          <w:t>131</w:t>
        </w:r>
        <w:r w:rsidR="00FA38F6">
          <w:rPr>
            <w:noProof/>
            <w:webHidden/>
          </w:rPr>
          <w:fldChar w:fldCharType="end"/>
        </w:r>
      </w:hyperlink>
    </w:p>
    <w:p w14:paraId="2B3736C5" w14:textId="6F57D9AD" w:rsidR="00FA38F6" w:rsidRDefault="00573A1D">
      <w:pPr>
        <w:pStyle w:val="TableofFigures"/>
        <w:tabs>
          <w:tab w:val="right" w:leader="dot" w:pos="9350"/>
        </w:tabs>
        <w:rPr>
          <w:rFonts w:eastAsiaTheme="minorEastAsia" w:cstheme="minorBidi"/>
          <w:noProof/>
          <w:sz w:val="22"/>
        </w:rPr>
      </w:pPr>
      <w:hyperlink w:anchor="_Toc83376847" w:history="1">
        <w:r w:rsidR="00FA38F6" w:rsidRPr="00B209CE">
          <w:rPr>
            <w:rStyle w:val="Hyperlink"/>
            <w:noProof/>
          </w:rPr>
          <w:t>Figure 2-2:  Accounting for RA and MT Program Savings</w:t>
        </w:r>
        <w:r w:rsidR="00FA38F6">
          <w:rPr>
            <w:noProof/>
            <w:webHidden/>
          </w:rPr>
          <w:tab/>
        </w:r>
        <w:r w:rsidR="00FA38F6">
          <w:rPr>
            <w:noProof/>
            <w:webHidden/>
          </w:rPr>
          <w:fldChar w:fldCharType="begin"/>
        </w:r>
        <w:r w:rsidR="00FA38F6">
          <w:rPr>
            <w:noProof/>
            <w:webHidden/>
          </w:rPr>
          <w:instrText xml:space="preserve"> PAGEREF _Toc83376847 \h </w:instrText>
        </w:r>
        <w:r w:rsidR="00FA38F6">
          <w:rPr>
            <w:noProof/>
            <w:webHidden/>
          </w:rPr>
        </w:r>
        <w:r w:rsidR="00FA38F6">
          <w:rPr>
            <w:noProof/>
            <w:webHidden/>
          </w:rPr>
          <w:fldChar w:fldCharType="separate"/>
        </w:r>
        <w:r w:rsidR="00FA38F6">
          <w:rPr>
            <w:noProof/>
            <w:webHidden/>
          </w:rPr>
          <w:t>136</w:t>
        </w:r>
        <w:r w:rsidR="00FA38F6">
          <w:rPr>
            <w:noProof/>
            <w:webHidden/>
          </w:rPr>
          <w:fldChar w:fldCharType="end"/>
        </w:r>
      </w:hyperlink>
    </w:p>
    <w:p w14:paraId="003CE0A3" w14:textId="7B508064" w:rsidR="00FA38F6" w:rsidRDefault="00573A1D">
      <w:pPr>
        <w:pStyle w:val="TableofFigures"/>
        <w:tabs>
          <w:tab w:val="right" w:leader="dot" w:pos="9350"/>
        </w:tabs>
        <w:rPr>
          <w:rFonts w:eastAsiaTheme="minorEastAsia" w:cstheme="minorBidi"/>
          <w:noProof/>
          <w:sz w:val="22"/>
        </w:rPr>
      </w:pPr>
      <w:hyperlink w:anchor="_Toc83376848" w:history="1">
        <w:r w:rsidR="00FA38F6" w:rsidRPr="00B209CE">
          <w:rPr>
            <w:rStyle w:val="Hyperlink"/>
            <w:noProof/>
          </w:rPr>
          <w:t>Figure 2-3:  The Effect of Energy Code Adoption</w:t>
        </w:r>
        <w:r w:rsidR="00FA38F6">
          <w:rPr>
            <w:noProof/>
            <w:webHidden/>
          </w:rPr>
          <w:tab/>
        </w:r>
        <w:r w:rsidR="00FA38F6">
          <w:rPr>
            <w:noProof/>
            <w:webHidden/>
          </w:rPr>
          <w:fldChar w:fldCharType="begin"/>
        </w:r>
        <w:r w:rsidR="00FA38F6">
          <w:rPr>
            <w:noProof/>
            <w:webHidden/>
          </w:rPr>
          <w:instrText xml:space="preserve"> PAGEREF _Toc83376848 \h </w:instrText>
        </w:r>
        <w:r w:rsidR="00FA38F6">
          <w:rPr>
            <w:noProof/>
            <w:webHidden/>
          </w:rPr>
        </w:r>
        <w:r w:rsidR="00FA38F6">
          <w:rPr>
            <w:noProof/>
            <w:webHidden/>
          </w:rPr>
          <w:fldChar w:fldCharType="separate"/>
        </w:r>
        <w:r w:rsidR="00FA38F6">
          <w:rPr>
            <w:noProof/>
            <w:webHidden/>
          </w:rPr>
          <w:t>139</w:t>
        </w:r>
        <w:r w:rsidR="00FA38F6">
          <w:rPr>
            <w:noProof/>
            <w:webHidden/>
          </w:rPr>
          <w:fldChar w:fldCharType="end"/>
        </w:r>
      </w:hyperlink>
    </w:p>
    <w:p w14:paraId="3A82821D" w14:textId="4A886FDB" w:rsidR="00FA38F6" w:rsidRDefault="00573A1D">
      <w:pPr>
        <w:pStyle w:val="TableofFigures"/>
        <w:tabs>
          <w:tab w:val="right" w:leader="dot" w:pos="9350"/>
        </w:tabs>
        <w:rPr>
          <w:rFonts w:eastAsiaTheme="minorEastAsia" w:cstheme="minorBidi"/>
          <w:noProof/>
          <w:sz w:val="22"/>
        </w:rPr>
      </w:pPr>
      <w:hyperlink w:anchor="_Toc83376849" w:history="1">
        <w:r w:rsidR="00FA38F6" w:rsidRPr="00B209CE">
          <w:rPr>
            <w:rStyle w:val="Hyperlink"/>
            <w:noProof/>
          </w:rPr>
          <w:t>Figure 2-4: Savings from Enhancing Energy Code Compliance</w:t>
        </w:r>
        <w:r w:rsidR="00FA38F6">
          <w:rPr>
            <w:noProof/>
            <w:webHidden/>
          </w:rPr>
          <w:tab/>
        </w:r>
        <w:r w:rsidR="00FA38F6">
          <w:rPr>
            <w:noProof/>
            <w:webHidden/>
          </w:rPr>
          <w:fldChar w:fldCharType="begin"/>
        </w:r>
        <w:r w:rsidR="00FA38F6">
          <w:rPr>
            <w:noProof/>
            <w:webHidden/>
          </w:rPr>
          <w:instrText xml:space="preserve"> PAGEREF _Toc83376849 \h </w:instrText>
        </w:r>
        <w:r w:rsidR="00FA38F6">
          <w:rPr>
            <w:noProof/>
            <w:webHidden/>
          </w:rPr>
        </w:r>
        <w:r w:rsidR="00FA38F6">
          <w:rPr>
            <w:noProof/>
            <w:webHidden/>
          </w:rPr>
          <w:fldChar w:fldCharType="separate"/>
        </w:r>
        <w:r w:rsidR="00FA38F6">
          <w:rPr>
            <w:noProof/>
            <w:webHidden/>
          </w:rPr>
          <w:t>141</w:t>
        </w:r>
        <w:r w:rsidR="00FA38F6">
          <w:rPr>
            <w:noProof/>
            <w:webHidden/>
          </w:rPr>
          <w:fldChar w:fldCharType="end"/>
        </w:r>
      </w:hyperlink>
    </w:p>
    <w:p w14:paraId="23F2155E" w14:textId="505AD3A1" w:rsidR="00C75517" w:rsidRPr="004D1D19" w:rsidRDefault="005B157F" w:rsidP="004D1D19">
      <w:pPr>
        <w:pStyle w:val="TableofFigures"/>
        <w:tabs>
          <w:tab w:val="right" w:leader="dot" w:pos="9350"/>
        </w:tabs>
        <w:rPr>
          <w:rFonts w:eastAsia="Franklin Gothic Book"/>
        </w:rPr>
      </w:pPr>
      <w:r>
        <w:rPr>
          <w:rFonts w:eastAsia="Franklin Gothic Book"/>
        </w:rPr>
        <w:fldChar w:fldCharType="end"/>
      </w:r>
    </w:p>
    <w:p w14:paraId="473EDE46" w14:textId="6DE276BD" w:rsidR="00482E90" w:rsidRDefault="00482E90" w:rsidP="00482E90">
      <w:pPr>
        <w:jc w:val="center"/>
        <w:rPr>
          <w:rFonts w:eastAsia="Franklin Gothic Book"/>
          <w:b/>
          <w:sz w:val="24"/>
        </w:rPr>
      </w:pPr>
      <w:r w:rsidRPr="00B7021C">
        <w:rPr>
          <w:rFonts w:eastAsia="Franklin Gothic Book"/>
          <w:b/>
          <w:sz w:val="24"/>
        </w:rPr>
        <w:t>Table of Tables</w:t>
      </w:r>
    </w:p>
    <w:p w14:paraId="7FE3B492" w14:textId="0E5DC938" w:rsidR="00585C18" w:rsidRPr="00204D7D" w:rsidRDefault="00585C18" w:rsidP="002E73F6">
      <w:pPr>
        <w:pStyle w:val="Text"/>
        <w:spacing w:after="120"/>
        <w:rPr>
          <w:rFonts w:asciiTheme="minorHAnsi" w:eastAsia="Franklin Gothic Book" w:hAnsiTheme="minorHAnsi" w:cstheme="minorHAnsi"/>
          <w:b/>
          <w:sz w:val="20"/>
        </w:rPr>
      </w:pPr>
      <w:r w:rsidRPr="00204D7D">
        <w:rPr>
          <w:rFonts w:asciiTheme="minorHAnsi" w:eastAsia="Franklin Gothic Book" w:hAnsiTheme="minorHAnsi" w:cstheme="minorHAnsi"/>
          <w:b/>
          <w:sz w:val="20"/>
        </w:rPr>
        <w:t>Attachment A</w:t>
      </w:r>
    </w:p>
    <w:p w14:paraId="2B818BBE" w14:textId="4CAFAC3B" w:rsidR="00FA38F6" w:rsidRDefault="005B157F">
      <w:pPr>
        <w:pStyle w:val="TableofFigures"/>
        <w:tabs>
          <w:tab w:val="right" w:leader="dot" w:pos="9350"/>
        </w:tabs>
        <w:rPr>
          <w:rFonts w:eastAsiaTheme="minorEastAsia" w:cstheme="minorBidi"/>
          <w:noProof/>
          <w:sz w:val="22"/>
        </w:rPr>
      </w:pPr>
      <w:r>
        <w:rPr>
          <w:rFonts w:eastAsia="Franklin Gothic Book"/>
          <w:b/>
          <w:sz w:val="24"/>
        </w:rPr>
        <w:fldChar w:fldCharType="begin"/>
      </w:r>
      <w:r>
        <w:rPr>
          <w:rFonts w:eastAsia="Franklin Gothic Book"/>
          <w:b/>
          <w:sz w:val="24"/>
        </w:rPr>
        <w:instrText xml:space="preserve"> TOC \h \z \t "Table Heading" \c </w:instrText>
      </w:r>
      <w:r>
        <w:rPr>
          <w:rFonts w:eastAsia="Franklin Gothic Book"/>
          <w:b/>
          <w:sz w:val="24"/>
        </w:rPr>
        <w:fldChar w:fldCharType="separate"/>
      </w:r>
      <w:hyperlink w:anchor="_Toc83376850" w:history="1">
        <w:r w:rsidR="00FA38F6" w:rsidRPr="007155CA">
          <w:rPr>
            <w:rStyle w:val="Hyperlink"/>
            <w:noProof/>
          </w:rPr>
          <w:t>Table 1</w:t>
        </w:r>
        <w:r w:rsidR="00FA38F6" w:rsidRPr="007155CA">
          <w:rPr>
            <w:rStyle w:val="Hyperlink"/>
            <w:noProof/>
          </w:rPr>
          <w:noBreakHyphen/>
          <w:t>1</w:t>
        </w:r>
        <w:r w:rsidR="00FA38F6" w:rsidRPr="007155CA">
          <w:rPr>
            <w:rStyle w:val="Hyperlink"/>
            <w:rFonts w:eastAsia="Franklin Gothic Book"/>
            <w:noProof/>
          </w:rPr>
          <w:t>. ICC Energy Efficiency Dockets</w:t>
        </w:r>
        <w:r w:rsidR="00FA38F6">
          <w:rPr>
            <w:noProof/>
            <w:webHidden/>
          </w:rPr>
          <w:tab/>
        </w:r>
        <w:r w:rsidR="00FA38F6">
          <w:rPr>
            <w:noProof/>
            <w:webHidden/>
          </w:rPr>
          <w:fldChar w:fldCharType="begin"/>
        </w:r>
        <w:r w:rsidR="00FA38F6">
          <w:rPr>
            <w:noProof/>
            <w:webHidden/>
          </w:rPr>
          <w:instrText xml:space="preserve"> PAGEREF _Toc83376850 \h </w:instrText>
        </w:r>
        <w:r w:rsidR="00FA38F6">
          <w:rPr>
            <w:noProof/>
            <w:webHidden/>
          </w:rPr>
        </w:r>
        <w:r w:rsidR="00FA38F6">
          <w:rPr>
            <w:noProof/>
            <w:webHidden/>
          </w:rPr>
          <w:fldChar w:fldCharType="separate"/>
        </w:r>
        <w:r w:rsidR="00FA38F6">
          <w:rPr>
            <w:noProof/>
            <w:webHidden/>
          </w:rPr>
          <w:t>31</w:t>
        </w:r>
        <w:r w:rsidR="00FA38F6">
          <w:rPr>
            <w:noProof/>
            <w:webHidden/>
          </w:rPr>
          <w:fldChar w:fldCharType="end"/>
        </w:r>
      </w:hyperlink>
    </w:p>
    <w:p w14:paraId="23DACFFE" w14:textId="58C6C554" w:rsidR="00FA38F6" w:rsidRDefault="00573A1D">
      <w:pPr>
        <w:pStyle w:val="TableofFigures"/>
        <w:tabs>
          <w:tab w:val="right" w:leader="dot" w:pos="9350"/>
        </w:tabs>
        <w:rPr>
          <w:rFonts w:eastAsiaTheme="minorEastAsia" w:cstheme="minorBidi"/>
          <w:noProof/>
          <w:sz w:val="22"/>
        </w:rPr>
      </w:pPr>
      <w:hyperlink w:anchor="_Toc83376851" w:history="1">
        <w:r w:rsidR="00FA38F6" w:rsidRPr="007155CA">
          <w:rPr>
            <w:rStyle w:val="Hyperlink"/>
            <w:noProof/>
          </w:rPr>
          <w:t>Table 2</w:t>
        </w:r>
        <w:r w:rsidR="00FA38F6" w:rsidRPr="007155CA">
          <w:rPr>
            <w:rStyle w:val="Hyperlink"/>
            <w:noProof/>
          </w:rPr>
          <w:noBreakHyphen/>
          <w:t xml:space="preserve">1. </w:t>
        </w:r>
        <w:r w:rsidR="00FA38F6" w:rsidRPr="007155CA">
          <w:rPr>
            <w:rStyle w:val="Hyperlink"/>
            <w:rFonts w:eastAsia="Franklin Gothic Book"/>
            <w:noProof/>
          </w:rPr>
          <w:t>Definitions</w:t>
        </w:r>
        <w:r w:rsidR="00FA38F6">
          <w:rPr>
            <w:noProof/>
            <w:webHidden/>
          </w:rPr>
          <w:tab/>
        </w:r>
        <w:r w:rsidR="00FA38F6">
          <w:rPr>
            <w:noProof/>
            <w:webHidden/>
          </w:rPr>
          <w:fldChar w:fldCharType="begin"/>
        </w:r>
        <w:r w:rsidR="00FA38F6">
          <w:rPr>
            <w:noProof/>
            <w:webHidden/>
          </w:rPr>
          <w:instrText xml:space="preserve"> PAGEREF _Toc83376851 \h </w:instrText>
        </w:r>
        <w:r w:rsidR="00FA38F6">
          <w:rPr>
            <w:noProof/>
            <w:webHidden/>
          </w:rPr>
        </w:r>
        <w:r w:rsidR="00FA38F6">
          <w:rPr>
            <w:noProof/>
            <w:webHidden/>
          </w:rPr>
          <w:fldChar w:fldCharType="separate"/>
        </w:r>
        <w:r w:rsidR="00FA38F6">
          <w:rPr>
            <w:noProof/>
            <w:webHidden/>
          </w:rPr>
          <w:t>35</w:t>
        </w:r>
        <w:r w:rsidR="00FA38F6">
          <w:rPr>
            <w:noProof/>
            <w:webHidden/>
          </w:rPr>
          <w:fldChar w:fldCharType="end"/>
        </w:r>
      </w:hyperlink>
    </w:p>
    <w:p w14:paraId="1C6A0031" w14:textId="7437D3A0" w:rsidR="00FA38F6" w:rsidRDefault="00573A1D">
      <w:pPr>
        <w:pStyle w:val="TableofFigures"/>
        <w:tabs>
          <w:tab w:val="right" w:leader="dot" w:pos="9350"/>
        </w:tabs>
        <w:rPr>
          <w:rFonts w:eastAsiaTheme="minorEastAsia" w:cstheme="minorBidi"/>
          <w:noProof/>
          <w:sz w:val="22"/>
        </w:rPr>
      </w:pPr>
      <w:hyperlink w:anchor="_Toc83376852" w:history="1">
        <w:r w:rsidR="00FA38F6" w:rsidRPr="007155CA">
          <w:rPr>
            <w:rStyle w:val="Hyperlink"/>
            <w:noProof/>
          </w:rPr>
          <w:t>Table 3</w:t>
        </w:r>
        <w:r w:rsidR="00FA38F6" w:rsidRPr="007155CA">
          <w:rPr>
            <w:rStyle w:val="Hyperlink"/>
            <w:noProof/>
          </w:rPr>
          <w:noBreakHyphen/>
          <w:t>1</w:t>
        </w:r>
        <w:r w:rsidR="00FA38F6" w:rsidRPr="007155CA">
          <w:rPr>
            <w:rStyle w:val="Hyperlink"/>
            <w:rFonts w:eastAsia="Franklin Gothic Book"/>
            <w:noProof/>
          </w:rPr>
          <w:t>. Commercial, Industrial, and Public Sector Programs</w:t>
        </w:r>
        <w:r w:rsidR="00FA38F6">
          <w:rPr>
            <w:noProof/>
            <w:webHidden/>
          </w:rPr>
          <w:tab/>
        </w:r>
        <w:r w:rsidR="00FA38F6">
          <w:rPr>
            <w:noProof/>
            <w:webHidden/>
          </w:rPr>
          <w:fldChar w:fldCharType="begin"/>
        </w:r>
        <w:r w:rsidR="00FA38F6">
          <w:rPr>
            <w:noProof/>
            <w:webHidden/>
          </w:rPr>
          <w:instrText xml:space="preserve"> PAGEREF _Toc83376852 \h </w:instrText>
        </w:r>
        <w:r w:rsidR="00FA38F6">
          <w:rPr>
            <w:noProof/>
            <w:webHidden/>
          </w:rPr>
        </w:r>
        <w:r w:rsidR="00FA38F6">
          <w:rPr>
            <w:noProof/>
            <w:webHidden/>
          </w:rPr>
          <w:fldChar w:fldCharType="separate"/>
        </w:r>
        <w:r w:rsidR="00FA38F6">
          <w:rPr>
            <w:noProof/>
            <w:webHidden/>
          </w:rPr>
          <w:t>40</w:t>
        </w:r>
        <w:r w:rsidR="00FA38F6">
          <w:rPr>
            <w:noProof/>
            <w:webHidden/>
          </w:rPr>
          <w:fldChar w:fldCharType="end"/>
        </w:r>
      </w:hyperlink>
    </w:p>
    <w:p w14:paraId="29962521" w14:textId="307C43A4" w:rsidR="00FA38F6" w:rsidRDefault="00573A1D">
      <w:pPr>
        <w:pStyle w:val="TableofFigures"/>
        <w:tabs>
          <w:tab w:val="right" w:leader="dot" w:pos="9350"/>
        </w:tabs>
        <w:rPr>
          <w:rFonts w:eastAsiaTheme="minorEastAsia" w:cstheme="minorBidi"/>
          <w:noProof/>
          <w:sz w:val="22"/>
        </w:rPr>
      </w:pPr>
      <w:hyperlink w:anchor="_Toc83376853" w:history="1">
        <w:r w:rsidR="00FA38F6" w:rsidRPr="007155CA">
          <w:rPr>
            <w:rStyle w:val="Hyperlink"/>
            <w:noProof/>
          </w:rPr>
          <w:t>Table 4</w:t>
        </w:r>
        <w:r w:rsidR="00FA38F6" w:rsidRPr="007155CA">
          <w:rPr>
            <w:rStyle w:val="Hyperlink"/>
            <w:noProof/>
          </w:rPr>
          <w:noBreakHyphen/>
          <w:t>1. Residential and Low Income Programs</w:t>
        </w:r>
        <w:r w:rsidR="00FA38F6">
          <w:rPr>
            <w:noProof/>
            <w:webHidden/>
          </w:rPr>
          <w:tab/>
        </w:r>
        <w:r w:rsidR="00FA38F6">
          <w:rPr>
            <w:noProof/>
            <w:webHidden/>
          </w:rPr>
          <w:fldChar w:fldCharType="begin"/>
        </w:r>
        <w:r w:rsidR="00FA38F6">
          <w:rPr>
            <w:noProof/>
            <w:webHidden/>
          </w:rPr>
          <w:instrText xml:space="preserve"> PAGEREF _Toc83376853 \h </w:instrText>
        </w:r>
        <w:r w:rsidR="00FA38F6">
          <w:rPr>
            <w:noProof/>
            <w:webHidden/>
          </w:rPr>
        </w:r>
        <w:r w:rsidR="00FA38F6">
          <w:rPr>
            <w:noProof/>
            <w:webHidden/>
          </w:rPr>
          <w:fldChar w:fldCharType="separate"/>
        </w:r>
        <w:r w:rsidR="00FA38F6">
          <w:rPr>
            <w:noProof/>
            <w:webHidden/>
          </w:rPr>
          <w:t>61</w:t>
        </w:r>
        <w:r w:rsidR="00FA38F6">
          <w:rPr>
            <w:noProof/>
            <w:webHidden/>
          </w:rPr>
          <w:fldChar w:fldCharType="end"/>
        </w:r>
      </w:hyperlink>
    </w:p>
    <w:p w14:paraId="001B27DA" w14:textId="33DE5558" w:rsidR="00FA38F6" w:rsidRDefault="00573A1D">
      <w:pPr>
        <w:pStyle w:val="TableofFigures"/>
        <w:tabs>
          <w:tab w:val="right" w:leader="dot" w:pos="9350"/>
        </w:tabs>
        <w:rPr>
          <w:rFonts w:eastAsiaTheme="minorEastAsia" w:cstheme="minorBidi"/>
          <w:noProof/>
          <w:sz w:val="22"/>
        </w:rPr>
      </w:pPr>
      <w:hyperlink w:anchor="_Toc83376854" w:history="1">
        <w:r w:rsidR="00FA38F6" w:rsidRPr="007155CA">
          <w:rPr>
            <w:rStyle w:val="Hyperlink"/>
            <w:noProof/>
          </w:rPr>
          <w:t>Table 4</w:t>
        </w:r>
        <w:r w:rsidR="00FA38F6" w:rsidRPr="007155CA">
          <w:rPr>
            <w:rStyle w:val="Hyperlink"/>
            <w:noProof/>
          </w:rPr>
          <w:noBreakHyphen/>
          <w:t>2. Estimation of Respondents’ NPSO Savings</w:t>
        </w:r>
        <w:r w:rsidR="00FA38F6">
          <w:rPr>
            <w:noProof/>
            <w:webHidden/>
          </w:rPr>
          <w:tab/>
        </w:r>
        <w:r w:rsidR="00FA38F6">
          <w:rPr>
            <w:noProof/>
            <w:webHidden/>
          </w:rPr>
          <w:fldChar w:fldCharType="begin"/>
        </w:r>
        <w:r w:rsidR="00FA38F6">
          <w:rPr>
            <w:noProof/>
            <w:webHidden/>
          </w:rPr>
          <w:instrText xml:space="preserve"> PAGEREF _Toc83376854 \h </w:instrText>
        </w:r>
        <w:r w:rsidR="00FA38F6">
          <w:rPr>
            <w:noProof/>
            <w:webHidden/>
          </w:rPr>
        </w:r>
        <w:r w:rsidR="00FA38F6">
          <w:rPr>
            <w:noProof/>
            <w:webHidden/>
          </w:rPr>
          <w:fldChar w:fldCharType="separate"/>
        </w:r>
        <w:r w:rsidR="00FA38F6">
          <w:rPr>
            <w:noProof/>
            <w:webHidden/>
          </w:rPr>
          <w:t>66</w:t>
        </w:r>
        <w:r w:rsidR="00FA38F6">
          <w:rPr>
            <w:noProof/>
            <w:webHidden/>
          </w:rPr>
          <w:fldChar w:fldCharType="end"/>
        </w:r>
      </w:hyperlink>
    </w:p>
    <w:p w14:paraId="2CD486E6" w14:textId="12D5D7FF" w:rsidR="00FA38F6" w:rsidRDefault="00573A1D">
      <w:pPr>
        <w:pStyle w:val="TableofFigures"/>
        <w:tabs>
          <w:tab w:val="right" w:leader="dot" w:pos="9350"/>
        </w:tabs>
        <w:rPr>
          <w:rFonts w:eastAsiaTheme="minorEastAsia" w:cstheme="minorBidi"/>
          <w:noProof/>
          <w:sz w:val="22"/>
        </w:rPr>
      </w:pPr>
      <w:hyperlink w:anchor="_Toc83376855" w:history="1">
        <w:r w:rsidR="00FA38F6" w:rsidRPr="007155CA">
          <w:rPr>
            <w:rStyle w:val="Hyperlink"/>
            <w:noProof/>
          </w:rPr>
          <w:t>Table 4</w:t>
        </w:r>
        <w:r w:rsidR="00FA38F6" w:rsidRPr="007155CA">
          <w:rPr>
            <w:rStyle w:val="Hyperlink"/>
            <w:noProof/>
          </w:rPr>
          <w:noBreakHyphen/>
          <w:t>3. Calculation of Total NPSO Generated</w:t>
        </w:r>
        <w:r w:rsidR="00FA38F6">
          <w:rPr>
            <w:noProof/>
            <w:webHidden/>
          </w:rPr>
          <w:tab/>
        </w:r>
        <w:r w:rsidR="00FA38F6">
          <w:rPr>
            <w:noProof/>
            <w:webHidden/>
          </w:rPr>
          <w:fldChar w:fldCharType="begin"/>
        </w:r>
        <w:r w:rsidR="00FA38F6">
          <w:rPr>
            <w:noProof/>
            <w:webHidden/>
          </w:rPr>
          <w:instrText xml:space="preserve"> PAGEREF _Toc83376855 \h </w:instrText>
        </w:r>
        <w:r w:rsidR="00FA38F6">
          <w:rPr>
            <w:noProof/>
            <w:webHidden/>
          </w:rPr>
        </w:r>
        <w:r w:rsidR="00FA38F6">
          <w:rPr>
            <w:noProof/>
            <w:webHidden/>
          </w:rPr>
          <w:fldChar w:fldCharType="separate"/>
        </w:r>
        <w:r w:rsidR="00FA38F6">
          <w:rPr>
            <w:noProof/>
            <w:webHidden/>
          </w:rPr>
          <w:t>67</w:t>
        </w:r>
        <w:r w:rsidR="00FA38F6">
          <w:rPr>
            <w:noProof/>
            <w:webHidden/>
          </w:rPr>
          <w:fldChar w:fldCharType="end"/>
        </w:r>
      </w:hyperlink>
    </w:p>
    <w:p w14:paraId="704801F1" w14:textId="37BC577A" w:rsidR="00FA38F6" w:rsidRDefault="00573A1D">
      <w:pPr>
        <w:pStyle w:val="TableofFigures"/>
        <w:tabs>
          <w:tab w:val="right" w:leader="dot" w:pos="9350"/>
        </w:tabs>
        <w:rPr>
          <w:rFonts w:eastAsiaTheme="minorEastAsia" w:cstheme="minorBidi"/>
          <w:noProof/>
          <w:sz w:val="22"/>
        </w:rPr>
      </w:pPr>
      <w:hyperlink w:anchor="_Toc83376856" w:history="1">
        <w:r w:rsidR="00FA38F6" w:rsidRPr="007155CA">
          <w:rPr>
            <w:rStyle w:val="Hyperlink"/>
            <w:noProof/>
          </w:rPr>
          <w:t>Table 4</w:t>
        </w:r>
        <w:r w:rsidR="00FA38F6" w:rsidRPr="007155CA">
          <w:rPr>
            <w:rStyle w:val="Hyperlink"/>
            <w:noProof/>
          </w:rPr>
          <w:noBreakHyphen/>
          <w:t>2</w:t>
        </w:r>
        <w:r w:rsidR="00FA38F6" w:rsidRPr="007155CA">
          <w:rPr>
            <w:rStyle w:val="Hyperlink"/>
            <w:rFonts w:eastAsia="Franklin Gothic Book"/>
            <w:noProof/>
          </w:rPr>
          <w:t>. Net Savings Example for a Sample Population*</w:t>
        </w:r>
        <w:r w:rsidR="00FA38F6">
          <w:rPr>
            <w:noProof/>
            <w:webHidden/>
          </w:rPr>
          <w:tab/>
        </w:r>
        <w:r w:rsidR="00FA38F6">
          <w:rPr>
            <w:noProof/>
            <w:webHidden/>
          </w:rPr>
          <w:fldChar w:fldCharType="begin"/>
        </w:r>
        <w:r w:rsidR="00FA38F6">
          <w:rPr>
            <w:noProof/>
            <w:webHidden/>
          </w:rPr>
          <w:instrText xml:space="preserve"> PAGEREF _Toc83376856 \h </w:instrText>
        </w:r>
        <w:r w:rsidR="00FA38F6">
          <w:rPr>
            <w:noProof/>
            <w:webHidden/>
          </w:rPr>
        </w:r>
        <w:r w:rsidR="00FA38F6">
          <w:rPr>
            <w:noProof/>
            <w:webHidden/>
          </w:rPr>
          <w:fldChar w:fldCharType="separate"/>
        </w:r>
        <w:r w:rsidR="00FA38F6">
          <w:rPr>
            <w:noProof/>
            <w:webHidden/>
          </w:rPr>
          <w:t>70</w:t>
        </w:r>
        <w:r w:rsidR="00FA38F6">
          <w:rPr>
            <w:noProof/>
            <w:webHidden/>
          </w:rPr>
          <w:fldChar w:fldCharType="end"/>
        </w:r>
      </w:hyperlink>
    </w:p>
    <w:p w14:paraId="157F615B" w14:textId="57778932" w:rsidR="00FA38F6" w:rsidRDefault="00573A1D">
      <w:pPr>
        <w:pStyle w:val="TableofFigures"/>
        <w:tabs>
          <w:tab w:val="right" w:leader="dot" w:pos="9350"/>
        </w:tabs>
        <w:rPr>
          <w:rFonts w:eastAsiaTheme="minorEastAsia" w:cstheme="minorBidi"/>
          <w:noProof/>
          <w:sz w:val="22"/>
        </w:rPr>
      </w:pPr>
      <w:hyperlink w:anchor="_Toc83376857" w:history="1">
        <w:r w:rsidR="00FA38F6" w:rsidRPr="007155CA">
          <w:rPr>
            <w:rStyle w:val="Hyperlink"/>
            <w:noProof/>
          </w:rPr>
          <w:t>Table 4</w:t>
        </w:r>
        <w:r w:rsidR="00FA38F6" w:rsidRPr="007155CA">
          <w:rPr>
            <w:rStyle w:val="Hyperlink"/>
            <w:noProof/>
          </w:rPr>
          <w:noBreakHyphen/>
          <w:t>8. IECC 2015 Building Energy Code</w:t>
        </w:r>
        <w:r w:rsidR="00FA38F6">
          <w:rPr>
            <w:noProof/>
            <w:webHidden/>
          </w:rPr>
          <w:tab/>
        </w:r>
        <w:r w:rsidR="00FA38F6">
          <w:rPr>
            <w:noProof/>
            <w:webHidden/>
          </w:rPr>
          <w:fldChar w:fldCharType="begin"/>
        </w:r>
        <w:r w:rsidR="00FA38F6">
          <w:rPr>
            <w:noProof/>
            <w:webHidden/>
          </w:rPr>
          <w:instrText xml:space="preserve"> PAGEREF _Toc83376857 \h </w:instrText>
        </w:r>
        <w:r w:rsidR="00FA38F6">
          <w:rPr>
            <w:noProof/>
            <w:webHidden/>
          </w:rPr>
        </w:r>
        <w:r w:rsidR="00FA38F6">
          <w:rPr>
            <w:noProof/>
            <w:webHidden/>
          </w:rPr>
          <w:fldChar w:fldCharType="separate"/>
        </w:r>
        <w:r w:rsidR="00FA38F6">
          <w:rPr>
            <w:noProof/>
            <w:webHidden/>
          </w:rPr>
          <w:t>91</w:t>
        </w:r>
        <w:r w:rsidR="00FA38F6">
          <w:rPr>
            <w:noProof/>
            <w:webHidden/>
          </w:rPr>
          <w:fldChar w:fldCharType="end"/>
        </w:r>
      </w:hyperlink>
    </w:p>
    <w:p w14:paraId="52C69BA0" w14:textId="79734BD3" w:rsidR="00FA38F6" w:rsidRDefault="00573A1D">
      <w:pPr>
        <w:pStyle w:val="TableofFigures"/>
        <w:tabs>
          <w:tab w:val="right" w:leader="dot" w:pos="9350"/>
        </w:tabs>
        <w:rPr>
          <w:rFonts w:eastAsiaTheme="minorEastAsia" w:cstheme="minorBidi"/>
          <w:noProof/>
          <w:sz w:val="22"/>
        </w:rPr>
      </w:pPr>
      <w:hyperlink w:anchor="_Toc83376858" w:history="1">
        <w:r w:rsidR="00FA38F6" w:rsidRPr="007155CA">
          <w:rPr>
            <w:rStyle w:val="Hyperlink"/>
            <w:noProof/>
          </w:rPr>
          <w:t>Table 5-1. Example Triangulation Weighting Approach</w:t>
        </w:r>
        <w:r w:rsidR="00FA38F6">
          <w:rPr>
            <w:noProof/>
            <w:webHidden/>
          </w:rPr>
          <w:tab/>
        </w:r>
        <w:r w:rsidR="00FA38F6">
          <w:rPr>
            <w:noProof/>
            <w:webHidden/>
          </w:rPr>
          <w:fldChar w:fldCharType="begin"/>
        </w:r>
        <w:r w:rsidR="00FA38F6">
          <w:rPr>
            <w:noProof/>
            <w:webHidden/>
          </w:rPr>
          <w:instrText xml:space="preserve"> PAGEREF _Toc83376858 \h </w:instrText>
        </w:r>
        <w:r w:rsidR="00FA38F6">
          <w:rPr>
            <w:noProof/>
            <w:webHidden/>
          </w:rPr>
        </w:r>
        <w:r w:rsidR="00FA38F6">
          <w:rPr>
            <w:noProof/>
            <w:webHidden/>
          </w:rPr>
          <w:fldChar w:fldCharType="separate"/>
        </w:r>
        <w:r w:rsidR="00FA38F6">
          <w:rPr>
            <w:noProof/>
            <w:webHidden/>
          </w:rPr>
          <w:t>94</w:t>
        </w:r>
        <w:r w:rsidR="00FA38F6">
          <w:rPr>
            <w:noProof/>
            <w:webHidden/>
          </w:rPr>
          <w:fldChar w:fldCharType="end"/>
        </w:r>
      </w:hyperlink>
    </w:p>
    <w:p w14:paraId="284D327A" w14:textId="7A6FC683" w:rsidR="00FA38F6" w:rsidRDefault="00573A1D">
      <w:pPr>
        <w:pStyle w:val="TableofFigures"/>
        <w:tabs>
          <w:tab w:val="right" w:leader="dot" w:pos="9350"/>
        </w:tabs>
        <w:rPr>
          <w:rFonts w:eastAsiaTheme="minorEastAsia" w:cstheme="minorBidi"/>
          <w:noProof/>
          <w:sz w:val="22"/>
        </w:rPr>
      </w:pPr>
      <w:hyperlink w:anchor="_Toc83376859" w:history="1">
        <w:r w:rsidR="00FA38F6" w:rsidRPr="007155CA">
          <w:rPr>
            <w:rStyle w:val="Hyperlink"/>
            <w:noProof/>
          </w:rPr>
          <w:t>Table 5-3. NTG Summary for Consumption Data Analysis</w:t>
        </w:r>
        <w:r w:rsidR="00FA38F6">
          <w:rPr>
            <w:noProof/>
            <w:webHidden/>
          </w:rPr>
          <w:tab/>
        </w:r>
        <w:r w:rsidR="00FA38F6">
          <w:rPr>
            <w:noProof/>
            <w:webHidden/>
          </w:rPr>
          <w:fldChar w:fldCharType="begin"/>
        </w:r>
        <w:r w:rsidR="00FA38F6">
          <w:rPr>
            <w:noProof/>
            <w:webHidden/>
          </w:rPr>
          <w:instrText xml:space="preserve"> PAGEREF _Toc83376859 \h </w:instrText>
        </w:r>
        <w:r w:rsidR="00FA38F6">
          <w:rPr>
            <w:noProof/>
            <w:webHidden/>
          </w:rPr>
        </w:r>
        <w:r w:rsidR="00FA38F6">
          <w:rPr>
            <w:noProof/>
            <w:webHidden/>
          </w:rPr>
          <w:fldChar w:fldCharType="separate"/>
        </w:r>
        <w:r w:rsidR="00FA38F6">
          <w:rPr>
            <w:noProof/>
            <w:webHidden/>
          </w:rPr>
          <w:t>99</w:t>
        </w:r>
        <w:r w:rsidR="00FA38F6">
          <w:rPr>
            <w:noProof/>
            <w:webHidden/>
          </w:rPr>
          <w:fldChar w:fldCharType="end"/>
        </w:r>
      </w:hyperlink>
    </w:p>
    <w:p w14:paraId="349634A2" w14:textId="3F232E05" w:rsidR="00FA38F6" w:rsidRDefault="00573A1D">
      <w:pPr>
        <w:pStyle w:val="TableofFigures"/>
        <w:tabs>
          <w:tab w:val="right" w:leader="dot" w:pos="9350"/>
        </w:tabs>
        <w:rPr>
          <w:rFonts w:eastAsiaTheme="minorEastAsia" w:cstheme="minorBidi"/>
          <w:noProof/>
          <w:sz w:val="22"/>
        </w:rPr>
      </w:pPr>
      <w:hyperlink w:anchor="_Toc83376860" w:history="1">
        <w:r w:rsidR="00FA38F6" w:rsidRPr="007155CA">
          <w:rPr>
            <w:rStyle w:val="Hyperlink"/>
            <w:noProof/>
          </w:rPr>
          <w:t>Table 1-1: Comparing Resource Acquisition Programs and Market Transformation Initiatives</w:t>
        </w:r>
        <w:r w:rsidR="00FA38F6">
          <w:rPr>
            <w:noProof/>
            <w:webHidden/>
          </w:rPr>
          <w:tab/>
        </w:r>
        <w:r w:rsidR="00FA38F6">
          <w:rPr>
            <w:noProof/>
            <w:webHidden/>
          </w:rPr>
          <w:fldChar w:fldCharType="begin"/>
        </w:r>
        <w:r w:rsidR="00FA38F6">
          <w:rPr>
            <w:noProof/>
            <w:webHidden/>
          </w:rPr>
          <w:instrText xml:space="preserve"> PAGEREF _Toc83376860 \h </w:instrText>
        </w:r>
        <w:r w:rsidR="00FA38F6">
          <w:rPr>
            <w:noProof/>
            <w:webHidden/>
          </w:rPr>
        </w:r>
        <w:r w:rsidR="00FA38F6">
          <w:rPr>
            <w:noProof/>
            <w:webHidden/>
          </w:rPr>
          <w:fldChar w:fldCharType="separate"/>
        </w:r>
        <w:r w:rsidR="00FA38F6">
          <w:rPr>
            <w:noProof/>
            <w:webHidden/>
          </w:rPr>
          <w:t>127</w:t>
        </w:r>
        <w:r w:rsidR="00FA38F6">
          <w:rPr>
            <w:noProof/>
            <w:webHidden/>
          </w:rPr>
          <w:fldChar w:fldCharType="end"/>
        </w:r>
      </w:hyperlink>
    </w:p>
    <w:p w14:paraId="2420BD99" w14:textId="65E9FB90" w:rsidR="00482E90" w:rsidRPr="00830CF8" w:rsidRDefault="005B157F" w:rsidP="000F1D82">
      <w:pPr>
        <w:jc w:val="center"/>
        <w:rPr>
          <w:rFonts w:eastAsia="Franklin Gothic Book"/>
        </w:rPr>
      </w:pPr>
      <w:r>
        <w:rPr>
          <w:rFonts w:eastAsia="Franklin Gothic Book"/>
          <w:b/>
          <w:sz w:val="24"/>
        </w:rPr>
        <w:fldChar w:fldCharType="end"/>
      </w:r>
    </w:p>
    <w:p w14:paraId="1E97913D" w14:textId="77777777" w:rsidR="0054071F" w:rsidRDefault="0054071F" w:rsidP="00482E90">
      <w:pPr>
        <w:keepNext/>
        <w:outlineLvl w:val="0"/>
        <w:rPr>
          <w:rFonts w:eastAsia="Franklin Gothic Book"/>
        </w:rPr>
      </w:pPr>
    </w:p>
    <w:p w14:paraId="37AB9D4A" w14:textId="77777777" w:rsidR="0054071F" w:rsidRPr="009B67BF" w:rsidRDefault="0054071F" w:rsidP="00482E90">
      <w:pPr>
        <w:keepNext/>
        <w:outlineLvl w:val="0"/>
        <w:rPr>
          <w:rFonts w:eastAsia="Franklin Gothic Book"/>
        </w:rPr>
        <w:sectPr w:rsidR="0054071F" w:rsidRPr="009B67BF" w:rsidSect="00C80BDF">
          <w:pgSz w:w="12240" w:h="15840"/>
          <w:pgMar w:top="1440" w:right="1440" w:bottom="1440" w:left="1440" w:header="720" w:footer="720" w:gutter="0"/>
          <w:cols w:space="720"/>
          <w:docGrid w:linePitch="360"/>
        </w:sectPr>
      </w:pPr>
    </w:p>
    <w:p w14:paraId="7C79A338" w14:textId="3FDDB3A3" w:rsidR="00BE2808" w:rsidRPr="000B7BB6" w:rsidRDefault="001F3733" w:rsidP="00BE2808">
      <w:pPr>
        <w:pStyle w:val="Heading1"/>
      </w:pPr>
      <w:bookmarkStart w:id="76" w:name="_Toc442804343"/>
      <w:bookmarkStart w:id="77" w:name="_Toc520462880"/>
      <w:bookmarkStart w:id="78" w:name="_Toc473108024"/>
      <w:bookmarkStart w:id="79" w:name="_Toc520824135"/>
      <w:bookmarkStart w:id="80" w:name="_Toc113619766"/>
      <w:r>
        <w:lastRenderedPageBreak/>
        <w:t>6</w:t>
      </w:r>
      <w:r w:rsidR="00BE2808" w:rsidRPr="00BE2808">
        <w:t xml:space="preserve"> </w:t>
      </w:r>
      <w:r w:rsidR="00BE2808">
        <w:tab/>
        <w:t>Cross</w:t>
      </w:r>
      <w:r w:rsidR="00BF7DB1">
        <w:t>-</w:t>
      </w:r>
      <w:r w:rsidR="00BE2808">
        <w:t>Cutting Measures</w:t>
      </w:r>
      <w:bookmarkEnd w:id="76"/>
      <w:bookmarkEnd w:id="77"/>
      <w:bookmarkEnd w:id="78"/>
      <w:bookmarkEnd w:id="79"/>
      <w:bookmarkEnd w:id="80"/>
    </w:p>
    <w:p w14:paraId="6177A6A2" w14:textId="6B896F3A" w:rsidR="00BE2808" w:rsidRPr="001F3733" w:rsidRDefault="00BE2808" w:rsidP="00594226">
      <w:pPr>
        <w:pStyle w:val="Heading2"/>
        <w:numPr>
          <w:ilvl w:val="1"/>
          <w:numId w:val="57"/>
        </w:numPr>
      </w:pPr>
      <w:bookmarkStart w:id="81" w:name="_Toc442804344"/>
      <w:bookmarkStart w:id="82" w:name="_Toc520462881"/>
      <w:bookmarkStart w:id="83" w:name="_Toc473108025"/>
      <w:bookmarkStart w:id="84" w:name="_Toc520824136"/>
      <w:bookmarkStart w:id="85" w:name="_Toc113619767"/>
      <w:r>
        <w:t>Behavior</w:t>
      </w:r>
      <w:bookmarkEnd w:id="81"/>
      <w:bookmarkEnd w:id="82"/>
      <w:bookmarkEnd w:id="83"/>
      <w:bookmarkEnd w:id="84"/>
      <w:bookmarkEnd w:id="85"/>
    </w:p>
    <w:p w14:paraId="0C4F0ECB" w14:textId="458CC046" w:rsidR="001702D1" w:rsidRPr="00DC29EA" w:rsidRDefault="001702D1" w:rsidP="0088039F">
      <w:pPr>
        <w:pStyle w:val="Heading3"/>
        <w:numPr>
          <w:ilvl w:val="0"/>
          <w:numId w:val="58"/>
        </w:numPr>
      </w:pPr>
      <w:bookmarkStart w:id="86" w:name="_Toc520462882"/>
      <w:bookmarkStart w:id="87" w:name="_Toc473108026"/>
      <w:bookmarkStart w:id="88" w:name="_Toc520824137"/>
      <w:bookmarkStart w:id="89" w:name="_Toc113619768"/>
      <w:r w:rsidRPr="00DC29EA">
        <w:t>Adjustments to Behavior Savings to Account for Persistence</w:t>
      </w:r>
      <w:bookmarkEnd w:id="86"/>
      <w:bookmarkEnd w:id="87"/>
      <w:bookmarkEnd w:id="88"/>
      <w:bookmarkEnd w:id="89"/>
    </w:p>
    <w:p w14:paraId="76B37D32" w14:textId="77777777" w:rsidR="00830CF8" w:rsidRPr="00152A43" w:rsidRDefault="00830CF8" w:rsidP="00830CF8">
      <w:pPr>
        <w:pStyle w:val="Heading6"/>
      </w:pPr>
      <w:r w:rsidRPr="00152A43">
        <w:t>Description</w:t>
      </w:r>
    </w:p>
    <w:p w14:paraId="5ED6E6EA" w14:textId="283372E7" w:rsidR="00830CF8" w:rsidRDefault="00830CF8" w:rsidP="00830CF8">
      <w:pPr>
        <w:rPr>
          <w:rFonts w:cstheme="minorHAnsi"/>
        </w:rPr>
      </w:pPr>
      <w:r>
        <w:rPr>
          <w:rFonts w:cstheme="minorHAnsi"/>
        </w:rPr>
        <w:t>Energy efficiency program administrators are increasingly including behavior programs as part of their portfolios. These programs are characterized by various kinds of outreach, education, and customer engagement designed to motivate increases in conservation and energy management behaviors, and most commonly include participant-specific energy usage information. Savings impacts are evaluated by ex-post billing analysis comparing consumption before and after (or with and without) program intervention, and require M&amp;V methods that include customer-specific energy usage regression analysis and randomized controlled trial (RCT) experimental designs, among others (see Behavioral protocol set forth in the IL-TRM Attachment A: Illinois Statewide Net-to-Gross Methodologies for more information). As such, initial calculation of savings is treated as a custom protocol</w:t>
      </w:r>
      <w:r w:rsidR="004339B0">
        <w:rPr>
          <w:rFonts w:cstheme="minorHAnsi"/>
        </w:rPr>
        <w:t>.</w:t>
      </w:r>
      <w:r>
        <w:rPr>
          <w:rStyle w:val="FootnoteReference"/>
          <w:rFonts w:eastAsiaTheme="majorEastAsia"/>
        </w:rPr>
        <w:footnoteReference w:id="2"/>
      </w:r>
      <w:r>
        <w:rPr>
          <w:rFonts w:cstheme="minorHAnsi"/>
        </w:rPr>
        <w:t xml:space="preserve"> </w:t>
      </w:r>
    </w:p>
    <w:p w14:paraId="756593AB" w14:textId="67F7F26F" w:rsidR="00830CF8" w:rsidRDefault="00830CF8" w:rsidP="00830CF8">
      <w:pPr>
        <w:widowControl/>
        <w:rPr>
          <w:rFonts w:cstheme="minorHAnsi"/>
          <w:szCs w:val="20"/>
        </w:rPr>
      </w:pPr>
      <w:r w:rsidRPr="00FC5CD9">
        <w:rPr>
          <w:rFonts w:cstheme="minorHAnsi"/>
          <w:szCs w:val="20"/>
        </w:rPr>
        <w:t>An important issue for many stakeholders is whether en</w:t>
      </w:r>
      <w:r>
        <w:rPr>
          <w:rFonts w:cstheme="minorHAnsi"/>
          <w:szCs w:val="20"/>
        </w:rPr>
        <w:t>ergy savings from behavior</w:t>
      </w:r>
      <w:r w:rsidRPr="00FC5CD9">
        <w:rPr>
          <w:rFonts w:cstheme="minorHAnsi"/>
          <w:szCs w:val="20"/>
        </w:rPr>
        <w:t xml:space="preserve"> programs continue over time (i.e., whether they persist beyond the initial program year). </w:t>
      </w:r>
      <w:r>
        <w:rPr>
          <w:rFonts w:cstheme="minorHAnsi"/>
          <w:szCs w:val="20"/>
        </w:rPr>
        <w:t xml:space="preserve">Behavior programs have now been delivered for a number of years in many jurisdictions. The weight of evaluation evidence indicates that the energy-saving behaviors influenced through </w:t>
      </w:r>
      <w:r w:rsidR="0055703E">
        <w:rPr>
          <w:rFonts w:cstheme="minorHAnsi"/>
          <w:szCs w:val="20"/>
        </w:rPr>
        <w:t xml:space="preserve">at least some types of </w:t>
      </w:r>
      <w:r>
        <w:rPr>
          <w:rFonts w:cstheme="minorHAnsi"/>
          <w:szCs w:val="20"/>
        </w:rPr>
        <w:t>these programs can persist beyond the initial period of program intervention, even without continued program participation</w:t>
      </w:r>
      <w:r w:rsidR="004339B0">
        <w:rPr>
          <w:rFonts w:cstheme="minorHAnsi"/>
          <w:szCs w:val="20"/>
        </w:rPr>
        <w:t>.</w:t>
      </w:r>
      <w:r>
        <w:rPr>
          <w:rStyle w:val="FootnoteReference"/>
          <w:rFonts w:eastAsiaTheme="majorEastAsia"/>
          <w:szCs w:val="20"/>
        </w:rPr>
        <w:footnoteReference w:id="3"/>
      </w:r>
      <w:r>
        <w:rPr>
          <w:rFonts w:cstheme="minorHAnsi"/>
          <w:szCs w:val="20"/>
        </w:rPr>
        <w:t xml:space="preserve"> This post-treatment savings persistence has implications for calculations of first-year savings, measure life, and cost-effectiveness testing. Accounting for persistence will yield savings and cost-effectiveness estimates that more accurately reflect the true benefits of these programs. Because</w:t>
      </w:r>
      <w:r w:rsidRPr="0056671B">
        <w:rPr>
          <w:rFonts w:cstheme="minorHAnsi"/>
          <w:szCs w:val="20"/>
        </w:rPr>
        <w:t xml:space="preserve"> annual goals </w:t>
      </w:r>
      <w:r>
        <w:rPr>
          <w:rFonts w:cstheme="minorHAnsi"/>
          <w:szCs w:val="20"/>
        </w:rPr>
        <w:t xml:space="preserve">are </w:t>
      </w:r>
      <w:r w:rsidRPr="0056671B">
        <w:rPr>
          <w:rFonts w:cstheme="minorHAnsi"/>
          <w:szCs w:val="20"/>
        </w:rPr>
        <w:t>based on first-</w:t>
      </w:r>
      <w:r>
        <w:rPr>
          <w:rFonts w:cstheme="minorHAnsi"/>
          <w:szCs w:val="20"/>
        </w:rPr>
        <w:t xml:space="preserve">year savings, programs should </w:t>
      </w:r>
      <w:r w:rsidR="00006B4D">
        <w:rPr>
          <w:rFonts w:cstheme="minorHAnsi"/>
          <w:szCs w:val="20"/>
        </w:rPr>
        <w:t xml:space="preserve">count, and </w:t>
      </w:r>
      <w:r w:rsidRPr="0056671B">
        <w:rPr>
          <w:rFonts w:cstheme="minorHAnsi"/>
          <w:szCs w:val="20"/>
        </w:rPr>
        <w:t>only count</w:t>
      </w:r>
      <w:r w:rsidR="00006B4D">
        <w:rPr>
          <w:rFonts w:cstheme="minorHAnsi"/>
          <w:szCs w:val="20"/>
        </w:rPr>
        <w:t>,</w:t>
      </w:r>
      <w:r w:rsidRPr="0056671B">
        <w:rPr>
          <w:rFonts w:cstheme="minorHAnsi"/>
          <w:szCs w:val="20"/>
        </w:rPr>
        <w:t xml:space="preserve"> savings attributable to first-year spending. </w:t>
      </w:r>
      <w:r>
        <w:rPr>
          <w:rFonts w:cstheme="minorHAnsi"/>
          <w:szCs w:val="20"/>
        </w:rPr>
        <w:t xml:space="preserve">The effect of persistence of savings </w:t>
      </w:r>
      <w:r w:rsidR="000B50F7">
        <w:rPr>
          <w:rFonts w:cstheme="minorHAnsi"/>
          <w:szCs w:val="20"/>
        </w:rPr>
        <w:t xml:space="preserve">from such spending </w:t>
      </w:r>
      <w:r>
        <w:rPr>
          <w:rFonts w:cstheme="minorHAnsi"/>
          <w:szCs w:val="20"/>
        </w:rPr>
        <w:t xml:space="preserve">beyond the first year should be included in any lifetime savings calculations (including cumulative persistent annual savings) and cost-effectiveness testing. </w:t>
      </w:r>
    </w:p>
    <w:p w14:paraId="54DF0034" w14:textId="6369F132" w:rsidR="00830CF8" w:rsidRDefault="00830CF8" w:rsidP="00830CF8">
      <w:pPr>
        <w:widowControl/>
        <w:rPr>
          <w:rFonts w:cstheme="minorHAnsi"/>
          <w:szCs w:val="20"/>
        </w:rPr>
      </w:pPr>
      <w:r>
        <w:rPr>
          <w:rFonts w:cstheme="minorHAnsi"/>
          <w:szCs w:val="20"/>
        </w:rPr>
        <w:t xml:space="preserve">The protocol below was developed to outline the adjustments that should be made to account for the persistence of savings beyond the year of program delivery. This </w:t>
      </w:r>
      <w:r w:rsidR="00C81C11">
        <w:rPr>
          <w:rFonts w:cstheme="minorHAnsi"/>
          <w:szCs w:val="20"/>
        </w:rPr>
        <w:t xml:space="preserve">general </w:t>
      </w:r>
      <w:r>
        <w:rPr>
          <w:rFonts w:cstheme="minorHAnsi"/>
          <w:szCs w:val="20"/>
        </w:rPr>
        <w:t>protocol is applicable to behavior programs of any type, delivered to residential or C&amp;I customers, that have evaluated evidence of program persistence</w:t>
      </w:r>
      <w:r w:rsidR="00E33277">
        <w:rPr>
          <w:rFonts w:cstheme="minorHAnsi"/>
          <w:szCs w:val="20"/>
        </w:rPr>
        <w:t>. H</w:t>
      </w:r>
      <w:r>
        <w:rPr>
          <w:rFonts w:cstheme="minorHAnsi"/>
          <w:szCs w:val="20"/>
        </w:rPr>
        <w:t xml:space="preserve">owever, the </w:t>
      </w:r>
      <w:r w:rsidR="00224488">
        <w:rPr>
          <w:rFonts w:cstheme="minorHAnsi"/>
          <w:szCs w:val="20"/>
        </w:rPr>
        <w:t xml:space="preserve">deemed </w:t>
      </w:r>
      <w:r>
        <w:rPr>
          <w:rFonts w:cstheme="minorHAnsi"/>
          <w:szCs w:val="20"/>
        </w:rPr>
        <w:t xml:space="preserve">persistence values </w:t>
      </w:r>
      <w:r w:rsidR="00A943CF">
        <w:rPr>
          <w:rFonts w:cstheme="minorHAnsi"/>
          <w:szCs w:val="20"/>
        </w:rPr>
        <w:t xml:space="preserve">and measure life </w:t>
      </w:r>
      <w:r>
        <w:rPr>
          <w:rFonts w:cstheme="minorHAnsi"/>
          <w:szCs w:val="20"/>
        </w:rPr>
        <w:t>in this version of the protocol are specific to residential home energy reports (HERs)-type programs</w:t>
      </w:r>
      <w:r w:rsidR="00E33277">
        <w:rPr>
          <w:rFonts w:cstheme="minorHAnsi"/>
          <w:szCs w:val="20"/>
        </w:rPr>
        <w:t xml:space="preserve"> only</w:t>
      </w:r>
      <w:r w:rsidR="004339B0">
        <w:rPr>
          <w:rFonts w:cstheme="minorHAnsi"/>
          <w:szCs w:val="20"/>
        </w:rPr>
        <w:t>.</w:t>
      </w:r>
      <w:r>
        <w:rPr>
          <w:rStyle w:val="FootnoteReference"/>
          <w:rFonts w:eastAsiaTheme="majorEastAsia"/>
          <w:szCs w:val="20"/>
        </w:rPr>
        <w:footnoteReference w:id="4"/>
      </w:r>
      <w:r>
        <w:rPr>
          <w:rFonts w:cstheme="minorHAnsi"/>
          <w:szCs w:val="20"/>
        </w:rPr>
        <w:t xml:space="preserve"> </w:t>
      </w:r>
      <w:r w:rsidR="00654D0F" w:rsidRPr="00654D0F">
        <w:rPr>
          <w:rFonts w:cstheme="minorHAnsi"/>
          <w:szCs w:val="20"/>
        </w:rPr>
        <w:t>Evaluations in Illinois and elsewhere have shown that at least some of the savings from residential HERs-type behavior programs can persist into the first several years following discontinuation of program delivery, though on-going savings levels decay over time.</w:t>
      </w:r>
      <w:r w:rsidR="00654D0F" w:rsidRPr="00654D0F">
        <w:rPr>
          <w:rFonts w:cstheme="minorHAnsi"/>
          <w:szCs w:val="20"/>
          <w:vertAlign w:val="superscript"/>
        </w:rPr>
        <w:footnoteReference w:id="5"/>
      </w:r>
      <w:r w:rsidR="00654D0F" w:rsidRPr="00654D0F">
        <w:rPr>
          <w:rFonts w:cstheme="minorHAnsi"/>
          <w:szCs w:val="20"/>
        </w:rPr>
        <w:t xml:space="preserve"> For residential RCT programs evaluated to date, savings have been shown to persist for at least two years and as much as eight years following program delivery,</w:t>
      </w:r>
      <w:r w:rsidR="00654D0F" w:rsidRPr="00654D0F">
        <w:rPr>
          <w:rFonts w:cstheme="minorHAnsi"/>
          <w:szCs w:val="20"/>
          <w:vertAlign w:val="superscript"/>
        </w:rPr>
        <w:footnoteReference w:id="6"/>
      </w:r>
      <w:r w:rsidR="00654D0F" w:rsidRPr="00654D0F">
        <w:rPr>
          <w:rFonts w:cstheme="minorHAnsi"/>
          <w:szCs w:val="20"/>
        </w:rPr>
        <w:t xml:space="preserve"> and industry expectations are that savings may persist beyond that.</w:t>
      </w:r>
      <w:r w:rsidR="00A30AC0">
        <w:rPr>
          <w:rFonts w:cstheme="minorHAnsi"/>
          <w:szCs w:val="20"/>
        </w:rPr>
        <w:t xml:space="preserve"> </w:t>
      </w:r>
      <w:r w:rsidR="00C81C11">
        <w:rPr>
          <w:rFonts w:cstheme="minorHAnsi"/>
          <w:szCs w:val="20"/>
        </w:rPr>
        <w:t>For any other program type</w:t>
      </w:r>
      <w:r w:rsidR="00DF78C8">
        <w:rPr>
          <w:rFonts w:cstheme="minorHAnsi"/>
          <w:szCs w:val="20"/>
        </w:rPr>
        <w:t xml:space="preserve">, </w:t>
      </w:r>
      <w:r w:rsidR="003652F4">
        <w:rPr>
          <w:rFonts w:cstheme="minorHAnsi"/>
          <w:szCs w:val="20"/>
        </w:rPr>
        <w:lastRenderedPageBreak/>
        <w:t>persistence factors and years of persistence</w:t>
      </w:r>
      <w:r w:rsidR="00AC4555">
        <w:rPr>
          <w:rFonts w:cstheme="minorHAnsi"/>
          <w:szCs w:val="20"/>
        </w:rPr>
        <w:t xml:space="preserve"> will only be deemed for application</w:t>
      </w:r>
      <w:r>
        <w:rPr>
          <w:rFonts w:cstheme="minorHAnsi"/>
          <w:szCs w:val="20"/>
        </w:rPr>
        <w:t xml:space="preserve"> once supportable assumptions for persistence exist as measured by multi-year, rigorous evaluation studies</w:t>
      </w:r>
      <w:r w:rsidR="00A43AC9">
        <w:rPr>
          <w:rFonts w:cstheme="minorHAnsi"/>
          <w:szCs w:val="20"/>
        </w:rPr>
        <w:t>.</w:t>
      </w:r>
      <w:r>
        <w:rPr>
          <w:rFonts w:cstheme="minorHAnsi"/>
          <w:szCs w:val="20"/>
        </w:rPr>
        <w:t xml:space="preserve"> </w:t>
      </w:r>
    </w:p>
    <w:p w14:paraId="629E17AA" w14:textId="77777777" w:rsidR="000702C6" w:rsidRDefault="000702C6" w:rsidP="000702C6">
      <w:pPr>
        <w:widowControl/>
        <w:rPr>
          <w:rFonts w:cstheme="minorHAnsi"/>
          <w:szCs w:val="20"/>
        </w:rPr>
      </w:pPr>
      <w:del w:id="90" w:author="Carly Olig" w:date="2022-03-21T13:51:00Z">
        <w:r w:rsidDel="00784E67">
          <w:rPr>
            <w:rFonts w:cstheme="minorHAnsi"/>
            <w:szCs w:val="20"/>
          </w:rPr>
          <w:delText>Currently, e</w:delText>
        </w:r>
      </w:del>
      <w:ins w:id="91" w:author="Carly Olig" w:date="2022-03-21T13:51:00Z">
        <w:r>
          <w:rPr>
            <w:rFonts w:cstheme="minorHAnsi"/>
            <w:szCs w:val="20"/>
          </w:rPr>
          <w:t>E</w:t>
        </w:r>
      </w:ins>
      <w:r>
        <w:rPr>
          <w:rFonts w:cstheme="minorHAnsi"/>
          <w:szCs w:val="20"/>
        </w:rPr>
        <w:t>valuations of residential HERs-type programs calculate a custom value on an annual basis to estimate yearly savings</w:t>
      </w:r>
      <w:ins w:id="92" w:author="Carly Olig" w:date="2022-03-21T13:51:00Z">
        <w:r>
          <w:rPr>
            <w:rFonts w:cstheme="minorHAnsi"/>
            <w:szCs w:val="20"/>
          </w:rPr>
          <w:t xml:space="preserve"> which is</w:t>
        </w:r>
      </w:ins>
      <w:del w:id="93" w:author="Carly Olig" w:date="2022-03-21T13:51:00Z">
        <w:r w:rsidDel="00784E67">
          <w:rPr>
            <w:rFonts w:cstheme="minorHAnsi"/>
            <w:szCs w:val="20"/>
          </w:rPr>
          <w:delText>,</w:delText>
        </w:r>
      </w:del>
      <w:r>
        <w:rPr>
          <w:rFonts w:cstheme="minorHAnsi"/>
          <w:szCs w:val="20"/>
        </w:rPr>
        <w:t xml:space="preserve"> the initial input value for application of this persistence protocol. Evaluators typically use a regression analysis to estimate program effects. These regression analyses provide what is called an average treatment effect </w:t>
      </w:r>
      <w:del w:id="94" w:author="Carly Olig" w:date="2022-03-21T13:52:00Z">
        <w:r w:rsidDel="00784E67">
          <w:rPr>
            <w:rFonts w:cstheme="minorHAnsi"/>
            <w:szCs w:val="20"/>
          </w:rPr>
          <w:delText xml:space="preserve">on the treated </w:delText>
        </w:r>
      </w:del>
      <w:r>
        <w:rPr>
          <w:rFonts w:cstheme="minorHAnsi"/>
          <w:szCs w:val="20"/>
        </w:rPr>
        <w:t>(AT</w:t>
      </w:r>
      <w:ins w:id="95" w:author="Carly Olig" w:date="2022-03-21T13:52:00Z">
        <w:r>
          <w:rPr>
            <w:rFonts w:cstheme="minorHAnsi"/>
            <w:szCs w:val="20"/>
          </w:rPr>
          <w:t>E</w:t>
        </w:r>
      </w:ins>
      <w:del w:id="96" w:author="Carly Olig" w:date="2022-03-21T13:52:00Z">
        <w:r w:rsidDel="00784E67">
          <w:rPr>
            <w:rFonts w:cstheme="minorHAnsi"/>
            <w:szCs w:val="20"/>
          </w:rPr>
          <w:delText>T</w:delText>
        </w:r>
      </w:del>
      <w:r>
        <w:rPr>
          <w:rFonts w:cstheme="minorHAnsi"/>
          <w:szCs w:val="20"/>
        </w:rPr>
        <w:t>) estimate of program savings. The AT</w:t>
      </w:r>
      <w:ins w:id="97" w:author="Carly Olig" w:date="2022-03-21T13:52:00Z">
        <w:r>
          <w:rPr>
            <w:rFonts w:cstheme="minorHAnsi"/>
            <w:szCs w:val="20"/>
          </w:rPr>
          <w:t>E</w:t>
        </w:r>
      </w:ins>
      <w:del w:id="98" w:author="Carly Olig" w:date="2022-03-21T13:52:00Z">
        <w:r w:rsidDel="00784E67">
          <w:rPr>
            <w:rFonts w:cstheme="minorHAnsi"/>
            <w:szCs w:val="20"/>
          </w:rPr>
          <w:delText>T</w:delText>
        </w:r>
      </w:del>
      <w:r>
        <w:rPr>
          <w:rFonts w:cstheme="minorHAnsi"/>
          <w:szCs w:val="20"/>
        </w:rPr>
        <w:t xml:space="preserve"> approach takes advantage of the presence of a randomly assigned control group for each cohort that received reports in the service territory. These regressions use various methods to account for household-specific usage patterns.</w:t>
      </w:r>
      <w:r>
        <w:rPr>
          <w:rStyle w:val="FootnoteReference"/>
          <w:rFonts w:eastAsiaTheme="majorEastAsia"/>
          <w:szCs w:val="20"/>
        </w:rPr>
        <w:footnoteReference w:id="7"/>
      </w:r>
      <w:r>
        <w:rPr>
          <w:rFonts w:cstheme="minorHAnsi"/>
          <w:szCs w:val="20"/>
        </w:rPr>
        <w:t xml:space="preserve"> Because of the experimental design, we can assume that the treatment and control groups experienced similar historical, political, economic, and other events that had comparable effects on their energy use. Moreover, because these groups experienced generally similar weather conditions, it is not necessary to measure or include weather in the RCT model specification to calculate initial annual savings related to the program.  </w:t>
      </w:r>
    </w:p>
    <w:p w14:paraId="65FEC35A" w14:textId="77777777" w:rsidR="000702C6" w:rsidRDefault="000702C6" w:rsidP="000702C6">
      <w:pPr>
        <w:widowControl/>
        <w:rPr>
          <w:rFonts w:cstheme="minorHAnsi"/>
          <w:szCs w:val="20"/>
        </w:rPr>
      </w:pPr>
      <w:r>
        <w:rPr>
          <w:rFonts w:cstheme="minorHAnsi"/>
          <w:szCs w:val="20"/>
        </w:rPr>
        <w:t>However, in the case of comparing and summing savings year over year, exogenous factors, such as weather, are likely to make annual estimates non-equivalent. In particular, weather is likely to play an important role in driving behavioral effects, affecting savings magnitude (e.g., a constant percentage change in consumption will result in more cooling savings during a hotter-than-average summer), as well as savings rate (e.g., the percentage change in consumption is likely to be higher during hotter-than-average summers. As such, for this framework, evaluators will adjust for effects related to weather as part of the custom inputs to this protocol. Each evaluator will choose the most appropriate method for weather normalization. For example, one method would be to provide savings using a model specification that incorporates standard weather year inputs (e.g., HDD and CDD), to be used as the initial input into the calculation of annual savings, as well as inputs for cost effectiveness, as outlined below. This input will approximate average savings for a standard weather year based upon historical data.</w:t>
      </w:r>
      <w:r>
        <w:rPr>
          <w:rFonts w:cstheme="minorHAnsi"/>
          <w:szCs w:val="20"/>
          <w:vertAlign w:val="superscript"/>
        </w:rPr>
        <w:footnoteReference w:id="8"/>
      </w:r>
      <w:r>
        <w:rPr>
          <w:rFonts w:cstheme="minorHAnsi"/>
          <w:szCs w:val="20"/>
        </w:rPr>
        <w:t xml:space="preserve"> Adjusting savings to a standard weather year is consistent with how other weather-sensitive TRM measures are specified, and will remove weather risk from performance goals and cost-effectiveness testing.</w:t>
      </w:r>
      <w:r>
        <w:rPr>
          <w:rStyle w:val="FootnoteReference"/>
          <w:rFonts w:eastAsiaTheme="majorEastAsia"/>
          <w:szCs w:val="20"/>
        </w:rPr>
        <w:footnoteReference w:id="9"/>
      </w:r>
    </w:p>
    <w:p w14:paraId="7999316D" w14:textId="77777777" w:rsidR="000702C6" w:rsidRDefault="000702C6" w:rsidP="000702C6">
      <w:pPr>
        <w:widowControl/>
        <w:rPr>
          <w:rFonts w:cstheme="minorHAnsi"/>
          <w:szCs w:val="20"/>
        </w:rPr>
      </w:pPr>
      <w:del w:id="99" w:author="Carly Olig" w:date="2022-03-21T13:55:00Z">
        <w:r w:rsidDel="00784E67">
          <w:rPr>
            <w:rFonts w:cstheme="minorHAnsi"/>
            <w:szCs w:val="20"/>
          </w:rPr>
          <w:delText xml:space="preserve">The current update to this protocol will become effective for residential HERs-type programs as of January 1, 2022. The update is provided in IL-TRM v9.0 to be used for program planning purposes for the 2022-2025 cycle. Evaluations of CY2021 should use IL-TRM v8.0. </w:delText>
        </w:r>
      </w:del>
      <w:del w:id="100" w:author="Carly Olig" w:date="2022-05-11T11:41:00Z">
        <w:r w:rsidDel="003847DC">
          <w:rPr>
            <w:rFonts w:cstheme="minorHAnsi"/>
            <w:szCs w:val="20"/>
          </w:rPr>
          <w:delText xml:space="preserve">Should </w:delText>
        </w:r>
      </w:del>
      <w:ins w:id="101" w:author="Carly Olig" w:date="2022-05-11T11:41:00Z">
        <w:r>
          <w:rPr>
            <w:rFonts w:cstheme="minorHAnsi"/>
            <w:szCs w:val="20"/>
          </w:rPr>
          <w:t xml:space="preserve">For </w:t>
        </w:r>
      </w:ins>
      <w:r>
        <w:rPr>
          <w:rFonts w:cstheme="minorHAnsi"/>
          <w:szCs w:val="20"/>
        </w:rPr>
        <w:t xml:space="preserve">any </w:t>
      </w:r>
      <w:del w:id="102" w:author="Carly Olig" w:date="2022-05-11T11:41:00Z">
        <w:r w:rsidDel="00E52C06">
          <w:rPr>
            <w:rFonts w:cstheme="minorHAnsi"/>
            <w:szCs w:val="20"/>
          </w:rPr>
          <w:delText xml:space="preserve">additional </w:delText>
        </w:r>
      </w:del>
      <w:r>
        <w:rPr>
          <w:rFonts w:cstheme="minorHAnsi"/>
          <w:szCs w:val="20"/>
        </w:rPr>
        <w:t>new programs (referred to as “waves” in the calculations below)</w:t>
      </w:r>
      <w:del w:id="103" w:author="Carly Olig" w:date="2022-05-11T11:41:00Z">
        <w:r w:rsidDel="003847DC">
          <w:rPr>
            <w:rFonts w:cstheme="minorHAnsi"/>
            <w:szCs w:val="20"/>
          </w:rPr>
          <w:delText xml:space="preserve"> be established in 2022 or in subsequent years</w:delText>
        </w:r>
      </w:del>
      <w:r>
        <w:rPr>
          <w:rFonts w:cstheme="minorHAnsi"/>
          <w:szCs w:val="20"/>
        </w:rPr>
        <w:t xml:space="preserve">, their first year will be assumed to be Year 1 for that wave – that is, each wave is tracked separately, and savings are calculated separately using the approach outlined here. The assumptions and protocols outlined below will not be applied retrospectively to any utility programs. Updates to persistence factors from future evaluations, once incorporated into the IL-TRM, will be used when available for calculation of annual savings values for applicable program years but will not be applied retrospectively to previous years’ </w:t>
      </w:r>
      <w:del w:id="104" w:author="Carly Olig" w:date="2022-05-11T11:42:00Z">
        <w:r w:rsidDel="00713797">
          <w:rPr>
            <w:rFonts w:cstheme="minorHAnsi"/>
            <w:szCs w:val="20"/>
          </w:rPr>
          <w:delText xml:space="preserve">first-year </w:delText>
        </w:r>
      </w:del>
      <w:r>
        <w:rPr>
          <w:rFonts w:cstheme="minorHAnsi"/>
          <w:szCs w:val="20"/>
        </w:rPr>
        <w:t xml:space="preserve">savings calculations. </w:t>
      </w:r>
      <w:ins w:id="105" w:author="Carly Olig" w:date="2022-03-21T13:55:00Z">
        <w:r>
          <w:rPr>
            <w:rFonts w:cstheme="minorHAnsi"/>
            <w:szCs w:val="20"/>
          </w:rPr>
          <w:t xml:space="preserve">This includes that </w:t>
        </w:r>
      </w:ins>
      <w:ins w:id="106" w:author="Carly Olig" w:date="2022-03-21T13:56:00Z">
        <w:r>
          <w:rPr>
            <w:rFonts w:cstheme="minorHAnsi"/>
            <w:szCs w:val="20"/>
          </w:rPr>
          <w:t>when persistence factors are changed</w:t>
        </w:r>
      </w:ins>
      <w:ins w:id="107" w:author="Carly Olig" w:date="2022-03-21T13:57:00Z">
        <w:r>
          <w:rPr>
            <w:rFonts w:cstheme="minorHAnsi"/>
            <w:szCs w:val="20"/>
          </w:rPr>
          <w:t>,</w:t>
        </w:r>
      </w:ins>
      <w:ins w:id="108" w:author="Carly Olig" w:date="2022-03-21T13:56:00Z">
        <w:r>
          <w:rPr>
            <w:rFonts w:cstheme="minorHAnsi"/>
            <w:szCs w:val="20"/>
          </w:rPr>
          <w:t xml:space="preserve"> the evaluation will utilize the persistence factors that were used to calculate claimed savings</w:t>
        </w:r>
      </w:ins>
      <w:ins w:id="109" w:author="Carly Olig" w:date="2022-03-21T13:57:00Z">
        <w:r>
          <w:rPr>
            <w:rFonts w:cstheme="minorHAnsi"/>
            <w:szCs w:val="20"/>
          </w:rPr>
          <w:t xml:space="preserve"> in previous years to subtract </w:t>
        </w:r>
      </w:ins>
      <w:ins w:id="110" w:author="Carly Olig" w:date="2022-03-21T13:58:00Z">
        <w:r>
          <w:rPr>
            <w:rFonts w:cstheme="minorHAnsi"/>
            <w:szCs w:val="20"/>
          </w:rPr>
          <w:t xml:space="preserve">persistence </w:t>
        </w:r>
      </w:ins>
      <w:ins w:id="111" w:author="Carly Olig" w:date="2022-03-21T13:57:00Z">
        <w:r>
          <w:rPr>
            <w:rFonts w:cstheme="minorHAnsi"/>
            <w:szCs w:val="20"/>
          </w:rPr>
          <w:t>savings from those years. For example, persistence factors changed between CY2021 and CY2022</w:t>
        </w:r>
      </w:ins>
      <w:ins w:id="112" w:author="Carly Olig" w:date="2022-03-21T13:58:00Z">
        <w:r>
          <w:rPr>
            <w:rFonts w:cstheme="minorHAnsi"/>
            <w:szCs w:val="20"/>
          </w:rPr>
          <w:t xml:space="preserve">; in CY2021 the earlier persistence factors (based on a </w:t>
        </w:r>
      </w:ins>
      <w:ins w:id="113" w:author="Carly Olig" w:date="2022-03-21T13:59:00Z">
        <w:r>
          <w:rPr>
            <w:rFonts w:cstheme="minorHAnsi"/>
            <w:szCs w:val="20"/>
          </w:rPr>
          <w:t>5-year measure life)</w:t>
        </w:r>
      </w:ins>
      <w:ins w:id="114" w:author="Carly Olig" w:date="2022-03-21T13:58:00Z">
        <w:r>
          <w:rPr>
            <w:rFonts w:cstheme="minorHAnsi"/>
            <w:szCs w:val="20"/>
          </w:rPr>
          <w:t xml:space="preserve"> were used to claim savings from CY2021-</w:t>
        </w:r>
      </w:ins>
      <w:ins w:id="115" w:author="Carly Olig" w:date="2022-03-21T13:59:00Z">
        <w:r>
          <w:rPr>
            <w:rFonts w:cstheme="minorHAnsi"/>
            <w:szCs w:val="20"/>
          </w:rPr>
          <w:t xml:space="preserve">CY2025, therefore in CY2022-CY2025 persisting savings from </w:t>
        </w:r>
      </w:ins>
      <w:ins w:id="116" w:author="Carly Olig" w:date="2022-03-21T14:00:00Z">
        <w:r>
          <w:rPr>
            <w:rFonts w:cstheme="minorHAnsi"/>
            <w:szCs w:val="20"/>
          </w:rPr>
          <w:t>CY2021 should be subtracted based on those same persistence factors. Savings for CY2022 and forward would use the new persistence factors.</w:t>
        </w:r>
      </w:ins>
      <w:ins w:id="117" w:author="Carly Olig" w:date="2022-03-21T13:56:00Z">
        <w:r>
          <w:rPr>
            <w:rFonts w:cstheme="minorHAnsi"/>
            <w:szCs w:val="20"/>
          </w:rPr>
          <w:t xml:space="preserve"> </w:t>
        </w:r>
      </w:ins>
      <w:ins w:id="118" w:author="Carly Olig" w:date="2022-03-21T14:00:00Z">
        <w:r>
          <w:rPr>
            <w:rFonts w:cstheme="minorHAnsi"/>
            <w:szCs w:val="20"/>
          </w:rPr>
          <w:t>This avoids a situation where savings that have never been claimed are be</w:t>
        </w:r>
      </w:ins>
      <w:ins w:id="119" w:author="Carly Olig" w:date="2022-03-21T14:01:00Z">
        <w:r>
          <w:rPr>
            <w:rFonts w:cstheme="minorHAnsi"/>
            <w:szCs w:val="20"/>
          </w:rPr>
          <w:t xml:space="preserve">ing subtracted as persisting </w:t>
        </w:r>
      </w:ins>
      <w:ins w:id="120" w:author="Carly Olig" w:date="2022-03-21T14:40:00Z">
        <w:r>
          <w:rPr>
            <w:rFonts w:cstheme="minorHAnsi"/>
            <w:szCs w:val="20"/>
          </w:rPr>
          <w:t>(for example, avoiding the situation where in CY2018 the utility only got to claim 15% of savings for CY2022, but now in CY2022 we are going to subtract</w:t>
        </w:r>
      </w:ins>
      <w:ins w:id="121" w:author="Carly Olig" w:date="2022-03-21T14:41:00Z">
        <w:r>
          <w:rPr>
            <w:rFonts w:cstheme="minorHAnsi"/>
            <w:szCs w:val="20"/>
          </w:rPr>
          <w:t xml:space="preserve"> 37% of savings as persistence from CY2018).</w:t>
        </w:r>
      </w:ins>
      <w:ins w:id="122" w:author="Carly Olig" w:date="2022-03-21T14:40:00Z">
        <w:r>
          <w:rPr>
            <w:rFonts w:cstheme="minorHAnsi"/>
            <w:szCs w:val="20"/>
          </w:rPr>
          <w:t xml:space="preserve"> </w:t>
        </w:r>
      </w:ins>
    </w:p>
    <w:p w14:paraId="050A2BB8" w14:textId="77777777" w:rsidR="000702C6" w:rsidRDefault="000702C6" w:rsidP="000702C6">
      <w:pPr>
        <w:widowControl/>
        <w:rPr>
          <w:rFonts w:cstheme="minorHAnsi"/>
          <w:szCs w:val="20"/>
        </w:rPr>
      </w:pPr>
      <w:r>
        <w:rPr>
          <w:rFonts w:cstheme="minorHAnsi"/>
          <w:szCs w:val="20"/>
        </w:rPr>
        <w:lastRenderedPageBreak/>
        <w:t xml:space="preserve">As noted above, all other types of behavior programs other than residential HERs-type programs </w:t>
      </w:r>
      <w:r>
        <w:rPr>
          <w:rFonts w:cstheme="minorHAnsi"/>
          <w:i/>
          <w:iCs/>
          <w:szCs w:val="20"/>
        </w:rPr>
        <w:t>may</w:t>
      </w:r>
      <w:r>
        <w:rPr>
          <w:rFonts w:cstheme="minorHAnsi"/>
          <w:szCs w:val="20"/>
        </w:rPr>
        <w:t xml:space="preserve"> use this adjustment protocol with appropriate persistence factors as follows. In the absence of supportable evidence for behavioral persistence for such other program types, persistence factors and measure life will not be deemed. Instead, program administrators may choose to propose and defend persistence factors and years of persistence to be used for such behavioral programs on a custom basis in concert with the independent evaluator and stakeholders,</w:t>
      </w:r>
      <w:r>
        <w:rPr>
          <w:rFonts w:cstheme="minorHAnsi"/>
          <w:szCs w:val="20"/>
          <w:vertAlign w:val="superscript"/>
        </w:rPr>
        <w:footnoteReference w:id="10"/>
      </w:r>
      <w:r>
        <w:rPr>
          <w:rFonts w:cstheme="minorHAnsi"/>
          <w:szCs w:val="20"/>
        </w:rPr>
        <w:t xml:space="preserve"> on the understanding that the evaluator should then plan to retrospectively assess persistence for these programs when feasible. However, these persistence factors will be subject to evaluation risk similar to any other custom evaluation parameter.</w:t>
      </w:r>
    </w:p>
    <w:p w14:paraId="723BF4E7" w14:textId="77777777" w:rsidR="000702C6" w:rsidRDefault="000702C6" w:rsidP="000702C6">
      <w:pPr>
        <w:pStyle w:val="Heading6"/>
      </w:pPr>
      <w:bookmarkStart w:id="123" w:name="_Toc442804347"/>
      <w:r>
        <w:t>Determination of Efficient Behavior</w:t>
      </w:r>
      <w:bookmarkEnd w:id="123"/>
    </w:p>
    <w:p w14:paraId="012F3191" w14:textId="77777777" w:rsidR="000702C6" w:rsidRDefault="000702C6" w:rsidP="000702C6">
      <w:pPr>
        <w:rPr>
          <w:rFonts w:cstheme="minorHAnsi"/>
        </w:rPr>
      </w:pPr>
      <w:r>
        <w:rPr>
          <w:rFonts w:cstheme="minorHAnsi"/>
        </w:rPr>
        <w:t xml:space="preserve">Behavior programs focus primarily on reducing electricity and natural gas consumption through behavioral changes; this reduction is generally measured through ex-post billing analysis after program intervention. Specific energy conservation and management behaviors are not usually directly observable. The specific definition of the efficient case is part of the design of behavioral programs and is included as part of the custom saving protocol, which will include any adjustment necessary to remove effects of program-related investments in efficient equipment. </w:t>
      </w:r>
    </w:p>
    <w:p w14:paraId="0A8D2DAB" w14:textId="77777777" w:rsidR="000702C6" w:rsidRDefault="000702C6" w:rsidP="000702C6">
      <w:pPr>
        <w:pStyle w:val="Heading6"/>
      </w:pPr>
      <w:bookmarkStart w:id="124" w:name="_Toc442804348"/>
      <w:r>
        <w:t>Determination of Baseline Behavior</w:t>
      </w:r>
      <w:bookmarkEnd w:id="124"/>
    </w:p>
    <w:p w14:paraId="651DB01E" w14:textId="77777777" w:rsidR="000702C6" w:rsidRDefault="000702C6" w:rsidP="000702C6">
      <w:r>
        <w:rPr>
          <w:rFonts w:cstheme="minorHAnsi"/>
        </w:rPr>
        <w:t>The ideal baseline for behavior programs is the energy usage without the program intervention. Various types of experimental, quasi-experimental, and/or regression-based EM&amp;V approaches are used to present statistically valid approximations to this without-program baseline.</w:t>
      </w:r>
      <w:r>
        <w:rPr>
          <w:rStyle w:val="FootnoteReference"/>
          <w:rFonts w:eastAsiaTheme="majorEastAsia"/>
        </w:rPr>
        <w:footnoteReference w:id="11"/>
      </w:r>
      <w:r>
        <w:rPr>
          <w:rFonts w:cstheme="minorHAnsi"/>
        </w:rPr>
        <w:t xml:space="preserve"> The specific definition of the baseline case is part of the design of behavioral programs and is included as part of the custom saving protocol.</w:t>
      </w:r>
    </w:p>
    <w:p w14:paraId="3EFA60AD" w14:textId="77777777" w:rsidR="000702C6" w:rsidRDefault="000702C6" w:rsidP="000702C6">
      <w:pPr>
        <w:pStyle w:val="Heading6"/>
      </w:pPr>
      <w:bookmarkStart w:id="125" w:name="_Toc442804349"/>
      <w:r>
        <w:t>Deemed Lifetime/Persistence of Savings</w:t>
      </w:r>
      <w:bookmarkEnd w:id="125"/>
    </w:p>
    <w:p w14:paraId="265BB30D" w14:textId="77777777" w:rsidR="000702C6" w:rsidRDefault="000702C6" w:rsidP="000702C6">
      <w:pPr>
        <w:rPr>
          <w:rFonts w:cstheme="minorHAnsi"/>
        </w:rPr>
      </w:pPr>
      <w:r>
        <w:rPr>
          <w:rFonts w:cstheme="minorHAnsi"/>
          <w:noProof/>
        </w:rPr>
        <w:t>We assume here that savings for residential HERs-type behavior programs persist at some level for nine years beyond the initial treatment year for electric programs, giving a 10-year measure life, and for six years beyond the intial treatment year for gas programs, giving a seven-year measure life.</w:t>
      </w:r>
      <w:r>
        <w:rPr>
          <w:rStyle w:val="FootnoteReference"/>
          <w:rFonts w:eastAsiaTheme="majorEastAsia"/>
          <w:noProof/>
        </w:rPr>
        <w:footnoteReference w:id="12"/>
      </w:r>
      <w:r>
        <w:rPr>
          <w:rFonts w:cstheme="minorHAnsi"/>
          <w:noProof/>
        </w:rPr>
        <w:t xml:space="preserve"> On-going persistent savings over those years are not equal, however; it is preferable that actual levels of ongoing savings should be calculated by future year as outlined below (see Application of Persistence for Prospective Calculations section below) to be used in cost-effectiveness and lifetime savings calculations.</w:t>
      </w:r>
      <w:r>
        <w:rPr>
          <w:rStyle w:val="FootnoteReference"/>
          <w:rFonts w:eastAsiaTheme="majorEastAsia"/>
          <w:noProof/>
        </w:rPr>
        <w:footnoteReference w:id="13"/>
      </w:r>
      <w:r>
        <w:rPr>
          <w:rFonts w:cstheme="minorHAnsi"/>
          <w:noProof/>
        </w:rPr>
        <w:t xml:space="preserve"> For other behavior program types without deemed measure lives and persistence factors, program administrators may choose to propose and defend years of persistence to be used on </w:t>
      </w:r>
      <w:r>
        <w:rPr>
          <w:rFonts w:cstheme="minorHAnsi"/>
          <w:szCs w:val="20"/>
        </w:rPr>
        <w:t>a custom basis in concert with the independent evaluator and stakeholders, on the understanding that the evaluator should then plan to retrospectively assess persistence for these programs when feasible. Alternatively, a deemed one-year measure life may be used if nothing defensible on measure life/persistence exists</w:t>
      </w:r>
      <w:r>
        <w:rPr>
          <w:rFonts w:cstheme="minorHAnsi"/>
          <w:noProof/>
        </w:rPr>
        <w:t>.</w:t>
      </w:r>
    </w:p>
    <w:p w14:paraId="26F0CA46" w14:textId="77777777" w:rsidR="000702C6" w:rsidRDefault="000702C6" w:rsidP="000702C6">
      <w:pPr>
        <w:pStyle w:val="Heading6"/>
      </w:pPr>
      <w:bookmarkStart w:id="126" w:name="_Toc442804350"/>
      <w:r>
        <w:t>Deemed Measure Cost</w:t>
      </w:r>
      <w:bookmarkEnd w:id="126"/>
      <w:r>
        <w:t xml:space="preserve"> </w:t>
      </w:r>
    </w:p>
    <w:p w14:paraId="39238CE0" w14:textId="77777777" w:rsidR="00A0508B" w:rsidRDefault="00A0508B" w:rsidP="00A0508B">
      <w:pPr>
        <w:rPr>
          <w:ins w:id="127" w:author="Rohith Mannam" w:date="2022-02-23T11:15:00Z"/>
          <w:rFonts w:cstheme="minorHAnsi"/>
        </w:rPr>
      </w:pPr>
      <w:bookmarkStart w:id="128" w:name="_Toc442804351"/>
      <w:r>
        <w:t xml:space="preserve">It is assumed that most behavior changes in residential settings can be accomplished with homeowner labor only and without investment in new equipment; therefore, without evidence to the contrary, measure costs </w:t>
      </w:r>
      <w:ins w:id="129" w:author="Rohith Mannam" w:date="2022-02-23T11:14:00Z">
        <w:r>
          <w:t xml:space="preserve">incurred by customers </w:t>
        </w:r>
      </w:ins>
      <w:r>
        <w:t>in such residential programs focused on motivating changes in customer behavior may be defined as $0.</w:t>
      </w:r>
      <w:r>
        <w:rPr>
          <w:rStyle w:val="FootnoteReference"/>
          <w:rFonts w:eastAsiaTheme="majorEastAsia"/>
        </w:rPr>
        <w:footnoteReference w:id="14"/>
      </w:r>
      <w:r>
        <w:t xml:space="preserve"> </w:t>
      </w:r>
      <w:r>
        <w:lastRenderedPageBreak/>
        <w:t xml:space="preserve">Costs for C&amp;I programs may include additional staffing, software purchases, etc. </w:t>
      </w:r>
      <w:r>
        <w:rPr>
          <w:rFonts w:cstheme="minorHAnsi"/>
        </w:rPr>
        <w:t>Cost for such programs is therefore program specific and is determined on a custom basis.</w:t>
      </w:r>
    </w:p>
    <w:p w14:paraId="23E0505B" w14:textId="77777777" w:rsidR="00A0508B" w:rsidDel="004A3286" w:rsidRDefault="00A0508B" w:rsidP="00A0508B">
      <w:pPr>
        <w:pStyle w:val="Heading6"/>
        <w:rPr>
          <w:del w:id="130" w:author="Rohith Mannam" w:date="2022-02-23T11:15:00Z"/>
          <w:szCs w:val="20"/>
        </w:rPr>
      </w:pPr>
      <w:ins w:id="131" w:author="Rohith Mannam" w:date="2022-02-23T11:15:00Z">
        <w:r>
          <w:rPr>
            <w:szCs w:val="20"/>
          </w:rPr>
          <w:t xml:space="preserve">Costs incurred by Program Implementation Contractors to provide customer-specific information leading to behavior changes are considered study-based services as defined in the Illinois Energy Efficiency Policy Manual. Therefore, </w:t>
        </w:r>
        <w:r w:rsidRPr="003D58A9">
          <w:rPr>
            <w:szCs w:val="20"/>
          </w:rPr>
          <w:t>the full cost of the</w:t>
        </w:r>
        <w:r>
          <w:rPr>
            <w:szCs w:val="20"/>
          </w:rPr>
          <w:t>se</w:t>
        </w:r>
        <w:r w:rsidRPr="003D58A9">
          <w:rPr>
            <w:szCs w:val="20"/>
          </w:rPr>
          <w:t xml:space="preserve"> study-based service</w:t>
        </w:r>
        <w:r>
          <w:rPr>
            <w:szCs w:val="20"/>
          </w:rPr>
          <w:t>s</w:t>
        </w:r>
        <w:r w:rsidRPr="003D58A9">
          <w:rPr>
            <w:szCs w:val="20"/>
          </w:rPr>
          <w:t xml:space="preserve"> charged by the Program Implementation Contractor is the </w:t>
        </w:r>
        <w:r>
          <w:rPr>
            <w:szCs w:val="20"/>
          </w:rPr>
          <w:t>measure cost</w:t>
        </w:r>
        <w:r w:rsidRPr="003D58A9">
          <w:rPr>
            <w:szCs w:val="20"/>
          </w:rPr>
          <w:t>, because this is assumed to be the cost of the study</w:t>
        </w:r>
        <w:r>
          <w:rPr>
            <w:szCs w:val="20"/>
          </w:rPr>
          <w:t>-</w:t>
        </w:r>
        <w:r w:rsidRPr="003D58A9">
          <w:rPr>
            <w:szCs w:val="20"/>
          </w:rPr>
          <w:t>based service that would have been incurred by the Customer if the Customer were to have the study-based service performed in the absence of the efficiency Program.</w:t>
        </w:r>
      </w:ins>
    </w:p>
    <w:p w14:paraId="6F778ADF" w14:textId="77777777" w:rsidR="00A0508B" w:rsidRPr="004A3286" w:rsidRDefault="00A0508B" w:rsidP="00A0508B">
      <w:pPr>
        <w:rPr>
          <w:ins w:id="132" w:author="Deirdre Collins" w:date="2022-06-16T16:26:00Z"/>
        </w:rPr>
      </w:pPr>
    </w:p>
    <w:p w14:paraId="7370AE7E" w14:textId="77777777" w:rsidR="000702C6" w:rsidRDefault="000702C6" w:rsidP="000702C6">
      <w:pPr>
        <w:pStyle w:val="Heading6"/>
      </w:pPr>
      <w:proofErr w:type="spellStart"/>
      <w:r>
        <w:t>Loadshape</w:t>
      </w:r>
      <w:proofErr w:type="spellEnd"/>
      <w:r>
        <w:t xml:space="preserve"> and Coincidence Factor</w:t>
      </w:r>
      <w:bookmarkEnd w:id="128"/>
    </w:p>
    <w:p w14:paraId="44E30458" w14:textId="77777777" w:rsidR="000702C6" w:rsidRDefault="000702C6" w:rsidP="000702C6">
      <w:r>
        <w:t xml:space="preserve">While there is evidence from analysis of AMI data that the savings </w:t>
      </w:r>
      <w:proofErr w:type="spellStart"/>
      <w:r>
        <w:t>loadshape</w:t>
      </w:r>
      <w:proofErr w:type="spellEnd"/>
      <w:r>
        <w:t xml:space="preserve"> for residential HERs-type programs mirrors the whole-house electric energy load pattern, there are not yet enough data to develop a behavior-specific </w:t>
      </w:r>
      <w:proofErr w:type="spellStart"/>
      <w:r>
        <w:t>loadshape</w:t>
      </w:r>
      <w:proofErr w:type="spellEnd"/>
      <w:r>
        <w:t>. Indications from several unpublished analyses</w:t>
      </w:r>
      <w:r>
        <w:rPr>
          <w:rStyle w:val="FootnoteReference"/>
          <w:rFonts w:eastAsiaTheme="majorEastAsia"/>
        </w:rPr>
        <w:footnoteReference w:id="15"/>
      </w:r>
      <w:r>
        <w:t xml:space="preserve"> show that these behavior savings occur in a general pattern most closely approximated by the Residential Electric Heating and Cooling </w:t>
      </w:r>
      <w:proofErr w:type="spellStart"/>
      <w:r>
        <w:t>Loadshape</w:t>
      </w:r>
      <w:proofErr w:type="spellEnd"/>
      <w:r>
        <w:t xml:space="preserve"> (R10) than any other current residential measure </w:t>
      </w:r>
      <w:proofErr w:type="spellStart"/>
      <w:r>
        <w:t>loadshape</w:t>
      </w:r>
      <w:proofErr w:type="spellEnd"/>
      <w:r>
        <w:t xml:space="preserve">; this is therefore recommended as the most reasonable approximation for use until more-specific data are available. </w:t>
      </w:r>
      <w:proofErr w:type="spellStart"/>
      <w:r>
        <w:t>Loadshapes</w:t>
      </w:r>
      <w:proofErr w:type="spellEnd"/>
      <w:r>
        <w:t xml:space="preserve"> and coincidence factors will need to be determined for other types of behavior programs once sufficient data are in hand.</w:t>
      </w:r>
    </w:p>
    <w:p w14:paraId="79ACA238" w14:textId="77777777" w:rsidR="00B67DBE" w:rsidRDefault="00B67DBE" w:rsidP="00B67DBE">
      <w:bookmarkStart w:id="133" w:name="_Toc442804352"/>
    </w:p>
    <w:p w14:paraId="6ED82CEF" w14:textId="325E932A" w:rsidR="00B67DBE" w:rsidRPr="00A05FC2" w:rsidRDefault="00B67DBE" w:rsidP="00B67DBE">
      <w:pPr>
        <w:pStyle w:val="AlgorithmHeading"/>
        <w:tabs>
          <w:tab w:val="left" w:pos="1070"/>
          <w:tab w:val="center" w:pos="4680"/>
        </w:tabs>
        <w:jc w:val="left"/>
      </w:pPr>
      <w:r>
        <w:tab/>
      </w:r>
      <w:r>
        <w:tab/>
      </w:r>
      <w:r w:rsidRPr="00A05FC2">
        <w:t>Algorithm</w:t>
      </w:r>
    </w:p>
    <w:p w14:paraId="22925840" w14:textId="77777777" w:rsidR="000702C6" w:rsidRDefault="000702C6" w:rsidP="000702C6">
      <w:pPr>
        <w:pStyle w:val="Heading6"/>
      </w:pPr>
      <w:r>
        <w:t>Calculation of Savings</w:t>
      </w:r>
      <w:bookmarkEnd w:id="133"/>
      <w:r>
        <w:t xml:space="preserve"> </w:t>
      </w:r>
    </w:p>
    <w:p w14:paraId="63505D66" w14:textId="77777777" w:rsidR="000702C6" w:rsidRDefault="000702C6" w:rsidP="000702C6">
      <w:r>
        <w:t>Throughout these protocols, Year T refers to the current reporting year for which annual savings are being determined (treatment year).</w:t>
      </w:r>
      <w:r>
        <w:rPr>
          <w:rStyle w:val="FootnoteReference"/>
          <w:rFonts w:eastAsiaTheme="majorEastAsia"/>
        </w:rPr>
        <w:footnoteReference w:id="16"/>
      </w:r>
    </w:p>
    <w:p w14:paraId="1D1BFD34" w14:textId="77777777" w:rsidR="000702C6" w:rsidRDefault="000702C6" w:rsidP="000702C6">
      <w:pPr>
        <w:pStyle w:val="Heading6"/>
      </w:pPr>
      <w:bookmarkStart w:id="134" w:name="_Toc442804353"/>
      <w:r>
        <w:t>Electric Energy Savings</w:t>
      </w:r>
      <w:bookmarkEnd w:id="134"/>
    </w:p>
    <w:p w14:paraId="55CD83FD" w14:textId="77777777" w:rsidR="000702C6" w:rsidRDefault="000702C6" w:rsidP="000702C6">
      <w:pPr>
        <w:rPr>
          <w:rFonts w:ascii="Calibri" w:hAnsi="Calibri"/>
          <w:szCs w:val="20"/>
        </w:rPr>
      </w:pPr>
      <w:r>
        <w:rPr>
          <w:rFonts w:ascii="Calibri" w:hAnsi="Calibri"/>
          <w:szCs w:val="20"/>
        </w:rPr>
        <w:t>The algorithm shown below for this measure was developed to calculate the annual persistence-adjusted electric savings in to be reported in year T after adjustment to account for the proportion of the measured savings for that program year that actually reflects any persistent savings from prior years’ program activities (Years T-1, T-2, T-3, etc.).</w:t>
      </w:r>
      <w:r>
        <w:rPr>
          <w:rStyle w:val="FootnoteReference"/>
          <w:rFonts w:eastAsiaTheme="majorEastAsia"/>
          <w:szCs w:val="20"/>
        </w:rPr>
        <w:footnoteReference w:id="17"/>
      </w:r>
      <w:r>
        <w:rPr>
          <w:rFonts w:ascii="Calibri" w:hAnsi="Calibri"/>
          <w:szCs w:val="20"/>
        </w:rPr>
        <w:t xml:space="preserve"> </w:t>
      </w:r>
    </w:p>
    <w:p w14:paraId="484D616B" w14:textId="77777777" w:rsidR="000702C6" w:rsidRDefault="000702C6" w:rsidP="000702C6">
      <w:pPr>
        <w:widowControl/>
        <w:spacing w:after="0"/>
        <w:ind w:firstLine="720"/>
        <w:rPr>
          <w:rFonts w:ascii="Calibri" w:hAnsi="Calibri"/>
          <w:sz w:val="22"/>
          <w:szCs w:val="20"/>
        </w:rPr>
      </w:pPr>
      <w:bookmarkStart w:id="135" w:name="_Hlk43295528"/>
      <w:r>
        <w:rPr>
          <w:rFonts w:ascii="Calibri" w:hAnsi="Calibri" w:cs="Calibri"/>
          <w:noProof/>
        </w:rPr>
        <w:t>ΔkWh</w:t>
      </w:r>
      <w:r>
        <w:rPr>
          <w:rFonts w:ascii="Calibri" w:hAnsi="Calibri"/>
          <w:szCs w:val="20"/>
          <w:vertAlign w:val="subscript"/>
        </w:rPr>
        <w:t>T Adjusted</w:t>
      </w:r>
      <w:r>
        <w:rPr>
          <w:rFonts w:ascii="Calibri" w:hAnsi="Calibri"/>
          <w:szCs w:val="20"/>
        </w:rPr>
        <w:t xml:space="preserve"> = </w:t>
      </w:r>
      <w:proofErr w:type="spellStart"/>
      <w:r>
        <w:rPr>
          <w:rFonts w:ascii="Calibri" w:hAnsi="Calibri" w:cs="Calibri"/>
          <w:noProof/>
        </w:rPr>
        <w:t>ΔkWh</w:t>
      </w:r>
      <w:r>
        <w:rPr>
          <w:rFonts w:ascii="Calibri" w:hAnsi="Calibri"/>
          <w:szCs w:val="20"/>
          <w:vertAlign w:val="subscript"/>
        </w:rPr>
        <w:t>T</w:t>
      </w:r>
      <w:proofErr w:type="spellEnd"/>
      <w:r>
        <w:rPr>
          <w:rFonts w:ascii="Calibri" w:hAnsi="Calibri"/>
          <w:szCs w:val="20"/>
          <w:vertAlign w:val="subscript"/>
        </w:rPr>
        <w:t xml:space="preserve"> Measured</w:t>
      </w:r>
      <w:r>
        <w:rPr>
          <w:rFonts w:ascii="Calibri" w:hAnsi="Calibri"/>
          <w:szCs w:val="20"/>
        </w:rPr>
        <w:t xml:space="preserve"> –</w:t>
      </w:r>
      <w:r>
        <w:rPr>
          <w:rFonts w:ascii="Calibri" w:hAnsi="Calibri"/>
          <w:sz w:val="22"/>
          <w:szCs w:val="20"/>
        </w:rPr>
        <w:t xml:space="preserve"> </w:t>
      </w:r>
      <m:oMath>
        <m:nary>
          <m:naryPr>
            <m:chr m:val="∑"/>
            <m:limLoc m:val="subSup"/>
            <m:grow m:val="1"/>
            <m:ctrlPr>
              <w:rPr>
                <w:rFonts w:ascii="Cambria Math" w:hAnsi="Cambria Math"/>
                <w:i/>
              </w:rPr>
            </m:ctrlPr>
          </m:naryPr>
          <m:sub>
            <m:r>
              <w:rPr>
                <w:rFonts w:ascii="Cambria Math" w:hAnsi="Cambria Math"/>
                <w:szCs w:val="20"/>
              </w:rPr>
              <m:t>i=1</m:t>
            </m:r>
          </m:sub>
          <m:sup>
            <m:r>
              <w:rPr>
                <w:rFonts w:ascii="Cambria Math" w:hAnsi="Cambria Math"/>
                <w:szCs w:val="20"/>
              </w:rPr>
              <m:t>n</m:t>
            </m:r>
          </m:sup>
          <m:e>
            <m:r>
              <w:rPr>
                <w:rFonts w:ascii="Cambria Math" w:hAnsi="Cambria Math"/>
                <w:szCs w:val="20"/>
              </w:rPr>
              <m:t xml:space="preserve"> </m:t>
            </m:r>
          </m:e>
        </m:nary>
      </m:oMath>
      <w:r>
        <w:rPr>
          <w:rFonts w:ascii="Calibri" w:hAnsi="Calibri"/>
          <w:szCs w:val="20"/>
        </w:rPr>
        <w:t>(</w:t>
      </w:r>
      <w:r>
        <w:rPr>
          <w:rFonts w:ascii="Calibri" w:hAnsi="Calibri" w:cs="Calibri"/>
          <w:noProof/>
        </w:rPr>
        <w:t>ΔkWh</w:t>
      </w:r>
      <w:r>
        <w:rPr>
          <w:rFonts w:ascii="Calibri" w:hAnsi="Calibri"/>
          <w:szCs w:val="20"/>
          <w:vertAlign w:val="subscript"/>
        </w:rPr>
        <w:t>T-</w:t>
      </w:r>
      <w:proofErr w:type="spellStart"/>
      <w:r>
        <w:rPr>
          <w:rFonts w:ascii="Calibri" w:hAnsi="Calibri"/>
          <w:i/>
          <w:szCs w:val="20"/>
          <w:vertAlign w:val="subscript"/>
        </w:rPr>
        <w:t>i</w:t>
      </w:r>
      <w:proofErr w:type="spellEnd"/>
      <w:r>
        <w:rPr>
          <w:rFonts w:ascii="Calibri" w:hAnsi="Calibri"/>
          <w:szCs w:val="20"/>
          <w:vertAlign w:val="subscript"/>
        </w:rPr>
        <w:t xml:space="preserve"> Adjusted</w:t>
      </w:r>
      <w:r>
        <w:rPr>
          <w:rFonts w:ascii="Calibri" w:hAnsi="Calibri"/>
          <w:szCs w:val="20"/>
        </w:rPr>
        <w:t xml:space="preserve"> * </w:t>
      </w:r>
      <w:proofErr w:type="spellStart"/>
      <w:r>
        <w:rPr>
          <w:rFonts w:ascii="Calibri" w:hAnsi="Calibri"/>
          <w:szCs w:val="20"/>
        </w:rPr>
        <w:t>RR</w:t>
      </w:r>
      <w:ins w:id="136" w:author="Carly Olig" w:date="2022-05-04T15:13:00Z">
        <w:r>
          <w:rPr>
            <w:rFonts w:ascii="Calibri" w:hAnsi="Calibri"/>
            <w:szCs w:val="20"/>
            <w:vertAlign w:val="superscript"/>
          </w:rPr>
          <w:t>i</w:t>
        </w:r>
      </w:ins>
      <w:proofErr w:type="spellEnd"/>
      <w:ins w:id="137" w:author="Carly Olig" w:date="2022-05-04T15:10:00Z">
        <w:r>
          <w:rPr>
            <w:rFonts w:ascii="Calibri" w:hAnsi="Calibri"/>
            <w:szCs w:val="20"/>
          </w:rPr>
          <w:t xml:space="preserve"> </w:t>
        </w:r>
      </w:ins>
      <w:del w:id="138" w:author="Carly Olig" w:date="2022-05-04T13:59:00Z">
        <w:r w:rsidDel="002475BB">
          <w:rPr>
            <w:rFonts w:ascii="Calibri" w:hAnsi="Calibri"/>
            <w:szCs w:val="20"/>
            <w:vertAlign w:val="subscript"/>
          </w:rPr>
          <w:delText>T-</w:delText>
        </w:r>
        <w:r w:rsidDel="002475BB">
          <w:rPr>
            <w:rFonts w:ascii="Calibri" w:hAnsi="Calibri"/>
            <w:i/>
            <w:szCs w:val="20"/>
            <w:vertAlign w:val="subscript"/>
          </w:rPr>
          <w:delText>i</w:delText>
        </w:r>
        <w:r w:rsidDel="002475BB">
          <w:rPr>
            <w:rFonts w:ascii="Calibri" w:hAnsi="Calibri"/>
            <w:szCs w:val="20"/>
            <w:vertAlign w:val="subscript"/>
          </w:rPr>
          <w:delText>,T</w:delText>
        </w:r>
      </w:del>
      <w:r>
        <w:rPr>
          <w:rFonts w:ascii="Calibri" w:hAnsi="Calibri"/>
          <w:szCs w:val="20"/>
        </w:rPr>
        <w:t xml:space="preserve"> * </w:t>
      </w:r>
      <w:proofErr w:type="spellStart"/>
      <w:r>
        <w:rPr>
          <w:rFonts w:ascii="Calibri" w:hAnsi="Calibri"/>
          <w:szCs w:val="20"/>
        </w:rPr>
        <w:t>PFE</w:t>
      </w:r>
      <w:r>
        <w:rPr>
          <w:rFonts w:ascii="Calibri" w:hAnsi="Calibri"/>
          <w:i/>
          <w:szCs w:val="20"/>
          <w:vertAlign w:val="subscript"/>
        </w:rPr>
        <w:t>i</w:t>
      </w:r>
      <w:proofErr w:type="spellEnd"/>
      <w:r>
        <w:rPr>
          <w:rFonts w:ascii="Calibri" w:hAnsi="Calibri"/>
          <w:szCs w:val="20"/>
        </w:rPr>
        <w:t>)</w:t>
      </w:r>
    </w:p>
    <w:bookmarkEnd w:id="135"/>
    <w:p w14:paraId="5B9F1DE9" w14:textId="77777777" w:rsidR="000702C6" w:rsidRDefault="000702C6" w:rsidP="000702C6"/>
    <w:p w14:paraId="024B5DE6" w14:textId="77777777" w:rsidR="000702C6" w:rsidRDefault="000702C6" w:rsidP="000702C6">
      <w:pPr>
        <w:ind w:left="1440" w:hanging="720"/>
        <w:rPr>
          <w:rFonts w:cstheme="minorHAnsi"/>
          <w:noProof/>
        </w:rPr>
      </w:pPr>
      <w:r>
        <w:rPr>
          <w:rFonts w:cstheme="minorHAnsi"/>
          <w:noProof/>
        </w:rPr>
        <w:t>Where:</w:t>
      </w:r>
    </w:p>
    <w:p w14:paraId="205DE366" w14:textId="77777777" w:rsidR="000702C6" w:rsidRDefault="000702C6" w:rsidP="000702C6">
      <w:pPr>
        <w:ind w:left="1440"/>
        <w:rPr>
          <w:rFonts w:cstheme="minorHAnsi"/>
          <w:szCs w:val="20"/>
        </w:rPr>
      </w:pPr>
      <w:r>
        <w:rPr>
          <w:rFonts w:cstheme="minorHAnsi"/>
          <w:noProof/>
        </w:rPr>
        <w:t>ΔkWh</w:t>
      </w:r>
      <w:r>
        <w:rPr>
          <w:rFonts w:cstheme="minorHAnsi"/>
          <w:noProof/>
          <w:vertAlign w:val="subscript"/>
        </w:rPr>
        <w:t xml:space="preserve">x </w:t>
      </w:r>
      <w:r>
        <w:rPr>
          <w:rFonts w:cstheme="minorHAnsi"/>
          <w:szCs w:val="20"/>
          <w:vertAlign w:val="subscript"/>
        </w:rPr>
        <w:t>Adjusted</w:t>
      </w:r>
      <w:r>
        <w:rPr>
          <w:rFonts w:cstheme="minorHAnsi"/>
          <w:szCs w:val="20"/>
        </w:rPr>
        <w:t xml:space="preserve"> </w:t>
      </w:r>
      <w:r>
        <w:rPr>
          <w:rFonts w:cstheme="minorHAnsi"/>
          <w:szCs w:val="20"/>
        </w:rPr>
        <w:tab/>
        <w:t xml:space="preserve">= total program annual savings for year X after adjustments to account for </w:t>
      </w:r>
      <w:r>
        <w:rPr>
          <w:rFonts w:cstheme="minorHAnsi"/>
          <w:szCs w:val="20"/>
        </w:rPr>
        <w:lastRenderedPageBreak/>
        <w:t>persistence (calculated value)</w:t>
      </w:r>
    </w:p>
    <w:p w14:paraId="4CE9854A" w14:textId="77777777" w:rsidR="000702C6" w:rsidRDefault="000702C6" w:rsidP="000702C6">
      <w:pPr>
        <w:ind w:left="1440"/>
        <w:rPr>
          <w:rFonts w:cstheme="minorHAnsi"/>
          <w:szCs w:val="20"/>
        </w:rPr>
      </w:pPr>
      <w:r>
        <w:rPr>
          <w:rFonts w:cstheme="minorHAnsi"/>
          <w:noProof/>
        </w:rPr>
        <w:t>ΔkWh</w:t>
      </w:r>
      <w:r>
        <w:rPr>
          <w:rFonts w:cstheme="minorHAnsi"/>
          <w:noProof/>
          <w:vertAlign w:val="subscript"/>
        </w:rPr>
        <w:t xml:space="preserve">x </w:t>
      </w:r>
      <w:r>
        <w:rPr>
          <w:rFonts w:cstheme="minorHAnsi"/>
          <w:szCs w:val="20"/>
          <w:vertAlign w:val="subscript"/>
        </w:rPr>
        <w:t>Measured</w:t>
      </w:r>
      <w:r>
        <w:rPr>
          <w:rFonts w:cstheme="minorHAnsi"/>
          <w:szCs w:val="20"/>
        </w:rPr>
        <w:t xml:space="preserve"> </w:t>
      </w:r>
      <w:r>
        <w:rPr>
          <w:rFonts w:cstheme="minorHAnsi"/>
          <w:szCs w:val="20"/>
        </w:rPr>
        <w:tab/>
        <w:t>= measured kWh savings: total program savings as determined from custom calculation/billing analysis of participants in program during year X (input value)</w:t>
      </w:r>
      <w:r>
        <w:rPr>
          <w:rStyle w:val="FootnoteReference"/>
          <w:rFonts w:eastAsiaTheme="majorEastAsia"/>
          <w:szCs w:val="20"/>
        </w:rPr>
        <w:footnoteReference w:id="18"/>
      </w:r>
      <w:r>
        <w:rPr>
          <w:rFonts w:cstheme="minorHAnsi"/>
          <w:szCs w:val="20"/>
        </w:rPr>
        <w:t xml:space="preserve"> </w:t>
      </w:r>
    </w:p>
    <w:p w14:paraId="35AB526F" w14:textId="77777777" w:rsidR="000702C6" w:rsidRDefault="000702C6" w:rsidP="000702C6">
      <w:pPr>
        <w:tabs>
          <w:tab w:val="left" w:pos="2160"/>
        </w:tabs>
        <w:ind w:left="1440"/>
        <w:rPr>
          <w:rFonts w:cstheme="minorHAnsi"/>
          <w:szCs w:val="20"/>
        </w:rPr>
      </w:pPr>
      <w:bookmarkStart w:id="139" w:name="_Hlk43295677"/>
      <w:r>
        <w:rPr>
          <w:rFonts w:cstheme="minorHAnsi"/>
          <w:szCs w:val="20"/>
        </w:rPr>
        <w:t>RR</w:t>
      </w:r>
      <w:del w:id="140" w:author="Carly Olig" w:date="2022-05-04T13:59:00Z">
        <w:r w:rsidDel="002475BB">
          <w:rPr>
            <w:rFonts w:cstheme="minorHAnsi"/>
            <w:szCs w:val="20"/>
            <w:vertAlign w:val="subscript"/>
          </w:rPr>
          <w:delText>Y,X</w:delText>
        </w:r>
      </w:del>
      <w:r>
        <w:rPr>
          <w:rFonts w:cstheme="minorHAnsi"/>
          <w:szCs w:val="20"/>
        </w:rPr>
        <w:tab/>
        <w:t xml:space="preserve"> = </w:t>
      </w:r>
      <w:ins w:id="141" w:author="Carly Olig" w:date="2022-05-04T13:59:00Z">
        <w:r>
          <w:rPr>
            <w:rFonts w:ascii="Calibri" w:hAnsi="Calibri" w:cs="Calibri"/>
            <w:noProof/>
          </w:rPr>
          <w:t xml:space="preserve">a </w:t>
        </w:r>
      </w:ins>
      <w:ins w:id="142" w:author="Carly Olig" w:date="2022-05-04T14:00:00Z">
        <w:r>
          <w:rPr>
            <w:rFonts w:ascii="Calibri" w:hAnsi="Calibri" w:cs="Calibri"/>
            <w:noProof/>
          </w:rPr>
          <w:t>wave</w:t>
        </w:r>
      </w:ins>
      <w:ins w:id="143" w:author="Carly Olig" w:date="2022-05-04T13:59:00Z">
        <w:r>
          <w:rPr>
            <w:rFonts w:ascii="Calibri" w:hAnsi="Calibri" w:cs="Calibri"/>
            <w:noProof/>
          </w:rPr>
          <w:t xml:space="preserve">-specific </w:t>
        </w:r>
      </w:ins>
      <w:ins w:id="144" w:author="Carly Olig" w:date="2022-05-04T15:17:00Z">
        <w:r>
          <w:rPr>
            <w:rFonts w:ascii="Calibri" w:hAnsi="Calibri" w:cs="Calibri"/>
            <w:noProof/>
          </w:rPr>
          <w:t>expected</w:t>
        </w:r>
      </w:ins>
      <w:ins w:id="145" w:author="Carly Olig" w:date="2022-05-04T13:59:00Z">
        <w:r>
          <w:rPr>
            <w:rFonts w:ascii="Calibri" w:hAnsi="Calibri" w:cs="Calibri"/>
            <w:noProof/>
          </w:rPr>
          <w:t xml:space="preserve"> retention rate for the program</w:t>
        </w:r>
        <w:r>
          <w:rPr>
            <w:rStyle w:val="FootnoteReference"/>
            <w:rFonts w:eastAsiaTheme="majorEastAsia"/>
            <w:noProof/>
          </w:rPr>
          <w:footnoteReference w:id="19"/>
        </w:r>
        <w:r>
          <w:rPr>
            <w:rFonts w:ascii="Calibri" w:hAnsi="Calibri" w:cs="Calibri"/>
            <w:noProof/>
            <w:vertAlign w:val="superscript"/>
          </w:rPr>
          <w:t>,</w:t>
        </w:r>
      </w:ins>
      <w:del w:id="156" w:author="Carly Olig" w:date="2022-05-04T14:00:00Z">
        <w:r w:rsidDel="0019273C">
          <w:rPr>
            <w:rFonts w:cstheme="minorHAnsi"/>
            <w:szCs w:val="20"/>
          </w:rPr>
          <w:delText>Program retention rate in year X from year Y participation</w:delText>
        </w:r>
      </w:del>
      <w:r>
        <w:rPr>
          <w:rStyle w:val="FootnoteReference"/>
          <w:rFonts w:eastAsiaTheme="majorEastAsia"/>
          <w:szCs w:val="20"/>
        </w:rPr>
        <w:footnoteReference w:id="20"/>
      </w:r>
      <w:del w:id="157" w:author="Carly Olig" w:date="2022-05-04T14:03:00Z">
        <w:r w:rsidDel="00A80D6A">
          <w:rPr>
            <w:rFonts w:cstheme="minorHAnsi"/>
            <w:szCs w:val="20"/>
          </w:rPr>
          <w:delText>= % of program participants in year Y that are still in program in year X (input value: calculated as # participants still in program in year X / # participants in year Y))</w:delText>
        </w:r>
      </w:del>
      <w:bookmarkEnd w:id="139"/>
    </w:p>
    <w:p w14:paraId="08862B0B" w14:textId="77777777" w:rsidR="000702C6" w:rsidRDefault="000702C6" w:rsidP="000702C6">
      <w:pPr>
        <w:ind w:left="1440"/>
        <w:rPr>
          <w:rFonts w:cstheme="minorHAnsi"/>
          <w:szCs w:val="20"/>
        </w:rPr>
      </w:pPr>
      <w:r>
        <w:rPr>
          <w:rFonts w:cstheme="minorHAnsi"/>
          <w:szCs w:val="20"/>
        </w:rPr>
        <w:t>PFE</w:t>
      </w:r>
      <w:r>
        <w:rPr>
          <w:rFonts w:cstheme="minorHAnsi"/>
          <w:szCs w:val="20"/>
          <w:vertAlign w:val="subscript"/>
        </w:rPr>
        <w:t>Z</w:t>
      </w:r>
      <w:r>
        <w:rPr>
          <w:rFonts w:cstheme="minorHAnsi"/>
          <w:szCs w:val="20"/>
        </w:rPr>
        <w:tab/>
        <w:t xml:space="preserve"> = Persistence factor, electric programs (deemed value)</w:t>
      </w:r>
    </w:p>
    <w:p w14:paraId="1E2DF9BF" w14:textId="77777777" w:rsidR="000702C6" w:rsidRDefault="000702C6" w:rsidP="000702C6">
      <w:pPr>
        <w:ind w:left="2250"/>
        <w:rPr>
          <w:rFonts w:cstheme="minorHAnsi"/>
          <w:szCs w:val="20"/>
        </w:rPr>
      </w:pPr>
      <w:r>
        <w:rPr>
          <w:rFonts w:cstheme="minorHAnsi"/>
          <w:szCs w:val="20"/>
        </w:rPr>
        <w:t>= % savings that persist Z years after savings were initially measured</w:t>
      </w:r>
    </w:p>
    <w:p w14:paraId="64D2E96E" w14:textId="77777777" w:rsidR="000702C6" w:rsidRDefault="000702C6" w:rsidP="000702C6">
      <w:pPr>
        <w:ind w:left="1440" w:firstLine="720"/>
        <w:jc w:val="left"/>
        <w:rPr>
          <w:rFonts w:cstheme="minorHAnsi"/>
          <w:szCs w:val="20"/>
        </w:rPr>
      </w:pPr>
      <w:r>
        <w:rPr>
          <w:rFonts w:cstheme="minorHAnsi"/>
          <w:szCs w:val="20"/>
        </w:rPr>
        <w:t xml:space="preserve"> = use table below to select the appropriate value</w:t>
      </w:r>
    </w:p>
    <w:p w14:paraId="0A520106" w14:textId="77777777" w:rsidR="000702C6" w:rsidRDefault="000702C6" w:rsidP="000702C6">
      <w:pPr>
        <w:ind w:left="2250" w:hanging="810"/>
        <w:jc w:val="left"/>
        <w:rPr>
          <w:rFonts w:cstheme="minorHAnsi"/>
          <w:szCs w:val="20"/>
        </w:rPr>
      </w:pPr>
      <w:r>
        <w:rPr>
          <w:rFonts w:cstheme="minorHAnsi"/>
          <w:i/>
          <w:iCs/>
          <w:szCs w:val="20"/>
        </w:rPr>
        <w:t>n</w:t>
      </w:r>
      <w:r>
        <w:rPr>
          <w:rFonts w:cstheme="minorHAnsi"/>
          <w:szCs w:val="20"/>
        </w:rPr>
        <w:tab/>
        <w:t xml:space="preserve">= number of additional years </w:t>
      </w:r>
      <w:r>
        <w:rPr>
          <w:rFonts w:cstheme="minorHAnsi"/>
          <w:szCs w:val="20"/>
          <w:u w:val="single"/>
        </w:rPr>
        <w:t>beyond</w:t>
      </w:r>
      <w:r>
        <w:rPr>
          <w:rFonts w:cstheme="minorHAnsi"/>
          <w:szCs w:val="20"/>
        </w:rPr>
        <w:t xml:space="preserve"> first year of program delivery for which savings persist</w:t>
      </w:r>
    </w:p>
    <w:p w14:paraId="06FDF16A" w14:textId="77777777" w:rsidR="000702C6" w:rsidRDefault="000702C6" w:rsidP="000702C6">
      <w:pPr>
        <w:jc w:val="left"/>
        <w:rPr>
          <w:rFonts w:cstheme="minorHAnsi"/>
          <w:szCs w:val="20"/>
        </w:rPr>
      </w:pPr>
      <w:r>
        <w:rPr>
          <w:rFonts w:cstheme="minorHAnsi"/>
          <w:szCs w:val="20"/>
        </w:rPr>
        <w:tab/>
      </w:r>
      <w:r>
        <w:rPr>
          <w:rFonts w:cstheme="minorHAnsi"/>
          <w:szCs w:val="20"/>
        </w:rPr>
        <w:tab/>
      </w:r>
      <w:r>
        <w:rPr>
          <w:rFonts w:cstheme="minorHAnsi"/>
          <w:szCs w:val="20"/>
        </w:rPr>
        <w:tab/>
        <w:t>= Illinois electric programs assumption = 9</w:t>
      </w:r>
    </w:p>
    <w:p w14:paraId="572325C1" w14:textId="77777777" w:rsidR="000702C6" w:rsidRDefault="000702C6" w:rsidP="000702C6">
      <w:pPr>
        <w:ind w:left="187"/>
        <w:jc w:val="left"/>
        <w:rPr>
          <w:rFonts w:cstheme="minorHAnsi"/>
          <w:b/>
          <w:szCs w:val="20"/>
        </w:rPr>
      </w:pPr>
      <w:r>
        <w:rPr>
          <w:rFonts w:cstheme="minorHAnsi"/>
          <w:b/>
          <w:szCs w:val="20"/>
        </w:rPr>
        <w:t>Electric Persistence Factors</w:t>
      </w:r>
      <w:r>
        <w:rPr>
          <w:rStyle w:val="FootnoteReference"/>
          <w:rFonts w:eastAsiaTheme="majorEastAsia"/>
          <w:b/>
          <w:szCs w:val="20"/>
        </w:rPr>
        <w:footnoteReference w:id="21"/>
      </w:r>
    </w:p>
    <w:tbl>
      <w:tblPr>
        <w:tblW w:w="6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0"/>
        <w:gridCol w:w="2020"/>
      </w:tblGrid>
      <w:tr w:rsidR="000702C6" w14:paraId="27705EB1" w14:textId="77777777" w:rsidTr="00114B6E">
        <w:trPr>
          <w:trHeight w:val="315"/>
          <w:tblHeader/>
          <w:jc w:val="center"/>
        </w:trPr>
        <w:tc>
          <w:tcPr>
            <w:tcW w:w="6100" w:type="dxa"/>
            <w:gridSpan w:val="2"/>
            <w:tcBorders>
              <w:top w:val="single" w:sz="4" w:space="0" w:color="auto"/>
              <w:left w:val="single" w:sz="4" w:space="0" w:color="auto"/>
              <w:bottom w:val="single" w:sz="4" w:space="0" w:color="auto"/>
              <w:right w:val="single" w:sz="4" w:space="0" w:color="auto"/>
            </w:tcBorders>
            <w:shd w:val="clear" w:color="auto" w:fill="7F7F7F"/>
            <w:vAlign w:val="center"/>
            <w:hideMark/>
          </w:tcPr>
          <w:p w14:paraId="7A6C4A6E" w14:textId="77777777" w:rsidR="000702C6" w:rsidRDefault="000702C6" w:rsidP="00114B6E">
            <w:pPr>
              <w:widowControl/>
              <w:spacing w:after="0" w:line="256" w:lineRule="auto"/>
              <w:jc w:val="center"/>
              <w:rPr>
                <w:rFonts w:ascii="Calibri" w:hAnsi="Calibri" w:cs="Calibri"/>
                <w:b/>
                <w:bCs/>
                <w:color w:val="FFFFFF"/>
                <w:szCs w:val="20"/>
              </w:rPr>
            </w:pPr>
            <w:r>
              <w:rPr>
                <w:rFonts w:ascii="Calibri" w:hAnsi="Calibri" w:cs="Calibri"/>
                <w:b/>
                <w:bCs/>
                <w:color w:val="FFFFFF"/>
                <w:szCs w:val="20"/>
              </w:rPr>
              <w:t>Program Type = Electric Residential HERs-type (RCT)</w:t>
            </w:r>
          </w:p>
        </w:tc>
      </w:tr>
      <w:tr w:rsidR="000702C6" w14:paraId="6D30E79E" w14:textId="77777777" w:rsidTr="00114B6E">
        <w:trPr>
          <w:trHeight w:val="315"/>
          <w:tblHeader/>
          <w:jc w:val="center"/>
        </w:trPr>
        <w:tc>
          <w:tcPr>
            <w:tcW w:w="4080" w:type="dxa"/>
            <w:tcBorders>
              <w:top w:val="single" w:sz="4" w:space="0" w:color="auto"/>
              <w:left w:val="single" w:sz="4" w:space="0" w:color="auto"/>
              <w:bottom w:val="single" w:sz="4" w:space="0" w:color="auto"/>
              <w:right w:val="single" w:sz="4" w:space="0" w:color="auto"/>
            </w:tcBorders>
            <w:shd w:val="clear" w:color="auto" w:fill="808080"/>
            <w:vAlign w:val="center"/>
            <w:hideMark/>
          </w:tcPr>
          <w:p w14:paraId="1CED622D" w14:textId="77777777" w:rsidR="000702C6" w:rsidRDefault="000702C6" w:rsidP="00114B6E">
            <w:pPr>
              <w:widowControl/>
              <w:spacing w:after="0" w:line="256" w:lineRule="auto"/>
              <w:jc w:val="center"/>
              <w:rPr>
                <w:rFonts w:ascii="Calibri" w:hAnsi="Calibri" w:cs="Calibri"/>
                <w:b/>
                <w:bCs/>
                <w:color w:val="FFFFFF"/>
                <w:szCs w:val="20"/>
              </w:rPr>
            </w:pPr>
            <w:r>
              <w:rPr>
                <w:rFonts w:ascii="Calibri" w:hAnsi="Calibri" w:cs="Calibri"/>
                <w:b/>
                <w:bCs/>
                <w:color w:val="FFFFFF"/>
                <w:szCs w:val="20"/>
              </w:rPr>
              <w:t>Application Year</w:t>
            </w:r>
          </w:p>
        </w:tc>
        <w:tc>
          <w:tcPr>
            <w:tcW w:w="2020" w:type="dxa"/>
            <w:tcBorders>
              <w:top w:val="single" w:sz="4" w:space="0" w:color="auto"/>
              <w:left w:val="single" w:sz="4" w:space="0" w:color="auto"/>
              <w:bottom w:val="single" w:sz="4" w:space="0" w:color="auto"/>
              <w:right w:val="single" w:sz="4" w:space="0" w:color="auto"/>
            </w:tcBorders>
            <w:shd w:val="clear" w:color="auto" w:fill="808080"/>
            <w:vAlign w:val="center"/>
            <w:hideMark/>
          </w:tcPr>
          <w:p w14:paraId="59DC22D3" w14:textId="77777777" w:rsidR="000702C6" w:rsidRDefault="000702C6" w:rsidP="00114B6E">
            <w:pPr>
              <w:widowControl/>
              <w:spacing w:after="0" w:line="256" w:lineRule="auto"/>
              <w:jc w:val="center"/>
              <w:rPr>
                <w:rFonts w:ascii="Calibri" w:hAnsi="Calibri" w:cs="Calibri"/>
                <w:b/>
                <w:bCs/>
                <w:color w:val="FFFFFF"/>
                <w:szCs w:val="20"/>
              </w:rPr>
            </w:pPr>
            <w:r>
              <w:rPr>
                <w:rFonts w:ascii="Calibri" w:hAnsi="Calibri" w:cs="Calibri"/>
                <w:b/>
                <w:bCs/>
                <w:color w:val="FFFFFF"/>
                <w:szCs w:val="20"/>
              </w:rPr>
              <w:t>Persistence Factor</w:t>
            </w:r>
          </w:p>
        </w:tc>
      </w:tr>
      <w:tr w:rsidR="000702C6" w14:paraId="247E213E" w14:textId="77777777" w:rsidTr="00114B6E">
        <w:trPr>
          <w:trHeight w:val="600"/>
          <w:jc w:val="center"/>
        </w:trPr>
        <w:tc>
          <w:tcPr>
            <w:tcW w:w="4080" w:type="dxa"/>
            <w:tcBorders>
              <w:top w:val="single" w:sz="4" w:space="0" w:color="auto"/>
              <w:left w:val="single" w:sz="4" w:space="0" w:color="auto"/>
              <w:bottom w:val="single" w:sz="4" w:space="0" w:color="auto"/>
              <w:right w:val="single" w:sz="4" w:space="0" w:color="auto"/>
            </w:tcBorders>
            <w:vAlign w:val="center"/>
            <w:hideMark/>
          </w:tcPr>
          <w:p w14:paraId="083298FB" w14:textId="77777777" w:rsidR="000702C6" w:rsidRDefault="000702C6" w:rsidP="00114B6E">
            <w:pPr>
              <w:widowControl/>
              <w:spacing w:after="0" w:line="256" w:lineRule="auto"/>
              <w:jc w:val="center"/>
              <w:rPr>
                <w:rFonts w:ascii="Calibri" w:hAnsi="Calibri" w:cs="Calibri"/>
                <w:szCs w:val="20"/>
              </w:rPr>
            </w:pPr>
            <w:r>
              <w:rPr>
                <w:rFonts w:ascii="Calibri" w:hAnsi="Calibri" w:cs="Calibri"/>
                <w:b/>
                <w:bCs/>
                <w:szCs w:val="20"/>
              </w:rPr>
              <w:t>Program Year T (treatment year)</w:t>
            </w:r>
            <w:r>
              <w:rPr>
                <w:rFonts w:ascii="Calibri" w:hAnsi="Calibri" w:cs="Calibri"/>
                <w:szCs w:val="20"/>
              </w:rPr>
              <w:t xml:space="preserve"> - record 100% of adjusted savings (</w:t>
            </w:r>
            <w:proofErr w:type="spellStart"/>
            <w:r>
              <w:rPr>
                <w:rFonts w:ascii="Calibri" w:hAnsi="Calibri" w:cs="Calibri"/>
                <w:szCs w:val="20"/>
              </w:rPr>
              <w:t>ΔkWh</w:t>
            </w:r>
            <w:r>
              <w:rPr>
                <w:rFonts w:ascii="Calibri" w:hAnsi="Calibri" w:cs="Calibri"/>
                <w:szCs w:val="20"/>
                <w:vertAlign w:val="subscript"/>
              </w:rPr>
              <w:t>TAdjusted</w:t>
            </w:r>
            <w:proofErr w:type="spellEnd"/>
            <w:r>
              <w:rPr>
                <w:rFonts w:ascii="Calibri" w:hAnsi="Calibri" w:cs="Calibri"/>
                <w:szCs w:val="20"/>
              </w:rPr>
              <w:t xml:space="preserve"> above)</w:t>
            </w:r>
          </w:p>
        </w:tc>
        <w:tc>
          <w:tcPr>
            <w:tcW w:w="2020" w:type="dxa"/>
            <w:tcBorders>
              <w:top w:val="single" w:sz="4" w:space="0" w:color="auto"/>
              <w:left w:val="single" w:sz="4" w:space="0" w:color="auto"/>
              <w:bottom w:val="single" w:sz="4" w:space="0" w:color="auto"/>
              <w:right w:val="single" w:sz="4" w:space="0" w:color="auto"/>
            </w:tcBorders>
            <w:vAlign w:val="center"/>
            <w:hideMark/>
          </w:tcPr>
          <w:p w14:paraId="18237CF9" w14:textId="77777777" w:rsidR="000702C6" w:rsidRDefault="000702C6" w:rsidP="00114B6E">
            <w:pPr>
              <w:widowControl/>
              <w:spacing w:after="0" w:line="256" w:lineRule="auto"/>
              <w:jc w:val="center"/>
              <w:rPr>
                <w:rFonts w:ascii="Calibri" w:hAnsi="Calibri" w:cs="Calibri"/>
                <w:color w:val="000000"/>
                <w:szCs w:val="20"/>
              </w:rPr>
            </w:pPr>
            <w:r>
              <w:rPr>
                <w:rFonts w:ascii="Calibri" w:eastAsia="Calibri" w:hAnsi="Calibri" w:cs="Calibri"/>
                <w:color w:val="000000"/>
                <w:szCs w:val="20"/>
              </w:rPr>
              <w:t>100%</w:t>
            </w:r>
          </w:p>
        </w:tc>
      </w:tr>
      <w:tr w:rsidR="000702C6" w14:paraId="58EFA21B" w14:textId="77777777" w:rsidTr="00114B6E">
        <w:trPr>
          <w:trHeight w:val="600"/>
          <w:jc w:val="center"/>
        </w:trPr>
        <w:tc>
          <w:tcPr>
            <w:tcW w:w="4080" w:type="dxa"/>
            <w:tcBorders>
              <w:top w:val="single" w:sz="4" w:space="0" w:color="auto"/>
              <w:left w:val="single" w:sz="4" w:space="0" w:color="auto"/>
              <w:bottom w:val="single" w:sz="4" w:space="0" w:color="auto"/>
              <w:right w:val="single" w:sz="4" w:space="0" w:color="auto"/>
            </w:tcBorders>
            <w:vAlign w:val="center"/>
            <w:hideMark/>
          </w:tcPr>
          <w:p w14:paraId="15CE17A0" w14:textId="77777777" w:rsidR="000702C6" w:rsidRDefault="000702C6" w:rsidP="00114B6E">
            <w:pPr>
              <w:widowControl/>
              <w:spacing w:after="0" w:line="256" w:lineRule="auto"/>
              <w:jc w:val="center"/>
              <w:rPr>
                <w:rFonts w:ascii="Calibri" w:hAnsi="Calibri" w:cs="Calibri"/>
                <w:szCs w:val="20"/>
              </w:rPr>
            </w:pPr>
            <w:r>
              <w:rPr>
                <w:rFonts w:ascii="Calibri" w:hAnsi="Calibri" w:cs="Calibri"/>
                <w:szCs w:val="20"/>
              </w:rPr>
              <w:t xml:space="preserve">Percent adjusted savings from Year </w:t>
            </w:r>
            <w:proofErr w:type="spellStart"/>
            <w:r>
              <w:rPr>
                <w:rFonts w:ascii="Calibri" w:hAnsi="Calibri" w:cs="Calibri"/>
                <w:szCs w:val="20"/>
              </w:rPr>
              <w:t>T</w:t>
            </w:r>
            <w:proofErr w:type="spellEnd"/>
            <w:r>
              <w:rPr>
                <w:rFonts w:ascii="Calibri" w:hAnsi="Calibri" w:cs="Calibri"/>
                <w:szCs w:val="20"/>
              </w:rPr>
              <w:t xml:space="preserve"> activities that persist </w:t>
            </w:r>
            <w:r>
              <w:rPr>
                <w:rFonts w:ascii="Calibri" w:hAnsi="Calibri" w:cs="Calibri"/>
                <w:b/>
                <w:bCs/>
                <w:szCs w:val="20"/>
              </w:rPr>
              <w:t>1 year after year T</w:t>
            </w:r>
            <w:r>
              <w:rPr>
                <w:rFonts w:ascii="Calibri" w:hAnsi="Calibri" w:cs="Calibri"/>
                <w:szCs w:val="20"/>
              </w:rPr>
              <w:t xml:space="preserve"> = PFE</w:t>
            </w:r>
            <w:r>
              <w:rPr>
                <w:rFonts w:ascii="Calibri" w:hAnsi="Calibri" w:cs="Calibri"/>
                <w:szCs w:val="20"/>
                <w:vertAlign w:val="subscript"/>
              </w:rPr>
              <w:t>1</w:t>
            </w:r>
          </w:p>
        </w:tc>
        <w:tc>
          <w:tcPr>
            <w:tcW w:w="2020" w:type="dxa"/>
            <w:tcBorders>
              <w:top w:val="single" w:sz="4" w:space="0" w:color="auto"/>
              <w:left w:val="single" w:sz="4" w:space="0" w:color="auto"/>
              <w:bottom w:val="single" w:sz="4" w:space="0" w:color="auto"/>
              <w:right w:val="single" w:sz="4" w:space="0" w:color="auto"/>
            </w:tcBorders>
            <w:vAlign w:val="center"/>
            <w:hideMark/>
          </w:tcPr>
          <w:p w14:paraId="1E6D0F46" w14:textId="77777777" w:rsidR="000702C6" w:rsidRDefault="000702C6" w:rsidP="00114B6E">
            <w:pPr>
              <w:widowControl/>
              <w:spacing w:after="0" w:line="256" w:lineRule="auto"/>
              <w:jc w:val="center"/>
              <w:rPr>
                <w:rFonts w:ascii="Calibri" w:hAnsi="Calibri" w:cs="Calibri"/>
                <w:color w:val="000000"/>
                <w:szCs w:val="20"/>
              </w:rPr>
            </w:pPr>
            <w:r>
              <w:rPr>
                <w:rFonts w:ascii="Calibri" w:eastAsia="Calibri" w:hAnsi="Calibri" w:cs="Calibri"/>
                <w:color w:val="000000"/>
                <w:szCs w:val="20"/>
              </w:rPr>
              <w:t>78%</w:t>
            </w:r>
          </w:p>
        </w:tc>
      </w:tr>
      <w:tr w:rsidR="000702C6" w14:paraId="73F92A56" w14:textId="77777777" w:rsidTr="00114B6E">
        <w:trPr>
          <w:trHeight w:val="600"/>
          <w:jc w:val="center"/>
        </w:trPr>
        <w:tc>
          <w:tcPr>
            <w:tcW w:w="4080" w:type="dxa"/>
            <w:tcBorders>
              <w:top w:val="single" w:sz="4" w:space="0" w:color="auto"/>
              <w:left w:val="single" w:sz="4" w:space="0" w:color="auto"/>
              <w:bottom w:val="single" w:sz="4" w:space="0" w:color="auto"/>
              <w:right w:val="single" w:sz="4" w:space="0" w:color="auto"/>
            </w:tcBorders>
            <w:vAlign w:val="center"/>
            <w:hideMark/>
          </w:tcPr>
          <w:p w14:paraId="7C2AD00E" w14:textId="77777777" w:rsidR="000702C6" w:rsidRDefault="000702C6" w:rsidP="00114B6E">
            <w:pPr>
              <w:widowControl/>
              <w:spacing w:after="0" w:line="256" w:lineRule="auto"/>
              <w:jc w:val="center"/>
              <w:rPr>
                <w:rFonts w:ascii="Calibri" w:hAnsi="Calibri" w:cs="Calibri"/>
                <w:szCs w:val="20"/>
              </w:rPr>
            </w:pPr>
            <w:r>
              <w:rPr>
                <w:rFonts w:ascii="Calibri" w:hAnsi="Calibri" w:cs="Calibri"/>
                <w:szCs w:val="20"/>
              </w:rPr>
              <w:t xml:space="preserve">Percent adjusted savings from Year </w:t>
            </w:r>
            <w:proofErr w:type="spellStart"/>
            <w:r>
              <w:rPr>
                <w:rFonts w:ascii="Calibri" w:hAnsi="Calibri" w:cs="Calibri"/>
                <w:szCs w:val="20"/>
              </w:rPr>
              <w:t>T</w:t>
            </w:r>
            <w:proofErr w:type="spellEnd"/>
            <w:r>
              <w:rPr>
                <w:rFonts w:ascii="Calibri" w:hAnsi="Calibri" w:cs="Calibri"/>
                <w:szCs w:val="20"/>
              </w:rPr>
              <w:t xml:space="preserve"> activities that persist </w:t>
            </w:r>
            <w:r>
              <w:rPr>
                <w:rFonts w:ascii="Calibri" w:hAnsi="Calibri" w:cs="Calibri"/>
                <w:b/>
                <w:bCs/>
                <w:szCs w:val="20"/>
              </w:rPr>
              <w:t>2 years after year T</w:t>
            </w:r>
            <w:r>
              <w:rPr>
                <w:rFonts w:ascii="Calibri" w:hAnsi="Calibri" w:cs="Calibri"/>
                <w:szCs w:val="20"/>
              </w:rPr>
              <w:t xml:space="preserve"> = PFE</w:t>
            </w:r>
            <w:r>
              <w:rPr>
                <w:rFonts w:ascii="Calibri" w:hAnsi="Calibri" w:cs="Calibri"/>
                <w:szCs w:val="20"/>
                <w:vertAlign w:val="subscript"/>
              </w:rPr>
              <w:t>2</w:t>
            </w:r>
          </w:p>
        </w:tc>
        <w:tc>
          <w:tcPr>
            <w:tcW w:w="2020" w:type="dxa"/>
            <w:tcBorders>
              <w:top w:val="single" w:sz="4" w:space="0" w:color="auto"/>
              <w:left w:val="single" w:sz="4" w:space="0" w:color="auto"/>
              <w:bottom w:val="single" w:sz="4" w:space="0" w:color="auto"/>
              <w:right w:val="single" w:sz="4" w:space="0" w:color="auto"/>
            </w:tcBorders>
            <w:vAlign w:val="center"/>
            <w:hideMark/>
          </w:tcPr>
          <w:p w14:paraId="117C98A8" w14:textId="77777777" w:rsidR="000702C6" w:rsidRDefault="000702C6" w:rsidP="00114B6E">
            <w:pPr>
              <w:widowControl/>
              <w:spacing w:after="0" w:line="256" w:lineRule="auto"/>
              <w:jc w:val="center"/>
              <w:rPr>
                <w:rFonts w:ascii="Calibri" w:hAnsi="Calibri" w:cs="Calibri"/>
                <w:color w:val="000000"/>
                <w:szCs w:val="20"/>
              </w:rPr>
            </w:pPr>
            <w:r>
              <w:rPr>
                <w:rFonts w:ascii="Calibri" w:eastAsia="Calibri" w:hAnsi="Calibri" w:cs="Calibri"/>
                <w:color w:val="000000"/>
                <w:szCs w:val="20"/>
              </w:rPr>
              <w:t>61%</w:t>
            </w:r>
          </w:p>
        </w:tc>
      </w:tr>
      <w:tr w:rsidR="000702C6" w14:paraId="1148D667" w14:textId="77777777" w:rsidTr="00114B6E">
        <w:trPr>
          <w:trHeight w:val="600"/>
          <w:jc w:val="center"/>
        </w:trPr>
        <w:tc>
          <w:tcPr>
            <w:tcW w:w="4080" w:type="dxa"/>
            <w:tcBorders>
              <w:top w:val="single" w:sz="4" w:space="0" w:color="auto"/>
              <w:left w:val="single" w:sz="4" w:space="0" w:color="auto"/>
              <w:bottom w:val="single" w:sz="4" w:space="0" w:color="auto"/>
              <w:right w:val="single" w:sz="4" w:space="0" w:color="auto"/>
            </w:tcBorders>
            <w:vAlign w:val="center"/>
            <w:hideMark/>
          </w:tcPr>
          <w:p w14:paraId="38DA261F" w14:textId="77777777" w:rsidR="000702C6" w:rsidRDefault="000702C6" w:rsidP="00114B6E">
            <w:pPr>
              <w:widowControl/>
              <w:spacing w:after="0" w:line="256" w:lineRule="auto"/>
              <w:jc w:val="center"/>
              <w:rPr>
                <w:rFonts w:ascii="Calibri" w:hAnsi="Calibri" w:cs="Calibri"/>
                <w:szCs w:val="20"/>
              </w:rPr>
            </w:pPr>
            <w:r>
              <w:rPr>
                <w:rFonts w:ascii="Calibri" w:hAnsi="Calibri" w:cs="Calibri"/>
                <w:szCs w:val="20"/>
              </w:rPr>
              <w:lastRenderedPageBreak/>
              <w:t xml:space="preserve">Percent adjusted savings from Year </w:t>
            </w:r>
            <w:proofErr w:type="spellStart"/>
            <w:r>
              <w:rPr>
                <w:rFonts w:ascii="Calibri" w:hAnsi="Calibri" w:cs="Calibri"/>
                <w:szCs w:val="20"/>
              </w:rPr>
              <w:t>T</w:t>
            </w:r>
            <w:proofErr w:type="spellEnd"/>
            <w:r>
              <w:rPr>
                <w:rFonts w:ascii="Calibri" w:hAnsi="Calibri" w:cs="Calibri"/>
                <w:szCs w:val="20"/>
              </w:rPr>
              <w:t xml:space="preserve"> activities that persist </w:t>
            </w:r>
            <w:r>
              <w:rPr>
                <w:rFonts w:ascii="Calibri" w:hAnsi="Calibri" w:cs="Calibri"/>
                <w:b/>
                <w:bCs/>
                <w:szCs w:val="20"/>
              </w:rPr>
              <w:t>3 years after year T</w:t>
            </w:r>
            <w:r>
              <w:rPr>
                <w:rFonts w:ascii="Calibri" w:hAnsi="Calibri" w:cs="Calibri"/>
                <w:szCs w:val="20"/>
              </w:rPr>
              <w:t xml:space="preserve"> = PFE</w:t>
            </w:r>
            <w:r>
              <w:rPr>
                <w:rFonts w:ascii="Calibri" w:hAnsi="Calibri" w:cs="Calibri"/>
                <w:szCs w:val="20"/>
                <w:vertAlign w:val="subscript"/>
              </w:rPr>
              <w:t>3</w:t>
            </w:r>
          </w:p>
        </w:tc>
        <w:tc>
          <w:tcPr>
            <w:tcW w:w="2020" w:type="dxa"/>
            <w:tcBorders>
              <w:top w:val="single" w:sz="4" w:space="0" w:color="auto"/>
              <w:left w:val="single" w:sz="4" w:space="0" w:color="auto"/>
              <w:bottom w:val="single" w:sz="4" w:space="0" w:color="auto"/>
              <w:right w:val="single" w:sz="4" w:space="0" w:color="auto"/>
            </w:tcBorders>
            <w:vAlign w:val="center"/>
            <w:hideMark/>
          </w:tcPr>
          <w:p w14:paraId="23F536ED" w14:textId="77777777" w:rsidR="000702C6" w:rsidRDefault="000702C6" w:rsidP="00114B6E">
            <w:pPr>
              <w:widowControl/>
              <w:spacing w:after="0" w:line="256" w:lineRule="auto"/>
              <w:jc w:val="center"/>
              <w:rPr>
                <w:rFonts w:ascii="Calibri" w:hAnsi="Calibri" w:cs="Calibri"/>
                <w:color w:val="000000"/>
                <w:szCs w:val="20"/>
              </w:rPr>
            </w:pPr>
            <w:r>
              <w:rPr>
                <w:rFonts w:ascii="Calibri" w:eastAsia="Calibri" w:hAnsi="Calibri" w:cs="Calibri"/>
                <w:color w:val="000000"/>
                <w:szCs w:val="20"/>
              </w:rPr>
              <w:t>47%</w:t>
            </w:r>
          </w:p>
        </w:tc>
      </w:tr>
      <w:tr w:rsidR="000702C6" w14:paraId="23E4B1B4" w14:textId="77777777" w:rsidTr="00114B6E">
        <w:trPr>
          <w:trHeight w:val="600"/>
          <w:jc w:val="center"/>
        </w:trPr>
        <w:tc>
          <w:tcPr>
            <w:tcW w:w="4080" w:type="dxa"/>
            <w:tcBorders>
              <w:top w:val="single" w:sz="4" w:space="0" w:color="auto"/>
              <w:left w:val="single" w:sz="4" w:space="0" w:color="auto"/>
              <w:bottom w:val="single" w:sz="4" w:space="0" w:color="auto"/>
              <w:right w:val="single" w:sz="4" w:space="0" w:color="auto"/>
            </w:tcBorders>
            <w:vAlign w:val="center"/>
            <w:hideMark/>
          </w:tcPr>
          <w:p w14:paraId="3255D8A7" w14:textId="77777777" w:rsidR="000702C6" w:rsidRDefault="000702C6" w:rsidP="00114B6E">
            <w:pPr>
              <w:widowControl/>
              <w:spacing w:after="0" w:line="256" w:lineRule="auto"/>
              <w:jc w:val="center"/>
              <w:rPr>
                <w:rFonts w:ascii="Calibri" w:hAnsi="Calibri" w:cs="Calibri"/>
                <w:szCs w:val="20"/>
              </w:rPr>
            </w:pPr>
            <w:r>
              <w:rPr>
                <w:rFonts w:ascii="Calibri" w:hAnsi="Calibri" w:cs="Calibri"/>
                <w:szCs w:val="20"/>
              </w:rPr>
              <w:t xml:space="preserve">Percent adjusted savings from Year </w:t>
            </w:r>
            <w:proofErr w:type="spellStart"/>
            <w:r>
              <w:rPr>
                <w:rFonts w:ascii="Calibri" w:hAnsi="Calibri" w:cs="Calibri"/>
                <w:szCs w:val="20"/>
              </w:rPr>
              <w:t>T</w:t>
            </w:r>
            <w:proofErr w:type="spellEnd"/>
            <w:r>
              <w:rPr>
                <w:rFonts w:ascii="Calibri" w:hAnsi="Calibri" w:cs="Calibri"/>
                <w:szCs w:val="20"/>
              </w:rPr>
              <w:t xml:space="preserve"> activities that persist </w:t>
            </w:r>
            <w:r>
              <w:rPr>
                <w:rFonts w:ascii="Calibri" w:hAnsi="Calibri" w:cs="Calibri"/>
                <w:b/>
                <w:bCs/>
                <w:szCs w:val="20"/>
              </w:rPr>
              <w:t>4 years after year T</w:t>
            </w:r>
            <w:r>
              <w:rPr>
                <w:rFonts w:ascii="Calibri" w:hAnsi="Calibri" w:cs="Calibri"/>
                <w:szCs w:val="20"/>
              </w:rPr>
              <w:t xml:space="preserve"> = PFE</w:t>
            </w:r>
            <w:r>
              <w:rPr>
                <w:rFonts w:ascii="Calibri" w:hAnsi="Calibri" w:cs="Calibri"/>
                <w:szCs w:val="20"/>
                <w:vertAlign w:val="subscript"/>
              </w:rPr>
              <w:t>4</w:t>
            </w:r>
          </w:p>
        </w:tc>
        <w:tc>
          <w:tcPr>
            <w:tcW w:w="2020" w:type="dxa"/>
            <w:tcBorders>
              <w:top w:val="single" w:sz="4" w:space="0" w:color="auto"/>
              <w:left w:val="single" w:sz="4" w:space="0" w:color="auto"/>
              <w:bottom w:val="single" w:sz="4" w:space="0" w:color="auto"/>
              <w:right w:val="single" w:sz="4" w:space="0" w:color="auto"/>
            </w:tcBorders>
            <w:vAlign w:val="center"/>
            <w:hideMark/>
          </w:tcPr>
          <w:p w14:paraId="22655117" w14:textId="77777777" w:rsidR="000702C6" w:rsidRDefault="000702C6" w:rsidP="00114B6E">
            <w:pPr>
              <w:widowControl/>
              <w:spacing w:after="0" w:line="256" w:lineRule="auto"/>
              <w:jc w:val="center"/>
              <w:rPr>
                <w:rFonts w:ascii="Calibri" w:hAnsi="Calibri" w:cs="Calibri"/>
                <w:color w:val="000000"/>
                <w:szCs w:val="20"/>
              </w:rPr>
            </w:pPr>
            <w:r>
              <w:rPr>
                <w:rFonts w:ascii="Calibri" w:eastAsia="Calibri" w:hAnsi="Calibri" w:cs="Calibri"/>
                <w:color w:val="000000"/>
                <w:szCs w:val="20"/>
              </w:rPr>
              <w:t>37%</w:t>
            </w:r>
          </w:p>
        </w:tc>
      </w:tr>
      <w:tr w:rsidR="000702C6" w14:paraId="6CBA954C" w14:textId="77777777" w:rsidTr="00114B6E">
        <w:trPr>
          <w:trHeight w:val="600"/>
          <w:jc w:val="center"/>
        </w:trPr>
        <w:tc>
          <w:tcPr>
            <w:tcW w:w="4080" w:type="dxa"/>
            <w:tcBorders>
              <w:top w:val="single" w:sz="4" w:space="0" w:color="auto"/>
              <w:left w:val="single" w:sz="4" w:space="0" w:color="auto"/>
              <w:bottom w:val="single" w:sz="4" w:space="0" w:color="auto"/>
              <w:right w:val="single" w:sz="4" w:space="0" w:color="auto"/>
            </w:tcBorders>
            <w:vAlign w:val="center"/>
            <w:hideMark/>
          </w:tcPr>
          <w:p w14:paraId="178211C5" w14:textId="77777777" w:rsidR="000702C6" w:rsidRDefault="000702C6" w:rsidP="00114B6E">
            <w:pPr>
              <w:widowControl/>
              <w:spacing w:after="0" w:line="256" w:lineRule="auto"/>
              <w:jc w:val="center"/>
              <w:rPr>
                <w:rFonts w:ascii="Calibri" w:hAnsi="Calibri" w:cs="Calibri"/>
                <w:szCs w:val="20"/>
              </w:rPr>
            </w:pPr>
            <w:r>
              <w:rPr>
                <w:rFonts w:ascii="Calibri" w:hAnsi="Calibri" w:cs="Calibri"/>
                <w:szCs w:val="20"/>
              </w:rPr>
              <w:t xml:space="preserve">Percent adjusted savings from Year </w:t>
            </w:r>
            <w:proofErr w:type="spellStart"/>
            <w:r>
              <w:rPr>
                <w:rFonts w:ascii="Calibri" w:hAnsi="Calibri" w:cs="Calibri"/>
                <w:szCs w:val="20"/>
              </w:rPr>
              <w:t>T</w:t>
            </w:r>
            <w:proofErr w:type="spellEnd"/>
            <w:r>
              <w:rPr>
                <w:rFonts w:ascii="Calibri" w:hAnsi="Calibri" w:cs="Calibri"/>
                <w:szCs w:val="20"/>
              </w:rPr>
              <w:t xml:space="preserve"> activities that persist </w:t>
            </w:r>
            <w:r>
              <w:rPr>
                <w:rFonts w:ascii="Calibri" w:hAnsi="Calibri" w:cs="Calibri"/>
                <w:b/>
                <w:bCs/>
                <w:szCs w:val="20"/>
              </w:rPr>
              <w:t>5 years after year T</w:t>
            </w:r>
            <w:r>
              <w:rPr>
                <w:rFonts w:ascii="Calibri" w:hAnsi="Calibri" w:cs="Calibri"/>
                <w:szCs w:val="20"/>
              </w:rPr>
              <w:t xml:space="preserve"> = PFE</w:t>
            </w:r>
            <w:r>
              <w:rPr>
                <w:rFonts w:ascii="Calibri" w:hAnsi="Calibri" w:cs="Calibri"/>
                <w:szCs w:val="20"/>
                <w:vertAlign w:val="subscript"/>
              </w:rPr>
              <w:t>5</w:t>
            </w:r>
          </w:p>
        </w:tc>
        <w:tc>
          <w:tcPr>
            <w:tcW w:w="2020" w:type="dxa"/>
            <w:tcBorders>
              <w:top w:val="single" w:sz="4" w:space="0" w:color="auto"/>
              <w:left w:val="single" w:sz="4" w:space="0" w:color="auto"/>
              <w:bottom w:val="single" w:sz="4" w:space="0" w:color="auto"/>
              <w:right w:val="single" w:sz="4" w:space="0" w:color="auto"/>
            </w:tcBorders>
            <w:vAlign w:val="center"/>
            <w:hideMark/>
          </w:tcPr>
          <w:p w14:paraId="73F08210" w14:textId="77777777" w:rsidR="000702C6" w:rsidRDefault="000702C6" w:rsidP="00114B6E">
            <w:pPr>
              <w:widowControl/>
              <w:spacing w:after="0" w:line="256" w:lineRule="auto"/>
              <w:jc w:val="center"/>
              <w:rPr>
                <w:rFonts w:ascii="Calibri" w:hAnsi="Calibri" w:cs="Calibri"/>
                <w:color w:val="000000"/>
                <w:szCs w:val="20"/>
              </w:rPr>
            </w:pPr>
            <w:r>
              <w:rPr>
                <w:rFonts w:ascii="Calibri" w:eastAsia="Calibri" w:hAnsi="Calibri" w:cs="Calibri"/>
                <w:color w:val="000000"/>
                <w:szCs w:val="20"/>
              </w:rPr>
              <w:t>29%</w:t>
            </w:r>
          </w:p>
        </w:tc>
      </w:tr>
      <w:tr w:rsidR="000702C6" w14:paraId="7E838E8D" w14:textId="77777777" w:rsidTr="00114B6E">
        <w:trPr>
          <w:trHeight w:val="600"/>
          <w:jc w:val="center"/>
        </w:trPr>
        <w:tc>
          <w:tcPr>
            <w:tcW w:w="4080" w:type="dxa"/>
            <w:tcBorders>
              <w:top w:val="single" w:sz="4" w:space="0" w:color="auto"/>
              <w:left w:val="single" w:sz="4" w:space="0" w:color="auto"/>
              <w:bottom w:val="single" w:sz="4" w:space="0" w:color="auto"/>
              <w:right w:val="single" w:sz="4" w:space="0" w:color="auto"/>
            </w:tcBorders>
            <w:vAlign w:val="center"/>
            <w:hideMark/>
          </w:tcPr>
          <w:p w14:paraId="4CFE7D9E" w14:textId="77777777" w:rsidR="000702C6" w:rsidRDefault="000702C6" w:rsidP="00114B6E">
            <w:pPr>
              <w:widowControl/>
              <w:spacing w:after="0" w:line="256" w:lineRule="auto"/>
              <w:jc w:val="center"/>
              <w:rPr>
                <w:rFonts w:ascii="Calibri" w:hAnsi="Calibri" w:cs="Calibri"/>
                <w:szCs w:val="20"/>
              </w:rPr>
            </w:pPr>
            <w:r>
              <w:rPr>
                <w:rFonts w:ascii="Calibri" w:hAnsi="Calibri" w:cs="Calibri"/>
                <w:szCs w:val="20"/>
              </w:rPr>
              <w:t xml:space="preserve">Percent adjusted savings from Year </w:t>
            </w:r>
            <w:proofErr w:type="spellStart"/>
            <w:r>
              <w:rPr>
                <w:rFonts w:ascii="Calibri" w:hAnsi="Calibri" w:cs="Calibri"/>
                <w:szCs w:val="20"/>
              </w:rPr>
              <w:t>T</w:t>
            </w:r>
            <w:proofErr w:type="spellEnd"/>
            <w:r>
              <w:rPr>
                <w:rFonts w:ascii="Calibri" w:hAnsi="Calibri" w:cs="Calibri"/>
                <w:szCs w:val="20"/>
              </w:rPr>
              <w:t xml:space="preserve"> activities that persist </w:t>
            </w:r>
            <w:r>
              <w:rPr>
                <w:rFonts w:ascii="Calibri" w:hAnsi="Calibri" w:cs="Calibri"/>
                <w:b/>
                <w:bCs/>
                <w:szCs w:val="20"/>
              </w:rPr>
              <w:t>6 years after year T</w:t>
            </w:r>
            <w:r>
              <w:rPr>
                <w:rFonts w:ascii="Calibri" w:hAnsi="Calibri" w:cs="Calibri"/>
                <w:szCs w:val="20"/>
              </w:rPr>
              <w:t xml:space="preserve"> = PFE</w:t>
            </w:r>
            <w:r>
              <w:rPr>
                <w:rFonts w:ascii="Calibri" w:hAnsi="Calibri" w:cs="Calibri"/>
                <w:szCs w:val="20"/>
                <w:vertAlign w:val="subscript"/>
              </w:rPr>
              <w:t>6</w:t>
            </w:r>
          </w:p>
        </w:tc>
        <w:tc>
          <w:tcPr>
            <w:tcW w:w="2020" w:type="dxa"/>
            <w:tcBorders>
              <w:top w:val="single" w:sz="4" w:space="0" w:color="auto"/>
              <w:left w:val="single" w:sz="4" w:space="0" w:color="auto"/>
              <w:bottom w:val="single" w:sz="4" w:space="0" w:color="auto"/>
              <w:right w:val="single" w:sz="4" w:space="0" w:color="auto"/>
            </w:tcBorders>
            <w:vAlign w:val="center"/>
            <w:hideMark/>
          </w:tcPr>
          <w:p w14:paraId="5A25FDB9" w14:textId="77777777" w:rsidR="000702C6" w:rsidRDefault="000702C6" w:rsidP="00114B6E">
            <w:pPr>
              <w:widowControl/>
              <w:spacing w:after="0" w:line="256" w:lineRule="auto"/>
              <w:jc w:val="center"/>
              <w:rPr>
                <w:rFonts w:ascii="Calibri" w:hAnsi="Calibri" w:cs="Calibri"/>
                <w:color w:val="000000"/>
                <w:szCs w:val="20"/>
              </w:rPr>
            </w:pPr>
            <w:r>
              <w:rPr>
                <w:rFonts w:ascii="Calibri" w:eastAsia="Calibri" w:hAnsi="Calibri" w:cs="Calibri"/>
                <w:color w:val="000000"/>
                <w:szCs w:val="20"/>
              </w:rPr>
              <w:t>23%</w:t>
            </w:r>
          </w:p>
        </w:tc>
      </w:tr>
      <w:tr w:rsidR="000702C6" w14:paraId="043049CB" w14:textId="77777777" w:rsidTr="00114B6E">
        <w:trPr>
          <w:trHeight w:val="600"/>
          <w:jc w:val="center"/>
        </w:trPr>
        <w:tc>
          <w:tcPr>
            <w:tcW w:w="4080" w:type="dxa"/>
            <w:tcBorders>
              <w:top w:val="single" w:sz="4" w:space="0" w:color="auto"/>
              <w:left w:val="single" w:sz="4" w:space="0" w:color="auto"/>
              <w:bottom w:val="single" w:sz="4" w:space="0" w:color="auto"/>
              <w:right w:val="single" w:sz="4" w:space="0" w:color="auto"/>
            </w:tcBorders>
            <w:vAlign w:val="center"/>
            <w:hideMark/>
          </w:tcPr>
          <w:p w14:paraId="1800AA17" w14:textId="77777777" w:rsidR="000702C6" w:rsidRDefault="000702C6" w:rsidP="00114B6E">
            <w:pPr>
              <w:widowControl/>
              <w:spacing w:after="0" w:line="256" w:lineRule="auto"/>
              <w:jc w:val="center"/>
              <w:rPr>
                <w:rFonts w:ascii="Calibri" w:hAnsi="Calibri" w:cs="Calibri"/>
                <w:szCs w:val="20"/>
              </w:rPr>
            </w:pPr>
            <w:r>
              <w:rPr>
                <w:rFonts w:ascii="Calibri" w:hAnsi="Calibri" w:cs="Calibri"/>
                <w:szCs w:val="20"/>
              </w:rPr>
              <w:t xml:space="preserve">Percent adjusted savings from Year </w:t>
            </w:r>
            <w:proofErr w:type="spellStart"/>
            <w:r>
              <w:rPr>
                <w:rFonts w:ascii="Calibri" w:hAnsi="Calibri" w:cs="Calibri"/>
                <w:szCs w:val="20"/>
              </w:rPr>
              <w:t>T</w:t>
            </w:r>
            <w:proofErr w:type="spellEnd"/>
            <w:r>
              <w:rPr>
                <w:rFonts w:ascii="Calibri" w:hAnsi="Calibri" w:cs="Calibri"/>
                <w:szCs w:val="20"/>
              </w:rPr>
              <w:t xml:space="preserve"> activities that persist </w:t>
            </w:r>
            <w:r>
              <w:rPr>
                <w:rFonts w:ascii="Calibri" w:hAnsi="Calibri" w:cs="Calibri"/>
                <w:b/>
                <w:bCs/>
                <w:szCs w:val="20"/>
              </w:rPr>
              <w:t>7 years after year T</w:t>
            </w:r>
            <w:r>
              <w:rPr>
                <w:rFonts w:ascii="Calibri" w:hAnsi="Calibri" w:cs="Calibri"/>
                <w:szCs w:val="20"/>
              </w:rPr>
              <w:t xml:space="preserve"> = PFE</w:t>
            </w:r>
            <w:r>
              <w:rPr>
                <w:rFonts w:ascii="Calibri" w:hAnsi="Calibri" w:cs="Calibri"/>
                <w:szCs w:val="20"/>
                <w:vertAlign w:val="subscript"/>
              </w:rPr>
              <w:t>7</w:t>
            </w:r>
          </w:p>
        </w:tc>
        <w:tc>
          <w:tcPr>
            <w:tcW w:w="2020" w:type="dxa"/>
            <w:tcBorders>
              <w:top w:val="single" w:sz="4" w:space="0" w:color="auto"/>
              <w:left w:val="single" w:sz="4" w:space="0" w:color="auto"/>
              <w:bottom w:val="single" w:sz="4" w:space="0" w:color="auto"/>
              <w:right w:val="single" w:sz="4" w:space="0" w:color="auto"/>
            </w:tcBorders>
            <w:noWrap/>
            <w:vAlign w:val="center"/>
            <w:hideMark/>
          </w:tcPr>
          <w:p w14:paraId="6C89F95D" w14:textId="77777777" w:rsidR="000702C6" w:rsidRDefault="000702C6" w:rsidP="00114B6E">
            <w:pPr>
              <w:widowControl/>
              <w:spacing w:after="0" w:line="256" w:lineRule="auto"/>
              <w:jc w:val="center"/>
              <w:rPr>
                <w:rFonts w:ascii="Calibri" w:hAnsi="Calibri" w:cs="Calibri"/>
                <w:color w:val="000000"/>
                <w:szCs w:val="20"/>
              </w:rPr>
            </w:pPr>
            <w:r>
              <w:rPr>
                <w:rFonts w:ascii="Calibri" w:hAnsi="Calibri" w:cs="Calibri"/>
                <w:color w:val="000000"/>
                <w:szCs w:val="20"/>
              </w:rPr>
              <w:t>18%</w:t>
            </w:r>
          </w:p>
        </w:tc>
      </w:tr>
      <w:tr w:rsidR="000702C6" w14:paraId="255622F0" w14:textId="77777777" w:rsidTr="00114B6E">
        <w:trPr>
          <w:trHeight w:val="600"/>
          <w:jc w:val="center"/>
        </w:trPr>
        <w:tc>
          <w:tcPr>
            <w:tcW w:w="4080" w:type="dxa"/>
            <w:tcBorders>
              <w:top w:val="single" w:sz="4" w:space="0" w:color="auto"/>
              <w:left w:val="single" w:sz="4" w:space="0" w:color="auto"/>
              <w:bottom w:val="single" w:sz="4" w:space="0" w:color="auto"/>
              <w:right w:val="single" w:sz="4" w:space="0" w:color="auto"/>
            </w:tcBorders>
            <w:vAlign w:val="center"/>
            <w:hideMark/>
          </w:tcPr>
          <w:p w14:paraId="4B8B9E87" w14:textId="77777777" w:rsidR="000702C6" w:rsidRDefault="000702C6" w:rsidP="00114B6E">
            <w:pPr>
              <w:widowControl/>
              <w:spacing w:after="0" w:line="256" w:lineRule="auto"/>
              <w:jc w:val="center"/>
              <w:rPr>
                <w:rFonts w:ascii="Calibri" w:hAnsi="Calibri" w:cs="Calibri"/>
                <w:szCs w:val="20"/>
              </w:rPr>
            </w:pPr>
            <w:r>
              <w:rPr>
                <w:rFonts w:ascii="Calibri" w:hAnsi="Calibri" w:cs="Calibri"/>
                <w:szCs w:val="20"/>
              </w:rPr>
              <w:t xml:space="preserve">Percent adjusted savings from Year </w:t>
            </w:r>
            <w:proofErr w:type="spellStart"/>
            <w:r>
              <w:rPr>
                <w:rFonts w:ascii="Calibri" w:hAnsi="Calibri" w:cs="Calibri"/>
                <w:szCs w:val="20"/>
              </w:rPr>
              <w:t>T</w:t>
            </w:r>
            <w:proofErr w:type="spellEnd"/>
            <w:r>
              <w:rPr>
                <w:rFonts w:ascii="Calibri" w:hAnsi="Calibri" w:cs="Calibri"/>
                <w:szCs w:val="20"/>
              </w:rPr>
              <w:t xml:space="preserve"> activities that persist </w:t>
            </w:r>
            <w:r>
              <w:rPr>
                <w:rFonts w:ascii="Calibri" w:hAnsi="Calibri" w:cs="Calibri"/>
                <w:b/>
                <w:bCs/>
                <w:szCs w:val="20"/>
              </w:rPr>
              <w:t>8 years after year T</w:t>
            </w:r>
            <w:r>
              <w:rPr>
                <w:rFonts w:ascii="Calibri" w:hAnsi="Calibri" w:cs="Calibri"/>
                <w:szCs w:val="20"/>
              </w:rPr>
              <w:t xml:space="preserve"> = PFE</w:t>
            </w:r>
            <w:r>
              <w:rPr>
                <w:rFonts w:ascii="Calibri" w:hAnsi="Calibri" w:cs="Calibri"/>
                <w:szCs w:val="20"/>
                <w:vertAlign w:val="subscript"/>
              </w:rPr>
              <w:t>8</w:t>
            </w:r>
          </w:p>
        </w:tc>
        <w:tc>
          <w:tcPr>
            <w:tcW w:w="2020" w:type="dxa"/>
            <w:tcBorders>
              <w:top w:val="single" w:sz="4" w:space="0" w:color="auto"/>
              <w:left w:val="single" w:sz="4" w:space="0" w:color="auto"/>
              <w:bottom w:val="single" w:sz="4" w:space="0" w:color="auto"/>
              <w:right w:val="single" w:sz="4" w:space="0" w:color="auto"/>
            </w:tcBorders>
            <w:noWrap/>
            <w:vAlign w:val="center"/>
            <w:hideMark/>
          </w:tcPr>
          <w:p w14:paraId="464D7A35" w14:textId="77777777" w:rsidR="000702C6" w:rsidRDefault="000702C6" w:rsidP="00114B6E">
            <w:pPr>
              <w:widowControl/>
              <w:spacing w:after="0" w:line="256" w:lineRule="auto"/>
              <w:jc w:val="center"/>
              <w:rPr>
                <w:rFonts w:ascii="Calibri" w:hAnsi="Calibri" w:cs="Calibri"/>
                <w:color w:val="000000"/>
                <w:szCs w:val="20"/>
              </w:rPr>
            </w:pPr>
            <w:r>
              <w:rPr>
                <w:rFonts w:ascii="Calibri" w:hAnsi="Calibri" w:cs="Calibri"/>
                <w:color w:val="000000"/>
                <w:szCs w:val="20"/>
              </w:rPr>
              <w:t>14%</w:t>
            </w:r>
          </w:p>
        </w:tc>
      </w:tr>
      <w:tr w:rsidR="000702C6" w14:paraId="739EFCF5" w14:textId="77777777" w:rsidTr="00114B6E">
        <w:trPr>
          <w:trHeight w:val="600"/>
          <w:jc w:val="center"/>
        </w:trPr>
        <w:tc>
          <w:tcPr>
            <w:tcW w:w="4080" w:type="dxa"/>
            <w:tcBorders>
              <w:top w:val="single" w:sz="4" w:space="0" w:color="auto"/>
              <w:left w:val="single" w:sz="4" w:space="0" w:color="auto"/>
              <w:bottom w:val="single" w:sz="4" w:space="0" w:color="auto"/>
              <w:right w:val="single" w:sz="4" w:space="0" w:color="auto"/>
            </w:tcBorders>
            <w:vAlign w:val="center"/>
            <w:hideMark/>
          </w:tcPr>
          <w:p w14:paraId="7487294D" w14:textId="77777777" w:rsidR="000702C6" w:rsidRDefault="000702C6" w:rsidP="00114B6E">
            <w:pPr>
              <w:widowControl/>
              <w:spacing w:after="0" w:line="256" w:lineRule="auto"/>
              <w:jc w:val="center"/>
              <w:rPr>
                <w:rFonts w:ascii="Calibri" w:hAnsi="Calibri" w:cs="Calibri"/>
                <w:szCs w:val="20"/>
              </w:rPr>
            </w:pPr>
            <w:r>
              <w:rPr>
                <w:rFonts w:ascii="Calibri" w:hAnsi="Calibri" w:cs="Calibri"/>
                <w:szCs w:val="20"/>
              </w:rPr>
              <w:t xml:space="preserve">Percent adjusted savings from Year </w:t>
            </w:r>
            <w:proofErr w:type="spellStart"/>
            <w:r>
              <w:rPr>
                <w:rFonts w:ascii="Calibri" w:hAnsi="Calibri" w:cs="Calibri"/>
                <w:szCs w:val="20"/>
              </w:rPr>
              <w:t>T</w:t>
            </w:r>
            <w:proofErr w:type="spellEnd"/>
            <w:r>
              <w:rPr>
                <w:rFonts w:ascii="Calibri" w:hAnsi="Calibri" w:cs="Calibri"/>
                <w:szCs w:val="20"/>
              </w:rPr>
              <w:t xml:space="preserve"> activities that persist </w:t>
            </w:r>
            <w:r>
              <w:rPr>
                <w:rFonts w:ascii="Calibri" w:hAnsi="Calibri" w:cs="Calibri"/>
                <w:b/>
                <w:bCs/>
                <w:szCs w:val="20"/>
              </w:rPr>
              <w:t>9 years after year T</w:t>
            </w:r>
            <w:r>
              <w:rPr>
                <w:rFonts w:ascii="Calibri" w:hAnsi="Calibri" w:cs="Calibri"/>
                <w:szCs w:val="20"/>
              </w:rPr>
              <w:t xml:space="preserve"> = PFE</w:t>
            </w:r>
            <w:r>
              <w:rPr>
                <w:rFonts w:ascii="Calibri" w:hAnsi="Calibri" w:cs="Calibri"/>
                <w:szCs w:val="20"/>
                <w:vertAlign w:val="subscript"/>
              </w:rPr>
              <w:t>9</w:t>
            </w:r>
          </w:p>
        </w:tc>
        <w:tc>
          <w:tcPr>
            <w:tcW w:w="2020" w:type="dxa"/>
            <w:tcBorders>
              <w:top w:val="single" w:sz="4" w:space="0" w:color="auto"/>
              <w:left w:val="single" w:sz="4" w:space="0" w:color="auto"/>
              <w:bottom w:val="single" w:sz="4" w:space="0" w:color="auto"/>
              <w:right w:val="single" w:sz="4" w:space="0" w:color="auto"/>
            </w:tcBorders>
            <w:noWrap/>
            <w:vAlign w:val="center"/>
            <w:hideMark/>
          </w:tcPr>
          <w:p w14:paraId="00486032" w14:textId="77777777" w:rsidR="000702C6" w:rsidRDefault="000702C6" w:rsidP="00114B6E">
            <w:pPr>
              <w:widowControl/>
              <w:spacing w:after="0" w:line="256" w:lineRule="auto"/>
              <w:jc w:val="center"/>
              <w:rPr>
                <w:rFonts w:ascii="Calibri" w:hAnsi="Calibri" w:cs="Calibri"/>
                <w:color w:val="000000"/>
                <w:szCs w:val="20"/>
              </w:rPr>
            </w:pPr>
            <w:r>
              <w:rPr>
                <w:rFonts w:ascii="Calibri" w:hAnsi="Calibri" w:cs="Calibri"/>
                <w:color w:val="000000"/>
                <w:szCs w:val="20"/>
              </w:rPr>
              <w:t>11%</w:t>
            </w:r>
          </w:p>
        </w:tc>
      </w:tr>
    </w:tbl>
    <w:p w14:paraId="355B35F2" w14:textId="77777777" w:rsidR="000702C6" w:rsidRDefault="000702C6" w:rsidP="000702C6">
      <w:r>
        <w:rPr>
          <w:noProof/>
        </w:rPr>
        <w:lastRenderedPageBreak/>
        <mc:AlternateContent>
          <mc:Choice Requires="wps">
            <w:drawing>
              <wp:inline distT="0" distB="0" distL="0" distR="0" wp14:anchorId="4DC0BFA1" wp14:editId="77A4FE62">
                <wp:extent cx="5943600" cy="6191250"/>
                <wp:effectExtent l="0" t="0" r="19050" b="19050"/>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6191250"/>
                        </a:xfrm>
                        <a:prstGeom prst="rect">
                          <a:avLst/>
                        </a:prstGeom>
                        <a:solidFill>
                          <a:srgbClr val="FFFFFF"/>
                        </a:solidFill>
                        <a:ln w="9525">
                          <a:solidFill>
                            <a:srgbClr val="000000"/>
                          </a:solidFill>
                          <a:miter lim="800000"/>
                          <a:headEnd/>
                          <a:tailEnd/>
                        </a:ln>
                      </wps:spPr>
                      <wps:txbx>
                        <w:txbxContent>
                          <w:p w14:paraId="2BBAD085" w14:textId="77777777" w:rsidR="000702C6" w:rsidRDefault="000702C6" w:rsidP="000702C6">
                            <w:pPr>
                              <w:rPr>
                                <w:rFonts w:cstheme="minorHAnsi"/>
                                <w:b/>
                                <w:sz w:val="18"/>
                                <w:szCs w:val="18"/>
                              </w:rPr>
                            </w:pPr>
                            <w:r>
                              <w:rPr>
                                <w:rFonts w:cstheme="minorHAnsi"/>
                                <w:b/>
                                <w:sz w:val="18"/>
                                <w:szCs w:val="18"/>
                              </w:rPr>
                              <w:t xml:space="preserve">Example of Adjusted Annual Savings Calculations: </w:t>
                            </w:r>
                          </w:p>
                          <w:p w14:paraId="38DE4247" w14:textId="77777777" w:rsidR="000702C6" w:rsidRDefault="000702C6" w:rsidP="000702C6">
                            <w:pPr>
                              <w:spacing w:after="60"/>
                              <w:rPr>
                                <w:rFonts w:cstheme="minorHAnsi"/>
                                <w:sz w:val="18"/>
                                <w:szCs w:val="18"/>
                              </w:rPr>
                            </w:pPr>
                            <w:r>
                              <w:rPr>
                                <w:rFonts w:cstheme="minorHAnsi"/>
                                <w:sz w:val="18"/>
                                <w:szCs w:val="18"/>
                              </w:rPr>
                              <w:t>Assume the following information on participation and measured savings for an electric HERs-type program for the following program years (all adjustments have been made to remove effects of program lift, weather, etc. within the custom savings calculations). Assume 2021 is the first year of the program/wave.</w:t>
                            </w:r>
                          </w:p>
                          <w:tbl>
                            <w:tblPr>
                              <w:tblW w:w="0" w:type="auto"/>
                              <w:tblLook w:val="04A0" w:firstRow="1" w:lastRow="0" w:firstColumn="1" w:lastColumn="0" w:noHBand="0" w:noVBand="1"/>
                            </w:tblPr>
                            <w:tblGrid>
                              <w:gridCol w:w="2440"/>
                              <w:gridCol w:w="945"/>
                              <w:gridCol w:w="945"/>
                              <w:gridCol w:w="945"/>
                              <w:gridCol w:w="945"/>
                              <w:gridCol w:w="945"/>
                              <w:gridCol w:w="945"/>
                              <w:gridCol w:w="945"/>
                            </w:tblGrid>
                            <w:tr w:rsidR="000702C6" w14:paraId="6D50B92C" w14:textId="77777777">
                              <w:trPr>
                                <w:trHeight w:val="300"/>
                              </w:trPr>
                              <w:tc>
                                <w:tcPr>
                                  <w:tcW w:w="2440" w:type="dxa"/>
                                  <w:noWrap/>
                                  <w:vAlign w:val="bottom"/>
                                  <w:hideMark/>
                                </w:tcPr>
                                <w:p w14:paraId="41A16DF7" w14:textId="77777777" w:rsidR="000702C6" w:rsidRDefault="000702C6">
                                  <w:pPr>
                                    <w:rPr>
                                      <w:rFonts w:cstheme="minorHAnsi"/>
                                      <w:sz w:val="18"/>
                                      <w:szCs w:val="18"/>
                                    </w:rPr>
                                  </w:pPr>
                                </w:p>
                              </w:tc>
                              <w:tc>
                                <w:tcPr>
                                  <w:tcW w:w="6440" w:type="dxa"/>
                                  <w:gridSpan w:val="7"/>
                                  <w:tcBorders>
                                    <w:top w:val="single" w:sz="4" w:space="0" w:color="auto"/>
                                    <w:left w:val="single" w:sz="4" w:space="0" w:color="auto"/>
                                    <w:bottom w:val="single" w:sz="4" w:space="0" w:color="auto"/>
                                    <w:right w:val="single" w:sz="4" w:space="0" w:color="auto"/>
                                  </w:tcBorders>
                                  <w:shd w:val="clear" w:color="auto" w:fill="808080"/>
                                  <w:noWrap/>
                                  <w:vAlign w:val="bottom"/>
                                  <w:hideMark/>
                                </w:tcPr>
                                <w:p w14:paraId="69048434" w14:textId="77777777" w:rsidR="000702C6" w:rsidRDefault="000702C6">
                                  <w:pPr>
                                    <w:widowControl/>
                                    <w:spacing w:after="0" w:line="256" w:lineRule="auto"/>
                                    <w:jc w:val="center"/>
                                    <w:rPr>
                                      <w:rFonts w:ascii="Calibri" w:hAnsi="Calibri" w:cs="Calibri"/>
                                      <w:b/>
                                      <w:bCs/>
                                      <w:color w:val="FFFFFF"/>
                                      <w:sz w:val="18"/>
                                      <w:szCs w:val="18"/>
                                    </w:rPr>
                                  </w:pPr>
                                  <w:r>
                                    <w:rPr>
                                      <w:rFonts w:ascii="Calibri" w:hAnsi="Calibri" w:cs="Calibri"/>
                                      <w:b/>
                                      <w:bCs/>
                                      <w:color w:val="FFFFFF"/>
                                      <w:sz w:val="18"/>
                                      <w:szCs w:val="18"/>
                                    </w:rPr>
                                    <w:t>Reporting Year</w:t>
                                  </w:r>
                                </w:p>
                              </w:tc>
                            </w:tr>
                            <w:tr w:rsidR="000702C6" w14:paraId="1A4576C3" w14:textId="77777777">
                              <w:trPr>
                                <w:trHeight w:val="300"/>
                              </w:trPr>
                              <w:tc>
                                <w:tcPr>
                                  <w:tcW w:w="2440" w:type="dxa"/>
                                  <w:noWrap/>
                                  <w:vAlign w:val="bottom"/>
                                  <w:hideMark/>
                                </w:tcPr>
                                <w:p w14:paraId="4CDCB79B" w14:textId="77777777" w:rsidR="000702C6" w:rsidRDefault="000702C6">
                                  <w:pPr>
                                    <w:rPr>
                                      <w:rFonts w:ascii="Calibri" w:hAnsi="Calibri" w:cs="Calibri"/>
                                      <w:b/>
                                      <w:bCs/>
                                      <w:color w:val="FFFFFF"/>
                                      <w:sz w:val="18"/>
                                      <w:szCs w:val="18"/>
                                    </w:rPr>
                                  </w:pPr>
                                </w:p>
                              </w:tc>
                              <w:tc>
                                <w:tcPr>
                                  <w:tcW w:w="920" w:type="dxa"/>
                                  <w:tcBorders>
                                    <w:top w:val="nil"/>
                                    <w:left w:val="single" w:sz="4" w:space="0" w:color="auto"/>
                                    <w:bottom w:val="nil"/>
                                    <w:right w:val="single" w:sz="4" w:space="0" w:color="auto"/>
                                  </w:tcBorders>
                                  <w:shd w:val="clear" w:color="auto" w:fill="808080"/>
                                  <w:noWrap/>
                                  <w:vAlign w:val="bottom"/>
                                  <w:hideMark/>
                                </w:tcPr>
                                <w:p w14:paraId="4A7CA16E" w14:textId="77777777" w:rsidR="000702C6" w:rsidRDefault="000702C6">
                                  <w:pPr>
                                    <w:widowControl/>
                                    <w:spacing w:after="0" w:line="256" w:lineRule="auto"/>
                                    <w:jc w:val="center"/>
                                    <w:rPr>
                                      <w:rFonts w:ascii="Calibri" w:hAnsi="Calibri" w:cs="Calibri"/>
                                      <w:b/>
                                      <w:bCs/>
                                      <w:color w:val="FFFFFF"/>
                                      <w:sz w:val="18"/>
                                      <w:szCs w:val="18"/>
                                    </w:rPr>
                                  </w:pPr>
                                  <w:r>
                                    <w:rPr>
                                      <w:rFonts w:ascii="Calibri" w:hAnsi="Calibri" w:cs="Calibri"/>
                                      <w:b/>
                                      <w:bCs/>
                                      <w:color w:val="FFFFFF"/>
                                      <w:sz w:val="18"/>
                                      <w:szCs w:val="18"/>
                                    </w:rPr>
                                    <w:t>2021</w:t>
                                  </w:r>
                                </w:p>
                              </w:tc>
                              <w:tc>
                                <w:tcPr>
                                  <w:tcW w:w="920" w:type="dxa"/>
                                  <w:tcBorders>
                                    <w:top w:val="nil"/>
                                    <w:left w:val="nil"/>
                                    <w:bottom w:val="nil"/>
                                    <w:right w:val="single" w:sz="4" w:space="0" w:color="auto"/>
                                  </w:tcBorders>
                                  <w:shd w:val="clear" w:color="auto" w:fill="808080"/>
                                  <w:noWrap/>
                                  <w:vAlign w:val="bottom"/>
                                  <w:hideMark/>
                                </w:tcPr>
                                <w:p w14:paraId="2A49D6EC" w14:textId="77777777" w:rsidR="000702C6" w:rsidRDefault="000702C6">
                                  <w:pPr>
                                    <w:widowControl/>
                                    <w:spacing w:after="0" w:line="256" w:lineRule="auto"/>
                                    <w:jc w:val="center"/>
                                    <w:rPr>
                                      <w:rFonts w:ascii="Calibri" w:hAnsi="Calibri" w:cs="Calibri"/>
                                      <w:b/>
                                      <w:bCs/>
                                      <w:color w:val="FFFFFF"/>
                                      <w:sz w:val="18"/>
                                      <w:szCs w:val="18"/>
                                    </w:rPr>
                                  </w:pPr>
                                  <w:r>
                                    <w:rPr>
                                      <w:rFonts w:ascii="Calibri" w:hAnsi="Calibri" w:cs="Calibri"/>
                                      <w:b/>
                                      <w:bCs/>
                                      <w:color w:val="FFFFFF"/>
                                      <w:sz w:val="18"/>
                                      <w:szCs w:val="18"/>
                                    </w:rPr>
                                    <w:t>2022</w:t>
                                  </w:r>
                                </w:p>
                              </w:tc>
                              <w:tc>
                                <w:tcPr>
                                  <w:tcW w:w="920" w:type="dxa"/>
                                  <w:tcBorders>
                                    <w:top w:val="nil"/>
                                    <w:left w:val="nil"/>
                                    <w:bottom w:val="nil"/>
                                    <w:right w:val="single" w:sz="4" w:space="0" w:color="auto"/>
                                  </w:tcBorders>
                                  <w:shd w:val="clear" w:color="auto" w:fill="808080"/>
                                  <w:noWrap/>
                                  <w:vAlign w:val="bottom"/>
                                  <w:hideMark/>
                                </w:tcPr>
                                <w:p w14:paraId="6DC6ED07" w14:textId="77777777" w:rsidR="000702C6" w:rsidRDefault="000702C6">
                                  <w:pPr>
                                    <w:widowControl/>
                                    <w:spacing w:after="0" w:line="256" w:lineRule="auto"/>
                                    <w:jc w:val="center"/>
                                    <w:rPr>
                                      <w:rFonts w:ascii="Calibri" w:hAnsi="Calibri" w:cs="Calibri"/>
                                      <w:b/>
                                      <w:bCs/>
                                      <w:color w:val="FFFFFF"/>
                                      <w:sz w:val="18"/>
                                      <w:szCs w:val="18"/>
                                    </w:rPr>
                                  </w:pPr>
                                  <w:r>
                                    <w:rPr>
                                      <w:rFonts w:ascii="Calibri" w:hAnsi="Calibri" w:cs="Calibri"/>
                                      <w:b/>
                                      <w:bCs/>
                                      <w:color w:val="FFFFFF"/>
                                      <w:sz w:val="18"/>
                                      <w:szCs w:val="18"/>
                                    </w:rPr>
                                    <w:t>2023</w:t>
                                  </w:r>
                                </w:p>
                              </w:tc>
                              <w:tc>
                                <w:tcPr>
                                  <w:tcW w:w="920" w:type="dxa"/>
                                  <w:tcBorders>
                                    <w:top w:val="nil"/>
                                    <w:left w:val="nil"/>
                                    <w:bottom w:val="nil"/>
                                    <w:right w:val="single" w:sz="4" w:space="0" w:color="auto"/>
                                  </w:tcBorders>
                                  <w:shd w:val="clear" w:color="auto" w:fill="808080"/>
                                  <w:noWrap/>
                                  <w:vAlign w:val="bottom"/>
                                  <w:hideMark/>
                                </w:tcPr>
                                <w:p w14:paraId="038028D2" w14:textId="77777777" w:rsidR="000702C6" w:rsidRDefault="000702C6">
                                  <w:pPr>
                                    <w:widowControl/>
                                    <w:spacing w:after="0" w:line="256" w:lineRule="auto"/>
                                    <w:jc w:val="center"/>
                                    <w:rPr>
                                      <w:rFonts w:ascii="Calibri" w:hAnsi="Calibri" w:cs="Calibri"/>
                                      <w:b/>
                                      <w:bCs/>
                                      <w:color w:val="FFFFFF"/>
                                      <w:sz w:val="18"/>
                                      <w:szCs w:val="18"/>
                                    </w:rPr>
                                  </w:pPr>
                                  <w:r>
                                    <w:rPr>
                                      <w:rFonts w:ascii="Calibri" w:hAnsi="Calibri" w:cs="Calibri"/>
                                      <w:b/>
                                      <w:bCs/>
                                      <w:color w:val="FFFFFF"/>
                                      <w:sz w:val="18"/>
                                      <w:szCs w:val="18"/>
                                    </w:rPr>
                                    <w:t>2024</w:t>
                                  </w:r>
                                </w:p>
                              </w:tc>
                              <w:tc>
                                <w:tcPr>
                                  <w:tcW w:w="920" w:type="dxa"/>
                                  <w:tcBorders>
                                    <w:top w:val="nil"/>
                                    <w:left w:val="nil"/>
                                    <w:bottom w:val="nil"/>
                                    <w:right w:val="single" w:sz="4" w:space="0" w:color="auto"/>
                                  </w:tcBorders>
                                  <w:shd w:val="clear" w:color="auto" w:fill="808080"/>
                                  <w:noWrap/>
                                  <w:vAlign w:val="bottom"/>
                                  <w:hideMark/>
                                </w:tcPr>
                                <w:p w14:paraId="66AABCC1" w14:textId="77777777" w:rsidR="000702C6" w:rsidRDefault="000702C6">
                                  <w:pPr>
                                    <w:widowControl/>
                                    <w:spacing w:after="0" w:line="256" w:lineRule="auto"/>
                                    <w:jc w:val="center"/>
                                    <w:rPr>
                                      <w:rFonts w:ascii="Calibri" w:hAnsi="Calibri" w:cs="Calibri"/>
                                      <w:b/>
                                      <w:bCs/>
                                      <w:color w:val="FFFFFF"/>
                                      <w:sz w:val="18"/>
                                      <w:szCs w:val="18"/>
                                    </w:rPr>
                                  </w:pPr>
                                  <w:r>
                                    <w:rPr>
                                      <w:rFonts w:ascii="Calibri" w:hAnsi="Calibri" w:cs="Calibri"/>
                                      <w:b/>
                                      <w:bCs/>
                                      <w:color w:val="FFFFFF"/>
                                      <w:sz w:val="18"/>
                                      <w:szCs w:val="18"/>
                                    </w:rPr>
                                    <w:t>2025</w:t>
                                  </w:r>
                                </w:p>
                              </w:tc>
                              <w:tc>
                                <w:tcPr>
                                  <w:tcW w:w="920" w:type="dxa"/>
                                  <w:tcBorders>
                                    <w:top w:val="nil"/>
                                    <w:left w:val="nil"/>
                                    <w:bottom w:val="nil"/>
                                    <w:right w:val="single" w:sz="4" w:space="0" w:color="auto"/>
                                  </w:tcBorders>
                                  <w:shd w:val="clear" w:color="auto" w:fill="808080"/>
                                  <w:noWrap/>
                                  <w:vAlign w:val="bottom"/>
                                  <w:hideMark/>
                                </w:tcPr>
                                <w:p w14:paraId="3F18285B" w14:textId="77777777" w:rsidR="000702C6" w:rsidRDefault="000702C6">
                                  <w:pPr>
                                    <w:widowControl/>
                                    <w:spacing w:after="0" w:line="256" w:lineRule="auto"/>
                                    <w:jc w:val="center"/>
                                    <w:rPr>
                                      <w:rFonts w:ascii="Calibri" w:hAnsi="Calibri" w:cs="Calibri"/>
                                      <w:b/>
                                      <w:bCs/>
                                      <w:color w:val="FFFFFF"/>
                                      <w:sz w:val="18"/>
                                      <w:szCs w:val="18"/>
                                    </w:rPr>
                                  </w:pPr>
                                  <w:r>
                                    <w:rPr>
                                      <w:rFonts w:ascii="Calibri" w:hAnsi="Calibri" w:cs="Calibri"/>
                                      <w:b/>
                                      <w:bCs/>
                                      <w:color w:val="FFFFFF"/>
                                      <w:sz w:val="18"/>
                                      <w:szCs w:val="18"/>
                                    </w:rPr>
                                    <w:t>2026</w:t>
                                  </w:r>
                                </w:p>
                              </w:tc>
                              <w:tc>
                                <w:tcPr>
                                  <w:tcW w:w="920" w:type="dxa"/>
                                  <w:tcBorders>
                                    <w:top w:val="nil"/>
                                    <w:left w:val="nil"/>
                                    <w:bottom w:val="single" w:sz="4" w:space="0" w:color="auto"/>
                                    <w:right w:val="single" w:sz="4" w:space="0" w:color="auto"/>
                                  </w:tcBorders>
                                  <w:shd w:val="clear" w:color="auto" w:fill="808080"/>
                                  <w:noWrap/>
                                  <w:vAlign w:val="bottom"/>
                                  <w:hideMark/>
                                </w:tcPr>
                                <w:p w14:paraId="1CD108A6" w14:textId="77777777" w:rsidR="000702C6" w:rsidRDefault="000702C6">
                                  <w:pPr>
                                    <w:widowControl/>
                                    <w:spacing w:after="0" w:line="256" w:lineRule="auto"/>
                                    <w:jc w:val="center"/>
                                    <w:rPr>
                                      <w:rFonts w:ascii="Calibri" w:hAnsi="Calibri" w:cs="Calibri"/>
                                      <w:b/>
                                      <w:bCs/>
                                      <w:color w:val="FFFFFF"/>
                                      <w:sz w:val="18"/>
                                      <w:szCs w:val="18"/>
                                    </w:rPr>
                                  </w:pPr>
                                  <w:r>
                                    <w:rPr>
                                      <w:rFonts w:ascii="Calibri" w:hAnsi="Calibri" w:cs="Calibri"/>
                                      <w:b/>
                                      <w:bCs/>
                                      <w:color w:val="FFFFFF"/>
                                      <w:sz w:val="18"/>
                                      <w:szCs w:val="18"/>
                                    </w:rPr>
                                    <w:t>2027</w:t>
                                  </w:r>
                                </w:p>
                              </w:tc>
                            </w:tr>
                            <w:tr w:rsidR="000702C6" w14:paraId="2B1BE913" w14:textId="77777777">
                              <w:trPr>
                                <w:trHeight w:val="300"/>
                              </w:trPr>
                              <w:tc>
                                <w:tcPr>
                                  <w:tcW w:w="7960" w:type="dxa"/>
                                  <w:gridSpan w:val="7"/>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5E9E1FD" w14:textId="77777777" w:rsidR="000702C6" w:rsidRDefault="000702C6">
                                  <w:pPr>
                                    <w:widowControl/>
                                    <w:spacing w:after="0" w:line="256" w:lineRule="auto"/>
                                    <w:jc w:val="left"/>
                                    <w:rPr>
                                      <w:rFonts w:ascii="Calibri" w:hAnsi="Calibri" w:cs="Calibri"/>
                                      <w:b/>
                                      <w:bCs/>
                                      <w:color w:val="000000"/>
                                      <w:sz w:val="18"/>
                                      <w:szCs w:val="18"/>
                                    </w:rPr>
                                  </w:pPr>
                                  <w:r>
                                    <w:rPr>
                                      <w:rFonts w:ascii="Calibri" w:hAnsi="Calibri" w:cs="Calibri"/>
                                      <w:b/>
                                      <w:bCs/>
                                      <w:color w:val="000000"/>
                                      <w:sz w:val="18"/>
                                      <w:szCs w:val="18"/>
                                    </w:rPr>
                                    <w:t>Input data from program information and custom savings analysis</w:t>
                                  </w:r>
                                </w:p>
                              </w:tc>
                              <w:tc>
                                <w:tcPr>
                                  <w:tcW w:w="920" w:type="dxa"/>
                                  <w:tcBorders>
                                    <w:top w:val="nil"/>
                                    <w:left w:val="nil"/>
                                    <w:bottom w:val="single" w:sz="4" w:space="0" w:color="auto"/>
                                    <w:right w:val="single" w:sz="4" w:space="0" w:color="auto"/>
                                  </w:tcBorders>
                                  <w:shd w:val="clear" w:color="auto" w:fill="D9D9D9"/>
                                  <w:noWrap/>
                                  <w:vAlign w:val="bottom"/>
                                  <w:hideMark/>
                                </w:tcPr>
                                <w:p w14:paraId="288FAE3B" w14:textId="77777777" w:rsidR="000702C6" w:rsidRDefault="000702C6">
                                  <w:pPr>
                                    <w:widowControl/>
                                    <w:spacing w:after="0" w:line="256" w:lineRule="auto"/>
                                    <w:jc w:val="center"/>
                                    <w:rPr>
                                      <w:rFonts w:ascii="Calibri" w:hAnsi="Calibri" w:cs="Calibri"/>
                                      <w:b/>
                                      <w:bCs/>
                                      <w:color w:val="000000"/>
                                      <w:sz w:val="18"/>
                                      <w:szCs w:val="18"/>
                                    </w:rPr>
                                  </w:pPr>
                                  <w:r>
                                    <w:rPr>
                                      <w:rFonts w:ascii="Calibri" w:hAnsi="Calibri" w:cs="Calibri"/>
                                      <w:b/>
                                      <w:bCs/>
                                      <w:color w:val="000000"/>
                                      <w:sz w:val="18"/>
                                      <w:szCs w:val="18"/>
                                    </w:rPr>
                                    <w:t> </w:t>
                                  </w:r>
                                </w:p>
                              </w:tc>
                            </w:tr>
                            <w:tr w:rsidR="000702C6" w14:paraId="232CFD44" w14:textId="77777777">
                              <w:trPr>
                                <w:trHeight w:val="300"/>
                              </w:trPr>
                              <w:tc>
                                <w:tcPr>
                                  <w:tcW w:w="2440" w:type="dxa"/>
                                  <w:tcBorders>
                                    <w:top w:val="nil"/>
                                    <w:left w:val="single" w:sz="4" w:space="0" w:color="auto"/>
                                    <w:bottom w:val="single" w:sz="4" w:space="0" w:color="auto"/>
                                    <w:right w:val="single" w:sz="4" w:space="0" w:color="auto"/>
                                  </w:tcBorders>
                                  <w:noWrap/>
                                  <w:vAlign w:val="bottom"/>
                                  <w:hideMark/>
                                </w:tcPr>
                                <w:p w14:paraId="68C936FF" w14:textId="77777777" w:rsidR="000702C6" w:rsidRDefault="000702C6">
                                  <w:pPr>
                                    <w:widowControl/>
                                    <w:spacing w:after="0" w:line="256" w:lineRule="auto"/>
                                    <w:jc w:val="right"/>
                                    <w:rPr>
                                      <w:rFonts w:ascii="Calibri" w:hAnsi="Calibri" w:cs="Calibri"/>
                                      <w:color w:val="000000"/>
                                      <w:sz w:val="16"/>
                                      <w:szCs w:val="16"/>
                                    </w:rPr>
                                  </w:pPr>
                                  <w:r>
                                    <w:rPr>
                                      <w:rFonts w:ascii="Calibri" w:hAnsi="Calibri" w:cs="Calibri"/>
                                      <w:color w:val="000000"/>
                                      <w:sz w:val="16"/>
                                      <w:szCs w:val="16"/>
                                    </w:rPr>
                                    <w:t># Participants (households)</w:t>
                                  </w:r>
                                </w:p>
                              </w:tc>
                              <w:tc>
                                <w:tcPr>
                                  <w:tcW w:w="920" w:type="dxa"/>
                                  <w:tcBorders>
                                    <w:top w:val="nil"/>
                                    <w:left w:val="nil"/>
                                    <w:bottom w:val="single" w:sz="4" w:space="0" w:color="auto"/>
                                    <w:right w:val="single" w:sz="4" w:space="0" w:color="auto"/>
                                  </w:tcBorders>
                                  <w:noWrap/>
                                  <w:vAlign w:val="bottom"/>
                                  <w:hideMark/>
                                </w:tcPr>
                                <w:p w14:paraId="0A4FBE37" w14:textId="77777777" w:rsidR="000702C6" w:rsidRDefault="000702C6">
                                  <w:pPr>
                                    <w:widowControl/>
                                    <w:spacing w:after="0" w:line="256" w:lineRule="auto"/>
                                    <w:jc w:val="right"/>
                                    <w:rPr>
                                      <w:rFonts w:ascii="Calibri" w:hAnsi="Calibri" w:cs="Calibri"/>
                                      <w:color w:val="000000"/>
                                      <w:sz w:val="16"/>
                                      <w:szCs w:val="16"/>
                                    </w:rPr>
                                  </w:pPr>
                                  <w:r>
                                    <w:rPr>
                                      <w:rFonts w:ascii="Calibri" w:hAnsi="Calibri" w:cs="Calibri"/>
                                      <w:color w:val="000000"/>
                                      <w:sz w:val="16"/>
                                      <w:szCs w:val="16"/>
                                    </w:rPr>
                                    <w:t>120,000</w:t>
                                  </w:r>
                                </w:p>
                              </w:tc>
                              <w:tc>
                                <w:tcPr>
                                  <w:tcW w:w="920" w:type="dxa"/>
                                  <w:tcBorders>
                                    <w:top w:val="nil"/>
                                    <w:left w:val="nil"/>
                                    <w:bottom w:val="single" w:sz="4" w:space="0" w:color="auto"/>
                                    <w:right w:val="single" w:sz="4" w:space="0" w:color="auto"/>
                                  </w:tcBorders>
                                  <w:noWrap/>
                                  <w:vAlign w:val="bottom"/>
                                  <w:hideMark/>
                                </w:tcPr>
                                <w:p w14:paraId="3040F4D6" w14:textId="77777777" w:rsidR="000702C6" w:rsidRDefault="000702C6">
                                  <w:pPr>
                                    <w:widowControl/>
                                    <w:spacing w:after="0" w:line="256" w:lineRule="auto"/>
                                    <w:jc w:val="right"/>
                                    <w:rPr>
                                      <w:rFonts w:ascii="Calibri" w:hAnsi="Calibri" w:cs="Calibri"/>
                                      <w:color w:val="000000"/>
                                      <w:sz w:val="16"/>
                                      <w:szCs w:val="16"/>
                                    </w:rPr>
                                  </w:pPr>
                                  <w:r>
                                    <w:rPr>
                                      <w:rFonts w:ascii="Calibri" w:hAnsi="Calibri" w:cs="Calibri"/>
                                      <w:color w:val="000000"/>
                                      <w:sz w:val="16"/>
                                      <w:szCs w:val="16"/>
                                    </w:rPr>
                                    <w:t>109,000</w:t>
                                  </w:r>
                                </w:p>
                              </w:tc>
                              <w:tc>
                                <w:tcPr>
                                  <w:tcW w:w="920" w:type="dxa"/>
                                  <w:tcBorders>
                                    <w:top w:val="nil"/>
                                    <w:left w:val="nil"/>
                                    <w:bottom w:val="single" w:sz="4" w:space="0" w:color="auto"/>
                                    <w:right w:val="single" w:sz="4" w:space="0" w:color="auto"/>
                                  </w:tcBorders>
                                  <w:noWrap/>
                                  <w:vAlign w:val="bottom"/>
                                  <w:hideMark/>
                                </w:tcPr>
                                <w:p w14:paraId="46FD79B4" w14:textId="77777777" w:rsidR="000702C6" w:rsidRDefault="000702C6">
                                  <w:pPr>
                                    <w:widowControl/>
                                    <w:spacing w:after="0" w:line="256" w:lineRule="auto"/>
                                    <w:jc w:val="right"/>
                                    <w:rPr>
                                      <w:rFonts w:ascii="Calibri" w:hAnsi="Calibri" w:cs="Calibri"/>
                                      <w:color w:val="000000"/>
                                      <w:sz w:val="16"/>
                                      <w:szCs w:val="16"/>
                                    </w:rPr>
                                  </w:pPr>
                                  <w:r>
                                    <w:rPr>
                                      <w:rFonts w:ascii="Calibri" w:hAnsi="Calibri" w:cs="Calibri"/>
                                      <w:color w:val="000000"/>
                                      <w:sz w:val="16"/>
                                      <w:szCs w:val="16"/>
                                    </w:rPr>
                                    <w:t>103,000</w:t>
                                  </w:r>
                                </w:p>
                              </w:tc>
                              <w:tc>
                                <w:tcPr>
                                  <w:tcW w:w="920" w:type="dxa"/>
                                  <w:tcBorders>
                                    <w:top w:val="nil"/>
                                    <w:left w:val="nil"/>
                                    <w:bottom w:val="single" w:sz="4" w:space="0" w:color="auto"/>
                                    <w:right w:val="single" w:sz="4" w:space="0" w:color="auto"/>
                                  </w:tcBorders>
                                  <w:noWrap/>
                                  <w:vAlign w:val="bottom"/>
                                  <w:hideMark/>
                                </w:tcPr>
                                <w:p w14:paraId="0532BE91" w14:textId="77777777" w:rsidR="000702C6" w:rsidRDefault="000702C6">
                                  <w:pPr>
                                    <w:widowControl/>
                                    <w:spacing w:after="0" w:line="256" w:lineRule="auto"/>
                                    <w:jc w:val="right"/>
                                    <w:rPr>
                                      <w:rFonts w:ascii="Calibri" w:hAnsi="Calibri" w:cs="Calibri"/>
                                      <w:color w:val="000000"/>
                                      <w:sz w:val="16"/>
                                      <w:szCs w:val="16"/>
                                    </w:rPr>
                                  </w:pPr>
                                  <w:r>
                                    <w:rPr>
                                      <w:rFonts w:ascii="Calibri" w:hAnsi="Calibri" w:cs="Calibri"/>
                                      <w:color w:val="000000"/>
                                      <w:sz w:val="16"/>
                                      <w:szCs w:val="16"/>
                                    </w:rPr>
                                    <w:t>99,000</w:t>
                                  </w:r>
                                </w:p>
                              </w:tc>
                              <w:tc>
                                <w:tcPr>
                                  <w:tcW w:w="920" w:type="dxa"/>
                                  <w:tcBorders>
                                    <w:top w:val="nil"/>
                                    <w:left w:val="nil"/>
                                    <w:bottom w:val="single" w:sz="4" w:space="0" w:color="auto"/>
                                    <w:right w:val="single" w:sz="4" w:space="0" w:color="auto"/>
                                  </w:tcBorders>
                                  <w:noWrap/>
                                  <w:vAlign w:val="bottom"/>
                                  <w:hideMark/>
                                </w:tcPr>
                                <w:p w14:paraId="06C581CB" w14:textId="77777777" w:rsidR="000702C6" w:rsidRDefault="000702C6">
                                  <w:pPr>
                                    <w:widowControl/>
                                    <w:spacing w:after="0" w:line="256" w:lineRule="auto"/>
                                    <w:jc w:val="right"/>
                                    <w:rPr>
                                      <w:rFonts w:ascii="Calibri" w:hAnsi="Calibri" w:cs="Calibri"/>
                                      <w:color w:val="000000"/>
                                      <w:sz w:val="16"/>
                                      <w:szCs w:val="16"/>
                                    </w:rPr>
                                  </w:pPr>
                                  <w:r>
                                    <w:rPr>
                                      <w:rFonts w:ascii="Calibri" w:hAnsi="Calibri" w:cs="Calibri"/>
                                      <w:color w:val="000000"/>
                                      <w:sz w:val="16"/>
                                      <w:szCs w:val="16"/>
                                    </w:rPr>
                                    <w:t>94,000</w:t>
                                  </w:r>
                                </w:p>
                              </w:tc>
                              <w:tc>
                                <w:tcPr>
                                  <w:tcW w:w="920" w:type="dxa"/>
                                  <w:tcBorders>
                                    <w:top w:val="nil"/>
                                    <w:left w:val="nil"/>
                                    <w:bottom w:val="single" w:sz="4" w:space="0" w:color="auto"/>
                                    <w:right w:val="single" w:sz="4" w:space="0" w:color="auto"/>
                                  </w:tcBorders>
                                  <w:noWrap/>
                                  <w:vAlign w:val="bottom"/>
                                  <w:hideMark/>
                                </w:tcPr>
                                <w:p w14:paraId="6210F64D" w14:textId="77777777" w:rsidR="000702C6" w:rsidRDefault="000702C6">
                                  <w:pPr>
                                    <w:widowControl/>
                                    <w:spacing w:after="0" w:line="256" w:lineRule="auto"/>
                                    <w:jc w:val="right"/>
                                    <w:rPr>
                                      <w:rFonts w:ascii="Calibri" w:hAnsi="Calibri" w:cs="Calibri"/>
                                      <w:color w:val="000000"/>
                                      <w:sz w:val="16"/>
                                      <w:szCs w:val="16"/>
                                    </w:rPr>
                                  </w:pPr>
                                  <w:r>
                                    <w:rPr>
                                      <w:rFonts w:ascii="Calibri" w:hAnsi="Calibri" w:cs="Calibri"/>
                                      <w:color w:val="000000"/>
                                      <w:sz w:val="16"/>
                                      <w:szCs w:val="16"/>
                                    </w:rPr>
                                    <w:t>90,000</w:t>
                                  </w:r>
                                </w:p>
                              </w:tc>
                              <w:tc>
                                <w:tcPr>
                                  <w:tcW w:w="920" w:type="dxa"/>
                                  <w:tcBorders>
                                    <w:top w:val="nil"/>
                                    <w:left w:val="nil"/>
                                    <w:bottom w:val="single" w:sz="4" w:space="0" w:color="auto"/>
                                    <w:right w:val="single" w:sz="4" w:space="0" w:color="auto"/>
                                  </w:tcBorders>
                                  <w:noWrap/>
                                  <w:vAlign w:val="bottom"/>
                                  <w:hideMark/>
                                </w:tcPr>
                                <w:p w14:paraId="3FC5D299" w14:textId="77777777" w:rsidR="000702C6" w:rsidRDefault="000702C6">
                                  <w:pPr>
                                    <w:widowControl/>
                                    <w:spacing w:after="0" w:line="256" w:lineRule="auto"/>
                                    <w:jc w:val="right"/>
                                    <w:rPr>
                                      <w:rFonts w:ascii="Calibri" w:hAnsi="Calibri" w:cs="Calibri"/>
                                      <w:color w:val="000000"/>
                                      <w:sz w:val="16"/>
                                      <w:szCs w:val="16"/>
                                    </w:rPr>
                                  </w:pPr>
                                  <w:r>
                                    <w:rPr>
                                      <w:rFonts w:ascii="Calibri" w:hAnsi="Calibri" w:cs="Calibri"/>
                                      <w:color w:val="000000"/>
                                      <w:sz w:val="16"/>
                                      <w:szCs w:val="16"/>
                                    </w:rPr>
                                    <w:t>88,000</w:t>
                                  </w:r>
                                </w:p>
                              </w:tc>
                            </w:tr>
                            <w:tr w:rsidR="000702C6" w14:paraId="148C5D6F" w14:textId="77777777">
                              <w:trPr>
                                <w:trHeight w:val="300"/>
                              </w:trPr>
                              <w:tc>
                                <w:tcPr>
                                  <w:tcW w:w="2440" w:type="dxa"/>
                                  <w:tcBorders>
                                    <w:top w:val="nil"/>
                                    <w:left w:val="single" w:sz="4" w:space="0" w:color="auto"/>
                                    <w:bottom w:val="single" w:sz="4" w:space="0" w:color="auto"/>
                                    <w:right w:val="single" w:sz="4" w:space="0" w:color="auto"/>
                                  </w:tcBorders>
                                  <w:noWrap/>
                                  <w:vAlign w:val="bottom"/>
                                  <w:hideMark/>
                                </w:tcPr>
                                <w:p w14:paraId="0FFCF0B3" w14:textId="77777777" w:rsidR="000702C6" w:rsidRDefault="000702C6">
                                  <w:pPr>
                                    <w:widowControl/>
                                    <w:spacing w:after="0" w:line="256" w:lineRule="auto"/>
                                    <w:jc w:val="right"/>
                                    <w:rPr>
                                      <w:rFonts w:ascii="Calibri" w:hAnsi="Calibri" w:cs="Calibri"/>
                                      <w:color w:val="000000"/>
                                      <w:sz w:val="16"/>
                                      <w:szCs w:val="16"/>
                                    </w:rPr>
                                  </w:pPr>
                                  <w:r>
                                    <w:rPr>
                                      <w:rFonts w:ascii="Calibri" w:hAnsi="Calibri" w:cs="Calibri"/>
                                      <w:color w:val="000000"/>
                                      <w:sz w:val="16"/>
                                      <w:szCs w:val="16"/>
                                    </w:rPr>
                                    <w:t>kWh per participant (household)</w:t>
                                  </w:r>
                                </w:p>
                              </w:tc>
                              <w:tc>
                                <w:tcPr>
                                  <w:tcW w:w="920" w:type="dxa"/>
                                  <w:tcBorders>
                                    <w:top w:val="nil"/>
                                    <w:left w:val="nil"/>
                                    <w:bottom w:val="single" w:sz="4" w:space="0" w:color="auto"/>
                                    <w:right w:val="single" w:sz="4" w:space="0" w:color="auto"/>
                                  </w:tcBorders>
                                  <w:noWrap/>
                                  <w:vAlign w:val="bottom"/>
                                  <w:hideMark/>
                                </w:tcPr>
                                <w:p w14:paraId="75AAB214" w14:textId="77777777" w:rsidR="000702C6" w:rsidRDefault="000702C6">
                                  <w:pPr>
                                    <w:widowControl/>
                                    <w:spacing w:after="0" w:line="256" w:lineRule="auto"/>
                                    <w:jc w:val="right"/>
                                    <w:rPr>
                                      <w:rFonts w:ascii="Calibri" w:hAnsi="Calibri" w:cs="Calibri"/>
                                      <w:color w:val="000000"/>
                                      <w:sz w:val="16"/>
                                      <w:szCs w:val="16"/>
                                    </w:rPr>
                                  </w:pPr>
                                  <w:r>
                                    <w:rPr>
                                      <w:rFonts w:ascii="Calibri" w:hAnsi="Calibri" w:cs="Calibri"/>
                                      <w:color w:val="000000"/>
                                      <w:sz w:val="16"/>
                                      <w:szCs w:val="16"/>
                                    </w:rPr>
                                    <w:t>200</w:t>
                                  </w:r>
                                </w:p>
                              </w:tc>
                              <w:tc>
                                <w:tcPr>
                                  <w:tcW w:w="920" w:type="dxa"/>
                                  <w:tcBorders>
                                    <w:top w:val="nil"/>
                                    <w:left w:val="nil"/>
                                    <w:bottom w:val="single" w:sz="4" w:space="0" w:color="auto"/>
                                    <w:right w:val="single" w:sz="4" w:space="0" w:color="auto"/>
                                  </w:tcBorders>
                                  <w:noWrap/>
                                  <w:vAlign w:val="bottom"/>
                                  <w:hideMark/>
                                </w:tcPr>
                                <w:p w14:paraId="307EAC2B" w14:textId="77777777" w:rsidR="000702C6" w:rsidRDefault="000702C6">
                                  <w:pPr>
                                    <w:widowControl/>
                                    <w:spacing w:after="0" w:line="256" w:lineRule="auto"/>
                                    <w:jc w:val="right"/>
                                    <w:rPr>
                                      <w:rFonts w:ascii="Calibri" w:hAnsi="Calibri" w:cs="Calibri"/>
                                      <w:color w:val="000000"/>
                                      <w:sz w:val="16"/>
                                      <w:szCs w:val="16"/>
                                    </w:rPr>
                                  </w:pPr>
                                  <w:r>
                                    <w:rPr>
                                      <w:rFonts w:ascii="Calibri" w:hAnsi="Calibri" w:cs="Calibri"/>
                                      <w:color w:val="000000"/>
                                      <w:sz w:val="16"/>
                                      <w:szCs w:val="16"/>
                                    </w:rPr>
                                    <w:t>250</w:t>
                                  </w:r>
                                </w:p>
                              </w:tc>
                              <w:tc>
                                <w:tcPr>
                                  <w:tcW w:w="920" w:type="dxa"/>
                                  <w:tcBorders>
                                    <w:top w:val="nil"/>
                                    <w:left w:val="nil"/>
                                    <w:bottom w:val="single" w:sz="4" w:space="0" w:color="auto"/>
                                    <w:right w:val="single" w:sz="4" w:space="0" w:color="auto"/>
                                  </w:tcBorders>
                                  <w:noWrap/>
                                  <w:vAlign w:val="bottom"/>
                                  <w:hideMark/>
                                </w:tcPr>
                                <w:p w14:paraId="069FADB0" w14:textId="77777777" w:rsidR="000702C6" w:rsidRDefault="000702C6">
                                  <w:pPr>
                                    <w:widowControl/>
                                    <w:spacing w:after="0" w:line="256" w:lineRule="auto"/>
                                    <w:jc w:val="right"/>
                                    <w:rPr>
                                      <w:rFonts w:ascii="Calibri" w:hAnsi="Calibri" w:cs="Calibri"/>
                                      <w:color w:val="000000"/>
                                      <w:sz w:val="16"/>
                                      <w:szCs w:val="16"/>
                                    </w:rPr>
                                  </w:pPr>
                                  <w:r>
                                    <w:rPr>
                                      <w:rFonts w:ascii="Calibri" w:hAnsi="Calibri" w:cs="Calibri"/>
                                      <w:color w:val="000000"/>
                                      <w:sz w:val="16"/>
                                      <w:szCs w:val="16"/>
                                    </w:rPr>
                                    <w:t>245</w:t>
                                  </w:r>
                                </w:p>
                              </w:tc>
                              <w:tc>
                                <w:tcPr>
                                  <w:tcW w:w="920" w:type="dxa"/>
                                  <w:tcBorders>
                                    <w:top w:val="nil"/>
                                    <w:left w:val="nil"/>
                                    <w:bottom w:val="single" w:sz="4" w:space="0" w:color="auto"/>
                                    <w:right w:val="single" w:sz="4" w:space="0" w:color="auto"/>
                                  </w:tcBorders>
                                  <w:noWrap/>
                                  <w:vAlign w:val="bottom"/>
                                  <w:hideMark/>
                                </w:tcPr>
                                <w:p w14:paraId="36D6F807" w14:textId="77777777" w:rsidR="000702C6" w:rsidRDefault="000702C6">
                                  <w:pPr>
                                    <w:widowControl/>
                                    <w:spacing w:after="0" w:line="256" w:lineRule="auto"/>
                                    <w:jc w:val="right"/>
                                    <w:rPr>
                                      <w:rFonts w:ascii="Calibri" w:hAnsi="Calibri" w:cs="Calibri"/>
                                      <w:color w:val="000000"/>
                                      <w:sz w:val="16"/>
                                      <w:szCs w:val="16"/>
                                    </w:rPr>
                                  </w:pPr>
                                  <w:r>
                                    <w:rPr>
                                      <w:rFonts w:ascii="Calibri" w:hAnsi="Calibri" w:cs="Calibri"/>
                                      <w:color w:val="000000"/>
                                      <w:sz w:val="16"/>
                                      <w:szCs w:val="16"/>
                                    </w:rPr>
                                    <w:t>250</w:t>
                                  </w:r>
                                </w:p>
                              </w:tc>
                              <w:tc>
                                <w:tcPr>
                                  <w:tcW w:w="920" w:type="dxa"/>
                                  <w:tcBorders>
                                    <w:top w:val="nil"/>
                                    <w:left w:val="nil"/>
                                    <w:bottom w:val="single" w:sz="4" w:space="0" w:color="auto"/>
                                    <w:right w:val="single" w:sz="4" w:space="0" w:color="auto"/>
                                  </w:tcBorders>
                                  <w:noWrap/>
                                  <w:vAlign w:val="bottom"/>
                                  <w:hideMark/>
                                </w:tcPr>
                                <w:p w14:paraId="6FF5FC22" w14:textId="77777777" w:rsidR="000702C6" w:rsidRDefault="000702C6">
                                  <w:pPr>
                                    <w:widowControl/>
                                    <w:spacing w:after="0" w:line="256" w:lineRule="auto"/>
                                    <w:jc w:val="right"/>
                                    <w:rPr>
                                      <w:rFonts w:ascii="Calibri" w:hAnsi="Calibri" w:cs="Calibri"/>
                                      <w:color w:val="000000"/>
                                      <w:sz w:val="16"/>
                                      <w:szCs w:val="16"/>
                                    </w:rPr>
                                  </w:pPr>
                                  <w:r>
                                    <w:rPr>
                                      <w:rFonts w:ascii="Calibri" w:hAnsi="Calibri" w:cs="Calibri"/>
                                      <w:color w:val="000000"/>
                                      <w:sz w:val="16"/>
                                      <w:szCs w:val="16"/>
                                    </w:rPr>
                                    <w:t>250</w:t>
                                  </w:r>
                                </w:p>
                              </w:tc>
                              <w:tc>
                                <w:tcPr>
                                  <w:tcW w:w="920" w:type="dxa"/>
                                  <w:tcBorders>
                                    <w:top w:val="nil"/>
                                    <w:left w:val="nil"/>
                                    <w:bottom w:val="single" w:sz="4" w:space="0" w:color="auto"/>
                                    <w:right w:val="single" w:sz="4" w:space="0" w:color="auto"/>
                                  </w:tcBorders>
                                  <w:noWrap/>
                                  <w:vAlign w:val="bottom"/>
                                  <w:hideMark/>
                                </w:tcPr>
                                <w:p w14:paraId="4AD68B27" w14:textId="77777777" w:rsidR="000702C6" w:rsidRDefault="000702C6">
                                  <w:pPr>
                                    <w:widowControl/>
                                    <w:spacing w:after="0" w:line="256" w:lineRule="auto"/>
                                    <w:jc w:val="right"/>
                                    <w:rPr>
                                      <w:rFonts w:ascii="Calibri" w:hAnsi="Calibri" w:cs="Calibri"/>
                                      <w:color w:val="000000"/>
                                      <w:sz w:val="16"/>
                                      <w:szCs w:val="16"/>
                                    </w:rPr>
                                  </w:pPr>
                                  <w:r>
                                    <w:rPr>
                                      <w:rFonts w:ascii="Calibri" w:hAnsi="Calibri" w:cs="Calibri"/>
                                      <w:color w:val="000000"/>
                                      <w:sz w:val="16"/>
                                      <w:szCs w:val="16"/>
                                    </w:rPr>
                                    <w:t>265</w:t>
                                  </w:r>
                                </w:p>
                              </w:tc>
                              <w:tc>
                                <w:tcPr>
                                  <w:tcW w:w="920" w:type="dxa"/>
                                  <w:tcBorders>
                                    <w:top w:val="nil"/>
                                    <w:left w:val="nil"/>
                                    <w:bottom w:val="single" w:sz="4" w:space="0" w:color="auto"/>
                                    <w:right w:val="single" w:sz="4" w:space="0" w:color="auto"/>
                                  </w:tcBorders>
                                  <w:noWrap/>
                                  <w:vAlign w:val="bottom"/>
                                  <w:hideMark/>
                                </w:tcPr>
                                <w:p w14:paraId="23A5391A" w14:textId="77777777" w:rsidR="000702C6" w:rsidRDefault="000702C6">
                                  <w:pPr>
                                    <w:widowControl/>
                                    <w:spacing w:after="0" w:line="256" w:lineRule="auto"/>
                                    <w:jc w:val="right"/>
                                    <w:rPr>
                                      <w:rFonts w:ascii="Calibri" w:hAnsi="Calibri" w:cs="Calibri"/>
                                      <w:color w:val="000000"/>
                                      <w:sz w:val="16"/>
                                      <w:szCs w:val="16"/>
                                    </w:rPr>
                                  </w:pPr>
                                  <w:r>
                                    <w:rPr>
                                      <w:rFonts w:ascii="Calibri" w:hAnsi="Calibri" w:cs="Calibri"/>
                                      <w:color w:val="000000"/>
                                      <w:sz w:val="16"/>
                                      <w:szCs w:val="16"/>
                                    </w:rPr>
                                    <w:t>265</w:t>
                                  </w:r>
                                </w:p>
                              </w:tc>
                            </w:tr>
                            <w:tr w:rsidR="000702C6" w14:paraId="22291A3B" w14:textId="77777777">
                              <w:trPr>
                                <w:trHeight w:val="300"/>
                              </w:trPr>
                              <w:tc>
                                <w:tcPr>
                                  <w:tcW w:w="2440" w:type="dxa"/>
                                  <w:tcBorders>
                                    <w:top w:val="nil"/>
                                    <w:left w:val="single" w:sz="4" w:space="0" w:color="auto"/>
                                    <w:bottom w:val="single" w:sz="4" w:space="0" w:color="auto"/>
                                    <w:right w:val="single" w:sz="4" w:space="0" w:color="auto"/>
                                  </w:tcBorders>
                                  <w:noWrap/>
                                  <w:vAlign w:val="bottom"/>
                                  <w:hideMark/>
                                </w:tcPr>
                                <w:p w14:paraId="67E92DA2" w14:textId="77777777" w:rsidR="000702C6" w:rsidRDefault="000702C6">
                                  <w:pPr>
                                    <w:widowControl/>
                                    <w:spacing w:after="0" w:line="256" w:lineRule="auto"/>
                                    <w:jc w:val="right"/>
                                    <w:rPr>
                                      <w:rFonts w:ascii="Calibri" w:hAnsi="Calibri" w:cs="Calibri"/>
                                      <w:color w:val="000000"/>
                                      <w:sz w:val="16"/>
                                      <w:szCs w:val="16"/>
                                    </w:rPr>
                                  </w:pPr>
                                  <w:r>
                                    <w:rPr>
                                      <w:rFonts w:ascii="Calibri" w:hAnsi="Calibri" w:cs="Calibri"/>
                                      <w:color w:val="000000"/>
                                      <w:sz w:val="16"/>
                                      <w:szCs w:val="16"/>
                                    </w:rPr>
                                    <w:t>kWh Measured savings (custom)</w:t>
                                  </w:r>
                                </w:p>
                              </w:tc>
                              <w:tc>
                                <w:tcPr>
                                  <w:tcW w:w="920" w:type="dxa"/>
                                  <w:tcBorders>
                                    <w:top w:val="nil"/>
                                    <w:left w:val="nil"/>
                                    <w:bottom w:val="single" w:sz="4" w:space="0" w:color="auto"/>
                                    <w:right w:val="single" w:sz="4" w:space="0" w:color="auto"/>
                                  </w:tcBorders>
                                  <w:noWrap/>
                                  <w:vAlign w:val="bottom"/>
                                  <w:hideMark/>
                                </w:tcPr>
                                <w:p w14:paraId="77889689" w14:textId="77777777" w:rsidR="000702C6" w:rsidRDefault="000702C6">
                                  <w:pPr>
                                    <w:widowControl/>
                                    <w:spacing w:after="0" w:line="256" w:lineRule="auto"/>
                                    <w:jc w:val="right"/>
                                    <w:rPr>
                                      <w:rFonts w:ascii="Calibri" w:hAnsi="Calibri" w:cs="Calibri"/>
                                      <w:color w:val="000000"/>
                                      <w:sz w:val="16"/>
                                      <w:szCs w:val="16"/>
                                    </w:rPr>
                                  </w:pPr>
                                  <w:r>
                                    <w:rPr>
                                      <w:rFonts w:ascii="Calibri" w:hAnsi="Calibri" w:cs="Calibri"/>
                                      <w:color w:val="000000"/>
                                      <w:sz w:val="16"/>
                                      <w:szCs w:val="16"/>
                                    </w:rPr>
                                    <w:t>24,000,000</w:t>
                                  </w:r>
                                </w:p>
                              </w:tc>
                              <w:tc>
                                <w:tcPr>
                                  <w:tcW w:w="920" w:type="dxa"/>
                                  <w:tcBorders>
                                    <w:top w:val="nil"/>
                                    <w:left w:val="nil"/>
                                    <w:bottom w:val="single" w:sz="4" w:space="0" w:color="auto"/>
                                    <w:right w:val="single" w:sz="4" w:space="0" w:color="auto"/>
                                  </w:tcBorders>
                                  <w:noWrap/>
                                  <w:vAlign w:val="bottom"/>
                                  <w:hideMark/>
                                </w:tcPr>
                                <w:p w14:paraId="4E03FB2E" w14:textId="77777777" w:rsidR="000702C6" w:rsidRDefault="000702C6">
                                  <w:pPr>
                                    <w:widowControl/>
                                    <w:spacing w:after="0" w:line="256" w:lineRule="auto"/>
                                    <w:jc w:val="right"/>
                                    <w:rPr>
                                      <w:rFonts w:ascii="Calibri" w:hAnsi="Calibri" w:cs="Calibri"/>
                                      <w:color w:val="000000"/>
                                      <w:sz w:val="16"/>
                                      <w:szCs w:val="16"/>
                                    </w:rPr>
                                  </w:pPr>
                                  <w:r>
                                    <w:rPr>
                                      <w:rFonts w:ascii="Calibri" w:hAnsi="Calibri" w:cs="Calibri"/>
                                      <w:color w:val="000000"/>
                                      <w:sz w:val="16"/>
                                      <w:szCs w:val="16"/>
                                    </w:rPr>
                                    <w:t>27,250,000</w:t>
                                  </w:r>
                                </w:p>
                              </w:tc>
                              <w:tc>
                                <w:tcPr>
                                  <w:tcW w:w="920" w:type="dxa"/>
                                  <w:tcBorders>
                                    <w:top w:val="nil"/>
                                    <w:left w:val="nil"/>
                                    <w:bottom w:val="single" w:sz="4" w:space="0" w:color="auto"/>
                                    <w:right w:val="single" w:sz="4" w:space="0" w:color="auto"/>
                                  </w:tcBorders>
                                  <w:noWrap/>
                                  <w:vAlign w:val="bottom"/>
                                  <w:hideMark/>
                                </w:tcPr>
                                <w:p w14:paraId="09C805D5" w14:textId="77777777" w:rsidR="000702C6" w:rsidRDefault="000702C6">
                                  <w:pPr>
                                    <w:widowControl/>
                                    <w:spacing w:after="0" w:line="256" w:lineRule="auto"/>
                                    <w:jc w:val="right"/>
                                    <w:rPr>
                                      <w:rFonts w:ascii="Calibri" w:hAnsi="Calibri" w:cs="Calibri"/>
                                      <w:color w:val="000000"/>
                                      <w:sz w:val="16"/>
                                      <w:szCs w:val="16"/>
                                    </w:rPr>
                                  </w:pPr>
                                  <w:r>
                                    <w:rPr>
                                      <w:rFonts w:ascii="Calibri" w:hAnsi="Calibri" w:cs="Calibri"/>
                                      <w:color w:val="000000"/>
                                      <w:sz w:val="16"/>
                                      <w:szCs w:val="16"/>
                                    </w:rPr>
                                    <w:t>25,235,000</w:t>
                                  </w:r>
                                </w:p>
                              </w:tc>
                              <w:tc>
                                <w:tcPr>
                                  <w:tcW w:w="920" w:type="dxa"/>
                                  <w:tcBorders>
                                    <w:top w:val="nil"/>
                                    <w:left w:val="nil"/>
                                    <w:bottom w:val="single" w:sz="4" w:space="0" w:color="auto"/>
                                    <w:right w:val="single" w:sz="4" w:space="0" w:color="auto"/>
                                  </w:tcBorders>
                                  <w:noWrap/>
                                  <w:vAlign w:val="bottom"/>
                                  <w:hideMark/>
                                </w:tcPr>
                                <w:p w14:paraId="599461FE" w14:textId="77777777" w:rsidR="000702C6" w:rsidRDefault="000702C6">
                                  <w:pPr>
                                    <w:widowControl/>
                                    <w:spacing w:after="0" w:line="256" w:lineRule="auto"/>
                                    <w:jc w:val="right"/>
                                    <w:rPr>
                                      <w:rFonts w:ascii="Calibri" w:hAnsi="Calibri" w:cs="Calibri"/>
                                      <w:color w:val="000000"/>
                                      <w:sz w:val="16"/>
                                      <w:szCs w:val="16"/>
                                    </w:rPr>
                                  </w:pPr>
                                  <w:r>
                                    <w:rPr>
                                      <w:rFonts w:ascii="Calibri" w:hAnsi="Calibri" w:cs="Calibri"/>
                                      <w:color w:val="000000"/>
                                      <w:sz w:val="16"/>
                                      <w:szCs w:val="16"/>
                                    </w:rPr>
                                    <w:t>24,750,000</w:t>
                                  </w:r>
                                </w:p>
                              </w:tc>
                              <w:tc>
                                <w:tcPr>
                                  <w:tcW w:w="920" w:type="dxa"/>
                                  <w:tcBorders>
                                    <w:top w:val="nil"/>
                                    <w:left w:val="nil"/>
                                    <w:bottom w:val="single" w:sz="4" w:space="0" w:color="auto"/>
                                    <w:right w:val="single" w:sz="4" w:space="0" w:color="auto"/>
                                  </w:tcBorders>
                                  <w:noWrap/>
                                  <w:vAlign w:val="bottom"/>
                                  <w:hideMark/>
                                </w:tcPr>
                                <w:p w14:paraId="2C802E28" w14:textId="77777777" w:rsidR="000702C6" w:rsidRDefault="000702C6">
                                  <w:pPr>
                                    <w:widowControl/>
                                    <w:spacing w:after="0" w:line="256" w:lineRule="auto"/>
                                    <w:jc w:val="right"/>
                                    <w:rPr>
                                      <w:rFonts w:ascii="Calibri" w:hAnsi="Calibri" w:cs="Calibri"/>
                                      <w:color w:val="000000"/>
                                      <w:sz w:val="16"/>
                                      <w:szCs w:val="16"/>
                                    </w:rPr>
                                  </w:pPr>
                                  <w:r>
                                    <w:rPr>
                                      <w:rFonts w:ascii="Calibri" w:hAnsi="Calibri" w:cs="Calibri"/>
                                      <w:color w:val="000000"/>
                                      <w:sz w:val="16"/>
                                      <w:szCs w:val="16"/>
                                    </w:rPr>
                                    <w:t>23,500,000</w:t>
                                  </w:r>
                                </w:p>
                              </w:tc>
                              <w:tc>
                                <w:tcPr>
                                  <w:tcW w:w="920" w:type="dxa"/>
                                  <w:tcBorders>
                                    <w:top w:val="nil"/>
                                    <w:left w:val="nil"/>
                                    <w:bottom w:val="single" w:sz="4" w:space="0" w:color="auto"/>
                                    <w:right w:val="single" w:sz="4" w:space="0" w:color="auto"/>
                                  </w:tcBorders>
                                  <w:noWrap/>
                                  <w:vAlign w:val="bottom"/>
                                  <w:hideMark/>
                                </w:tcPr>
                                <w:p w14:paraId="4C77890D" w14:textId="77777777" w:rsidR="000702C6" w:rsidRDefault="000702C6">
                                  <w:pPr>
                                    <w:widowControl/>
                                    <w:spacing w:after="0" w:line="256" w:lineRule="auto"/>
                                    <w:jc w:val="right"/>
                                    <w:rPr>
                                      <w:rFonts w:ascii="Calibri" w:hAnsi="Calibri" w:cs="Calibri"/>
                                      <w:color w:val="000000"/>
                                      <w:sz w:val="16"/>
                                      <w:szCs w:val="16"/>
                                    </w:rPr>
                                  </w:pPr>
                                  <w:r>
                                    <w:rPr>
                                      <w:rFonts w:ascii="Calibri" w:hAnsi="Calibri" w:cs="Calibri"/>
                                      <w:color w:val="000000"/>
                                      <w:sz w:val="16"/>
                                      <w:szCs w:val="16"/>
                                    </w:rPr>
                                    <w:t>23,850,000</w:t>
                                  </w:r>
                                </w:p>
                              </w:tc>
                              <w:tc>
                                <w:tcPr>
                                  <w:tcW w:w="920" w:type="dxa"/>
                                  <w:tcBorders>
                                    <w:top w:val="nil"/>
                                    <w:left w:val="nil"/>
                                    <w:bottom w:val="single" w:sz="4" w:space="0" w:color="auto"/>
                                    <w:right w:val="single" w:sz="4" w:space="0" w:color="auto"/>
                                  </w:tcBorders>
                                  <w:noWrap/>
                                  <w:vAlign w:val="bottom"/>
                                  <w:hideMark/>
                                </w:tcPr>
                                <w:p w14:paraId="20D18D5E" w14:textId="77777777" w:rsidR="000702C6" w:rsidRDefault="000702C6">
                                  <w:pPr>
                                    <w:widowControl/>
                                    <w:spacing w:after="0" w:line="256" w:lineRule="auto"/>
                                    <w:jc w:val="right"/>
                                    <w:rPr>
                                      <w:rFonts w:ascii="Calibri" w:hAnsi="Calibri" w:cs="Calibri"/>
                                      <w:color w:val="000000"/>
                                      <w:sz w:val="16"/>
                                      <w:szCs w:val="16"/>
                                    </w:rPr>
                                  </w:pPr>
                                  <w:r>
                                    <w:rPr>
                                      <w:rFonts w:ascii="Calibri" w:hAnsi="Calibri" w:cs="Calibri"/>
                                      <w:color w:val="000000"/>
                                      <w:sz w:val="16"/>
                                      <w:szCs w:val="16"/>
                                    </w:rPr>
                                    <w:t>23,320,000</w:t>
                                  </w:r>
                                </w:p>
                              </w:tc>
                            </w:tr>
                          </w:tbl>
                          <w:p w14:paraId="1DDFFD10" w14:textId="77777777" w:rsidR="000702C6" w:rsidRDefault="000702C6" w:rsidP="000702C6">
                            <w:pPr>
                              <w:spacing w:after="0"/>
                              <w:rPr>
                                <w:rFonts w:cstheme="minorHAnsi"/>
                                <w:sz w:val="18"/>
                                <w:szCs w:val="18"/>
                              </w:rPr>
                            </w:pPr>
                          </w:p>
                          <w:p w14:paraId="34FC080F" w14:textId="77777777" w:rsidR="000702C6" w:rsidRDefault="000702C6" w:rsidP="000702C6">
                            <w:pPr>
                              <w:spacing w:after="60"/>
                              <w:rPr>
                                <w:rFonts w:cstheme="minorHAnsi"/>
                                <w:b/>
                                <w:sz w:val="18"/>
                                <w:szCs w:val="18"/>
                              </w:rPr>
                            </w:pPr>
                            <w:del w:id="158" w:author="Carly Olig" w:date="2022-05-04T15:15:00Z">
                              <w:r w:rsidDel="00311833">
                                <w:rPr>
                                  <w:rFonts w:cstheme="minorHAnsi"/>
                                  <w:b/>
                                  <w:sz w:val="18"/>
                                  <w:szCs w:val="18"/>
                                </w:rPr>
                                <w:delText>Calculation of</w:delText>
                              </w:r>
                            </w:del>
                            <w:r>
                              <w:rPr>
                                <w:rFonts w:cstheme="minorHAnsi"/>
                                <w:b/>
                                <w:sz w:val="18"/>
                                <w:szCs w:val="18"/>
                              </w:rPr>
                              <w:t xml:space="preserve"> </w:t>
                            </w:r>
                            <w:ins w:id="159" w:author="Carly Olig" w:date="2022-05-04T15:17:00Z">
                              <w:r>
                                <w:rPr>
                                  <w:rFonts w:cstheme="minorHAnsi"/>
                                  <w:b/>
                                  <w:sz w:val="18"/>
                                  <w:szCs w:val="18"/>
                                </w:rPr>
                                <w:t xml:space="preserve">Expected </w:t>
                              </w:r>
                            </w:ins>
                            <w:r>
                              <w:rPr>
                                <w:rFonts w:cstheme="minorHAnsi"/>
                                <w:b/>
                                <w:sz w:val="18"/>
                                <w:szCs w:val="18"/>
                              </w:rPr>
                              <w:t>Retention Rate</w:t>
                            </w:r>
                            <w:del w:id="160" w:author="Carly Olig" w:date="2022-05-04T15:15:00Z">
                              <w:r w:rsidDel="00311833">
                                <w:rPr>
                                  <w:rFonts w:cstheme="minorHAnsi"/>
                                  <w:b/>
                                  <w:sz w:val="18"/>
                                  <w:szCs w:val="18"/>
                                </w:rPr>
                                <w:delText>s:</w:delText>
                              </w:r>
                            </w:del>
                            <w:ins w:id="161" w:author="Carly Olig" w:date="2022-05-04T15:15:00Z">
                              <w:r>
                                <w:rPr>
                                  <w:rFonts w:cstheme="minorHAnsi"/>
                                  <w:b/>
                                  <w:sz w:val="18"/>
                                  <w:szCs w:val="18"/>
                                </w:rPr>
                                <w:t xml:space="preserve"> of </w:t>
                              </w:r>
                            </w:ins>
                            <w:ins w:id="162" w:author="Carly Olig" w:date="2022-05-04T15:16:00Z">
                              <w:r>
                                <w:rPr>
                                  <w:rFonts w:cstheme="minorHAnsi"/>
                                  <w:b/>
                                  <w:sz w:val="18"/>
                                  <w:szCs w:val="18"/>
                                </w:rPr>
                                <w:t>95%</w:t>
                              </w:r>
                            </w:ins>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43"/>
                              <w:gridCol w:w="4444"/>
                            </w:tblGrid>
                            <w:tr w:rsidR="000702C6" w:rsidDel="00311833" w14:paraId="19D536A9" w14:textId="77777777">
                              <w:trPr>
                                <w:trHeight w:val="279"/>
                                <w:del w:id="163" w:author="Carly Olig" w:date="2022-05-04T15:15:00Z"/>
                              </w:trPr>
                              <w:tc>
                                <w:tcPr>
                                  <w:tcW w:w="4443" w:type="dxa"/>
                                  <w:vAlign w:val="center"/>
                                  <w:hideMark/>
                                </w:tcPr>
                                <w:p w14:paraId="43CDF899" w14:textId="77777777" w:rsidR="000702C6" w:rsidDel="00311833" w:rsidRDefault="000702C6">
                                  <w:pPr>
                                    <w:spacing w:after="0"/>
                                    <w:jc w:val="left"/>
                                    <w:rPr>
                                      <w:del w:id="164" w:author="Carly Olig" w:date="2022-05-04T15:15:00Z"/>
                                      <w:rFonts w:cstheme="minorHAnsi"/>
                                      <w:b/>
                                      <w:bCs/>
                                      <w:sz w:val="18"/>
                                      <w:szCs w:val="18"/>
                                    </w:rPr>
                                  </w:pPr>
                                  <w:del w:id="165" w:author="Carly Olig" w:date="2022-05-04T15:15:00Z">
                                    <w:r w:rsidDel="00311833">
                                      <w:rPr>
                                        <w:rFonts w:cstheme="minorHAnsi"/>
                                        <w:b/>
                                        <w:bCs/>
                                        <w:sz w:val="18"/>
                                        <w:szCs w:val="18"/>
                                      </w:rPr>
                                      <w:delText>For use in 2022:</w:delText>
                                    </w:r>
                                  </w:del>
                                </w:p>
                              </w:tc>
                              <w:tc>
                                <w:tcPr>
                                  <w:tcW w:w="4444" w:type="dxa"/>
                                  <w:vAlign w:val="center"/>
                                  <w:hideMark/>
                                </w:tcPr>
                                <w:p w14:paraId="4FC6D48E" w14:textId="77777777" w:rsidR="000702C6" w:rsidDel="00311833" w:rsidRDefault="000702C6">
                                  <w:pPr>
                                    <w:spacing w:after="0"/>
                                    <w:jc w:val="left"/>
                                    <w:rPr>
                                      <w:del w:id="166" w:author="Carly Olig" w:date="2022-05-04T15:15:00Z"/>
                                      <w:rFonts w:cstheme="minorHAnsi"/>
                                      <w:b/>
                                      <w:bCs/>
                                      <w:sz w:val="18"/>
                                      <w:szCs w:val="18"/>
                                    </w:rPr>
                                  </w:pPr>
                                  <w:del w:id="167" w:author="Carly Olig" w:date="2022-05-04T15:15:00Z">
                                    <w:r w:rsidDel="00311833">
                                      <w:rPr>
                                        <w:rFonts w:cstheme="minorHAnsi"/>
                                        <w:b/>
                                        <w:bCs/>
                                        <w:sz w:val="18"/>
                                        <w:szCs w:val="18"/>
                                      </w:rPr>
                                      <w:delText>For use in 2026:</w:delText>
                                    </w:r>
                                  </w:del>
                                </w:p>
                              </w:tc>
                            </w:tr>
                            <w:tr w:rsidR="000702C6" w:rsidDel="00311833" w14:paraId="47FB2D5D" w14:textId="77777777">
                              <w:trPr>
                                <w:del w:id="168" w:author="Carly Olig" w:date="2022-05-04T15:15:00Z"/>
                              </w:trPr>
                              <w:tc>
                                <w:tcPr>
                                  <w:tcW w:w="4443" w:type="dxa"/>
                                  <w:vAlign w:val="center"/>
                                  <w:hideMark/>
                                </w:tcPr>
                                <w:p w14:paraId="239EBA87" w14:textId="77777777" w:rsidR="000702C6" w:rsidDel="00311833" w:rsidRDefault="000702C6">
                                  <w:pPr>
                                    <w:spacing w:after="0"/>
                                    <w:jc w:val="left"/>
                                    <w:rPr>
                                      <w:del w:id="169" w:author="Carly Olig" w:date="2022-05-04T15:15:00Z"/>
                                      <w:rFonts w:cstheme="minorHAnsi"/>
                                      <w:sz w:val="18"/>
                                      <w:szCs w:val="18"/>
                                    </w:rPr>
                                  </w:pPr>
                                  <w:del w:id="170" w:author="Carly Olig" w:date="2022-05-04T15:15:00Z">
                                    <w:r w:rsidDel="00311833">
                                      <w:rPr>
                                        <w:rFonts w:cstheme="minorHAnsi"/>
                                        <w:sz w:val="18"/>
                                        <w:szCs w:val="18"/>
                                      </w:rPr>
                                      <w:delText>RR</w:delText>
                                    </w:r>
                                  </w:del>
                                  <w:del w:id="171" w:author="Carly Olig" w:date="2022-05-04T15:14:00Z">
                                    <w:r w:rsidDel="00471969">
                                      <w:rPr>
                                        <w:rFonts w:cstheme="minorHAnsi"/>
                                        <w:sz w:val="18"/>
                                        <w:szCs w:val="18"/>
                                        <w:vertAlign w:val="subscript"/>
                                      </w:rPr>
                                      <w:delText>2021, 2022</w:delText>
                                    </w:r>
                                  </w:del>
                                  <w:del w:id="172" w:author="Carly Olig" w:date="2022-05-04T15:15:00Z">
                                    <w:r w:rsidDel="00311833">
                                      <w:rPr>
                                        <w:rFonts w:cstheme="minorHAnsi"/>
                                        <w:sz w:val="18"/>
                                        <w:szCs w:val="18"/>
                                      </w:rPr>
                                      <w:delText xml:space="preserve"> = 109,000/120,000 = 0.908</w:delText>
                                    </w:r>
                                  </w:del>
                                </w:p>
                              </w:tc>
                              <w:tc>
                                <w:tcPr>
                                  <w:tcW w:w="4444" w:type="dxa"/>
                                  <w:vAlign w:val="center"/>
                                  <w:hideMark/>
                                </w:tcPr>
                                <w:p w14:paraId="1B668B50" w14:textId="77777777" w:rsidR="000702C6" w:rsidDel="00311833" w:rsidRDefault="000702C6">
                                  <w:pPr>
                                    <w:spacing w:after="0"/>
                                    <w:jc w:val="left"/>
                                    <w:rPr>
                                      <w:del w:id="173" w:author="Carly Olig" w:date="2022-05-04T15:15:00Z"/>
                                      <w:rFonts w:cstheme="minorHAnsi"/>
                                      <w:sz w:val="18"/>
                                      <w:szCs w:val="18"/>
                                    </w:rPr>
                                  </w:pPr>
                                  <w:del w:id="174" w:author="Carly Olig" w:date="2022-05-04T15:15:00Z">
                                    <w:r w:rsidDel="00311833">
                                      <w:rPr>
                                        <w:rFonts w:cstheme="minorHAnsi"/>
                                        <w:sz w:val="18"/>
                                        <w:szCs w:val="18"/>
                                      </w:rPr>
                                      <w:delText>RR</w:delText>
                                    </w:r>
                                    <w:r w:rsidDel="00311833">
                                      <w:rPr>
                                        <w:rFonts w:cstheme="minorHAnsi"/>
                                        <w:sz w:val="18"/>
                                        <w:szCs w:val="18"/>
                                        <w:vertAlign w:val="subscript"/>
                                      </w:rPr>
                                      <w:delText>2021, 2026</w:delText>
                                    </w:r>
                                    <w:r w:rsidDel="00311833">
                                      <w:rPr>
                                        <w:rFonts w:cstheme="minorHAnsi"/>
                                        <w:sz w:val="18"/>
                                        <w:szCs w:val="18"/>
                                      </w:rPr>
                                      <w:delText xml:space="preserve"> = 90,000/120,000 = 0.750</w:delText>
                                    </w:r>
                                  </w:del>
                                </w:p>
                              </w:tc>
                            </w:tr>
                            <w:tr w:rsidR="000702C6" w:rsidDel="00311833" w14:paraId="4251E36A" w14:textId="77777777">
                              <w:trPr>
                                <w:del w:id="175" w:author="Carly Olig" w:date="2022-05-04T15:15:00Z"/>
                              </w:trPr>
                              <w:tc>
                                <w:tcPr>
                                  <w:tcW w:w="4443" w:type="dxa"/>
                                  <w:vAlign w:val="center"/>
                                  <w:hideMark/>
                                </w:tcPr>
                                <w:p w14:paraId="0A08368F" w14:textId="77777777" w:rsidR="000702C6" w:rsidDel="00311833" w:rsidRDefault="000702C6">
                                  <w:pPr>
                                    <w:spacing w:after="0"/>
                                    <w:jc w:val="left"/>
                                    <w:rPr>
                                      <w:del w:id="176" w:author="Carly Olig" w:date="2022-05-04T15:15:00Z"/>
                                      <w:rFonts w:cstheme="minorHAnsi"/>
                                      <w:b/>
                                      <w:bCs/>
                                      <w:sz w:val="18"/>
                                      <w:szCs w:val="18"/>
                                      <w:u w:val="single"/>
                                    </w:rPr>
                                  </w:pPr>
                                  <w:del w:id="177" w:author="Carly Olig" w:date="2022-05-04T15:15:00Z">
                                    <w:r w:rsidDel="00311833">
                                      <w:rPr>
                                        <w:rFonts w:cstheme="minorHAnsi"/>
                                        <w:b/>
                                        <w:bCs/>
                                        <w:sz w:val="18"/>
                                        <w:szCs w:val="18"/>
                                      </w:rPr>
                                      <w:delText>For use in 2023:</w:delText>
                                    </w:r>
                                  </w:del>
                                </w:p>
                              </w:tc>
                              <w:tc>
                                <w:tcPr>
                                  <w:tcW w:w="4444" w:type="dxa"/>
                                  <w:vAlign w:val="center"/>
                                  <w:hideMark/>
                                </w:tcPr>
                                <w:p w14:paraId="7821C365" w14:textId="77777777" w:rsidR="000702C6" w:rsidDel="00311833" w:rsidRDefault="000702C6">
                                  <w:pPr>
                                    <w:spacing w:after="0"/>
                                    <w:jc w:val="left"/>
                                    <w:rPr>
                                      <w:del w:id="178" w:author="Carly Olig" w:date="2022-05-04T15:15:00Z"/>
                                      <w:rFonts w:cstheme="minorHAnsi"/>
                                      <w:sz w:val="18"/>
                                      <w:szCs w:val="18"/>
                                    </w:rPr>
                                  </w:pPr>
                                  <w:del w:id="179" w:author="Carly Olig" w:date="2022-05-04T15:15:00Z">
                                    <w:r w:rsidDel="00311833">
                                      <w:rPr>
                                        <w:rFonts w:cstheme="minorHAnsi"/>
                                        <w:sz w:val="18"/>
                                        <w:szCs w:val="18"/>
                                      </w:rPr>
                                      <w:delText>RR</w:delText>
                                    </w:r>
                                    <w:r w:rsidDel="00311833">
                                      <w:rPr>
                                        <w:rFonts w:cstheme="minorHAnsi"/>
                                        <w:sz w:val="18"/>
                                        <w:szCs w:val="18"/>
                                        <w:vertAlign w:val="subscript"/>
                                      </w:rPr>
                                      <w:delText>2022, 2026</w:delText>
                                    </w:r>
                                    <w:r w:rsidDel="00311833">
                                      <w:rPr>
                                        <w:rFonts w:cstheme="minorHAnsi"/>
                                        <w:sz w:val="18"/>
                                        <w:szCs w:val="18"/>
                                      </w:rPr>
                                      <w:delText xml:space="preserve"> = 90,000/109,000 = 0.826</w:delText>
                                    </w:r>
                                  </w:del>
                                </w:p>
                              </w:tc>
                            </w:tr>
                            <w:tr w:rsidR="000702C6" w:rsidDel="00311833" w14:paraId="71997221" w14:textId="77777777">
                              <w:trPr>
                                <w:del w:id="180" w:author="Carly Olig" w:date="2022-05-04T15:15:00Z"/>
                              </w:trPr>
                              <w:tc>
                                <w:tcPr>
                                  <w:tcW w:w="4443" w:type="dxa"/>
                                  <w:vAlign w:val="center"/>
                                  <w:hideMark/>
                                </w:tcPr>
                                <w:p w14:paraId="5A8E3EBC" w14:textId="77777777" w:rsidR="000702C6" w:rsidDel="00311833" w:rsidRDefault="000702C6">
                                  <w:pPr>
                                    <w:spacing w:after="0"/>
                                    <w:jc w:val="left"/>
                                    <w:rPr>
                                      <w:del w:id="181" w:author="Carly Olig" w:date="2022-05-04T15:15:00Z"/>
                                      <w:rFonts w:cstheme="minorHAnsi"/>
                                      <w:sz w:val="18"/>
                                      <w:szCs w:val="18"/>
                                    </w:rPr>
                                  </w:pPr>
                                  <w:del w:id="182" w:author="Carly Olig" w:date="2022-05-04T15:15:00Z">
                                    <w:r w:rsidDel="00311833">
                                      <w:rPr>
                                        <w:rFonts w:cstheme="minorHAnsi"/>
                                        <w:sz w:val="18"/>
                                        <w:szCs w:val="18"/>
                                      </w:rPr>
                                      <w:delText>RR</w:delText>
                                    </w:r>
                                    <w:r w:rsidDel="00311833">
                                      <w:rPr>
                                        <w:rFonts w:cstheme="minorHAnsi"/>
                                        <w:sz w:val="18"/>
                                        <w:szCs w:val="18"/>
                                        <w:vertAlign w:val="subscript"/>
                                      </w:rPr>
                                      <w:delText>2021, 2023</w:delText>
                                    </w:r>
                                    <w:r w:rsidDel="00311833">
                                      <w:rPr>
                                        <w:rFonts w:cstheme="minorHAnsi"/>
                                        <w:sz w:val="18"/>
                                        <w:szCs w:val="18"/>
                                      </w:rPr>
                                      <w:delText xml:space="preserve"> = 103,000/120,000 = 0.858</w:delText>
                                    </w:r>
                                  </w:del>
                                </w:p>
                              </w:tc>
                              <w:tc>
                                <w:tcPr>
                                  <w:tcW w:w="4444" w:type="dxa"/>
                                  <w:vAlign w:val="center"/>
                                  <w:hideMark/>
                                </w:tcPr>
                                <w:p w14:paraId="1E099B59" w14:textId="77777777" w:rsidR="000702C6" w:rsidDel="00311833" w:rsidRDefault="000702C6">
                                  <w:pPr>
                                    <w:spacing w:after="0"/>
                                    <w:jc w:val="left"/>
                                    <w:rPr>
                                      <w:del w:id="183" w:author="Carly Olig" w:date="2022-05-04T15:15:00Z"/>
                                      <w:rFonts w:cstheme="minorHAnsi"/>
                                      <w:sz w:val="18"/>
                                      <w:szCs w:val="18"/>
                                    </w:rPr>
                                  </w:pPr>
                                  <w:del w:id="184" w:author="Carly Olig" w:date="2022-05-04T15:15:00Z">
                                    <w:r w:rsidDel="00311833">
                                      <w:rPr>
                                        <w:rFonts w:cstheme="minorHAnsi"/>
                                        <w:sz w:val="18"/>
                                        <w:szCs w:val="18"/>
                                      </w:rPr>
                                      <w:delText>RR</w:delText>
                                    </w:r>
                                    <w:r w:rsidDel="00311833">
                                      <w:rPr>
                                        <w:rFonts w:cstheme="minorHAnsi"/>
                                        <w:sz w:val="18"/>
                                        <w:szCs w:val="18"/>
                                        <w:vertAlign w:val="subscript"/>
                                      </w:rPr>
                                      <w:delText xml:space="preserve">2023, 2026 </w:delText>
                                    </w:r>
                                    <w:r w:rsidDel="00311833">
                                      <w:rPr>
                                        <w:rFonts w:cstheme="minorHAnsi"/>
                                        <w:sz w:val="18"/>
                                        <w:szCs w:val="18"/>
                                      </w:rPr>
                                      <w:delText>= 90,000/103,000 = 0.874</w:delText>
                                    </w:r>
                                  </w:del>
                                </w:p>
                              </w:tc>
                            </w:tr>
                            <w:tr w:rsidR="000702C6" w:rsidDel="00311833" w14:paraId="1CEC942E" w14:textId="77777777">
                              <w:trPr>
                                <w:del w:id="185" w:author="Carly Olig" w:date="2022-05-04T15:15:00Z"/>
                              </w:trPr>
                              <w:tc>
                                <w:tcPr>
                                  <w:tcW w:w="4443" w:type="dxa"/>
                                  <w:vAlign w:val="center"/>
                                  <w:hideMark/>
                                </w:tcPr>
                                <w:p w14:paraId="26BC6329" w14:textId="77777777" w:rsidR="000702C6" w:rsidDel="00311833" w:rsidRDefault="000702C6">
                                  <w:pPr>
                                    <w:spacing w:after="0"/>
                                    <w:jc w:val="left"/>
                                    <w:rPr>
                                      <w:del w:id="186" w:author="Carly Olig" w:date="2022-05-04T15:15:00Z"/>
                                      <w:rFonts w:cstheme="minorHAnsi"/>
                                      <w:sz w:val="18"/>
                                      <w:szCs w:val="18"/>
                                    </w:rPr>
                                  </w:pPr>
                                  <w:del w:id="187" w:author="Carly Olig" w:date="2022-05-04T15:15:00Z">
                                    <w:r w:rsidDel="00311833">
                                      <w:rPr>
                                        <w:rFonts w:cstheme="minorHAnsi"/>
                                        <w:sz w:val="18"/>
                                        <w:szCs w:val="18"/>
                                      </w:rPr>
                                      <w:delText>RR</w:delText>
                                    </w:r>
                                    <w:r w:rsidDel="00311833">
                                      <w:rPr>
                                        <w:rFonts w:cstheme="minorHAnsi"/>
                                        <w:sz w:val="18"/>
                                        <w:szCs w:val="18"/>
                                        <w:vertAlign w:val="subscript"/>
                                      </w:rPr>
                                      <w:delText>2022, 2023</w:delText>
                                    </w:r>
                                    <w:r w:rsidDel="00311833">
                                      <w:rPr>
                                        <w:rFonts w:cstheme="minorHAnsi"/>
                                        <w:sz w:val="18"/>
                                        <w:szCs w:val="18"/>
                                      </w:rPr>
                                      <w:delText xml:space="preserve"> = 103,000/109,000 = 0.945</w:delText>
                                    </w:r>
                                  </w:del>
                                </w:p>
                              </w:tc>
                              <w:tc>
                                <w:tcPr>
                                  <w:tcW w:w="4444" w:type="dxa"/>
                                  <w:vAlign w:val="center"/>
                                  <w:hideMark/>
                                </w:tcPr>
                                <w:p w14:paraId="2434E973" w14:textId="77777777" w:rsidR="000702C6" w:rsidDel="00311833" w:rsidRDefault="000702C6">
                                  <w:pPr>
                                    <w:spacing w:after="0"/>
                                    <w:jc w:val="left"/>
                                    <w:rPr>
                                      <w:del w:id="188" w:author="Carly Olig" w:date="2022-05-04T15:15:00Z"/>
                                      <w:rFonts w:cstheme="minorHAnsi"/>
                                      <w:sz w:val="18"/>
                                      <w:szCs w:val="18"/>
                                    </w:rPr>
                                  </w:pPr>
                                  <w:del w:id="189" w:author="Carly Olig" w:date="2022-05-04T15:15:00Z">
                                    <w:r w:rsidDel="00311833">
                                      <w:rPr>
                                        <w:rFonts w:cstheme="minorHAnsi"/>
                                        <w:sz w:val="18"/>
                                        <w:szCs w:val="18"/>
                                      </w:rPr>
                                      <w:delText>RR</w:delText>
                                    </w:r>
                                    <w:r w:rsidDel="00311833">
                                      <w:rPr>
                                        <w:rFonts w:cstheme="minorHAnsi"/>
                                        <w:sz w:val="18"/>
                                        <w:szCs w:val="18"/>
                                        <w:vertAlign w:val="subscript"/>
                                      </w:rPr>
                                      <w:delText xml:space="preserve">2024, 2026 </w:delText>
                                    </w:r>
                                    <w:r w:rsidDel="00311833">
                                      <w:rPr>
                                        <w:rFonts w:cstheme="minorHAnsi"/>
                                        <w:sz w:val="18"/>
                                        <w:szCs w:val="18"/>
                                      </w:rPr>
                                      <w:delText>= 90,000/99,000 = 0.909</w:delText>
                                    </w:r>
                                  </w:del>
                                </w:p>
                              </w:tc>
                            </w:tr>
                            <w:tr w:rsidR="000702C6" w:rsidDel="00311833" w14:paraId="74E598AA" w14:textId="77777777">
                              <w:trPr>
                                <w:del w:id="190" w:author="Carly Olig" w:date="2022-05-04T15:15:00Z"/>
                              </w:trPr>
                              <w:tc>
                                <w:tcPr>
                                  <w:tcW w:w="4443" w:type="dxa"/>
                                  <w:vAlign w:val="center"/>
                                  <w:hideMark/>
                                </w:tcPr>
                                <w:p w14:paraId="3AFD736A" w14:textId="77777777" w:rsidR="000702C6" w:rsidDel="00311833" w:rsidRDefault="000702C6">
                                  <w:pPr>
                                    <w:spacing w:after="0"/>
                                    <w:jc w:val="left"/>
                                    <w:rPr>
                                      <w:del w:id="191" w:author="Carly Olig" w:date="2022-05-04T15:15:00Z"/>
                                      <w:rFonts w:cstheme="minorHAnsi"/>
                                      <w:b/>
                                      <w:bCs/>
                                      <w:sz w:val="18"/>
                                      <w:szCs w:val="18"/>
                                    </w:rPr>
                                  </w:pPr>
                                  <w:del w:id="192" w:author="Carly Olig" w:date="2022-05-04T15:15:00Z">
                                    <w:r w:rsidDel="00311833">
                                      <w:rPr>
                                        <w:rFonts w:cstheme="minorHAnsi"/>
                                        <w:b/>
                                        <w:bCs/>
                                        <w:sz w:val="18"/>
                                        <w:szCs w:val="18"/>
                                      </w:rPr>
                                      <w:delText>For use in 2024:</w:delText>
                                    </w:r>
                                  </w:del>
                                </w:p>
                              </w:tc>
                              <w:tc>
                                <w:tcPr>
                                  <w:tcW w:w="4444" w:type="dxa"/>
                                  <w:vAlign w:val="center"/>
                                  <w:hideMark/>
                                </w:tcPr>
                                <w:p w14:paraId="28418705" w14:textId="77777777" w:rsidR="000702C6" w:rsidDel="00311833" w:rsidRDefault="000702C6">
                                  <w:pPr>
                                    <w:spacing w:after="0"/>
                                    <w:jc w:val="left"/>
                                    <w:rPr>
                                      <w:del w:id="193" w:author="Carly Olig" w:date="2022-05-04T15:15:00Z"/>
                                      <w:rFonts w:cstheme="minorHAnsi"/>
                                      <w:sz w:val="18"/>
                                      <w:szCs w:val="18"/>
                                    </w:rPr>
                                  </w:pPr>
                                  <w:del w:id="194" w:author="Carly Olig" w:date="2022-05-04T15:15:00Z">
                                    <w:r w:rsidDel="00311833">
                                      <w:rPr>
                                        <w:rFonts w:cstheme="minorHAnsi"/>
                                        <w:sz w:val="18"/>
                                        <w:szCs w:val="18"/>
                                      </w:rPr>
                                      <w:delText>RR</w:delText>
                                    </w:r>
                                    <w:r w:rsidDel="00311833">
                                      <w:rPr>
                                        <w:rFonts w:cstheme="minorHAnsi"/>
                                        <w:sz w:val="18"/>
                                        <w:szCs w:val="18"/>
                                        <w:vertAlign w:val="subscript"/>
                                      </w:rPr>
                                      <w:delText xml:space="preserve">2025, 2026 </w:delText>
                                    </w:r>
                                    <w:r w:rsidDel="00311833">
                                      <w:rPr>
                                        <w:rFonts w:cstheme="minorHAnsi"/>
                                        <w:sz w:val="18"/>
                                        <w:szCs w:val="18"/>
                                      </w:rPr>
                                      <w:delText>= 90,000/94,000 = 0.957</w:delText>
                                    </w:r>
                                  </w:del>
                                </w:p>
                              </w:tc>
                            </w:tr>
                            <w:tr w:rsidR="000702C6" w:rsidDel="00311833" w14:paraId="0E18522F" w14:textId="77777777">
                              <w:trPr>
                                <w:del w:id="195" w:author="Carly Olig" w:date="2022-05-04T15:15:00Z"/>
                              </w:trPr>
                              <w:tc>
                                <w:tcPr>
                                  <w:tcW w:w="4443" w:type="dxa"/>
                                  <w:vAlign w:val="center"/>
                                  <w:hideMark/>
                                </w:tcPr>
                                <w:p w14:paraId="271EA766" w14:textId="77777777" w:rsidR="000702C6" w:rsidDel="00311833" w:rsidRDefault="000702C6">
                                  <w:pPr>
                                    <w:spacing w:after="0"/>
                                    <w:jc w:val="left"/>
                                    <w:rPr>
                                      <w:del w:id="196" w:author="Carly Olig" w:date="2022-05-04T15:15:00Z"/>
                                      <w:rFonts w:cstheme="minorHAnsi"/>
                                      <w:sz w:val="18"/>
                                      <w:szCs w:val="18"/>
                                    </w:rPr>
                                  </w:pPr>
                                  <w:del w:id="197" w:author="Carly Olig" w:date="2022-05-04T15:15:00Z">
                                    <w:r w:rsidDel="00311833">
                                      <w:rPr>
                                        <w:rFonts w:cstheme="minorHAnsi"/>
                                        <w:sz w:val="18"/>
                                        <w:szCs w:val="18"/>
                                      </w:rPr>
                                      <w:delText>RR</w:delText>
                                    </w:r>
                                    <w:r w:rsidDel="00311833">
                                      <w:rPr>
                                        <w:rFonts w:cstheme="minorHAnsi"/>
                                        <w:sz w:val="18"/>
                                        <w:szCs w:val="18"/>
                                        <w:vertAlign w:val="subscript"/>
                                      </w:rPr>
                                      <w:delText>2021, 2024</w:delText>
                                    </w:r>
                                    <w:r w:rsidDel="00311833">
                                      <w:rPr>
                                        <w:rFonts w:cstheme="minorHAnsi"/>
                                        <w:sz w:val="18"/>
                                        <w:szCs w:val="18"/>
                                      </w:rPr>
                                      <w:delText xml:space="preserve"> = 99,000/120,000 = 0.825</w:delText>
                                    </w:r>
                                  </w:del>
                                </w:p>
                              </w:tc>
                              <w:tc>
                                <w:tcPr>
                                  <w:tcW w:w="4444" w:type="dxa"/>
                                  <w:vAlign w:val="center"/>
                                  <w:hideMark/>
                                </w:tcPr>
                                <w:p w14:paraId="5E08AE6C" w14:textId="77777777" w:rsidR="000702C6" w:rsidDel="00311833" w:rsidRDefault="000702C6">
                                  <w:pPr>
                                    <w:spacing w:after="0"/>
                                    <w:jc w:val="left"/>
                                    <w:rPr>
                                      <w:del w:id="198" w:author="Carly Olig" w:date="2022-05-04T15:15:00Z"/>
                                      <w:rFonts w:cstheme="minorHAnsi"/>
                                      <w:b/>
                                      <w:bCs/>
                                      <w:sz w:val="18"/>
                                      <w:szCs w:val="18"/>
                                    </w:rPr>
                                  </w:pPr>
                                  <w:del w:id="199" w:author="Carly Olig" w:date="2022-05-04T15:15:00Z">
                                    <w:r w:rsidDel="00311833">
                                      <w:rPr>
                                        <w:rFonts w:cstheme="minorHAnsi"/>
                                        <w:b/>
                                        <w:bCs/>
                                        <w:sz w:val="18"/>
                                        <w:szCs w:val="18"/>
                                      </w:rPr>
                                      <w:delText>For use in 2027:</w:delText>
                                    </w:r>
                                  </w:del>
                                </w:p>
                              </w:tc>
                            </w:tr>
                            <w:tr w:rsidR="000702C6" w:rsidDel="00311833" w14:paraId="379A32AD" w14:textId="77777777">
                              <w:trPr>
                                <w:del w:id="200" w:author="Carly Olig" w:date="2022-05-04T15:15:00Z"/>
                              </w:trPr>
                              <w:tc>
                                <w:tcPr>
                                  <w:tcW w:w="4443" w:type="dxa"/>
                                  <w:vAlign w:val="center"/>
                                  <w:hideMark/>
                                </w:tcPr>
                                <w:p w14:paraId="56158C98" w14:textId="77777777" w:rsidR="000702C6" w:rsidDel="00311833" w:rsidRDefault="000702C6">
                                  <w:pPr>
                                    <w:spacing w:after="0"/>
                                    <w:jc w:val="left"/>
                                    <w:rPr>
                                      <w:del w:id="201" w:author="Carly Olig" w:date="2022-05-04T15:15:00Z"/>
                                      <w:rFonts w:cstheme="minorHAnsi"/>
                                      <w:sz w:val="18"/>
                                      <w:szCs w:val="18"/>
                                    </w:rPr>
                                  </w:pPr>
                                  <w:del w:id="202" w:author="Carly Olig" w:date="2022-05-04T15:15:00Z">
                                    <w:r w:rsidDel="00311833">
                                      <w:rPr>
                                        <w:rFonts w:cstheme="minorHAnsi"/>
                                        <w:sz w:val="18"/>
                                        <w:szCs w:val="18"/>
                                      </w:rPr>
                                      <w:delText>RR</w:delText>
                                    </w:r>
                                    <w:r w:rsidDel="00311833">
                                      <w:rPr>
                                        <w:rFonts w:cstheme="minorHAnsi"/>
                                        <w:sz w:val="18"/>
                                        <w:szCs w:val="18"/>
                                        <w:vertAlign w:val="subscript"/>
                                      </w:rPr>
                                      <w:delText xml:space="preserve">2022, 2024 </w:delText>
                                    </w:r>
                                    <w:r w:rsidDel="00311833">
                                      <w:rPr>
                                        <w:rFonts w:cstheme="minorHAnsi"/>
                                        <w:sz w:val="18"/>
                                        <w:szCs w:val="18"/>
                                      </w:rPr>
                                      <w:delText>= 99,000/109,000 = 0.908</w:delText>
                                    </w:r>
                                  </w:del>
                                </w:p>
                              </w:tc>
                              <w:tc>
                                <w:tcPr>
                                  <w:tcW w:w="4444" w:type="dxa"/>
                                  <w:vAlign w:val="center"/>
                                  <w:hideMark/>
                                </w:tcPr>
                                <w:p w14:paraId="13BF93EA" w14:textId="77777777" w:rsidR="000702C6" w:rsidDel="00311833" w:rsidRDefault="000702C6">
                                  <w:pPr>
                                    <w:spacing w:after="0"/>
                                    <w:jc w:val="left"/>
                                    <w:rPr>
                                      <w:del w:id="203" w:author="Carly Olig" w:date="2022-05-04T15:15:00Z"/>
                                      <w:rFonts w:cstheme="minorHAnsi"/>
                                      <w:sz w:val="18"/>
                                      <w:szCs w:val="18"/>
                                    </w:rPr>
                                  </w:pPr>
                                  <w:del w:id="204" w:author="Carly Olig" w:date="2022-05-04T15:15:00Z">
                                    <w:r w:rsidDel="00311833">
                                      <w:rPr>
                                        <w:rFonts w:cstheme="minorHAnsi"/>
                                        <w:sz w:val="18"/>
                                        <w:szCs w:val="18"/>
                                      </w:rPr>
                                      <w:delText>RR</w:delText>
                                    </w:r>
                                    <w:r w:rsidDel="00311833">
                                      <w:rPr>
                                        <w:rFonts w:cstheme="minorHAnsi"/>
                                        <w:sz w:val="18"/>
                                        <w:szCs w:val="18"/>
                                        <w:vertAlign w:val="subscript"/>
                                      </w:rPr>
                                      <w:delText>2021, 2027</w:delText>
                                    </w:r>
                                    <w:r w:rsidDel="00311833">
                                      <w:rPr>
                                        <w:rFonts w:cstheme="minorHAnsi"/>
                                        <w:sz w:val="18"/>
                                        <w:szCs w:val="18"/>
                                      </w:rPr>
                                      <w:delText xml:space="preserve"> = 88,000/120,000 = 0.733</w:delText>
                                    </w:r>
                                  </w:del>
                                </w:p>
                              </w:tc>
                            </w:tr>
                            <w:tr w:rsidR="000702C6" w:rsidDel="00311833" w14:paraId="41FB087D" w14:textId="77777777">
                              <w:trPr>
                                <w:del w:id="205" w:author="Carly Olig" w:date="2022-05-04T15:15:00Z"/>
                              </w:trPr>
                              <w:tc>
                                <w:tcPr>
                                  <w:tcW w:w="4443" w:type="dxa"/>
                                  <w:vAlign w:val="center"/>
                                  <w:hideMark/>
                                </w:tcPr>
                                <w:p w14:paraId="3196F94E" w14:textId="77777777" w:rsidR="000702C6" w:rsidDel="00311833" w:rsidRDefault="000702C6">
                                  <w:pPr>
                                    <w:spacing w:after="0"/>
                                    <w:jc w:val="left"/>
                                    <w:rPr>
                                      <w:del w:id="206" w:author="Carly Olig" w:date="2022-05-04T15:15:00Z"/>
                                      <w:rFonts w:cstheme="minorHAnsi"/>
                                      <w:sz w:val="18"/>
                                      <w:szCs w:val="18"/>
                                    </w:rPr>
                                  </w:pPr>
                                  <w:del w:id="207" w:author="Carly Olig" w:date="2022-05-04T15:15:00Z">
                                    <w:r w:rsidDel="00311833">
                                      <w:rPr>
                                        <w:rFonts w:cstheme="minorHAnsi"/>
                                        <w:sz w:val="18"/>
                                        <w:szCs w:val="18"/>
                                      </w:rPr>
                                      <w:delText>RR</w:delText>
                                    </w:r>
                                    <w:r w:rsidDel="00311833">
                                      <w:rPr>
                                        <w:rFonts w:cstheme="minorHAnsi"/>
                                        <w:sz w:val="18"/>
                                        <w:szCs w:val="18"/>
                                        <w:vertAlign w:val="subscript"/>
                                      </w:rPr>
                                      <w:delText xml:space="preserve">2023, 2024 </w:delText>
                                    </w:r>
                                    <w:r w:rsidDel="00311833">
                                      <w:rPr>
                                        <w:rFonts w:cstheme="minorHAnsi"/>
                                        <w:sz w:val="18"/>
                                        <w:szCs w:val="18"/>
                                      </w:rPr>
                                      <w:delText>= 99,000/103,000 = 0.961</w:delText>
                                    </w:r>
                                  </w:del>
                                </w:p>
                              </w:tc>
                              <w:tc>
                                <w:tcPr>
                                  <w:tcW w:w="4444" w:type="dxa"/>
                                  <w:vAlign w:val="center"/>
                                  <w:hideMark/>
                                </w:tcPr>
                                <w:p w14:paraId="07E6F2BE" w14:textId="77777777" w:rsidR="000702C6" w:rsidDel="00311833" w:rsidRDefault="000702C6">
                                  <w:pPr>
                                    <w:spacing w:after="0"/>
                                    <w:jc w:val="left"/>
                                    <w:rPr>
                                      <w:del w:id="208" w:author="Carly Olig" w:date="2022-05-04T15:15:00Z"/>
                                      <w:rFonts w:cstheme="minorHAnsi"/>
                                      <w:sz w:val="18"/>
                                      <w:szCs w:val="18"/>
                                    </w:rPr>
                                  </w:pPr>
                                  <w:del w:id="209" w:author="Carly Olig" w:date="2022-05-04T15:15:00Z">
                                    <w:r w:rsidDel="00311833">
                                      <w:rPr>
                                        <w:rFonts w:cstheme="minorHAnsi"/>
                                        <w:sz w:val="18"/>
                                        <w:szCs w:val="18"/>
                                      </w:rPr>
                                      <w:delText>RR</w:delText>
                                    </w:r>
                                    <w:r w:rsidDel="00311833">
                                      <w:rPr>
                                        <w:rFonts w:cstheme="minorHAnsi"/>
                                        <w:sz w:val="18"/>
                                        <w:szCs w:val="18"/>
                                        <w:vertAlign w:val="subscript"/>
                                      </w:rPr>
                                      <w:delText>2022, 2027</w:delText>
                                    </w:r>
                                    <w:r w:rsidDel="00311833">
                                      <w:rPr>
                                        <w:rFonts w:cstheme="minorHAnsi"/>
                                        <w:sz w:val="18"/>
                                        <w:szCs w:val="18"/>
                                      </w:rPr>
                                      <w:delText xml:space="preserve"> = 88,000/109,000 = 0.807</w:delText>
                                    </w:r>
                                  </w:del>
                                </w:p>
                              </w:tc>
                            </w:tr>
                            <w:tr w:rsidR="000702C6" w:rsidDel="00311833" w14:paraId="6C6A162E" w14:textId="77777777">
                              <w:trPr>
                                <w:del w:id="210" w:author="Carly Olig" w:date="2022-05-04T15:15:00Z"/>
                              </w:trPr>
                              <w:tc>
                                <w:tcPr>
                                  <w:tcW w:w="4443" w:type="dxa"/>
                                  <w:vAlign w:val="center"/>
                                  <w:hideMark/>
                                </w:tcPr>
                                <w:p w14:paraId="5681765B" w14:textId="77777777" w:rsidR="000702C6" w:rsidDel="00311833" w:rsidRDefault="000702C6">
                                  <w:pPr>
                                    <w:spacing w:after="0"/>
                                    <w:jc w:val="left"/>
                                    <w:rPr>
                                      <w:del w:id="211" w:author="Carly Olig" w:date="2022-05-04T15:15:00Z"/>
                                      <w:rFonts w:cstheme="minorHAnsi"/>
                                      <w:b/>
                                      <w:bCs/>
                                      <w:sz w:val="18"/>
                                      <w:szCs w:val="18"/>
                                    </w:rPr>
                                  </w:pPr>
                                  <w:del w:id="212" w:author="Carly Olig" w:date="2022-05-04T15:15:00Z">
                                    <w:r w:rsidDel="00311833">
                                      <w:rPr>
                                        <w:rFonts w:cstheme="minorHAnsi"/>
                                        <w:b/>
                                        <w:bCs/>
                                        <w:sz w:val="18"/>
                                        <w:szCs w:val="18"/>
                                      </w:rPr>
                                      <w:delText>For use in 2025:</w:delText>
                                    </w:r>
                                  </w:del>
                                </w:p>
                              </w:tc>
                              <w:tc>
                                <w:tcPr>
                                  <w:tcW w:w="4444" w:type="dxa"/>
                                  <w:vAlign w:val="center"/>
                                  <w:hideMark/>
                                </w:tcPr>
                                <w:p w14:paraId="3FA65DD2" w14:textId="77777777" w:rsidR="000702C6" w:rsidDel="00311833" w:rsidRDefault="000702C6">
                                  <w:pPr>
                                    <w:spacing w:after="0"/>
                                    <w:jc w:val="left"/>
                                    <w:rPr>
                                      <w:del w:id="213" w:author="Carly Olig" w:date="2022-05-04T15:15:00Z"/>
                                      <w:rFonts w:cstheme="minorHAnsi"/>
                                      <w:sz w:val="18"/>
                                      <w:szCs w:val="18"/>
                                    </w:rPr>
                                  </w:pPr>
                                  <w:del w:id="214" w:author="Carly Olig" w:date="2022-05-04T15:15:00Z">
                                    <w:r w:rsidDel="00311833">
                                      <w:rPr>
                                        <w:rFonts w:cstheme="minorHAnsi"/>
                                        <w:sz w:val="18"/>
                                        <w:szCs w:val="18"/>
                                      </w:rPr>
                                      <w:delText>RR</w:delText>
                                    </w:r>
                                    <w:r w:rsidDel="00311833">
                                      <w:rPr>
                                        <w:rFonts w:cstheme="minorHAnsi"/>
                                        <w:sz w:val="18"/>
                                        <w:szCs w:val="18"/>
                                        <w:vertAlign w:val="subscript"/>
                                      </w:rPr>
                                      <w:delText xml:space="preserve">2023, 2027 </w:delText>
                                    </w:r>
                                    <w:r w:rsidDel="00311833">
                                      <w:rPr>
                                        <w:rFonts w:cstheme="minorHAnsi"/>
                                        <w:sz w:val="18"/>
                                        <w:szCs w:val="18"/>
                                      </w:rPr>
                                      <w:delText>= 88,000/103,000 = 0.854</w:delText>
                                    </w:r>
                                  </w:del>
                                </w:p>
                              </w:tc>
                            </w:tr>
                            <w:tr w:rsidR="000702C6" w:rsidDel="00311833" w14:paraId="67F7DDDC" w14:textId="77777777">
                              <w:trPr>
                                <w:del w:id="215" w:author="Carly Olig" w:date="2022-05-04T15:15:00Z"/>
                              </w:trPr>
                              <w:tc>
                                <w:tcPr>
                                  <w:tcW w:w="4443" w:type="dxa"/>
                                  <w:vAlign w:val="center"/>
                                  <w:hideMark/>
                                </w:tcPr>
                                <w:p w14:paraId="3CE1DB32" w14:textId="77777777" w:rsidR="000702C6" w:rsidDel="00311833" w:rsidRDefault="000702C6">
                                  <w:pPr>
                                    <w:spacing w:after="0"/>
                                    <w:jc w:val="left"/>
                                    <w:rPr>
                                      <w:del w:id="216" w:author="Carly Olig" w:date="2022-05-04T15:15:00Z"/>
                                      <w:rFonts w:cstheme="minorHAnsi"/>
                                      <w:sz w:val="18"/>
                                      <w:szCs w:val="18"/>
                                    </w:rPr>
                                  </w:pPr>
                                  <w:del w:id="217" w:author="Carly Olig" w:date="2022-05-04T15:15:00Z">
                                    <w:r w:rsidDel="00311833">
                                      <w:rPr>
                                        <w:rFonts w:cstheme="minorHAnsi"/>
                                        <w:sz w:val="18"/>
                                        <w:szCs w:val="18"/>
                                      </w:rPr>
                                      <w:delText>RR</w:delText>
                                    </w:r>
                                    <w:r w:rsidDel="00311833">
                                      <w:rPr>
                                        <w:rFonts w:cstheme="minorHAnsi"/>
                                        <w:sz w:val="18"/>
                                        <w:szCs w:val="18"/>
                                        <w:vertAlign w:val="subscript"/>
                                      </w:rPr>
                                      <w:delText>2021, 2025</w:delText>
                                    </w:r>
                                    <w:r w:rsidDel="00311833">
                                      <w:rPr>
                                        <w:rFonts w:cstheme="minorHAnsi"/>
                                        <w:sz w:val="18"/>
                                        <w:szCs w:val="18"/>
                                      </w:rPr>
                                      <w:delText xml:space="preserve"> = 94,000/120,000 = 0.783</w:delText>
                                    </w:r>
                                  </w:del>
                                </w:p>
                              </w:tc>
                              <w:tc>
                                <w:tcPr>
                                  <w:tcW w:w="4444" w:type="dxa"/>
                                  <w:vAlign w:val="center"/>
                                  <w:hideMark/>
                                </w:tcPr>
                                <w:p w14:paraId="3FA2EA00" w14:textId="77777777" w:rsidR="000702C6" w:rsidDel="00311833" w:rsidRDefault="000702C6">
                                  <w:pPr>
                                    <w:spacing w:after="0"/>
                                    <w:jc w:val="left"/>
                                    <w:rPr>
                                      <w:del w:id="218" w:author="Carly Olig" w:date="2022-05-04T15:15:00Z"/>
                                      <w:rFonts w:cstheme="minorHAnsi"/>
                                      <w:sz w:val="18"/>
                                      <w:szCs w:val="18"/>
                                    </w:rPr>
                                  </w:pPr>
                                  <w:del w:id="219" w:author="Carly Olig" w:date="2022-05-04T15:15:00Z">
                                    <w:r w:rsidDel="00311833">
                                      <w:rPr>
                                        <w:rFonts w:cstheme="minorHAnsi"/>
                                        <w:sz w:val="18"/>
                                        <w:szCs w:val="18"/>
                                      </w:rPr>
                                      <w:delText>RR</w:delText>
                                    </w:r>
                                    <w:r w:rsidDel="00311833">
                                      <w:rPr>
                                        <w:rFonts w:cstheme="minorHAnsi"/>
                                        <w:sz w:val="18"/>
                                        <w:szCs w:val="18"/>
                                        <w:vertAlign w:val="subscript"/>
                                      </w:rPr>
                                      <w:delText xml:space="preserve">2024, 2027 </w:delText>
                                    </w:r>
                                    <w:r w:rsidDel="00311833">
                                      <w:rPr>
                                        <w:rFonts w:cstheme="minorHAnsi"/>
                                        <w:sz w:val="18"/>
                                        <w:szCs w:val="18"/>
                                      </w:rPr>
                                      <w:delText>= 88,000/99,000 = 0.889</w:delText>
                                    </w:r>
                                  </w:del>
                                </w:p>
                              </w:tc>
                            </w:tr>
                            <w:tr w:rsidR="000702C6" w:rsidDel="00311833" w14:paraId="2105F447" w14:textId="77777777">
                              <w:trPr>
                                <w:del w:id="220" w:author="Carly Olig" w:date="2022-05-04T15:15:00Z"/>
                              </w:trPr>
                              <w:tc>
                                <w:tcPr>
                                  <w:tcW w:w="4443" w:type="dxa"/>
                                  <w:vAlign w:val="center"/>
                                  <w:hideMark/>
                                </w:tcPr>
                                <w:p w14:paraId="2B07354A" w14:textId="77777777" w:rsidR="000702C6" w:rsidDel="00311833" w:rsidRDefault="000702C6">
                                  <w:pPr>
                                    <w:spacing w:after="0"/>
                                    <w:jc w:val="left"/>
                                    <w:rPr>
                                      <w:del w:id="221" w:author="Carly Olig" w:date="2022-05-04T15:15:00Z"/>
                                      <w:rFonts w:cstheme="minorHAnsi"/>
                                      <w:sz w:val="18"/>
                                      <w:szCs w:val="18"/>
                                    </w:rPr>
                                  </w:pPr>
                                  <w:del w:id="222" w:author="Carly Olig" w:date="2022-05-04T15:15:00Z">
                                    <w:r w:rsidDel="00311833">
                                      <w:rPr>
                                        <w:rFonts w:cstheme="minorHAnsi"/>
                                        <w:sz w:val="18"/>
                                        <w:szCs w:val="18"/>
                                      </w:rPr>
                                      <w:delText>RR</w:delText>
                                    </w:r>
                                    <w:r w:rsidDel="00311833">
                                      <w:rPr>
                                        <w:rFonts w:cstheme="minorHAnsi"/>
                                        <w:sz w:val="18"/>
                                        <w:szCs w:val="18"/>
                                        <w:vertAlign w:val="subscript"/>
                                      </w:rPr>
                                      <w:delText xml:space="preserve">2022, 2025 </w:delText>
                                    </w:r>
                                    <w:r w:rsidDel="00311833">
                                      <w:rPr>
                                        <w:rFonts w:cstheme="minorHAnsi"/>
                                        <w:sz w:val="18"/>
                                        <w:szCs w:val="18"/>
                                      </w:rPr>
                                      <w:delText>= 94,000/109,000 = 0.862</w:delText>
                                    </w:r>
                                  </w:del>
                                </w:p>
                              </w:tc>
                              <w:tc>
                                <w:tcPr>
                                  <w:tcW w:w="4444" w:type="dxa"/>
                                  <w:vAlign w:val="center"/>
                                  <w:hideMark/>
                                </w:tcPr>
                                <w:p w14:paraId="4E940EBB" w14:textId="77777777" w:rsidR="000702C6" w:rsidDel="00311833" w:rsidRDefault="000702C6">
                                  <w:pPr>
                                    <w:spacing w:after="0"/>
                                    <w:jc w:val="left"/>
                                    <w:rPr>
                                      <w:del w:id="223" w:author="Carly Olig" w:date="2022-05-04T15:15:00Z"/>
                                      <w:rFonts w:cstheme="minorHAnsi"/>
                                      <w:sz w:val="18"/>
                                      <w:szCs w:val="18"/>
                                    </w:rPr>
                                  </w:pPr>
                                  <w:del w:id="224" w:author="Carly Olig" w:date="2022-05-04T15:15:00Z">
                                    <w:r w:rsidDel="00311833">
                                      <w:rPr>
                                        <w:rFonts w:cstheme="minorHAnsi"/>
                                        <w:sz w:val="18"/>
                                        <w:szCs w:val="18"/>
                                      </w:rPr>
                                      <w:delText>RR</w:delText>
                                    </w:r>
                                    <w:r w:rsidDel="00311833">
                                      <w:rPr>
                                        <w:rFonts w:cstheme="minorHAnsi"/>
                                        <w:sz w:val="18"/>
                                        <w:szCs w:val="18"/>
                                        <w:vertAlign w:val="subscript"/>
                                      </w:rPr>
                                      <w:delText xml:space="preserve">2025, 2027 </w:delText>
                                    </w:r>
                                    <w:r w:rsidDel="00311833">
                                      <w:rPr>
                                        <w:rFonts w:cstheme="minorHAnsi"/>
                                        <w:sz w:val="18"/>
                                        <w:szCs w:val="18"/>
                                      </w:rPr>
                                      <w:delText>= 88,000/94,000 = 0.936</w:delText>
                                    </w:r>
                                  </w:del>
                                </w:p>
                              </w:tc>
                            </w:tr>
                            <w:tr w:rsidR="000702C6" w:rsidDel="00311833" w14:paraId="3B89747D" w14:textId="77777777">
                              <w:trPr>
                                <w:del w:id="225" w:author="Carly Olig" w:date="2022-05-04T15:15:00Z"/>
                              </w:trPr>
                              <w:tc>
                                <w:tcPr>
                                  <w:tcW w:w="4443" w:type="dxa"/>
                                  <w:vAlign w:val="center"/>
                                  <w:hideMark/>
                                </w:tcPr>
                                <w:p w14:paraId="7C79012F" w14:textId="77777777" w:rsidR="000702C6" w:rsidDel="00311833" w:rsidRDefault="000702C6">
                                  <w:pPr>
                                    <w:spacing w:after="0"/>
                                    <w:jc w:val="left"/>
                                    <w:rPr>
                                      <w:del w:id="226" w:author="Carly Olig" w:date="2022-05-04T15:15:00Z"/>
                                      <w:rFonts w:cstheme="minorHAnsi"/>
                                      <w:sz w:val="18"/>
                                      <w:szCs w:val="18"/>
                                    </w:rPr>
                                  </w:pPr>
                                  <w:del w:id="227" w:author="Carly Olig" w:date="2022-05-04T15:15:00Z">
                                    <w:r w:rsidDel="00311833">
                                      <w:rPr>
                                        <w:rFonts w:cstheme="minorHAnsi"/>
                                        <w:sz w:val="18"/>
                                        <w:szCs w:val="18"/>
                                      </w:rPr>
                                      <w:delText>RR</w:delText>
                                    </w:r>
                                    <w:r w:rsidDel="00311833">
                                      <w:rPr>
                                        <w:rFonts w:cstheme="minorHAnsi"/>
                                        <w:sz w:val="18"/>
                                        <w:szCs w:val="18"/>
                                        <w:vertAlign w:val="subscript"/>
                                      </w:rPr>
                                      <w:delText xml:space="preserve">2023, 2025 </w:delText>
                                    </w:r>
                                    <w:r w:rsidDel="00311833">
                                      <w:rPr>
                                        <w:rFonts w:cstheme="minorHAnsi"/>
                                        <w:sz w:val="18"/>
                                        <w:szCs w:val="18"/>
                                      </w:rPr>
                                      <w:delText>= 94,000/103,000 = 0.913</w:delText>
                                    </w:r>
                                  </w:del>
                                </w:p>
                              </w:tc>
                              <w:tc>
                                <w:tcPr>
                                  <w:tcW w:w="4444" w:type="dxa"/>
                                  <w:vAlign w:val="center"/>
                                  <w:hideMark/>
                                </w:tcPr>
                                <w:p w14:paraId="492F6D85" w14:textId="77777777" w:rsidR="000702C6" w:rsidDel="00311833" w:rsidRDefault="000702C6">
                                  <w:pPr>
                                    <w:spacing w:after="0"/>
                                    <w:jc w:val="left"/>
                                    <w:rPr>
                                      <w:del w:id="228" w:author="Carly Olig" w:date="2022-05-04T15:15:00Z"/>
                                      <w:rFonts w:cstheme="minorHAnsi"/>
                                      <w:sz w:val="18"/>
                                      <w:szCs w:val="18"/>
                                    </w:rPr>
                                  </w:pPr>
                                  <w:del w:id="229" w:author="Carly Olig" w:date="2022-05-04T15:15:00Z">
                                    <w:r w:rsidDel="00311833">
                                      <w:rPr>
                                        <w:rFonts w:cstheme="minorHAnsi"/>
                                        <w:sz w:val="18"/>
                                        <w:szCs w:val="18"/>
                                      </w:rPr>
                                      <w:delText>RR</w:delText>
                                    </w:r>
                                    <w:r w:rsidDel="00311833">
                                      <w:rPr>
                                        <w:rFonts w:cstheme="minorHAnsi"/>
                                        <w:sz w:val="18"/>
                                        <w:szCs w:val="18"/>
                                        <w:vertAlign w:val="subscript"/>
                                      </w:rPr>
                                      <w:delText xml:space="preserve">2026, 2027 </w:delText>
                                    </w:r>
                                    <w:r w:rsidDel="00311833">
                                      <w:rPr>
                                        <w:rFonts w:cstheme="minorHAnsi"/>
                                        <w:sz w:val="18"/>
                                        <w:szCs w:val="18"/>
                                      </w:rPr>
                                      <w:delText>= 88,000/90,000 = 0.978</w:delText>
                                    </w:r>
                                  </w:del>
                                </w:p>
                              </w:tc>
                            </w:tr>
                            <w:tr w:rsidR="000702C6" w:rsidDel="00311833" w14:paraId="1AA435B3" w14:textId="77777777">
                              <w:trPr>
                                <w:del w:id="230" w:author="Carly Olig" w:date="2022-05-04T15:15:00Z"/>
                              </w:trPr>
                              <w:tc>
                                <w:tcPr>
                                  <w:tcW w:w="4443" w:type="dxa"/>
                                  <w:vAlign w:val="center"/>
                                  <w:hideMark/>
                                </w:tcPr>
                                <w:p w14:paraId="2346ABD7" w14:textId="77777777" w:rsidR="000702C6" w:rsidDel="00311833" w:rsidRDefault="000702C6">
                                  <w:pPr>
                                    <w:spacing w:after="0"/>
                                    <w:jc w:val="left"/>
                                    <w:rPr>
                                      <w:del w:id="231" w:author="Carly Olig" w:date="2022-05-04T15:15:00Z"/>
                                      <w:rFonts w:cstheme="minorHAnsi"/>
                                      <w:sz w:val="18"/>
                                      <w:szCs w:val="18"/>
                                    </w:rPr>
                                  </w:pPr>
                                  <w:del w:id="232" w:author="Carly Olig" w:date="2022-05-04T15:15:00Z">
                                    <w:r w:rsidDel="00311833">
                                      <w:rPr>
                                        <w:rFonts w:cstheme="minorHAnsi"/>
                                        <w:sz w:val="18"/>
                                        <w:szCs w:val="18"/>
                                      </w:rPr>
                                      <w:delText>RR</w:delText>
                                    </w:r>
                                    <w:r w:rsidDel="00311833">
                                      <w:rPr>
                                        <w:rFonts w:cstheme="minorHAnsi"/>
                                        <w:sz w:val="18"/>
                                        <w:szCs w:val="18"/>
                                        <w:vertAlign w:val="subscript"/>
                                      </w:rPr>
                                      <w:delText xml:space="preserve">2024, 2025 </w:delText>
                                    </w:r>
                                    <w:r w:rsidDel="00311833">
                                      <w:rPr>
                                        <w:rFonts w:cstheme="minorHAnsi"/>
                                        <w:sz w:val="18"/>
                                        <w:szCs w:val="18"/>
                                      </w:rPr>
                                      <w:delText>= 94,000/99,000 = 0.949</w:delText>
                                    </w:r>
                                  </w:del>
                                </w:p>
                              </w:tc>
                              <w:tc>
                                <w:tcPr>
                                  <w:tcW w:w="4444" w:type="dxa"/>
                                  <w:vAlign w:val="center"/>
                                  <w:hideMark/>
                                </w:tcPr>
                                <w:p w14:paraId="693B1512" w14:textId="77777777" w:rsidR="000702C6" w:rsidDel="00311833" w:rsidRDefault="000702C6">
                                  <w:pPr>
                                    <w:spacing w:after="0"/>
                                    <w:jc w:val="left"/>
                                    <w:rPr>
                                      <w:del w:id="233" w:author="Carly Olig" w:date="2022-05-04T15:15:00Z"/>
                                      <w:rFonts w:cstheme="minorHAnsi"/>
                                      <w:b/>
                                      <w:bCs/>
                                      <w:sz w:val="18"/>
                                      <w:szCs w:val="18"/>
                                    </w:rPr>
                                  </w:pPr>
                                  <w:del w:id="234" w:author="Carly Olig" w:date="2022-05-04T15:15:00Z">
                                    <w:r w:rsidDel="00311833">
                                      <w:rPr>
                                        <w:rFonts w:cstheme="minorHAnsi"/>
                                        <w:b/>
                                        <w:bCs/>
                                        <w:sz w:val="18"/>
                                        <w:szCs w:val="18"/>
                                      </w:rPr>
                                      <w:delText>Continue this approach for future years as appropriate.</w:delText>
                                    </w:r>
                                  </w:del>
                                </w:p>
                              </w:tc>
                            </w:tr>
                          </w:tbl>
                          <w:p w14:paraId="28ACC58F" w14:textId="77777777" w:rsidR="000702C6" w:rsidRDefault="000702C6" w:rsidP="000702C6">
                            <w:pPr>
                              <w:spacing w:after="60"/>
                              <w:rPr>
                                <w:rFonts w:cstheme="minorHAnsi"/>
                                <w:b/>
                                <w:sz w:val="18"/>
                                <w:szCs w:val="18"/>
                              </w:rPr>
                            </w:pPr>
                          </w:p>
                          <w:p w14:paraId="0723B4E7" w14:textId="77777777" w:rsidR="000702C6" w:rsidRDefault="000702C6" w:rsidP="000702C6">
                            <w:pPr>
                              <w:spacing w:after="60"/>
                              <w:rPr>
                                <w:rFonts w:cstheme="minorHAnsi"/>
                                <w:b/>
                                <w:sz w:val="18"/>
                                <w:szCs w:val="18"/>
                              </w:rPr>
                            </w:pPr>
                            <w:r>
                              <w:rPr>
                                <w:rFonts w:cstheme="minorHAnsi"/>
                                <w:b/>
                                <w:sz w:val="18"/>
                                <w:szCs w:val="18"/>
                              </w:rPr>
                              <w:t>Calculation of Adjusted Annual Savings:</w:t>
                            </w:r>
                          </w:p>
                          <w:p w14:paraId="7FDFAD00" w14:textId="77777777" w:rsidR="000702C6" w:rsidRDefault="000702C6" w:rsidP="000702C6">
                            <w:pPr>
                              <w:spacing w:after="60"/>
                              <w:rPr>
                                <w:rFonts w:cstheme="minorHAnsi"/>
                                <w:sz w:val="18"/>
                                <w:szCs w:val="18"/>
                              </w:rPr>
                            </w:pPr>
                            <w:r>
                              <w:rPr>
                                <w:rFonts w:cstheme="minorHAnsi"/>
                                <w:sz w:val="18"/>
                                <w:szCs w:val="18"/>
                              </w:rPr>
                              <w:t>ΔkWh</w:t>
                            </w:r>
                            <w:r>
                              <w:rPr>
                                <w:rFonts w:cstheme="minorHAnsi"/>
                                <w:sz w:val="18"/>
                                <w:szCs w:val="18"/>
                                <w:vertAlign w:val="subscript"/>
                              </w:rPr>
                              <w:t>2021 Adjusted</w:t>
                            </w:r>
                            <w:r>
                              <w:rPr>
                                <w:rFonts w:cstheme="minorHAnsi"/>
                                <w:sz w:val="18"/>
                                <w:szCs w:val="18"/>
                              </w:rPr>
                              <w:t xml:space="preserve"> = 24,000,000 kWh</w:t>
                            </w:r>
                          </w:p>
                          <w:p w14:paraId="42FCC3D9" w14:textId="77777777" w:rsidR="000702C6" w:rsidRDefault="000702C6" w:rsidP="000702C6">
                            <w:pPr>
                              <w:spacing w:after="60"/>
                              <w:rPr>
                                <w:rFonts w:cstheme="minorHAnsi"/>
                                <w:sz w:val="18"/>
                                <w:szCs w:val="18"/>
                              </w:rPr>
                            </w:pPr>
                            <w:r>
                              <w:rPr>
                                <w:rFonts w:cstheme="minorHAnsi"/>
                                <w:sz w:val="18"/>
                                <w:szCs w:val="18"/>
                              </w:rPr>
                              <w:t>ΔkWh</w:t>
                            </w:r>
                            <w:r>
                              <w:rPr>
                                <w:rFonts w:cstheme="minorHAnsi"/>
                                <w:sz w:val="18"/>
                                <w:szCs w:val="18"/>
                                <w:vertAlign w:val="subscript"/>
                              </w:rPr>
                              <w:t>2022 Adjusted</w:t>
                            </w:r>
                            <w:r>
                              <w:rPr>
                                <w:rFonts w:cstheme="minorHAnsi"/>
                                <w:sz w:val="18"/>
                                <w:szCs w:val="18"/>
                              </w:rPr>
                              <w:t xml:space="preserve">  = 27,250,000 – (24,000,000 * 0.9</w:t>
                            </w:r>
                            <w:ins w:id="235" w:author="Carly Olig" w:date="2022-05-04T15:17:00Z">
                              <w:r>
                                <w:rPr>
                                  <w:rFonts w:cstheme="minorHAnsi"/>
                                  <w:sz w:val="18"/>
                                  <w:szCs w:val="18"/>
                                </w:rPr>
                                <w:t>5</w:t>
                              </w:r>
                            </w:ins>
                            <w:del w:id="236" w:author="Carly Olig" w:date="2022-05-04T15:17:00Z">
                              <w:r w:rsidDel="00461501">
                                <w:rPr>
                                  <w:rFonts w:cstheme="minorHAnsi"/>
                                  <w:sz w:val="18"/>
                                  <w:szCs w:val="18"/>
                                </w:rPr>
                                <w:delText>08</w:delText>
                              </w:r>
                            </w:del>
                            <w:r>
                              <w:rPr>
                                <w:rFonts w:cstheme="minorHAnsi"/>
                                <w:sz w:val="18"/>
                                <w:szCs w:val="18"/>
                              </w:rPr>
                              <w:t xml:space="preserve"> * 0.78) </w:t>
                            </w:r>
                          </w:p>
                          <w:p w14:paraId="75F23691" w14:textId="77777777" w:rsidR="000702C6" w:rsidRDefault="000702C6" w:rsidP="000702C6">
                            <w:pPr>
                              <w:spacing w:after="60"/>
                              <w:ind w:left="720" w:firstLine="720"/>
                              <w:rPr>
                                <w:rFonts w:cstheme="minorHAnsi"/>
                                <w:sz w:val="18"/>
                                <w:szCs w:val="18"/>
                              </w:rPr>
                            </w:pPr>
                            <w:r>
                              <w:rPr>
                                <w:rFonts w:cstheme="minorHAnsi"/>
                                <w:sz w:val="18"/>
                                <w:szCs w:val="18"/>
                              </w:rPr>
                              <w:t xml:space="preserve">= </w:t>
                            </w:r>
                            <w:del w:id="237" w:author="Carly Olig" w:date="2022-05-04T15:24:00Z">
                              <w:r w:rsidDel="006E3A63">
                                <w:rPr>
                                  <w:rFonts w:cstheme="minorHAnsi"/>
                                  <w:sz w:val="18"/>
                                  <w:szCs w:val="18"/>
                                </w:rPr>
                                <w:delText>10,252,240</w:delText>
                              </w:r>
                            </w:del>
                            <w:ins w:id="238" w:author="Carly Olig" w:date="2022-05-04T15:30:00Z">
                              <w:r>
                                <w:rPr>
                                  <w:rFonts w:cstheme="minorHAnsi"/>
                                  <w:sz w:val="18"/>
                                  <w:szCs w:val="18"/>
                                </w:rPr>
                                <w:t>9,466,000</w:t>
                              </w:r>
                            </w:ins>
                            <w:r>
                              <w:rPr>
                                <w:rFonts w:cstheme="minorHAnsi"/>
                                <w:sz w:val="18"/>
                                <w:szCs w:val="18"/>
                              </w:rPr>
                              <w:t xml:space="preserve"> kWh</w:t>
                            </w:r>
                          </w:p>
                          <w:p w14:paraId="6824579A" w14:textId="77777777" w:rsidR="000702C6" w:rsidRDefault="000702C6" w:rsidP="000702C6">
                            <w:pPr>
                              <w:spacing w:after="60"/>
                              <w:rPr>
                                <w:rFonts w:cstheme="minorHAnsi"/>
                                <w:color w:val="FF0000"/>
                                <w:sz w:val="18"/>
                                <w:szCs w:val="18"/>
                              </w:rPr>
                            </w:pPr>
                            <w:r>
                              <w:rPr>
                                <w:rFonts w:cstheme="minorHAnsi"/>
                                <w:sz w:val="18"/>
                                <w:szCs w:val="18"/>
                              </w:rPr>
                              <w:t>ΔkWh</w:t>
                            </w:r>
                            <w:r>
                              <w:rPr>
                                <w:rFonts w:cstheme="minorHAnsi"/>
                                <w:sz w:val="18"/>
                                <w:szCs w:val="18"/>
                                <w:vertAlign w:val="subscript"/>
                              </w:rPr>
                              <w:t>2023 Adjusted</w:t>
                            </w:r>
                            <w:r>
                              <w:rPr>
                                <w:rFonts w:cstheme="minorHAnsi"/>
                                <w:sz w:val="18"/>
                                <w:szCs w:val="18"/>
                              </w:rPr>
                              <w:t xml:space="preserve">  = 25,235,000 – (</w:t>
                            </w:r>
                            <w:ins w:id="239" w:author="Carly Olig" w:date="2022-05-04T15:30:00Z">
                              <w:r>
                                <w:rPr>
                                  <w:rFonts w:cstheme="minorHAnsi"/>
                                  <w:sz w:val="18"/>
                                  <w:szCs w:val="18"/>
                                </w:rPr>
                                <w:t xml:space="preserve">9,466,000 </w:t>
                              </w:r>
                            </w:ins>
                            <w:del w:id="240" w:author="Carly Olig" w:date="2022-05-04T15:30:00Z">
                              <w:r w:rsidDel="00795A05">
                                <w:rPr>
                                  <w:rFonts w:cstheme="minorHAnsi"/>
                                  <w:sz w:val="18"/>
                                  <w:szCs w:val="18"/>
                                </w:rPr>
                                <w:delText xml:space="preserve">10,252,240 </w:delText>
                              </w:r>
                            </w:del>
                            <w:r>
                              <w:rPr>
                                <w:rFonts w:cstheme="minorHAnsi"/>
                                <w:sz w:val="18"/>
                                <w:szCs w:val="18"/>
                              </w:rPr>
                              <w:t>* 0.9</w:t>
                            </w:r>
                            <w:ins w:id="241" w:author="Carly Olig" w:date="2022-05-04T15:17:00Z">
                              <w:r>
                                <w:rPr>
                                  <w:rFonts w:cstheme="minorHAnsi"/>
                                  <w:sz w:val="18"/>
                                  <w:szCs w:val="18"/>
                                </w:rPr>
                                <w:t>5</w:t>
                              </w:r>
                            </w:ins>
                            <w:del w:id="242" w:author="Carly Olig" w:date="2022-05-04T15:17:00Z">
                              <w:r w:rsidDel="00461501">
                                <w:rPr>
                                  <w:rFonts w:cstheme="minorHAnsi"/>
                                  <w:sz w:val="18"/>
                                  <w:szCs w:val="18"/>
                                </w:rPr>
                                <w:delText>45</w:delText>
                              </w:r>
                            </w:del>
                            <w:r>
                              <w:rPr>
                                <w:rFonts w:cstheme="minorHAnsi"/>
                                <w:sz w:val="18"/>
                                <w:szCs w:val="18"/>
                              </w:rPr>
                              <w:t xml:space="preserve"> * 0.78) – (24,000,000 * 0.</w:t>
                            </w:r>
                            <w:del w:id="243" w:author="Carly Olig" w:date="2022-05-04T15:17:00Z">
                              <w:r w:rsidDel="00461501">
                                <w:rPr>
                                  <w:rFonts w:cstheme="minorHAnsi"/>
                                  <w:sz w:val="18"/>
                                  <w:szCs w:val="18"/>
                                </w:rPr>
                                <w:delText>858</w:delText>
                              </w:r>
                            </w:del>
                            <w:ins w:id="244" w:author="Carly Olig" w:date="2022-05-04T15:17:00Z">
                              <w:r>
                                <w:rPr>
                                  <w:rFonts w:cstheme="minorHAnsi"/>
                                  <w:sz w:val="18"/>
                                  <w:szCs w:val="18"/>
                                </w:rPr>
                                <w:t>95</w:t>
                              </w:r>
                              <w:r>
                                <w:rPr>
                                  <w:rFonts w:cstheme="minorHAnsi"/>
                                  <w:sz w:val="18"/>
                                  <w:szCs w:val="18"/>
                                  <w:vertAlign w:val="superscript"/>
                                </w:rPr>
                                <w:t>2</w:t>
                              </w:r>
                            </w:ins>
                            <w:r>
                              <w:rPr>
                                <w:rFonts w:cstheme="minorHAnsi"/>
                                <w:sz w:val="18"/>
                                <w:szCs w:val="18"/>
                              </w:rPr>
                              <w:t xml:space="preserve"> * 0.61)</w:t>
                            </w:r>
                          </w:p>
                          <w:p w14:paraId="5541A3C2" w14:textId="77777777" w:rsidR="000702C6" w:rsidRDefault="000702C6" w:rsidP="000702C6">
                            <w:pPr>
                              <w:spacing w:after="60"/>
                              <w:ind w:left="720" w:firstLine="720"/>
                              <w:rPr>
                                <w:rFonts w:cstheme="minorHAnsi"/>
                                <w:sz w:val="18"/>
                                <w:szCs w:val="18"/>
                              </w:rPr>
                            </w:pPr>
                            <w:r>
                              <w:rPr>
                                <w:rFonts w:cstheme="minorHAnsi"/>
                                <w:sz w:val="18"/>
                                <w:szCs w:val="18"/>
                              </w:rPr>
                              <w:t xml:space="preserve">= </w:t>
                            </w:r>
                            <w:del w:id="245" w:author="Carly Olig" w:date="2022-05-04T15:25:00Z">
                              <w:r w:rsidDel="00723674">
                                <w:rPr>
                                  <w:rFonts w:cstheme="minorHAnsi"/>
                                  <w:sz w:val="18"/>
                                  <w:szCs w:val="18"/>
                                </w:rPr>
                                <w:delText>5,116,954</w:delText>
                              </w:r>
                            </w:del>
                            <w:ins w:id="246" w:author="Carly Olig" w:date="2022-05-04T15:25:00Z">
                              <w:r>
                                <w:rPr>
                                  <w:rFonts w:cstheme="minorHAnsi"/>
                                  <w:sz w:val="18"/>
                                  <w:szCs w:val="18"/>
                                </w:rPr>
                                <w:t>5,008,094</w:t>
                              </w:r>
                            </w:ins>
                            <w:r>
                              <w:rPr>
                                <w:rFonts w:cstheme="minorHAnsi"/>
                                <w:sz w:val="18"/>
                                <w:szCs w:val="18"/>
                              </w:rPr>
                              <w:t xml:space="preserve"> kWh</w:t>
                            </w:r>
                          </w:p>
                          <w:p w14:paraId="52342A22" w14:textId="77777777" w:rsidR="000702C6" w:rsidRDefault="000702C6" w:rsidP="000702C6">
                            <w:pPr>
                              <w:spacing w:after="60"/>
                              <w:rPr>
                                <w:rFonts w:cstheme="minorHAnsi"/>
                                <w:color w:val="FF0000"/>
                                <w:sz w:val="18"/>
                                <w:szCs w:val="18"/>
                              </w:rPr>
                            </w:pPr>
                            <w:r>
                              <w:rPr>
                                <w:rFonts w:cstheme="minorHAnsi"/>
                                <w:sz w:val="18"/>
                                <w:szCs w:val="18"/>
                              </w:rPr>
                              <w:t>ΔkWh</w:t>
                            </w:r>
                            <w:r>
                              <w:rPr>
                                <w:rFonts w:cstheme="minorHAnsi"/>
                                <w:sz w:val="18"/>
                                <w:szCs w:val="18"/>
                                <w:vertAlign w:val="subscript"/>
                              </w:rPr>
                              <w:t>2024 Adjusted</w:t>
                            </w:r>
                            <w:r>
                              <w:rPr>
                                <w:rFonts w:cstheme="minorHAnsi"/>
                                <w:sz w:val="18"/>
                                <w:szCs w:val="18"/>
                              </w:rPr>
                              <w:t xml:space="preserve">  = 24,750,000 – (</w:t>
                            </w:r>
                            <w:ins w:id="247" w:author="Carly Olig" w:date="2022-05-04T15:31:00Z">
                              <w:r>
                                <w:rPr>
                                  <w:rFonts w:cstheme="minorHAnsi"/>
                                  <w:sz w:val="18"/>
                                  <w:szCs w:val="18"/>
                                </w:rPr>
                                <w:t>5,008,094</w:t>
                              </w:r>
                            </w:ins>
                            <w:ins w:id="248" w:author="Carly Olig" w:date="2022-05-04T15:32:00Z">
                              <w:r>
                                <w:rPr>
                                  <w:rFonts w:cstheme="minorHAnsi"/>
                                  <w:sz w:val="18"/>
                                  <w:szCs w:val="18"/>
                                </w:rPr>
                                <w:t xml:space="preserve"> </w:t>
                              </w:r>
                            </w:ins>
                            <w:del w:id="249" w:author="Carly Olig" w:date="2022-05-04T15:31:00Z">
                              <w:r w:rsidDel="00CB3B81">
                                <w:rPr>
                                  <w:rFonts w:cstheme="minorHAnsi"/>
                                  <w:sz w:val="18"/>
                                  <w:szCs w:val="18"/>
                                </w:rPr>
                                <w:delText>5,116,954</w:delText>
                              </w:r>
                            </w:del>
                            <w:del w:id="250" w:author="Carly Olig" w:date="2022-05-04T15:32:00Z">
                              <w:r w:rsidDel="00AF1C40">
                                <w:rPr>
                                  <w:rFonts w:cstheme="minorHAnsi"/>
                                  <w:sz w:val="18"/>
                                  <w:szCs w:val="18"/>
                                </w:rPr>
                                <w:delText xml:space="preserve"> </w:delText>
                              </w:r>
                            </w:del>
                            <w:r>
                              <w:rPr>
                                <w:rFonts w:cstheme="minorHAnsi"/>
                                <w:sz w:val="18"/>
                                <w:szCs w:val="18"/>
                              </w:rPr>
                              <w:t>* 0.9</w:t>
                            </w:r>
                            <w:ins w:id="251" w:author="Carly Olig" w:date="2022-05-04T15:17:00Z">
                              <w:r>
                                <w:rPr>
                                  <w:rFonts w:cstheme="minorHAnsi"/>
                                  <w:sz w:val="18"/>
                                  <w:szCs w:val="18"/>
                                </w:rPr>
                                <w:t>5</w:t>
                              </w:r>
                            </w:ins>
                            <w:del w:id="252" w:author="Carly Olig" w:date="2022-05-04T15:17:00Z">
                              <w:r w:rsidDel="0011531D">
                                <w:rPr>
                                  <w:rFonts w:cstheme="minorHAnsi"/>
                                  <w:sz w:val="18"/>
                                  <w:szCs w:val="18"/>
                                </w:rPr>
                                <w:delText>61</w:delText>
                              </w:r>
                            </w:del>
                            <w:r>
                              <w:rPr>
                                <w:rFonts w:cstheme="minorHAnsi"/>
                                <w:sz w:val="18"/>
                                <w:szCs w:val="18"/>
                              </w:rPr>
                              <w:t xml:space="preserve"> * 0.78) – (</w:t>
                            </w:r>
                            <w:ins w:id="253" w:author="Carly Olig" w:date="2022-05-04T15:32:00Z">
                              <w:r>
                                <w:rPr>
                                  <w:rFonts w:cstheme="minorHAnsi"/>
                                  <w:sz w:val="18"/>
                                  <w:szCs w:val="18"/>
                                </w:rPr>
                                <w:t xml:space="preserve">9,466,000 </w:t>
                              </w:r>
                            </w:ins>
                            <w:del w:id="254" w:author="Carly Olig" w:date="2022-05-04T15:31:00Z">
                              <w:r w:rsidDel="00CB3B81">
                                <w:rPr>
                                  <w:rFonts w:cstheme="minorHAnsi"/>
                                  <w:sz w:val="18"/>
                                  <w:szCs w:val="18"/>
                                </w:rPr>
                                <w:delText>10,252,240</w:delText>
                              </w:r>
                            </w:del>
                            <w:del w:id="255" w:author="Carly Olig" w:date="2022-05-04T15:32:00Z">
                              <w:r w:rsidDel="00AF1C40">
                                <w:rPr>
                                  <w:rFonts w:cstheme="minorHAnsi"/>
                                  <w:sz w:val="18"/>
                                  <w:szCs w:val="18"/>
                                </w:rPr>
                                <w:delText xml:space="preserve"> </w:delText>
                              </w:r>
                            </w:del>
                            <w:r>
                              <w:rPr>
                                <w:rFonts w:cstheme="minorHAnsi"/>
                                <w:sz w:val="18"/>
                                <w:szCs w:val="18"/>
                              </w:rPr>
                              <w:t>* 0.</w:t>
                            </w:r>
                            <w:del w:id="256" w:author="Carly Olig" w:date="2022-05-04T15:18:00Z">
                              <w:r w:rsidDel="0011531D">
                                <w:rPr>
                                  <w:rFonts w:cstheme="minorHAnsi"/>
                                  <w:sz w:val="18"/>
                                  <w:szCs w:val="18"/>
                                </w:rPr>
                                <w:delText>908</w:delText>
                              </w:r>
                            </w:del>
                            <w:ins w:id="257" w:author="Carly Olig" w:date="2022-05-04T15:18:00Z">
                              <w:r>
                                <w:rPr>
                                  <w:rFonts w:cstheme="minorHAnsi"/>
                                  <w:sz w:val="18"/>
                                  <w:szCs w:val="18"/>
                                </w:rPr>
                                <w:t>95</w:t>
                              </w:r>
                              <w:r>
                                <w:rPr>
                                  <w:rFonts w:cstheme="minorHAnsi"/>
                                  <w:sz w:val="18"/>
                                  <w:szCs w:val="18"/>
                                  <w:vertAlign w:val="superscript"/>
                                </w:rPr>
                                <w:t>2</w:t>
                              </w:r>
                            </w:ins>
                            <w:r>
                              <w:rPr>
                                <w:rFonts w:cstheme="minorHAnsi"/>
                                <w:sz w:val="18"/>
                                <w:szCs w:val="18"/>
                              </w:rPr>
                              <w:t xml:space="preserve"> * 0.61) – (24,000,000 * 0.</w:t>
                            </w:r>
                            <w:del w:id="258" w:author="Carly Olig" w:date="2022-05-04T15:18:00Z">
                              <w:r w:rsidDel="0011531D">
                                <w:rPr>
                                  <w:rFonts w:cstheme="minorHAnsi"/>
                                  <w:sz w:val="18"/>
                                  <w:szCs w:val="18"/>
                                </w:rPr>
                                <w:delText>825</w:delText>
                              </w:r>
                            </w:del>
                            <w:ins w:id="259" w:author="Carly Olig" w:date="2022-05-04T15:18:00Z">
                              <w:r>
                                <w:rPr>
                                  <w:rFonts w:cstheme="minorHAnsi"/>
                                  <w:sz w:val="18"/>
                                  <w:szCs w:val="18"/>
                                </w:rPr>
                                <w:t>95</w:t>
                              </w:r>
                              <w:r>
                                <w:rPr>
                                  <w:rFonts w:cstheme="minorHAnsi"/>
                                  <w:sz w:val="18"/>
                                  <w:szCs w:val="18"/>
                                  <w:vertAlign w:val="superscript"/>
                                </w:rPr>
                                <w:t>3</w:t>
                              </w:r>
                            </w:ins>
                            <w:r>
                              <w:rPr>
                                <w:rFonts w:cstheme="minorHAnsi"/>
                                <w:sz w:val="18"/>
                                <w:szCs w:val="18"/>
                              </w:rPr>
                              <w:t xml:space="preserve"> * 0.47)</w:t>
                            </w:r>
                          </w:p>
                          <w:p w14:paraId="36414054" w14:textId="77777777" w:rsidR="000702C6" w:rsidRDefault="000702C6" w:rsidP="000702C6">
                            <w:pPr>
                              <w:spacing w:after="60"/>
                              <w:ind w:left="720" w:firstLine="720"/>
                              <w:rPr>
                                <w:rFonts w:cstheme="minorHAnsi"/>
                                <w:sz w:val="18"/>
                                <w:szCs w:val="18"/>
                              </w:rPr>
                            </w:pPr>
                            <w:r>
                              <w:rPr>
                                <w:rFonts w:cstheme="minorHAnsi"/>
                                <w:sz w:val="18"/>
                                <w:szCs w:val="18"/>
                              </w:rPr>
                              <w:t xml:space="preserve">= </w:t>
                            </w:r>
                            <w:del w:id="260" w:author="Carly Olig" w:date="2022-05-04T15:33:00Z">
                              <w:r w:rsidDel="00B93D7A">
                                <w:rPr>
                                  <w:rFonts w:cstheme="minorHAnsi"/>
                                  <w:sz w:val="18"/>
                                  <w:szCs w:val="18"/>
                                </w:rPr>
                                <w:delText xml:space="preserve">5,929,923 </w:delText>
                              </w:r>
                            </w:del>
                            <w:ins w:id="261" w:author="Carly Olig" w:date="2022-05-04T15:33:00Z">
                              <w:r>
                                <w:rPr>
                                  <w:rFonts w:cstheme="minorHAnsi"/>
                                  <w:sz w:val="18"/>
                                  <w:szCs w:val="18"/>
                                </w:rPr>
                                <w:t xml:space="preserve">6,156,543 </w:t>
                              </w:r>
                            </w:ins>
                            <w:r>
                              <w:rPr>
                                <w:rFonts w:cstheme="minorHAnsi"/>
                                <w:sz w:val="18"/>
                                <w:szCs w:val="18"/>
                              </w:rPr>
                              <w:t xml:space="preserve">kWh </w:t>
                            </w:r>
                          </w:p>
                          <w:p w14:paraId="004DB887" w14:textId="77777777" w:rsidR="000702C6" w:rsidRDefault="000702C6" w:rsidP="000702C6">
                            <w:pPr>
                              <w:spacing w:after="60"/>
                              <w:rPr>
                                <w:rFonts w:cstheme="minorHAnsi"/>
                                <w:sz w:val="18"/>
                                <w:szCs w:val="18"/>
                              </w:rPr>
                            </w:pPr>
                            <w:r>
                              <w:rPr>
                                <w:rFonts w:cstheme="minorHAnsi"/>
                                <w:sz w:val="18"/>
                                <w:szCs w:val="18"/>
                              </w:rPr>
                              <w:t>ΔkWh</w:t>
                            </w:r>
                            <w:r>
                              <w:rPr>
                                <w:rFonts w:cstheme="minorHAnsi"/>
                                <w:sz w:val="18"/>
                                <w:szCs w:val="18"/>
                                <w:vertAlign w:val="subscript"/>
                              </w:rPr>
                              <w:t>2025 Adjusted</w:t>
                            </w:r>
                            <w:r>
                              <w:rPr>
                                <w:rFonts w:cstheme="minorHAnsi"/>
                                <w:sz w:val="18"/>
                                <w:szCs w:val="18"/>
                              </w:rPr>
                              <w:t xml:space="preserve">  = 23,500,000 – (</w:t>
                            </w:r>
                            <w:del w:id="262" w:author="Carly Olig" w:date="2022-05-04T15:34:00Z">
                              <w:r w:rsidDel="00ED2F8A">
                                <w:rPr>
                                  <w:rFonts w:cstheme="minorHAnsi"/>
                                  <w:sz w:val="18"/>
                                  <w:szCs w:val="18"/>
                                </w:rPr>
                                <w:delText xml:space="preserve">5,929,923 </w:delText>
                              </w:r>
                            </w:del>
                            <w:ins w:id="263" w:author="Carly Olig" w:date="2022-05-04T15:34:00Z">
                              <w:r>
                                <w:rPr>
                                  <w:rFonts w:cstheme="minorHAnsi"/>
                                  <w:sz w:val="18"/>
                                  <w:szCs w:val="18"/>
                                </w:rPr>
                                <w:t xml:space="preserve">6,156,543 </w:t>
                              </w:r>
                            </w:ins>
                            <w:r>
                              <w:rPr>
                                <w:rFonts w:cstheme="minorHAnsi"/>
                                <w:sz w:val="18"/>
                                <w:szCs w:val="18"/>
                              </w:rPr>
                              <w:t>* 0.9</w:t>
                            </w:r>
                            <w:ins w:id="264" w:author="Carly Olig" w:date="2022-05-04T15:18:00Z">
                              <w:r>
                                <w:rPr>
                                  <w:rFonts w:cstheme="minorHAnsi"/>
                                  <w:sz w:val="18"/>
                                  <w:szCs w:val="18"/>
                                </w:rPr>
                                <w:t>5</w:t>
                              </w:r>
                            </w:ins>
                            <w:del w:id="265" w:author="Carly Olig" w:date="2022-05-04T15:18:00Z">
                              <w:r w:rsidDel="0011531D">
                                <w:rPr>
                                  <w:rFonts w:cstheme="minorHAnsi"/>
                                  <w:sz w:val="18"/>
                                  <w:szCs w:val="18"/>
                                </w:rPr>
                                <w:delText>49</w:delText>
                              </w:r>
                            </w:del>
                            <w:r>
                              <w:rPr>
                                <w:rFonts w:cstheme="minorHAnsi"/>
                                <w:sz w:val="18"/>
                                <w:szCs w:val="18"/>
                              </w:rPr>
                              <w:t xml:space="preserve"> * 0.78) – (</w:t>
                            </w:r>
                            <w:del w:id="266" w:author="Carly Olig" w:date="2022-05-04T15:35:00Z">
                              <w:r w:rsidDel="00ED2F8A">
                                <w:rPr>
                                  <w:rFonts w:cstheme="minorHAnsi"/>
                                  <w:sz w:val="18"/>
                                  <w:szCs w:val="18"/>
                                </w:rPr>
                                <w:delText xml:space="preserve">5,116,954 </w:delText>
                              </w:r>
                            </w:del>
                            <w:ins w:id="267" w:author="Carly Olig" w:date="2022-05-04T15:35:00Z">
                              <w:r>
                                <w:rPr>
                                  <w:rFonts w:cstheme="minorHAnsi"/>
                                  <w:sz w:val="18"/>
                                  <w:szCs w:val="18"/>
                                </w:rPr>
                                <w:t xml:space="preserve">5,008,094 </w:t>
                              </w:r>
                            </w:ins>
                            <w:r>
                              <w:rPr>
                                <w:rFonts w:cstheme="minorHAnsi"/>
                                <w:sz w:val="18"/>
                                <w:szCs w:val="18"/>
                              </w:rPr>
                              <w:t>* 0.</w:t>
                            </w:r>
                            <w:del w:id="268" w:author="Carly Olig" w:date="2022-05-04T15:18:00Z">
                              <w:r w:rsidDel="0011531D">
                                <w:rPr>
                                  <w:rFonts w:cstheme="minorHAnsi"/>
                                  <w:sz w:val="18"/>
                                  <w:szCs w:val="18"/>
                                </w:rPr>
                                <w:delText>913</w:delText>
                              </w:r>
                            </w:del>
                            <w:ins w:id="269" w:author="Carly Olig" w:date="2022-05-04T15:18:00Z">
                              <w:r>
                                <w:rPr>
                                  <w:rFonts w:cstheme="minorHAnsi"/>
                                  <w:sz w:val="18"/>
                                  <w:szCs w:val="18"/>
                                </w:rPr>
                                <w:t>95</w:t>
                              </w:r>
                              <w:r>
                                <w:rPr>
                                  <w:rFonts w:cstheme="minorHAnsi"/>
                                  <w:sz w:val="18"/>
                                  <w:szCs w:val="18"/>
                                  <w:vertAlign w:val="superscript"/>
                                </w:rPr>
                                <w:t>2</w:t>
                              </w:r>
                            </w:ins>
                            <w:r>
                              <w:rPr>
                                <w:rFonts w:cstheme="minorHAnsi"/>
                                <w:sz w:val="18"/>
                                <w:szCs w:val="18"/>
                              </w:rPr>
                              <w:t xml:space="preserve"> * 0.61) – (</w:t>
                            </w:r>
                            <w:ins w:id="270" w:author="Carly Olig" w:date="2022-05-04T15:35:00Z">
                              <w:r>
                                <w:rPr>
                                  <w:rFonts w:cstheme="minorHAnsi"/>
                                  <w:sz w:val="18"/>
                                  <w:szCs w:val="18"/>
                                </w:rPr>
                                <w:t xml:space="preserve">9,466,000  </w:t>
                              </w:r>
                            </w:ins>
                            <w:del w:id="271" w:author="Carly Olig" w:date="2022-05-04T15:35:00Z">
                              <w:r w:rsidDel="00004545">
                                <w:rPr>
                                  <w:rFonts w:cstheme="minorHAnsi"/>
                                  <w:sz w:val="18"/>
                                  <w:szCs w:val="18"/>
                                </w:rPr>
                                <w:delText xml:space="preserve">10,252,240 </w:delText>
                              </w:r>
                            </w:del>
                            <w:r>
                              <w:rPr>
                                <w:rFonts w:cstheme="minorHAnsi"/>
                                <w:sz w:val="18"/>
                                <w:szCs w:val="18"/>
                              </w:rPr>
                              <w:t>* 0.</w:t>
                            </w:r>
                            <w:del w:id="272" w:author="Carly Olig" w:date="2022-05-04T15:18:00Z">
                              <w:r w:rsidDel="0011531D">
                                <w:rPr>
                                  <w:rFonts w:cstheme="minorHAnsi"/>
                                  <w:sz w:val="18"/>
                                  <w:szCs w:val="18"/>
                                </w:rPr>
                                <w:delText>862</w:delText>
                              </w:r>
                            </w:del>
                            <w:ins w:id="273" w:author="Carly Olig" w:date="2022-05-04T15:18:00Z">
                              <w:r>
                                <w:rPr>
                                  <w:rFonts w:cstheme="minorHAnsi"/>
                                  <w:sz w:val="18"/>
                                  <w:szCs w:val="18"/>
                                </w:rPr>
                                <w:t>95</w:t>
                              </w:r>
                              <w:r>
                                <w:rPr>
                                  <w:rFonts w:cstheme="minorHAnsi"/>
                                  <w:sz w:val="18"/>
                                  <w:szCs w:val="18"/>
                                  <w:vertAlign w:val="superscript"/>
                                </w:rPr>
                                <w:t>3</w:t>
                              </w:r>
                            </w:ins>
                            <w:r>
                              <w:rPr>
                                <w:rFonts w:cstheme="minorHAnsi"/>
                                <w:sz w:val="18"/>
                                <w:szCs w:val="18"/>
                              </w:rPr>
                              <w:t xml:space="preserve"> * 0.47) </w:t>
                            </w:r>
                          </w:p>
                          <w:p w14:paraId="40ACB6A2" w14:textId="77777777" w:rsidR="000702C6" w:rsidRDefault="000702C6" w:rsidP="000702C6">
                            <w:pPr>
                              <w:spacing w:after="60"/>
                              <w:ind w:left="1440" w:firstLine="720"/>
                              <w:rPr>
                                <w:rFonts w:cstheme="minorHAnsi"/>
                                <w:sz w:val="18"/>
                                <w:szCs w:val="18"/>
                              </w:rPr>
                            </w:pPr>
                            <w:r>
                              <w:rPr>
                                <w:rFonts w:cstheme="minorHAnsi"/>
                                <w:sz w:val="18"/>
                                <w:szCs w:val="18"/>
                              </w:rPr>
                              <w:t>– (24,000,000 * 0.</w:t>
                            </w:r>
                            <w:del w:id="274" w:author="Carly Olig" w:date="2022-05-04T15:18:00Z">
                              <w:r w:rsidDel="0011531D">
                                <w:rPr>
                                  <w:rFonts w:cstheme="minorHAnsi"/>
                                  <w:sz w:val="18"/>
                                  <w:szCs w:val="18"/>
                                </w:rPr>
                                <w:delText>783</w:delText>
                              </w:r>
                            </w:del>
                            <w:ins w:id="275" w:author="Carly Olig" w:date="2022-05-04T15:18:00Z">
                              <w:r>
                                <w:rPr>
                                  <w:rFonts w:cstheme="minorHAnsi"/>
                                  <w:sz w:val="18"/>
                                  <w:szCs w:val="18"/>
                                </w:rPr>
                                <w:t>95</w:t>
                              </w:r>
                              <w:r>
                                <w:rPr>
                                  <w:rFonts w:cstheme="minorHAnsi"/>
                                  <w:sz w:val="18"/>
                                  <w:szCs w:val="18"/>
                                  <w:vertAlign w:val="superscript"/>
                                </w:rPr>
                                <w:t>4</w:t>
                              </w:r>
                            </w:ins>
                            <w:r>
                              <w:rPr>
                                <w:rFonts w:cstheme="minorHAnsi"/>
                                <w:sz w:val="18"/>
                                <w:szCs w:val="18"/>
                              </w:rPr>
                              <w:t xml:space="preserve"> * 0.37)</w:t>
                            </w:r>
                          </w:p>
                          <w:p w14:paraId="3CE74968" w14:textId="77777777" w:rsidR="000702C6" w:rsidRDefault="000702C6" w:rsidP="000702C6">
                            <w:pPr>
                              <w:spacing w:after="60"/>
                              <w:ind w:left="720" w:firstLine="720"/>
                              <w:rPr>
                                <w:rFonts w:cstheme="minorHAnsi"/>
                                <w:sz w:val="18"/>
                                <w:szCs w:val="18"/>
                              </w:rPr>
                            </w:pPr>
                            <w:r>
                              <w:rPr>
                                <w:rFonts w:cstheme="minorHAnsi"/>
                                <w:sz w:val="18"/>
                                <w:szCs w:val="18"/>
                              </w:rPr>
                              <w:t xml:space="preserve">= </w:t>
                            </w:r>
                            <w:del w:id="276" w:author="Carly Olig" w:date="2022-05-04T15:34:00Z">
                              <w:r w:rsidDel="00ED2F8A">
                                <w:rPr>
                                  <w:rFonts w:cstheme="minorHAnsi"/>
                                  <w:sz w:val="18"/>
                                  <w:szCs w:val="18"/>
                                </w:rPr>
                                <w:delText>5,154,135</w:delText>
                              </w:r>
                            </w:del>
                            <w:ins w:id="277" w:author="Carly Olig" w:date="2022-05-04T15:34:00Z">
                              <w:r>
                                <w:rPr>
                                  <w:rFonts w:cstheme="minorHAnsi"/>
                                  <w:sz w:val="18"/>
                                  <w:szCs w:val="18"/>
                                </w:rPr>
                                <w:t>5,133,6</w:t>
                              </w:r>
                            </w:ins>
                            <w:ins w:id="278" w:author="Carly Olig" w:date="2022-05-10T14:44:00Z">
                              <w:r>
                                <w:rPr>
                                  <w:rFonts w:cstheme="minorHAnsi"/>
                                  <w:sz w:val="18"/>
                                  <w:szCs w:val="18"/>
                                </w:rPr>
                                <w:t>2</w:t>
                              </w:r>
                            </w:ins>
                            <w:ins w:id="279" w:author="Carly Olig" w:date="2022-05-04T15:34:00Z">
                              <w:r>
                                <w:rPr>
                                  <w:rFonts w:cstheme="minorHAnsi"/>
                                  <w:sz w:val="18"/>
                                  <w:szCs w:val="18"/>
                                </w:rPr>
                                <w:t>7</w:t>
                              </w:r>
                            </w:ins>
                            <w:r>
                              <w:rPr>
                                <w:rFonts w:cstheme="minorHAnsi"/>
                                <w:sz w:val="18"/>
                                <w:szCs w:val="18"/>
                              </w:rPr>
                              <w:t xml:space="preserve"> kWh </w:t>
                            </w:r>
                          </w:p>
                          <w:p w14:paraId="0FF7F9DE" w14:textId="77777777" w:rsidR="000702C6" w:rsidRDefault="000702C6" w:rsidP="000702C6">
                            <w:pPr>
                              <w:spacing w:after="60"/>
                              <w:rPr>
                                <w:rFonts w:cstheme="minorHAnsi"/>
                                <w:sz w:val="18"/>
                                <w:szCs w:val="18"/>
                              </w:rPr>
                            </w:pPr>
                            <w:bookmarkStart w:id="280" w:name="_Hlk43814413"/>
                            <w:r>
                              <w:rPr>
                                <w:rFonts w:cstheme="minorHAnsi"/>
                                <w:sz w:val="18"/>
                                <w:szCs w:val="18"/>
                              </w:rPr>
                              <w:t>ΔkWh</w:t>
                            </w:r>
                            <w:r>
                              <w:rPr>
                                <w:rFonts w:cstheme="minorHAnsi"/>
                                <w:sz w:val="18"/>
                                <w:szCs w:val="18"/>
                                <w:vertAlign w:val="subscript"/>
                              </w:rPr>
                              <w:t>2026 Adjusted</w:t>
                            </w:r>
                            <w:r>
                              <w:rPr>
                                <w:rFonts w:cstheme="minorHAnsi"/>
                                <w:sz w:val="18"/>
                                <w:szCs w:val="18"/>
                              </w:rPr>
                              <w:t xml:space="preserve">  = 23,850,000 – (</w:t>
                            </w:r>
                            <w:ins w:id="281" w:author="Carly Olig" w:date="2022-05-04T15:36:00Z">
                              <w:r>
                                <w:rPr>
                                  <w:rFonts w:cstheme="minorHAnsi"/>
                                  <w:sz w:val="18"/>
                                  <w:szCs w:val="18"/>
                                </w:rPr>
                                <w:t>5,133,6</w:t>
                              </w:r>
                            </w:ins>
                            <w:ins w:id="282" w:author="Carly Olig" w:date="2022-05-10T14:44:00Z">
                              <w:r>
                                <w:rPr>
                                  <w:rFonts w:cstheme="minorHAnsi"/>
                                  <w:sz w:val="18"/>
                                  <w:szCs w:val="18"/>
                                </w:rPr>
                                <w:t>2</w:t>
                              </w:r>
                            </w:ins>
                            <w:ins w:id="283" w:author="Carly Olig" w:date="2022-05-04T15:36:00Z">
                              <w:r>
                                <w:rPr>
                                  <w:rFonts w:cstheme="minorHAnsi"/>
                                  <w:sz w:val="18"/>
                                  <w:szCs w:val="18"/>
                                </w:rPr>
                                <w:t xml:space="preserve">7 </w:t>
                              </w:r>
                            </w:ins>
                            <w:del w:id="284" w:author="Carly Olig" w:date="2022-05-04T15:36:00Z">
                              <w:r w:rsidDel="00683C60">
                                <w:rPr>
                                  <w:rFonts w:cstheme="minorHAnsi"/>
                                  <w:sz w:val="18"/>
                                  <w:szCs w:val="18"/>
                                </w:rPr>
                                <w:delText xml:space="preserve">5,154,135 </w:delText>
                              </w:r>
                            </w:del>
                            <w:r>
                              <w:rPr>
                                <w:rFonts w:cstheme="minorHAnsi"/>
                                <w:sz w:val="18"/>
                                <w:szCs w:val="18"/>
                              </w:rPr>
                              <w:t>* 0.95</w:t>
                            </w:r>
                            <w:del w:id="285" w:author="Carly Olig" w:date="2022-05-04T15:18:00Z">
                              <w:r w:rsidDel="0011531D">
                                <w:rPr>
                                  <w:rFonts w:cstheme="minorHAnsi"/>
                                  <w:sz w:val="18"/>
                                  <w:szCs w:val="18"/>
                                </w:rPr>
                                <w:delText>7</w:delText>
                              </w:r>
                            </w:del>
                            <w:r>
                              <w:rPr>
                                <w:rFonts w:cstheme="minorHAnsi"/>
                                <w:sz w:val="18"/>
                                <w:szCs w:val="18"/>
                              </w:rPr>
                              <w:t xml:space="preserve"> * 0.78) – (</w:t>
                            </w:r>
                            <w:ins w:id="286" w:author="Carly Olig" w:date="2022-05-04T15:37:00Z">
                              <w:r>
                                <w:rPr>
                                  <w:rFonts w:cstheme="minorHAnsi"/>
                                  <w:sz w:val="18"/>
                                  <w:szCs w:val="18"/>
                                </w:rPr>
                                <w:t xml:space="preserve">6,156,543 </w:t>
                              </w:r>
                            </w:ins>
                            <w:del w:id="287" w:author="Carly Olig" w:date="2022-05-04T15:37:00Z">
                              <w:r w:rsidDel="00683C60">
                                <w:rPr>
                                  <w:rFonts w:cstheme="minorHAnsi"/>
                                  <w:sz w:val="18"/>
                                  <w:szCs w:val="18"/>
                                </w:rPr>
                                <w:delText xml:space="preserve">5,929,923 </w:delText>
                              </w:r>
                            </w:del>
                            <w:r>
                              <w:rPr>
                                <w:rFonts w:cstheme="minorHAnsi"/>
                                <w:sz w:val="18"/>
                                <w:szCs w:val="18"/>
                              </w:rPr>
                              <w:t>* 0.</w:t>
                            </w:r>
                            <w:del w:id="288" w:author="Carly Olig" w:date="2022-05-04T15:19:00Z">
                              <w:r w:rsidDel="0011531D">
                                <w:rPr>
                                  <w:rFonts w:cstheme="minorHAnsi"/>
                                  <w:sz w:val="18"/>
                                  <w:szCs w:val="18"/>
                                </w:rPr>
                                <w:delText xml:space="preserve">909 </w:delText>
                              </w:r>
                            </w:del>
                            <w:ins w:id="289" w:author="Carly Olig" w:date="2022-05-04T15:19:00Z">
                              <w:r>
                                <w:rPr>
                                  <w:rFonts w:cstheme="minorHAnsi"/>
                                  <w:sz w:val="18"/>
                                  <w:szCs w:val="18"/>
                                </w:rPr>
                                <w:t>95</w:t>
                              </w:r>
                              <w:r>
                                <w:rPr>
                                  <w:rFonts w:cstheme="minorHAnsi"/>
                                  <w:sz w:val="18"/>
                                  <w:szCs w:val="18"/>
                                  <w:vertAlign w:val="superscript"/>
                                </w:rPr>
                                <w:t>2</w:t>
                              </w:r>
                            </w:ins>
                            <w:r>
                              <w:rPr>
                                <w:rFonts w:cstheme="minorHAnsi"/>
                                <w:sz w:val="18"/>
                                <w:szCs w:val="18"/>
                              </w:rPr>
                              <w:t>* 0.61) – (</w:t>
                            </w:r>
                            <w:ins w:id="290" w:author="Carly Olig" w:date="2022-05-04T15:37:00Z">
                              <w:r>
                                <w:rPr>
                                  <w:rFonts w:cstheme="minorHAnsi"/>
                                  <w:sz w:val="18"/>
                                  <w:szCs w:val="18"/>
                                </w:rPr>
                                <w:t xml:space="preserve">5,008,094 </w:t>
                              </w:r>
                            </w:ins>
                            <w:del w:id="291" w:author="Carly Olig" w:date="2022-05-04T15:37:00Z">
                              <w:r w:rsidDel="00AB20A8">
                                <w:rPr>
                                  <w:rFonts w:cstheme="minorHAnsi"/>
                                  <w:sz w:val="18"/>
                                  <w:szCs w:val="18"/>
                                </w:rPr>
                                <w:delText xml:space="preserve">5,116,954 </w:delText>
                              </w:r>
                            </w:del>
                            <w:r>
                              <w:rPr>
                                <w:rFonts w:cstheme="minorHAnsi"/>
                                <w:sz w:val="18"/>
                                <w:szCs w:val="18"/>
                              </w:rPr>
                              <w:t>* 0.</w:t>
                            </w:r>
                            <w:del w:id="292" w:author="Carly Olig" w:date="2022-05-04T15:19:00Z">
                              <w:r w:rsidDel="0011531D">
                                <w:rPr>
                                  <w:rFonts w:cstheme="minorHAnsi"/>
                                  <w:sz w:val="18"/>
                                  <w:szCs w:val="18"/>
                                </w:rPr>
                                <w:delText>874</w:delText>
                              </w:r>
                            </w:del>
                            <w:ins w:id="293" w:author="Carly Olig" w:date="2022-05-04T15:19:00Z">
                              <w:r>
                                <w:rPr>
                                  <w:rFonts w:cstheme="minorHAnsi"/>
                                  <w:sz w:val="18"/>
                                  <w:szCs w:val="18"/>
                                </w:rPr>
                                <w:t>95</w:t>
                              </w:r>
                              <w:r>
                                <w:rPr>
                                  <w:rFonts w:cstheme="minorHAnsi"/>
                                  <w:sz w:val="18"/>
                                  <w:szCs w:val="18"/>
                                  <w:vertAlign w:val="superscript"/>
                                </w:rPr>
                                <w:t>3</w:t>
                              </w:r>
                            </w:ins>
                            <w:r>
                              <w:rPr>
                                <w:rFonts w:cstheme="minorHAnsi"/>
                                <w:sz w:val="18"/>
                                <w:szCs w:val="18"/>
                              </w:rPr>
                              <w:t xml:space="preserve"> * 0.47) </w:t>
                            </w:r>
                          </w:p>
                          <w:p w14:paraId="37398062" w14:textId="77777777" w:rsidR="000702C6" w:rsidRDefault="000702C6" w:rsidP="000702C6">
                            <w:pPr>
                              <w:spacing w:after="60"/>
                              <w:ind w:left="1440" w:firstLine="720"/>
                              <w:rPr>
                                <w:rFonts w:cstheme="minorHAnsi"/>
                                <w:sz w:val="18"/>
                                <w:szCs w:val="18"/>
                              </w:rPr>
                            </w:pPr>
                            <w:r>
                              <w:rPr>
                                <w:rFonts w:cstheme="minorHAnsi"/>
                                <w:sz w:val="18"/>
                                <w:szCs w:val="18"/>
                              </w:rPr>
                              <w:t>– (</w:t>
                            </w:r>
                            <w:ins w:id="294" w:author="Carly Olig" w:date="2022-05-04T15:37:00Z">
                              <w:r>
                                <w:rPr>
                                  <w:rFonts w:cstheme="minorHAnsi"/>
                                  <w:sz w:val="18"/>
                                  <w:szCs w:val="18"/>
                                </w:rPr>
                                <w:t xml:space="preserve">9,466,000 </w:t>
                              </w:r>
                            </w:ins>
                            <w:del w:id="295" w:author="Carly Olig" w:date="2022-05-04T15:37:00Z">
                              <w:r w:rsidDel="00AB20A8">
                                <w:rPr>
                                  <w:rFonts w:cstheme="minorHAnsi"/>
                                  <w:sz w:val="18"/>
                                  <w:szCs w:val="18"/>
                                </w:rPr>
                                <w:delText xml:space="preserve">10,252,240 </w:delText>
                              </w:r>
                            </w:del>
                            <w:r>
                              <w:rPr>
                                <w:rFonts w:cstheme="minorHAnsi"/>
                                <w:sz w:val="18"/>
                                <w:szCs w:val="18"/>
                              </w:rPr>
                              <w:t>* 0.</w:t>
                            </w:r>
                            <w:del w:id="296" w:author="Carly Olig" w:date="2022-05-04T15:19:00Z">
                              <w:r w:rsidDel="0011531D">
                                <w:rPr>
                                  <w:rFonts w:cstheme="minorHAnsi"/>
                                  <w:sz w:val="18"/>
                                  <w:szCs w:val="18"/>
                                </w:rPr>
                                <w:delText>826</w:delText>
                              </w:r>
                            </w:del>
                            <w:ins w:id="297" w:author="Carly Olig" w:date="2022-05-04T15:19:00Z">
                              <w:r>
                                <w:rPr>
                                  <w:rFonts w:cstheme="minorHAnsi"/>
                                  <w:sz w:val="18"/>
                                  <w:szCs w:val="18"/>
                                </w:rPr>
                                <w:t>95</w:t>
                              </w:r>
                              <w:r>
                                <w:rPr>
                                  <w:rFonts w:cstheme="minorHAnsi"/>
                                  <w:sz w:val="18"/>
                                  <w:szCs w:val="18"/>
                                  <w:vertAlign w:val="superscript"/>
                                </w:rPr>
                                <w:t>4</w:t>
                              </w:r>
                            </w:ins>
                            <w:r>
                              <w:rPr>
                                <w:rFonts w:cstheme="minorHAnsi"/>
                                <w:sz w:val="18"/>
                                <w:szCs w:val="18"/>
                              </w:rPr>
                              <w:t xml:space="preserve"> * 0.37) – (24,000,000 * 0.</w:t>
                            </w:r>
                            <w:del w:id="298" w:author="Carly Olig" w:date="2022-05-04T15:19:00Z">
                              <w:r w:rsidDel="0011531D">
                                <w:rPr>
                                  <w:rFonts w:cstheme="minorHAnsi"/>
                                  <w:sz w:val="18"/>
                                  <w:szCs w:val="18"/>
                                </w:rPr>
                                <w:delText>750</w:delText>
                              </w:r>
                            </w:del>
                            <w:ins w:id="299" w:author="Carly Olig" w:date="2022-05-04T15:19:00Z">
                              <w:r>
                                <w:rPr>
                                  <w:rFonts w:cstheme="minorHAnsi"/>
                                  <w:sz w:val="18"/>
                                  <w:szCs w:val="18"/>
                                </w:rPr>
                                <w:t>95</w:t>
                              </w:r>
                              <w:r>
                                <w:rPr>
                                  <w:rFonts w:cstheme="minorHAnsi"/>
                                  <w:sz w:val="18"/>
                                  <w:szCs w:val="18"/>
                                  <w:vertAlign w:val="superscript"/>
                                </w:rPr>
                                <w:t>5</w:t>
                              </w:r>
                            </w:ins>
                            <w:r>
                              <w:rPr>
                                <w:rFonts w:cstheme="minorHAnsi"/>
                                <w:sz w:val="18"/>
                                <w:szCs w:val="18"/>
                              </w:rPr>
                              <w:t xml:space="preserve"> * 0.29)</w:t>
                            </w:r>
                          </w:p>
                          <w:p w14:paraId="33FEF510" w14:textId="77777777" w:rsidR="000702C6" w:rsidRDefault="000702C6" w:rsidP="000702C6">
                            <w:pPr>
                              <w:spacing w:after="60"/>
                              <w:ind w:left="720" w:firstLine="720"/>
                              <w:rPr>
                                <w:rFonts w:cstheme="minorHAnsi"/>
                                <w:sz w:val="18"/>
                                <w:szCs w:val="18"/>
                              </w:rPr>
                            </w:pPr>
                            <w:r>
                              <w:rPr>
                                <w:rFonts w:cstheme="minorHAnsi"/>
                                <w:sz w:val="18"/>
                                <w:szCs w:val="18"/>
                              </w:rPr>
                              <w:t xml:space="preserve">= </w:t>
                            </w:r>
                            <w:del w:id="300" w:author="Carly Olig" w:date="2022-05-04T15:36:00Z">
                              <w:r w:rsidDel="00683C60">
                                <w:rPr>
                                  <w:rFonts w:cstheme="minorHAnsi"/>
                                  <w:sz w:val="18"/>
                                  <w:szCs w:val="18"/>
                                </w:rPr>
                                <w:delText>6,259,330</w:delText>
                              </w:r>
                            </w:del>
                            <w:ins w:id="301" w:author="Carly Olig" w:date="2022-05-04T15:36:00Z">
                              <w:r>
                                <w:rPr>
                                  <w:rFonts w:cstheme="minorHAnsi"/>
                                  <w:sz w:val="18"/>
                                  <w:szCs w:val="18"/>
                                </w:rPr>
                                <w:t>6,400,301</w:t>
                              </w:r>
                            </w:ins>
                            <w:r>
                              <w:rPr>
                                <w:rFonts w:cstheme="minorHAnsi"/>
                                <w:sz w:val="18"/>
                                <w:szCs w:val="18"/>
                              </w:rPr>
                              <w:t xml:space="preserve"> kWh  </w:t>
                            </w:r>
                          </w:p>
                          <w:bookmarkEnd w:id="280"/>
                          <w:p w14:paraId="570C28E6" w14:textId="77777777" w:rsidR="000702C6" w:rsidRDefault="000702C6" w:rsidP="000702C6">
                            <w:pPr>
                              <w:spacing w:after="60"/>
                              <w:rPr>
                                <w:rFonts w:cstheme="minorHAnsi"/>
                                <w:sz w:val="18"/>
                                <w:szCs w:val="18"/>
                              </w:rPr>
                            </w:pPr>
                            <w:r>
                              <w:rPr>
                                <w:rFonts w:cstheme="minorHAnsi"/>
                                <w:sz w:val="18"/>
                                <w:szCs w:val="18"/>
                              </w:rPr>
                              <w:t>ΔkWh</w:t>
                            </w:r>
                            <w:r>
                              <w:rPr>
                                <w:rFonts w:cstheme="minorHAnsi"/>
                                <w:sz w:val="18"/>
                                <w:szCs w:val="18"/>
                                <w:vertAlign w:val="subscript"/>
                              </w:rPr>
                              <w:t>2027 Adjusted</w:t>
                            </w:r>
                            <w:r>
                              <w:rPr>
                                <w:rFonts w:cstheme="minorHAnsi"/>
                                <w:sz w:val="18"/>
                                <w:szCs w:val="18"/>
                              </w:rPr>
                              <w:t xml:space="preserve">  = 23,320,000 – (</w:t>
                            </w:r>
                            <w:ins w:id="302" w:author="Carly Olig" w:date="2022-05-04T15:39:00Z">
                              <w:r>
                                <w:rPr>
                                  <w:rFonts w:cstheme="minorHAnsi"/>
                                  <w:sz w:val="18"/>
                                  <w:szCs w:val="18"/>
                                </w:rPr>
                                <w:t xml:space="preserve">6,400,301 </w:t>
                              </w:r>
                            </w:ins>
                            <w:del w:id="303" w:author="Carly Olig" w:date="2022-05-04T15:39:00Z">
                              <w:r w:rsidDel="00643BA5">
                                <w:rPr>
                                  <w:rFonts w:cstheme="minorHAnsi"/>
                                  <w:sz w:val="18"/>
                                  <w:szCs w:val="18"/>
                                </w:rPr>
                                <w:delText xml:space="preserve">6,259,330 </w:delText>
                              </w:r>
                            </w:del>
                            <w:r>
                              <w:rPr>
                                <w:rFonts w:cstheme="minorHAnsi"/>
                                <w:sz w:val="18"/>
                                <w:szCs w:val="18"/>
                              </w:rPr>
                              <w:t>* 0.9</w:t>
                            </w:r>
                            <w:ins w:id="304" w:author="Carly Olig" w:date="2022-05-04T15:19:00Z">
                              <w:r>
                                <w:rPr>
                                  <w:rFonts w:cstheme="minorHAnsi"/>
                                  <w:sz w:val="18"/>
                                  <w:szCs w:val="18"/>
                                </w:rPr>
                                <w:t>5</w:t>
                              </w:r>
                            </w:ins>
                            <w:del w:id="305" w:author="Carly Olig" w:date="2022-05-04T15:19:00Z">
                              <w:r w:rsidDel="0011531D">
                                <w:rPr>
                                  <w:rFonts w:cstheme="minorHAnsi"/>
                                  <w:sz w:val="18"/>
                                  <w:szCs w:val="18"/>
                                </w:rPr>
                                <w:delText>78</w:delText>
                              </w:r>
                            </w:del>
                            <w:r>
                              <w:rPr>
                                <w:rFonts w:cstheme="minorHAnsi"/>
                                <w:sz w:val="18"/>
                                <w:szCs w:val="18"/>
                              </w:rPr>
                              <w:t xml:space="preserve"> * 0.78) – (</w:t>
                            </w:r>
                            <w:ins w:id="306" w:author="Carly Olig" w:date="2022-05-04T15:39:00Z">
                              <w:r>
                                <w:rPr>
                                  <w:rFonts w:cstheme="minorHAnsi"/>
                                  <w:sz w:val="18"/>
                                  <w:szCs w:val="18"/>
                                </w:rPr>
                                <w:t xml:space="preserve">5,133,637 </w:t>
                              </w:r>
                            </w:ins>
                            <w:del w:id="307" w:author="Carly Olig" w:date="2022-05-04T15:39:00Z">
                              <w:r w:rsidDel="00643BA5">
                                <w:rPr>
                                  <w:rFonts w:cstheme="minorHAnsi"/>
                                  <w:sz w:val="18"/>
                                  <w:szCs w:val="18"/>
                                </w:rPr>
                                <w:delText xml:space="preserve">5,154,135 </w:delText>
                              </w:r>
                            </w:del>
                            <w:r>
                              <w:rPr>
                                <w:rFonts w:cstheme="minorHAnsi"/>
                                <w:sz w:val="18"/>
                                <w:szCs w:val="18"/>
                              </w:rPr>
                              <w:t>* 0.</w:t>
                            </w:r>
                            <w:del w:id="308" w:author="Carly Olig" w:date="2022-05-04T15:19:00Z">
                              <w:r w:rsidDel="0089248D">
                                <w:rPr>
                                  <w:rFonts w:cstheme="minorHAnsi"/>
                                  <w:sz w:val="18"/>
                                  <w:szCs w:val="18"/>
                                </w:rPr>
                                <w:delText>936</w:delText>
                              </w:r>
                            </w:del>
                            <w:ins w:id="309" w:author="Carly Olig" w:date="2022-05-04T15:19:00Z">
                              <w:r>
                                <w:rPr>
                                  <w:rFonts w:cstheme="minorHAnsi"/>
                                  <w:sz w:val="18"/>
                                  <w:szCs w:val="18"/>
                                </w:rPr>
                                <w:t>95</w:t>
                              </w:r>
                              <w:r>
                                <w:rPr>
                                  <w:rFonts w:cstheme="minorHAnsi"/>
                                  <w:sz w:val="18"/>
                                  <w:szCs w:val="18"/>
                                  <w:vertAlign w:val="superscript"/>
                                </w:rPr>
                                <w:t>2</w:t>
                              </w:r>
                            </w:ins>
                            <w:r>
                              <w:rPr>
                                <w:rFonts w:cstheme="minorHAnsi"/>
                                <w:sz w:val="18"/>
                                <w:szCs w:val="18"/>
                              </w:rPr>
                              <w:t xml:space="preserve"> * 0.61) – (</w:t>
                            </w:r>
                            <w:ins w:id="310" w:author="Carly Olig" w:date="2022-05-04T15:39:00Z">
                              <w:r>
                                <w:rPr>
                                  <w:rFonts w:cstheme="minorHAnsi"/>
                                  <w:sz w:val="18"/>
                                  <w:szCs w:val="18"/>
                                </w:rPr>
                                <w:t xml:space="preserve">6,156,543 </w:t>
                              </w:r>
                            </w:ins>
                            <w:del w:id="311" w:author="Carly Olig" w:date="2022-05-04T15:39:00Z">
                              <w:r w:rsidDel="00643BA5">
                                <w:rPr>
                                  <w:rFonts w:cstheme="minorHAnsi"/>
                                  <w:sz w:val="18"/>
                                  <w:szCs w:val="18"/>
                                </w:rPr>
                                <w:delText xml:space="preserve">5,929,923 </w:delText>
                              </w:r>
                            </w:del>
                            <w:r>
                              <w:rPr>
                                <w:rFonts w:cstheme="minorHAnsi"/>
                                <w:sz w:val="18"/>
                                <w:szCs w:val="18"/>
                              </w:rPr>
                              <w:t>* 0.</w:t>
                            </w:r>
                            <w:del w:id="312" w:author="Carly Olig" w:date="2022-05-04T15:19:00Z">
                              <w:r w:rsidDel="0089248D">
                                <w:rPr>
                                  <w:rFonts w:cstheme="minorHAnsi"/>
                                  <w:sz w:val="18"/>
                                  <w:szCs w:val="18"/>
                                </w:rPr>
                                <w:delText>889</w:delText>
                              </w:r>
                            </w:del>
                            <w:ins w:id="313" w:author="Carly Olig" w:date="2022-05-04T15:19:00Z">
                              <w:r>
                                <w:rPr>
                                  <w:rFonts w:cstheme="minorHAnsi"/>
                                  <w:sz w:val="18"/>
                                  <w:szCs w:val="18"/>
                                </w:rPr>
                                <w:t>95</w:t>
                              </w:r>
                              <w:r>
                                <w:rPr>
                                  <w:rFonts w:cstheme="minorHAnsi"/>
                                  <w:sz w:val="18"/>
                                  <w:szCs w:val="18"/>
                                  <w:vertAlign w:val="superscript"/>
                                </w:rPr>
                                <w:t>3</w:t>
                              </w:r>
                            </w:ins>
                            <w:r>
                              <w:rPr>
                                <w:rFonts w:cstheme="minorHAnsi"/>
                                <w:sz w:val="18"/>
                                <w:szCs w:val="18"/>
                              </w:rPr>
                              <w:t xml:space="preserve"> * 0.47) </w:t>
                            </w:r>
                          </w:p>
                          <w:p w14:paraId="0889E157" w14:textId="77777777" w:rsidR="000702C6" w:rsidRDefault="000702C6" w:rsidP="000702C6">
                            <w:pPr>
                              <w:spacing w:after="60"/>
                              <w:ind w:left="1440" w:firstLine="720"/>
                              <w:rPr>
                                <w:ins w:id="314" w:author="Carly Olig" w:date="2022-05-04T15:20:00Z"/>
                                <w:rFonts w:cstheme="minorHAnsi"/>
                                <w:sz w:val="18"/>
                                <w:szCs w:val="18"/>
                              </w:rPr>
                            </w:pPr>
                            <w:r>
                              <w:rPr>
                                <w:rFonts w:cstheme="minorHAnsi"/>
                                <w:sz w:val="18"/>
                                <w:szCs w:val="18"/>
                              </w:rPr>
                              <w:t>– (</w:t>
                            </w:r>
                            <w:ins w:id="315" w:author="Carly Olig" w:date="2022-05-04T15:39:00Z">
                              <w:r>
                                <w:rPr>
                                  <w:rFonts w:cstheme="minorHAnsi"/>
                                  <w:sz w:val="18"/>
                                  <w:szCs w:val="18"/>
                                </w:rPr>
                                <w:t xml:space="preserve">5,008,094 </w:t>
                              </w:r>
                            </w:ins>
                            <w:del w:id="316" w:author="Carly Olig" w:date="2022-05-04T15:39:00Z">
                              <w:r w:rsidDel="00643BA5">
                                <w:rPr>
                                  <w:rFonts w:cstheme="minorHAnsi"/>
                                  <w:sz w:val="18"/>
                                  <w:szCs w:val="18"/>
                                </w:rPr>
                                <w:delText>5,116,954</w:delText>
                              </w:r>
                            </w:del>
                            <w:r>
                              <w:rPr>
                                <w:rFonts w:cstheme="minorHAnsi"/>
                                <w:sz w:val="18"/>
                                <w:szCs w:val="18"/>
                              </w:rPr>
                              <w:t xml:space="preserve"> * 0.</w:t>
                            </w:r>
                            <w:del w:id="317" w:author="Carly Olig" w:date="2022-05-04T15:19:00Z">
                              <w:r w:rsidDel="0089248D">
                                <w:rPr>
                                  <w:rFonts w:cstheme="minorHAnsi"/>
                                  <w:sz w:val="18"/>
                                  <w:szCs w:val="18"/>
                                </w:rPr>
                                <w:delText>854</w:delText>
                              </w:r>
                            </w:del>
                            <w:ins w:id="318" w:author="Carly Olig" w:date="2022-05-04T15:19:00Z">
                              <w:r>
                                <w:rPr>
                                  <w:rFonts w:cstheme="minorHAnsi"/>
                                  <w:sz w:val="18"/>
                                  <w:szCs w:val="18"/>
                                </w:rPr>
                                <w:t>95</w:t>
                              </w:r>
                              <w:r>
                                <w:rPr>
                                  <w:rFonts w:cstheme="minorHAnsi"/>
                                  <w:sz w:val="18"/>
                                  <w:szCs w:val="18"/>
                                  <w:vertAlign w:val="superscript"/>
                                </w:rPr>
                                <w:t>4</w:t>
                              </w:r>
                            </w:ins>
                            <w:r>
                              <w:rPr>
                                <w:rFonts w:cstheme="minorHAnsi"/>
                                <w:sz w:val="18"/>
                                <w:szCs w:val="18"/>
                              </w:rPr>
                              <w:t xml:space="preserve"> * 0.37) – (</w:t>
                            </w:r>
                            <w:ins w:id="319" w:author="Carly Olig" w:date="2022-05-04T15:40:00Z">
                              <w:r>
                                <w:rPr>
                                  <w:rFonts w:cstheme="minorHAnsi"/>
                                  <w:sz w:val="18"/>
                                  <w:szCs w:val="18"/>
                                </w:rPr>
                                <w:t xml:space="preserve">9,466,000 </w:t>
                              </w:r>
                            </w:ins>
                            <w:del w:id="320" w:author="Carly Olig" w:date="2022-05-04T15:40:00Z">
                              <w:r w:rsidDel="00643BA5">
                                <w:rPr>
                                  <w:rFonts w:cstheme="minorHAnsi"/>
                                  <w:sz w:val="18"/>
                                  <w:szCs w:val="18"/>
                                </w:rPr>
                                <w:delText xml:space="preserve">10,252,240 </w:delText>
                              </w:r>
                            </w:del>
                            <w:r>
                              <w:rPr>
                                <w:rFonts w:cstheme="minorHAnsi"/>
                                <w:sz w:val="18"/>
                                <w:szCs w:val="18"/>
                              </w:rPr>
                              <w:t>* 0.</w:t>
                            </w:r>
                            <w:del w:id="321" w:author="Carly Olig" w:date="2022-05-04T15:20:00Z">
                              <w:r w:rsidDel="0089248D">
                                <w:rPr>
                                  <w:rFonts w:cstheme="minorHAnsi"/>
                                  <w:sz w:val="18"/>
                                  <w:szCs w:val="18"/>
                                </w:rPr>
                                <w:delText>807</w:delText>
                              </w:r>
                            </w:del>
                            <w:ins w:id="322" w:author="Carly Olig" w:date="2022-05-04T15:20:00Z">
                              <w:r>
                                <w:rPr>
                                  <w:rFonts w:cstheme="minorHAnsi"/>
                                  <w:sz w:val="18"/>
                                  <w:szCs w:val="18"/>
                                </w:rPr>
                                <w:t>95</w:t>
                              </w:r>
                              <w:r>
                                <w:rPr>
                                  <w:rFonts w:cstheme="minorHAnsi"/>
                                  <w:sz w:val="18"/>
                                  <w:szCs w:val="18"/>
                                  <w:vertAlign w:val="superscript"/>
                                </w:rPr>
                                <w:t>5</w:t>
                              </w:r>
                            </w:ins>
                            <w:r>
                              <w:rPr>
                                <w:rFonts w:cstheme="minorHAnsi"/>
                                <w:sz w:val="18"/>
                                <w:szCs w:val="18"/>
                              </w:rPr>
                              <w:t xml:space="preserve"> * 0.29) </w:t>
                            </w:r>
                          </w:p>
                          <w:p w14:paraId="2C967BA8" w14:textId="77777777" w:rsidR="000702C6" w:rsidRDefault="000702C6" w:rsidP="000702C6">
                            <w:pPr>
                              <w:spacing w:after="60"/>
                              <w:ind w:left="1440" w:firstLine="720"/>
                              <w:rPr>
                                <w:rFonts w:cstheme="minorHAnsi"/>
                                <w:sz w:val="18"/>
                                <w:szCs w:val="18"/>
                              </w:rPr>
                            </w:pPr>
                            <w:r>
                              <w:rPr>
                                <w:rFonts w:cstheme="minorHAnsi"/>
                                <w:sz w:val="18"/>
                                <w:szCs w:val="18"/>
                              </w:rPr>
                              <w:t>– (24,000,000 * 0.</w:t>
                            </w:r>
                            <w:del w:id="323" w:author="Carly Olig" w:date="2022-05-04T15:20:00Z">
                              <w:r w:rsidDel="0089248D">
                                <w:rPr>
                                  <w:rFonts w:cstheme="minorHAnsi"/>
                                  <w:sz w:val="18"/>
                                  <w:szCs w:val="18"/>
                                </w:rPr>
                                <w:delText>733</w:delText>
                              </w:r>
                            </w:del>
                            <w:ins w:id="324" w:author="Carly Olig" w:date="2022-05-04T15:20:00Z">
                              <w:r>
                                <w:rPr>
                                  <w:rFonts w:cstheme="minorHAnsi"/>
                                  <w:sz w:val="18"/>
                                  <w:szCs w:val="18"/>
                                </w:rPr>
                                <w:t>95</w:t>
                              </w:r>
                              <w:r>
                                <w:rPr>
                                  <w:rFonts w:cstheme="minorHAnsi"/>
                                  <w:sz w:val="18"/>
                                  <w:szCs w:val="18"/>
                                  <w:vertAlign w:val="superscript"/>
                                </w:rPr>
                                <w:t>6</w:t>
                              </w:r>
                            </w:ins>
                            <w:r>
                              <w:rPr>
                                <w:rFonts w:cstheme="minorHAnsi"/>
                                <w:sz w:val="18"/>
                                <w:szCs w:val="18"/>
                              </w:rPr>
                              <w:t xml:space="preserve"> * 0.23)</w:t>
                            </w:r>
                          </w:p>
                          <w:p w14:paraId="2412A696" w14:textId="77777777" w:rsidR="000702C6" w:rsidRDefault="000702C6" w:rsidP="000702C6">
                            <w:pPr>
                              <w:spacing w:after="60"/>
                              <w:ind w:left="720" w:firstLine="720"/>
                              <w:rPr>
                                <w:rFonts w:cstheme="minorHAnsi"/>
                                <w:sz w:val="18"/>
                                <w:szCs w:val="18"/>
                              </w:rPr>
                            </w:pPr>
                            <w:r>
                              <w:rPr>
                                <w:rFonts w:cstheme="minorHAnsi"/>
                                <w:sz w:val="18"/>
                                <w:szCs w:val="18"/>
                              </w:rPr>
                              <w:t xml:space="preserve">= </w:t>
                            </w:r>
                            <w:del w:id="325" w:author="Carly Olig" w:date="2022-05-04T15:39:00Z">
                              <w:r w:rsidDel="0027050C">
                                <w:rPr>
                                  <w:rFonts w:cstheme="minorHAnsi"/>
                                  <w:sz w:val="18"/>
                                  <w:szCs w:val="18"/>
                                </w:rPr>
                                <w:delText>5,062,282</w:delText>
                              </w:r>
                            </w:del>
                            <w:ins w:id="326" w:author="Carly Olig" w:date="2022-05-04T15:39:00Z">
                              <w:r>
                                <w:rPr>
                                  <w:rFonts w:cstheme="minorHAnsi"/>
                                  <w:sz w:val="18"/>
                                  <w:szCs w:val="18"/>
                                </w:rPr>
                                <w:t>5,579,188</w:t>
                              </w:r>
                            </w:ins>
                            <w:r>
                              <w:rPr>
                                <w:rFonts w:cstheme="minorHAnsi"/>
                                <w:sz w:val="18"/>
                                <w:szCs w:val="18"/>
                              </w:rPr>
                              <w:t xml:space="preserve"> kWh  </w:t>
                            </w:r>
                          </w:p>
                          <w:p w14:paraId="7A8D9810" w14:textId="77777777" w:rsidR="000702C6" w:rsidRDefault="000702C6" w:rsidP="000702C6">
                            <w:pPr>
                              <w:spacing w:after="60"/>
                              <w:rPr>
                                <w:rFonts w:cstheme="minorHAnsi"/>
                                <w:b/>
                                <w:bCs/>
                                <w:sz w:val="18"/>
                                <w:szCs w:val="18"/>
                              </w:rPr>
                            </w:pPr>
                            <w:r>
                              <w:rPr>
                                <w:rFonts w:cstheme="minorHAnsi"/>
                                <w:b/>
                                <w:bCs/>
                                <w:sz w:val="18"/>
                                <w:szCs w:val="18"/>
                              </w:rPr>
                              <w:t>Continue for future years as appropriate.</w:t>
                            </w:r>
                          </w:p>
                          <w:p w14:paraId="250F9A45" w14:textId="77777777" w:rsidR="000702C6" w:rsidRDefault="000702C6" w:rsidP="000702C6">
                            <w:pPr>
                              <w:spacing w:after="60"/>
                              <w:rPr>
                                <w:sz w:val="18"/>
                                <w:szCs w:val="18"/>
                              </w:rPr>
                            </w:pPr>
                            <w:r>
                              <w:rPr>
                                <w:rFonts w:cstheme="minorHAnsi"/>
                                <w:sz w:val="18"/>
                                <w:szCs w:val="18"/>
                              </w:rPr>
                              <w:t xml:space="preserve">Apply the same approach to calculate adjusted annual kW and Therms, using appropriate factors and lifetimes. </w:t>
                            </w:r>
                          </w:p>
                        </w:txbxContent>
                      </wps:txbx>
                      <wps:bodyPr rot="0" vert="horz" wrap="square" lIns="91440" tIns="45720" rIns="91440" bIns="45720" anchor="t" anchorCtr="0" upright="1">
                        <a:noAutofit/>
                      </wps:bodyPr>
                    </wps:wsp>
                  </a:graphicData>
                </a:graphic>
              </wp:inline>
            </w:drawing>
          </mc:Choice>
          <mc:Fallback>
            <w:pict>
              <v:shapetype w14:anchorId="4DC0BFA1" id="_x0000_t202" coordsize="21600,21600" o:spt="202" path="m,l,21600r21600,l21600,xe">
                <v:stroke joinstyle="miter"/>
                <v:path gradientshapeok="t" o:connecttype="rect"/>
              </v:shapetype>
              <v:shape id="Text Box 6" o:spid="_x0000_s1026" type="#_x0000_t202" style="width:468pt;height:4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">
                <v:textbox>
                  <w:txbxContent>
                    <w:p w14:paraId="2BBAD085" w14:textId="77777777" w:rsidR="000702C6" w:rsidRDefault="000702C6" w:rsidP="000702C6">
                      <w:pPr>
                        <w:rPr>
                          <w:rFonts w:cstheme="minorHAnsi"/>
                          <w:b/>
                          <w:sz w:val="18"/>
                          <w:szCs w:val="18"/>
                        </w:rPr>
                      </w:pPr>
                      <w:r>
                        <w:rPr>
                          <w:rFonts w:cstheme="minorHAnsi"/>
                          <w:b/>
                          <w:sz w:val="18"/>
                          <w:szCs w:val="18"/>
                        </w:rPr>
                        <w:t xml:space="preserve">Example of Adjusted Annual Savings Calculations: </w:t>
                      </w:r>
                    </w:p>
                    <w:p w14:paraId="38DE4247" w14:textId="77777777" w:rsidR="000702C6" w:rsidRDefault="000702C6" w:rsidP="000702C6">
                      <w:pPr>
                        <w:spacing w:after="60"/>
                        <w:rPr>
                          <w:rFonts w:cstheme="minorHAnsi"/>
                          <w:sz w:val="18"/>
                          <w:szCs w:val="18"/>
                        </w:rPr>
                      </w:pPr>
                      <w:r>
                        <w:rPr>
                          <w:rFonts w:cstheme="minorHAnsi"/>
                          <w:sz w:val="18"/>
                          <w:szCs w:val="18"/>
                        </w:rPr>
                        <w:t>Assume the following information on participation and measured savings for an electric HERs-type program for the following program years (all adjustments have been made to remove effects of program lift, weather, etc. within the custom savings calculations). Assume 2021 is the first year of the program/wave.</w:t>
                      </w:r>
                    </w:p>
                    <w:tbl>
                      <w:tblPr>
                        <w:tblW w:w="0" w:type="auto"/>
                        <w:tblLook w:val="04A0" w:firstRow="1" w:lastRow="0" w:firstColumn="1" w:lastColumn="0" w:noHBand="0" w:noVBand="1"/>
                      </w:tblPr>
                      <w:tblGrid>
                        <w:gridCol w:w="2440"/>
                        <w:gridCol w:w="945"/>
                        <w:gridCol w:w="945"/>
                        <w:gridCol w:w="945"/>
                        <w:gridCol w:w="945"/>
                        <w:gridCol w:w="945"/>
                        <w:gridCol w:w="945"/>
                        <w:gridCol w:w="945"/>
                      </w:tblGrid>
                      <w:tr w:rsidR="000702C6" w14:paraId="6D50B92C" w14:textId="77777777">
                        <w:trPr>
                          <w:trHeight w:val="300"/>
                        </w:trPr>
                        <w:tc>
                          <w:tcPr>
                            <w:tcW w:w="2440" w:type="dxa"/>
                            <w:noWrap/>
                            <w:vAlign w:val="bottom"/>
                            <w:hideMark/>
                          </w:tcPr>
                          <w:p w14:paraId="41A16DF7" w14:textId="77777777" w:rsidR="000702C6" w:rsidRDefault="000702C6">
                            <w:pPr>
                              <w:rPr>
                                <w:rFonts w:cstheme="minorHAnsi"/>
                                <w:sz w:val="18"/>
                                <w:szCs w:val="18"/>
                              </w:rPr>
                            </w:pPr>
                          </w:p>
                        </w:tc>
                        <w:tc>
                          <w:tcPr>
                            <w:tcW w:w="6440" w:type="dxa"/>
                            <w:gridSpan w:val="7"/>
                            <w:tcBorders>
                              <w:top w:val="single" w:sz="4" w:space="0" w:color="auto"/>
                              <w:left w:val="single" w:sz="4" w:space="0" w:color="auto"/>
                              <w:bottom w:val="single" w:sz="4" w:space="0" w:color="auto"/>
                              <w:right w:val="single" w:sz="4" w:space="0" w:color="auto"/>
                            </w:tcBorders>
                            <w:shd w:val="clear" w:color="auto" w:fill="808080"/>
                            <w:noWrap/>
                            <w:vAlign w:val="bottom"/>
                            <w:hideMark/>
                          </w:tcPr>
                          <w:p w14:paraId="69048434" w14:textId="77777777" w:rsidR="000702C6" w:rsidRDefault="000702C6">
                            <w:pPr>
                              <w:widowControl/>
                              <w:spacing w:after="0" w:line="256" w:lineRule="auto"/>
                              <w:jc w:val="center"/>
                              <w:rPr>
                                <w:rFonts w:ascii="Calibri" w:hAnsi="Calibri" w:cs="Calibri"/>
                                <w:b/>
                                <w:bCs/>
                                <w:color w:val="FFFFFF"/>
                                <w:sz w:val="18"/>
                                <w:szCs w:val="18"/>
                              </w:rPr>
                            </w:pPr>
                            <w:r>
                              <w:rPr>
                                <w:rFonts w:ascii="Calibri" w:hAnsi="Calibri" w:cs="Calibri"/>
                                <w:b/>
                                <w:bCs/>
                                <w:color w:val="FFFFFF"/>
                                <w:sz w:val="18"/>
                                <w:szCs w:val="18"/>
                              </w:rPr>
                              <w:t>Reporting Year</w:t>
                            </w:r>
                          </w:p>
                        </w:tc>
                      </w:tr>
                      <w:tr w:rsidR="000702C6" w14:paraId="1A4576C3" w14:textId="77777777">
                        <w:trPr>
                          <w:trHeight w:val="300"/>
                        </w:trPr>
                        <w:tc>
                          <w:tcPr>
                            <w:tcW w:w="2440" w:type="dxa"/>
                            <w:noWrap/>
                            <w:vAlign w:val="bottom"/>
                            <w:hideMark/>
                          </w:tcPr>
                          <w:p w14:paraId="4CDCB79B" w14:textId="77777777" w:rsidR="000702C6" w:rsidRDefault="000702C6">
                            <w:pPr>
                              <w:rPr>
                                <w:rFonts w:ascii="Calibri" w:hAnsi="Calibri" w:cs="Calibri"/>
                                <w:b/>
                                <w:bCs/>
                                <w:color w:val="FFFFFF"/>
                                <w:sz w:val="18"/>
                                <w:szCs w:val="18"/>
                              </w:rPr>
                            </w:pPr>
                          </w:p>
                        </w:tc>
                        <w:tc>
                          <w:tcPr>
                            <w:tcW w:w="920" w:type="dxa"/>
                            <w:tcBorders>
                              <w:top w:val="nil"/>
                              <w:left w:val="single" w:sz="4" w:space="0" w:color="auto"/>
                              <w:bottom w:val="nil"/>
                              <w:right w:val="single" w:sz="4" w:space="0" w:color="auto"/>
                            </w:tcBorders>
                            <w:shd w:val="clear" w:color="auto" w:fill="808080"/>
                            <w:noWrap/>
                            <w:vAlign w:val="bottom"/>
                            <w:hideMark/>
                          </w:tcPr>
                          <w:p w14:paraId="4A7CA16E" w14:textId="77777777" w:rsidR="000702C6" w:rsidRDefault="000702C6">
                            <w:pPr>
                              <w:widowControl/>
                              <w:spacing w:after="0" w:line="256" w:lineRule="auto"/>
                              <w:jc w:val="center"/>
                              <w:rPr>
                                <w:rFonts w:ascii="Calibri" w:hAnsi="Calibri" w:cs="Calibri"/>
                                <w:b/>
                                <w:bCs/>
                                <w:color w:val="FFFFFF"/>
                                <w:sz w:val="18"/>
                                <w:szCs w:val="18"/>
                              </w:rPr>
                            </w:pPr>
                            <w:r>
                              <w:rPr>
                                <w:rFonts w:ascii="Calibri" w:hAnsi="Calibri" w:cs="Calibri"/>
                                <w:b/>
                                <w:bCs/>
                                <w:color w:val="FFFFFF"/>
                                <w:sz w:val="18"/>
                                <w:szCs w:val="18"/>
                              </w:rPr>
                              <w:t>2021</w:t>
                            </w:r>
                          </w:p>
                        </w:tc>
                        <w:tc>
                          <w:tcPr>
                            <w:tcW w:w="920" w:type="dxa"/>
                            <w:tcBorders>
                              <w:top w:val="nil"/>
                              <w:left w:val="nil"/>
                              <w:bottom w:val="nil"/>
                              <w:right w:val="single" w:sz="4" w:space="0" w:color="auto"/>
                            </w:tcBorders>
                            <w:shd w:val="clear" w:color="auto" w:fill="808080"/>
                            <w:noWrap/>
                            <w:vAlign w:val="bottom"/>
                            <w:hideMark/>
                          </w:tcPr>
                          <w:p w14:paraId="2A49D6EC" w14:textId="77777777" w:rsidR="000702C6" w:rsidRDefault="000702C6">
                            <w:pPr>
                              <w:widowControl/>
                              <w:spacing w:after="0" w:line="256" w:lineRule="auto"/>
                              <w:jc w:val="center"/>
                              <w:rPr>
                                <w:rFonts w:ascii="Calibri" w:hAnsi="Calibri" w:cs="Calibri"/>
                                <w:b/>
                                <w:bCs/>
                                <w:color w:val="FFFFFF"/>
                                <w:sz w:val="18"/>
                                <w:szCs w:val="18"/>
                              </w:rPr>
                            </w:pPr>
                            <w:r>
                              <w:rPr>
                                <w:rFonts w:ascii="Calibri" w:hAnsi="Calibri" w:cs="Calibri"/>
                                <w:b/>
                                <w:bCs/>
                                <w:color w:val="FFFFFF"/>
                                <w:sz w:val="18"/>
                                <w:szCs w:val="18"/>
                              </w:rPr>
                              <w:t>2022</w:t>
                            </w:r>
                          </w:p>
                        </w:tc>
                        <w:tc>
                          <w:tcPr>
                            <w:tcW w:w="920" w:type="dxa"/>
                            <w:tcBorders>
                              <w:top w:val="nil"/>
                              <w:left w:val="nil"/>
                              <w:bottom w:val="nil"/>
                              <w:right w:val="single" w:sz="4" w:space="0" w:color="auto"/>
                            </w:tcBorders>
                            <w:shd w:val="clear" w:color="auto" w:fill="808080"/>
                            <w:noWrap/>
                            <w:vAlign w:val="bottom"/>
                            <w:hideMark/>
                          </w:tcPr>
                          <w:p w14:paraId="6DC6ED07" w14:textId="77777777" w:rsidR="000702C6" w:rsidRDefault="000702C6">
                            <w:pPr>
                              <w:widowControl/>
                              <w:spacing w:after="0" w:line="256" w:lineRule="auto"/>
                              <w:jc w:val="center"/>
                              <w:rPr>
                                <w:rFonts w:ascii="Calibri" w:hAnsi="Calibri" w:cs="Calibri"/>
                                <w:b/>
                                <w:bCs/>
                                <w:color w:val="FFFFFF"/>
                                <w:sz w:val="18"/>
                                <w:szCs w:val="18"/>
                              </w:rPr>
                            </w:pPr>
                            <w:r>
                              <w:rPr>
                                <w:rFonts w:ascii="Calibri" w:hAnsi="Calibri" w:cs="Calibri"/>
                                <w:b/>
                                <w:bCs/>
                                <w:color w:val="FFFFFF"/>
                                <w:sz w:val="18"/>
                                <w:szCs w:val="18"/>
                              </w:rPr>
                              <w:t>2023</w:t>
                            </w:r>
                          </w:p>
                        </w:tc>
                        <w:tc>
                          <w:tcPr>
                            <w:tcW w:w="920" w:type="dxa"/>
                            <w:tcBorders>
                              <w:top w:val="nil"/>
                              <w:left w:val="nil"/>
                              <w:bottom w:val="nil"/>
                              <w:right w:val="single" w:sz="4" w:space="0" w:color="auto"/>
                            </w:tcBorders>
                            <w:shd w:val="clear" w:color="auto" w:fill="808080"/>
                            <w:noWrap/>
                            <w:vAlign w:val="bottom"/>
                            <w:hideMark/>
                          </w:tcPr>
                          <w:p w14:paraId="038028D2" w14:textId="77777777" w:rsidR="000702C6" w:rsidRDefault="000702C6">
                            <w:pPr>
                              <w:widowControl/>
                              <w:spacing w:after="0" w:line="256" w:lineRule="auto"/>
                              <w:jc w:val="center"/>
                              <w:rPr>
                                <w:rFonts w:ascii="Calibri" w:hAnsi="Calibri" w:cs="Calibri"/>
                                <w:b/>
                                <w:bCs/>
                                <w:color w:val="FFFFFF"/>
                                <w:sz w:val="18"/>
                                <w:szCs w:val="18"/>
                              </w:rPr>
                            </w:pPr>
                            <w:r>
                              <w:rPr>
                                <w:rFonts w:ascii="Calibri" w:hAnsi="Calibri" w:cs="Calibri"/>
                                <w:b/>
                                <w:bCs/>
                                <w:color w:val="FFFFFF"/>
                                <w:sz w:val="18"/>
                                <w:szCs w:val="18"/>
                              </w:rPr>
                              <w:t>2024</w:t>
                            </w:r>
                          </w:p>
                        </w:tc>
                        <w:tc>
                          <w:tcPr>
                            <w:tcW w:w="920" w:type="dxa"/>
                            <w:tcBorders>
                              <w:top w:val="nil"/>
                              <w:left w:val="nil"/>
                              <w:bottom w:val="nil"/>
                              <w:right w:val="single" w:sz="4" w:space="0" w:color="auto"/>
                            </w:tcBorders>
                            <w:shd w:val="clear" w:color="auto" w:fill="808080"/>
                            <w:noWrap/>
                            <w:vAlign w:val="bottom"/>
                            <w:hideMark/>
                          </w:tcPr>
                          <w:p w14:paraId="66AABCC1" w14:textId="77777777" w:rsidR="000702C6" w:rsidRDefault="000702C6">
                            <w:pPr>
                              <w:widowControl/>
                              <w:spacing w:after="0" w:line="256" w:lineRule="auto"/>
                              <w:jc w:val="center"/>
                              <w:rPr>
                                <w:rFonts w:ascii="Calibri" w:hAnsi="Calibri" w:cs="Calibri"/>
                                <w:b/>
                                <w:bCs/>
                                <w:color w:val="FFFFFF"/>
                                <w:sz w:val="18"/>
                                <w:szCs w:val="18"/>
                              </w:rPr>
                            </w:pPr>
                            <w:r>
                              <w:rPr>
                                <w:rFonts w:ascii="Calibri" w:hAnsi="Calibri" w:cs="Calibri"/>
                                <w:b/>
                                <w:bCs/>
                                <w:color w:val="FFFFFF"/>
                                <w:sz w:val="18"/>
                                <w:szCs w:val="18"/>
                              </w:rPr>
                              <w:t>2025</w:t>
                            </w:r>
                          </w:p>
                        </w:tc>
                        <w:tc>
                          <w:tcPr>
                            <w:tcW w:w="920" w:type="dxa"/>
                            <w:tcBorders>
                              <w:top w:val="nil"/>
                              <w:left w:val="nil"/>
                              <w:bottom w:val="nil"/>
                              <w:right w:val="single" w:sz="4" w:space="0" w:color="auto"/>
                            </w:tcBorders>
                            <w:shd w:val="clear" w:color="auto" w:fill="808080"/>
                            <w:noWrap/>
                            <w:vAlign w:val="bottom"/>
                            <w:hideMark/>
                          </w:tcPr>
                          <w:p w14:paraId="3F18285B" w14:textId="77777777" w:rsidR="000702C6" w:rsidRDefault="000702C6">
                            <w:pPr>
                              <w:widowControl/>
                              <w:spacing w:after="0" w:line="256" w:lineRule="auto"/>
                              <w:jc w:val="center"/>
                              <w:rPr>
                                <w:rFonts w:ascii="Calibri" w:hAnsi="Calibri" w:cs="Calibri"/>
                                <w:b/>
                                <w:bCs/>
                                <w:color w:val="FFFFFF"/>
                                <w:sz w:val="18"/>
                                <w:szCs w:val="18"/>
                              </w:rPr>
                            </w:pPr>
                            <w:r>
                              <w:rPr>
                                <w:rFonts w:ascii="Calibri" w:hAnsi="Calibri" w:cs="Calibri"/>
                                <w:b/>
                                <w:bCs/>
                                <w:color w:val="FFFFFF"/>
                                <w:sz w:val="18"/>
                                <w:szCs w:val="18"/>
                              </w:rPr>
                              <w:t>2026</w:t>
                            </w:r>
                          </w:p>
                        </w:tc>
                        <w:tc>
                          <w:tcPr>
                            <w:tcW w:w="920" w:type="dxa"/>
                            <w:tcBorders>
                              <w:top w:val="nil"/>
                              <w:left w:val="nil"/>
                              <w:bottom w:val="single" w:sz="4" w:space="0" w:color="auto"/>
                              <w:right w:val="single" w:sz="4" w:space="0" w:color="auto"/>
                            </w:tcBorders>
                            <w:shd w:val="clear" w:color="auto" w:fill="808080"/>
                            <w:noWrap/>
                            <w:vAlign w:val="bottom"/>
                            <w:hideMark/>
                          </w:tcPr>
                          <w:p w14:paraId="1CD108A6" w14:textId="77777777" w:rsidR="000702C6" w:rsidRDefault="000702C6">
                            <w:pPr>
                              <w:widowControl/>
                              <w:spacing w:after="0" w:line="256" w:lineRule="auto"/>
                              <w:jc w:val="center"/>
                              <w:rPr>
                                <w:rFonts w:ascii="Calibri" w:hAnsi="Calibri" w:cs="Calibri"/>
                                <w:b/>
                                <w:bCs/>
                                <w:color w:val="FFFFFF"/>
                                <w:sz w:val="18"/>
                                <w:szCs w:val="18"/>
                              </w:rPr>
                            </w:pPr>
                            <w:r>
                              <w:rPr>
                                <w:rFonts w:ascii="Calibri" w:hAnsi="Calibri" w:cs="Calibri"/>
                                <w:b/>
                                <w:bCs/>
                                <w:color w:val="FFFFFF"/>
                                <w:sz w:val="18"/>
                                <w:szCs w:val="18"/>
                              </w:rPr>
                              <w:t>2027</w:t>
                            </w:r>
                          </w:p>
                        </w:tc>
                      </w:tr>
                      <w:tr w:rsidR="000702C6" w14:paraId="2B1BE913" w14:textId="77777777">
                        <w:trPr>
                          <w:trHeight w:val="300"/>
                        </w:trPr>
                        <w:tc>
                          <w:tcPr>
                            <w:tcW w:w="7960" w:type="dxa"/>
                            <w:gridSpan w:val="7"/>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5E9E1FD" w14:textId="77777777" w:rsidR="000702C6" w:rsidRDefault="000702C6">
                            <w:pPr>
                              <w:widowControl/>
                              <w:spacing w:after="0" w:line="256" w:lineRule="auto"/>
                              <w:jc w:val="left"/>
                              <w:rPr>
                                <w:rFonts w:ascii="Calibri" w:hAnsi="Calibri" w:cs="Calibri"/>
                                <w:b/>
                                <w:bCs/>
                                <w:color w:val="000000"/>
                                <w:sz w:val="18"/>
                                <w:szCs w:val="18"/>
                              </w:rPr>
                            </w:pPr>
                            <w:r>
                              <w:rPr>
                                <w:rFonts w:ascii="Calibri" w:hAnsi="Calibri" w:cs="Calibri"/>
                                <w:b/>
                                <w:bCs/>
                                <w:color w:val="000000"/>
                                <w:sz w:val="18"/>
                                <w:szCs w:val="18"/>
                              </w:rPr>
                              <w:t>Input data from program information and custom savings analysis</w:t>
                            </w:r>
                          </w:p>
                        </w:tc>
                        <w:tc>
                          <w:tcPr>
                            <w:tcW w:w="920" w:type="dxa"/>
                            <w:tcBorders>
                              <w:top w:val="nil"/>
                              <w:left w:val="nil"/>
                              <w:bottom w:val="single" w:sz="4" w:space="0" w:color="auto"/>
                              <w:right w:val="single" w:sz="4" w:space="0" w:color="auto"/>
                            </w:tcBorders>
                            <w:shd w:val="clear" w:color="auto" w:fill="D9D9D9"/>
                            <w:noWrap/>
                            <w:vAlign w:val="bottom"/>
                            <w:hideMark/>
                          </w:tcPr>
                          <w:p w14:paraId="288FAE3B" w14:textId="77777777" w:rsidR="000702C6" w:rsidRDefault="000702C6">
                            <w:pPr>
                              <w:widowControl/>
                              <w:spacing w:after="0" w:line="256" w:lineRule="auto"/>
                              <w:jc w:val="center"/>
                              <w:rPr>
                                <w:rFonts w:ascii="Calibri" w:hAnsi="Calibri" w:cs="Calibri"/>
                                <w:b/>
                                <w:bCs/>
                                <w:color w:val="000000"/>
                                <w:sz w:val="18"/>
                                <w:szCs w:val="18"/>
                              </w:rPr>
                            </w:pPr>
                            <w:r>
                              <w:rPr>
                                <w:rFonts w:ascii="Calibri" w:hAnsi="Calibri" w:cs="Calibri"/>
                                <w:b/>
                                <w:bCs/>
                                <w:color w:val="000000"/>
                                <w:sz w:val="18"/>
                                <w:szCs w:val="18"/>
                              </w:rPr>
                              <w:t> </w:t>
                            </w:r>
                          </w:p>
                        </w:tc>
                      </w:tr>
                      <w:tr w:rsidR="000702C6" w14:paraId="232CFD44" w14:textId="77777777">
                        <w:trPr>
                          <w:trHeight w:val="300"/>
                        </w:trPr>
                        <w:tc>
                          <w:tcPr>
                            <w:tcW w:w="2440" w:type="dxa"/>
                            <w:tcBorders>
                              <w:top w:val="nil"/>
                              <w:left w:val="single" w:sz="4" w:space="0" w:color="auto"/>
                              <w:bottom w:val="single" w:sz="4" w:space="0" w:color="auto"/>
                              <w:right w:val="single" w:sz="4" w:space="0" w:color="auto"/>
                            </w:tcBorders>
                            <w:noWrap/>
                            <w:vAlign w:val="bottom"/>
                            <w:hideMark/>
                          </w:tcPr>
                          <w:p w14:paraId="68C936FF" w14:textId="77777777" w:rsidR="000702C6" w:rsidRDefault="000702C6">
                            <w:pPr>
                              <w:widowControl/>
                              <w:spacing w:after="0" w:line="256" w:lineRule="auto"/>
                              <w:jc w:val="right"/>
                              <w:rPr>
                                <w:rFonts w:ascii="Calibri" w:hAnsi="Calibri" w:cs="Calibri"/>
                                <w:color w:val="000000"/>
                                <w:sz w:val="16"/>
                                <w:szCs w:val="16"/>
                              </w:rPr>
                            </w:pPr>
                            <w:r>
                              <w:rPr>
                                <w:rFonts w:ascii="Calibri" w:hAnsi="Calibri" w:cs="Calibri"/>
                                <w:color w:val="000000"/>
                                <w:sz w:val="16"/>
                                <w:szCs w:val="16"/>
                              </w:rPr>
                              <w:t># Participants (households)</w:t>
                            </w:r>
                          </w:p>
                        </w:tc>
                        <w:tc>
                          <w:tcPr>
                            <w:tcW w:w="920" w:type="dxa"/>
                            <w:tcBorders>
                              <w:top w:val="nil"/>
                              <w:left w:val="nil"/>
                              <w:bottom w:val="single" w:sz="4" w:space="0" w:color="auto"/>
                              <w:right w:val="single" w:sz="4" w:space="0" w:color="auto"/>
                            </w:tcBorders>
                            <w:noWrap/>
                            <w:vAlign w:val="bottom"/>
                            <w:hideMark/>
                          </w:tcPr>
                          <w:p w14:paraId="0A4FBE37" w14:textId="77777777" w:rsidR="000702C6" w:rsidRDefault="000702C6">
                            <w:pPr>
                              <w:widowControl/>
                              <w:spacing w:after="0" w:line="256" w:lineRule="auto"/>
                              <w:jc w:val="right"/>
                              <w:rPr>
                                <w:rFonts w:ascii="Calibri" w:hAnsi="Calibri" w:cs="Calibri"/>
                                <w:color w:val="000000"/>
                                <w:sz w:val="16"/>
                                <w:szCs w:val="16"/>
                              </w:rPr>
                            </w:pPr>
                            <w:r>
                              <w:rPr>
                                <w:rFonts w:ascii="Calibri" w:hAnsi="Calibri" w:cs="Calibri"/>
                                <w:color w:val="000000"/>
                                <w:sz w:val="16"/>
                                <w:szCs w:val="16"/>
                              </w:rPr>
                              <w:t>120,000</w:t>
                            </w:r>
                          </w:p>
                        </w:tc>
                        <w:tc>
                          <w:tcPr>
                            <w:tcW w:w="920" w:type="dxa"/>
                            <w:tcBorders>
                              <w:top w:val="nil"/>
                              <w:left w:val="nil"/>
                              <w:bottom w:val="single" w:sz="4" w:space="0" w:color="auto"/>
                              <w:right w:val="single" w:sz="4" w:space="0" w:color="auto"/>
                            </w:tcBorders>
                            <w:noWrap/>
                            <w:vAlign w:val="bottom"/>
                            <w:hideMark/>
                          </w:tcPr>
                          <w:p w14:paraId="3040F4D6" w14:textId="77777777" w:rsidR="000702C6" w:rsidRDefault="000702C6">
                            <w:pPr>
                              <w:widowControl/>
                              <w:spacing w:after="0" w:line="256" w:lineRule="auto"/>
                              <w:jc w:val="right"/>
                              <w:rPr>
                                <w:rFonts w:ascii="Calibri" w:hAnsi="Calibri" w:cs="Calibri"/>
                                <w:color w:val="000000"/>
                                <w:sz w:val="16"/>
                                <w:szCs w:val="16"/>
                              </w:rPr>
                            </w:pPr>
                            <w:r>
                              <w:rPr>
                                <w:rFonts w:ascii="Calibri" w:hAnsi="Calibri" w:cs="Calibri"/>
                                <w:color w:val="000000"/>
                                <w:sz w:val="16"/>
                                <w:szCs w:val="16"/>
                              </w:rPr>
                              <w:t>109,000</w:t>
                            </w:r>
                          </w:p>
                        </w:tc>
                        <w:tc>
                          <w:tcPr>
                            <w:tcW w:w="920" w:type="dxa"/>
                            <w:tcBorders>
                              <w:top w:val="nil"/>
                              <w:left w:val="nil"/>
                              <w:bottom w:val="single" w:sz="4" w:space="0" w:color="auto"/>
                              <w:right w:val="single" w:sz="4" w:space="0" w:color="auto"/>
                            </w:tcBorders>
                            <w:noWrap/>
                            <w:vAlign w:val="bottom"/>
                            <w:hideMark/>
                          </w:tcPr>
                          <w:p w14:paraId="46FD79B4" w14:textId="77777777" w:rsidR="000702C6" w:rsidRDefault="000702C6">
                            <w:pPr>
                              <w:widowControl/>
                              <w:spacing w:after="0" w:line="256" w:lineRule="auto"/>
                              <w:jc w:val="right"/>
                              <w:rPr>
                                <w:rFonts w:ascii="Calibri" w:hAnsi="Calibri" w:cs="Calibri"/>
                                <w:color w:val="000000"/>
                                <w:sz w:val="16"/>
                                <w:szCs w:val="16"/>
                              </w:rPr>
                            </w:pPr>
                            <w:r>
                              <w:rPr>
                                <w:rFonts w:ascii="Calibri" w:hAnsi="Calibri" w:cs="Calibri"/>
                                <w:color w:val="000000"/>
                                <w:sz w:val="16"/>
                                <w:szCs w:val="16"/>
                              </w:rPr>
                              <w:t>103,000</w:t>
                            </w:r>
                          </w:p>
                        </w:tc>
                        <w:tc>
                          <w:tcPr>
                            <w:tcW w:w="920" w:type="dxa"/>
                            <w:tcBorders>
                              <w:top w:val="nil"/>
                              <w:left w:val="nil"/>
                              <w:bottom w:val="single" w:sz="4" w:space="0" w:color="auto"/>
                              <w:right w:val="single" w:sz="4" w:space="0" w:color="auto"/>
                            </w:tcBorders>
                            <w:noWrap/>
                            <w:vAlign w:val="bottom"/>
                            <w:hideMark/>
                          </w:tcPr>
                          <w:p w14:paraId="0532BE91" w14:textId="77777777" w:rsidR="000702C6" w:rsidRDefault="000702C6">
                            <w:pPr>
                              <w:widowControl/>
                              <w:spacing w:after="0" w:line="256" w:lineRule="auto"/>
                              <w:jc w:val="right"/>
                              <w:rPr>
                                <w:rFonts w:ascii="Calibri" w:hAnsi="Calibri" w:cs="Calibri"/>
                                <w:color w:val="000000"/>
                                <w:sz w:val="16"/>
                                <w:szCs w:val="16"/>
                              </w:rPr>
                            </w:pPr>
                            <w:r>
                              <w:rPr>
                                <w:rFonts w:ascii="Calibri" w:hAnsi="Calibri" w:cs="Calibri"/>
                                <w:color w:val="000000"/>
                                <w:sz w:val="16"/>
                                <w:szCs w:val="16"/>
                              </w:rPr>
                              <w:t>99,000</w:t>
                            </w:r>
                          </w:p>
                        </w:tc>
                        <w:tc>
                          <w:tcPr>
                            <w:tcW w:w="920" w:type="dxa"/>
                            <w:tcBorders>
                              <w:top w:val="nil"/>
                              <w:left w:val="nil"/>
                              <w:bottom w:val="single" w:sz="4" w:space="0" w:color="auto"/>
                              <w:right w:val="single" w:sz="4" w:space="0" w:color="auto"/>
                            </w:tcBorders>
                            <w:noWrap/>
                            <w:vAlign w:val="bottom"/>
                            <w:hideMark/>
                          </w:tcPr>
                          <w:p w14:paraId="06C581CB" w14:textId="77777777" w:rsidR="000702C6" w:rsidRDefault="000702C6">
                            <w:pPr>
                              <w:widowControl/>
                              <w:spacing w:after="0" w:line="256" w:lineRule="auto"/>
                              <w:jc w:val="right"/>
                              <w:rPr>
                                <w:rFonts w:ascii="Calibri" w:hAnsi="Calibri" w:cs="Calibri"/>
                                <w:color w:val="000000"/>
                                <w:sz w:val="16"/>
                                <w:szCs w:val="16"/>
                              </w:rPr>
                            </w:pPr>
                            <w:r>
                              <w:rPr>
                                <w:rFonts w:ascii="Calibri" w:hAnsi="Calibri" w:cs="Calibri"/>
                                <w:color w:val="000000"/>
                                <w:sz w:val="16"/>
                                <w:szCs w:val="16"/>
                              </w:rPr>
                              <w:t>94,000</w:t>
                            </w:r>
                          </w:p>
                        </w:tc>
                        <w:tc>
                          <w:tcPr>
                            <w:tcW w:w="920" w:type="dxa"/>
                            <w:tcBorders>
                              <w:top w:val="nil"/>
                              <w:left w:val="nil"/>
                              <w:bottom w:val="single" w:sz="4" w:space="0" w:color="auto"/>
                              <w:right w:val="single" w:sz="4" w:space="0" w:color="auto"/>
                            </w:tcBorders>
                            <w:noWrap/>
                            <w:vAlign w:val="bottom"/>
                            <w:hideMark/>
                          </w:tcPr>
                          <w:p w14:paraId="6210F64D" w14:textId="77777777" w:rsidR="000702C6" w:rsidRDefault="000702C6">
                            <w:pPr>
                              <w:widowControl/>
                              <w:spacing w:after="0" w:line="256" w:lineRule="auto"/>
                              <w:jc w:val="right"/>
                              <w:rPr>
                                <w:rFonts w:ascii="Calibri" w:hAnsi="Calibri" w:cs="Calibri"/>
                                <w:color w:val="000000"/>
                                <w:sz w:val="16"/>
                                <w:szCs w:val="16"/>
                              </w:rPr>
                            </w:pPr>
                            <w:r>
                              <w:rPr>
                                <w:rFonts w:ascii="Calibri" w:hAnsi="Calibri" w:cs="Calibri"/>
                                <w:color w:val="000000"/>
                                <w:sz w:val="16"/>
                                <w:szCs w:val="16"/>
                              </w:rPr>
                              <w:t>90,000</w:t>
                            </w:r>
                          </w:p>
                        </w:tc>
                        <w:tc>
                          <w:tcPr>
                            <w:tcW w:w="920" w:type="dxa"/>
                            <w:tcBorders>
                              <w:top w:val="nil"/>
                              <w:left w:val="nil"/>
                              <w:bottom w:val="single" w:sz="4" w:space="0" w:color="auto"/>
                              <w:right w:val="single" w:sz="4" w:space="0" w:color="auto"/>
                            </w:tcBorders>
                            <w:noWrap/>
                            <w:vAlign w:val="bottom"/>
                            <w:hideMark/>
                          </w:tcPr>
                          <w:p w14:paraId="3FC5D299" w14:textId="77777777" w:rsidR="000702C6" w:rsidRDefault="000702C6">
                            <w:pPr>
                              <w:widowControl/>
                              <w:spacing w:after="0" w:line="256" w:lineRule="auto"/>
                              <w:jc w:val="right"/>
                              <w:rPr>
                                <w:rFonts w:ascii="Calibri" w:hAnsi="Calibri" w:cs="Calibri"/>
                                <w:color w:val="000000"/>
                                <w:sz w:val="16"/>
                                <w:szCs w:val="16"/>
                              </w:rPr>
                            </w:pPr>
                            <w:r>
                              <w:rPr>
                                <w:rFonts w:ascii="Calibri" w:hAnsi="Calibri" w:cs="Calibri"/>
                                <w:color w:val="000000"/>
                                <w:sz w:val="16"/>
                                <w:szCs w:val="16"/>
                              </w:rPr>
                              <w:t>88,000</w:t>
                            </w:r>
                          </w:p>
                        </w:tc>
                      </w:tr>
                      <w:tr w:rsidR="000702C6" w14:paraId="148C5D6F" w14:textId="77777777">
                        <w:trPr>
                          <w:trHeight w:val="300"/>
                        </w:trPr>
                        <w:tc>
                          <w:tcPr>
                            <w:tcW w:w="2440" w:type="dxa"/>
                            <w:tcBorders>
                              <w:top w:val="nil"/>
                              <w:left w:val="single" w:sz="4" w:space="0" w:color="auto"/>
                              <w:bottom w:val="single" w:sz="4" w:space="0" w:color="auto"/>
                              <w:right w:val="single" w:sz="4" w:space="0" w:color="auto"/>
                            </w:tcBorders>
                            <w:noWrap/>
                            <w:vAlign w:val="bottom"/>
                            <w:hideMark/>
                          </w:tcPr>
                          <w:p w14:paraId="0FFCF0B3" w14:textId="77777777" w:rsidR="000702C6" w:rsidRDefault="000702C6">
                            <w:pPr>
                              <w:widowControl/>
                              <w:spacing w:after="0" w:line="256" w:lineRule="auto"/>
                              <w:jc w:val="right"/>
                              <w:rPr>
                                <w:rFonts w:ascii="Calibri" w:hAnsi="Calibri" w:cs="Calibri"/>
                                <w:color w:val="000000"/>
                                <w:sz w:val="16"/>
                                <w:szCs w:val="16"/>
                              </w:rPr>
                            </w:pPr>
                            <w:r>
                              <w:rPr>
                                <w:rFonts w:ascii="Calibri" w:hAnsi="Calibri" w:cs="Calibri"/>
                                <w:color w:val="000000"/>
                                <w:sz w:val="16"/>
                                <w:szCs w:val="16"/>
                              </w:rPr>
                              <w:t>kWh per participant (household)</w:t>
                            </w:r>
                          </w:p>
                        </w:tc>
                        <w:tc>
                          <w:tcPr>
                            <w:tcW w:w="920" w:type="dxa"/>
                            <w:tcBorders>
                              <w:top w:val="nil"/>
                              <w:left w:val="nil"/>
                              <w:bottom w:val="single" w:sz="4" w:space="0" w:color="auto"/>
                              <w:right w:val="single" w:sz="4" w:space="0" w:color="auto"/>
                            </w:tcBorders>
                            <w:noWrap/>
                            <w:vAlign w:val="bottom"/>
                            <w:hideMark/>
                          </w:tcPr>
                          <w:p w14:paraId="75AAB214" w14:textId="77777777" w:rsidR="000702C6" w:rsidRDefault="000702C6">
                            <w:pPr>
                              <w:widowControl/>
                              <w:spacing w:after="0" w:line="256" w:lineRule="auto"/>
                              <w:jc w:val="right"/>
                              <w:rPr>
                                <w:rFonts w:ascii="Calibri" w:hAnsi="Calibri" w:cs="Calibri"/>
                                <w:color w:val="000000"/>
                                <w:sz w:val="16"/>
                                <w:szCs w:val="16"/>
                              </w:rPr>
                            </w:pPr>
                            <w:r>
                              <w:rPr>
                                <w:rFonts w:ascii="Calibri" w:hAnsi="Calibri" w:cs="Calibri"/>
                                <w:color w:val="000000"/>
                                <w:sz w:val="16"/>
                                <w:szCs w:val="16"/>
                              </w:rPr>
                              <w:t>200</w:t>
                            </w:r>
                          </w:p>
                        </w:tc>
                        <w:tc>
                          <w:tcPr>
                            <w:tcW w:w="920" w:type="dxa"/>
                            <w:tcBorders>
                              <w:top w:val="nil"/>
                              <w:left w:val="nil"/>
                              <w:bottom w:val="single" w:sz="4" w:space="0" w:color="auto"/>
                              <w:right w:val="single" w:sz="4" w:space="0" w:color="auto"/>
                            </w:tcBorders>
                            <w:noWrap/>
                            <w:vAlign w:val="bottom"/>
                            <w:hideMark/>
                          </w:tcPr>
                          <w:p w14:paraId="307EAC2B" w14:textId="77777777" w:rsidR="000702C6" w:rsidRDefault="000702C6">
                            <w:pPr>
                              <w:widowControl/>
                              <w:spacing w:after="0" w:line="256" w:lineRule="auto"/>
                              <w:jc w:val="right"/>
                              <w:rPr>
                                <w:rFonts w:ascii="Calibri" w:hAnsi="Calibri" w:cs="Calibri"/>
                                <w:color w:val="000000"/>
                                <w:sz w:val="16"/>
                                <w:szCs w:val="16"/>
                              </w:rPr>
                            </w:pPr>
                            <w:r>
                              <w:rPr>
                                <w:rFonts w:ascii="Calibri" w:hAnsi="Calibri" w:cs="Calibri"/>
                                <w:color w:val="000000"/>
                                <w:sz w:val="16"/>
                                <w:szCs w:val="16"/>
                              </w:rPr>
                              <w:t>250</w:t>
                            </w:r>
                          </w:p>
                        </w:tc>
                        <w:tc>
                          <w:tcPr>
                            <w:tcW w:w="920" w:type="dxa"/>
                            <w:tcBorders>
                              <w:top w:val="nil"/>
                              <w:left w:val="nil"/>
                              <w:bottom w:val="single" w:sz="4" w:space="0" w:color="auto"/>
                              <w:right w:val="single" w:sz="4" w:space="0" w:color="auto"/>
                            </w:tcBorders>
                            <w:noWrap/>
                            <w:vAlign w:val="bottom"/>
                            <w:hideMark/>
                          </w:tcPr>
                          <w:p w14:paraId="069FADB0" w14:textId="77777777" w:rsidR="000702C6" w:rsidRDefault="000702C6">
                            <w:pPr>
                              <w:widowControl/>
                              <w:spacing w:after="0" w:line="256" w:lineRule="auto"/>
                              <w:jc w:val="right"/>
                              <w:rPr>
                                <w:rFonts w:ascii="Calibri" w:hAnsi="Calibri" w:cs="Calibri"/>
                                <w:color w:val="000000"/>
                                <w:sz w:val="16"/>
                                <w:szCs w:val="16"/>
                              </w:rPr>
                            </w:pPr>
                            <w:r>
                              <w:rPr>
                                <w:rFonts w:ascii="Calibri" w:hAnsi="Calibri" w:cs="Calibri"/>
                                <w:color w:val="000000"/>
                                <w:sz w:val="16"/>
                                <w:szCs w:val="16"/>
                              </w:rPr>
                              <w:t>245</w:t>
                            </w:r>
                          </w:p>
                        </w:tc>
                        <w:tc>
                          <w:tcPr>
                            <w:tcW w:w="920" w:type="dxa"/>
                            <w:tcBorders>
                              <w:top w:val="nil"/>
                              <w:left w:val="nil"/>
                              <w:bottom w:val="single" w:sz="4" w:space="0" w:color="auto"/>
                              <w:right w:val="single" w:sz="4" w:space="0" w:color="auto"/>
                            </w:tcBorders>
                            <w:noWrap/>
                            <w:vAlign w:val="bottom"/>
                            <w:hideMark/>
                          </w:tcPr>
                          <w:p w14:paraId="36D6F807" w14:textId="77777777" w:rsidR="000702C6" w:rsidRDefault="000702C6">
                            <w:pPr>
                              <w:widowControl/>
                              <w:spacing w:after="0" w:line="256" w:lineRule="auto"/>
                              <w:jc w:val="right"/>
                              <w:rPr>
                                <w:rFonts w:ascii="Calibri" w:hAnsi="Calibri" w:cs="Calibri"/>
                                <w:color w:val="000000"/>
                                <w:sz w:val="16"/>
                                <w:szCs w:val="16"/>
                              </w:rPr>
                            </w:pPr>
                            <w:r>
                              <w:rPr>
                                <w:rFonts w:ascii="Calibri" w:hAnsi="Calibri" w:cs="Calibri"/>
                                <w:color w:val="000000"/>
                                <w:sz w:val="16"/>
                                <w:szCs w:val="16"/>
                              </w:rPr>
                              <w:t>250</w:t>
                            </w:r>
                          </w:p>
                        </w:tc>
                        <w:tc>
                          <w:tcPr>
                            <w:tcW w:w="920" w:type="dxa"/>
                            <w:tcBorders>
                              <w:top w:val="nil"/>
                              <w:left w:val="nil"/>
                              <w:bottom w:val="single" w:sz="4" w:space="0" w:color="auto"/>
                              <w:right w:val="single" w:sz="4" w:space="0" w:color="auto"/>
                            </w:tcBorders>
                            <w:noWrap/>
                            <w:vAlign w:val="bottom"/>
                            <w:hideMark/>
                          </w:tcPr>
                          <w:p w14:paraId="6FF5FC22" w14:textId="77777777" w:rsidR="000702C6" w:rsidRDefault="000702C6">
                            <w:pPr>
                              <w:widowControl/>
                              <w:spacing w:after="0" w:line="256" w:lineRule="auto"/>
                              <w:jc w:val="right"/>
                              <w:rPr>
                                <w:rFonts w:ascii="Calibri" w:hAnsi="Calibri" w:cs="Calibri"/>
                                <w:color w:val="000000"/>
                                <w:sz w:val="16"/>
                                <w:szCs w:val="16"/>
                              </w:rPr>
                            </w:pPr>
                            <w:r>
                              <w:rPr>
                                <w:rFonts w:ascii="Calibri" w:hAnsi="Calibri" w:cs="Calibri"/>
                                <w:color w:val="000000"/>
                                <w:sz w:val="16"/>
                                <w:szCs w:val="16"/>
                              </w:rPr>
                              <w:t>250</w:t>
                            </w:r>
                          </w:p>
                        </w:tc>
                        <w:tc>
                          <w:tcPr>
                            <w:tcW w:w="920" w:type="dxa"/>
                            <w:tcBorders>
                              <w:top w:val="nil"/>
                              <w:left w:val="nil"/>
                              <w:bottom w:val="single" w:sz="4" w:space="0" w:color="auto"/>
                              <w:right w:val="single" w:sz="4" w:space="0" w:color="auto"/>
                            </w:tcBorders>
                            <w:noWrap/>
                            <w:vAlign w:val="bottom"/>
                            <w:hideMark/>
                          </w:tcPr>
                          <w:p w14:paraId="4AD68B27" w14:textId="77777777" w:rsidR="000702C6" w:rsidRDefault="000702C6">
                            <w:pPr>
                              <w:widowControl/>
                              <w:spacing w:after="0" w:line="256" w:lineRule="auto"/>
                              <w:jc w:val="right"/>
                              <w:rPr>
                                <w:rFonts w:ascii="Calibri" w:hAnsi="Calibri" w:cs="Calibri"/>
                                <w:color w:val="000000"/>
                                <w:sz w:val="16"/>
                                <w:szCs w:val="16"/>
                              </w:rPr>
                            </w:pPr>
                            <w:r>
                              <w:rPr>
                                <w:rFonts w:ascii="Calibri" w:hAnsi="Calibri" w:cs="Calibri"/>
                                <w:color w:val="000000"/>
                                <w:sz w:val="16"/>
                                <w:szCs w:val="16"/>
                              </w:rPr>
                              <w:t>265</w:t>
                            </w:r>
                          </w:p>
                        </w:tc>
                        <w:tc>
                          <w:tcPr>
                            <w:tcW w:w="920" w:type="dxa"/>
                            <w:tcBorders>
                              <w:top w:val="nil"/>
                              <w:left w:val="nil"/>
                              <w:bottom w:val="single" w:sz="4" w:space="0" w:color="auto"/>
                              <w:right w:val="single" w:sz="4" w:space="0" w:color="auto"/>
                            </w:tcBorders>
                            <w:noWrap/>
                            <w:vAlign w:val="bottom"/>
                            <w:hideMark/>
                          </w:tcPr>
                          <w:p w14:paraId="23A5391A" w14:textId="77777777" w:rsidR="000702C6" w:rsidRDefault="000702C6">
                            <w:pPr>
                              <w:widowControl/>
                              <w:spacing w:after="0" w:line="256" w:lineRule="auto"/>
                              <w:jc w:val="right"/>
                              <w:rPr>
                                <w:rFonts w:ascii="Calibri" w:hAnsi="Calibri" w:cs="Calibri"/>
                                <w:color w:val="000000"/>
                                <w:sz w:val="16"/>
                                <w:szCs w:val="16"/>
                              </w:rPr>
                            </w:pPr>
                            <w:r>
                              <w:rPr>
                                <w:rFonts w:ascii="Calibri" w:hAnsi="Calibri" w:cs="Calibri"/>
                                <w:color w:val="000000"/>
                                <w:sz w:val="16"/>
                                <w:szCs w:val="16"/>
                              </w:rPr>
                              <w:t>265</w:t>
                            </w:r>
                          </w:p>
                        </w:tc>
                      </w:tr>
                      <w:tr w:rsidR="000702C6" w14:paraId="22291A3B" w14:textId="77777777">
                        <w:trPr>
                          <w:trHeight w:val="300"/>
                        </w:trPr>
                        <w:tc>
                          <w:tcPr>
                            <w:tcW w:w="2440" w:type="dxa"/>
                            <w:tcBorders>
                              <w:top w:val="nil"/>
                              <w:left w:val="single" w:sz="4" w:space="0" w:color="auto"/>
                              <w:bottom w:val="single" w:sz="4" w:space="0" w:color="auto"/>
                              <w:right w:val="single" w:sz="4" w:space="0" w:color="auto"/>
                            </w:tcBorders>
                            <w:noWrap/>
                            <w:vAlign w:val="bottom"/>
                            <w:hideMark/>
                          </w:tcPr>
                          <w:p w14:paraId="67E92DA2" w14:textId="77777777" w:rsidR="000702C6" w:rsidRDefault="000702C6">
                            <w:pPr>
                              <w:widowControl/>
                              <w:spacing w:after="0" w:line="256" w:lineRule="auto"/>
                              <w:jc w:val="right"/>
                              <w:rPr>
                                <w:rFonts w:ascii="Calibri" w:hAnsi="Calibri" w:cs="Calibri"/>
                                <w:color w:val="000000"/>
                                <w:sz w:val="16"/>
                                <w:szCs w:val="16"/>
                              </w:rPr>
                            </w:pPr>
                            <w:r>
                              <w:rPr>
                                <w:rFonts w:ascii="Calibri" w:hAnsi="Calibri" w:cs="Calibri"/>
                                <w:color w:val="000000"/>
                                <w:sz w:val="16"/>
                                <w:szCs w:val="16"/>
                              </w:rPr>
                              <w:t>kWh Measured savings (custom)</w:t>
                            </w:r>
                          </w:p>
                        </w:tc>
                        <w:tc>
                          <w:tcPr>
                            <w:tcW w:w="920" w:type="dxa"/>
                            <w:tcBorders>
                              <w:top w:val="nil"/>
                              <w:left w:val="nil"/>
                              <w:bottom w:val="single" w:sz="4" w:space="0" w:color="auto"/>
                              <w:right w:val="single" w:sz="4" w:space="0" w:color="auto"/>
                            </w:tcBorders>
                            <w:noWrap/>
                            <w:vAlign w:val="bottom"/>
                            <w:hideMark/>
                          </w:tcPr>
                          <w:p w14:paraId="77889689" w14:textId="77777777" w:rsidR="000702C6" w:rsidRDefault="000702C6">
                            <w:pPr>
                              <w:widowControl/>
                              <w:spacing w:after="0" w:line="256" w:lineRule="auto"/>
                              <w:jc w:val="right"/>
                              <w:rPr>
                                <w:rFonts w:ascii="Calibri" w:hAnsi="Calibri" w:cs="Calibri"/>
                                <w:color w:val="000000"/>
                                <w:sz w:val="16"/>
                                <w:szCs w:val="16"/>
                              </w:rPr>
                            </w:pPr>
                            <w:r>
                              <w:rPr>
                                <w:rFonts w:ascii="Calibri" w:hAnsi="Calibri" w:cs="Calibri"/>
                                <w:color w:val="000000"/>
                                <w:sz w:val="16"/>
                                <w:szCs w:val="16"/>
                              </w:rPr>
                              <w:t>24,000,000</w:t>
                            </w:r>
                          </w:p>
                        </w:tc>
                        <w:tc>
                          <w:tcPr>
                            <w:tcW w:w="920" w:type="dxa"/>
                            <w:tcBorders>
                              <w:top w:val="nil"/>
                              <w:left w:val="nil"/>
                              <w:bottom w:val="single" w:sz="4" w:space="0" w:color="auto"/>
                              <w:right w:val="single" w:sz="4" w:space="0" w:color="auto"/>
                            </w:tcBorders>
                            <w:noWrap/>
                            <w:vAlign w:val="bottom"/>
                            <w:hideMark/>
                          </w:tcPr>
                          <w:p w14:paraId="4E03FB2E" w14:textId="77777777" w:rsidR="000702C6" w:rsidRDefault="000702C6">
                            <w:pPr>
                              <w:widowControl/>
                              <w:spacing w:after="0" w:line="256" w:lineRule="auto"/>
                              <w:jc w:val="right"/>
                              <w:rPr>
                                <w:rFonts w:ascii="Calibri" w:hAnsi="Calibri" w:cs="Calibri"/>
                                <w:color w:val="000000"/>
                                <w:sz w:val="16"/>
                                <w:szCs w:val="16"/>
                              </w:rPr>
                            </w:pPr>
                            <w:r>
                              <w:rPr>
                                <w:rFonts w:ascii="Calibri" w:hAnsi="Calibri" w:cs="Calibri"/>
                                <w:color w:val="000000"/>
                                <w:sz w:val="16"/>
                                <w:szCs w:val="16"/>
                              </w:rPr>
                              <w:t>27,250,000</w:t>
                            </w:r>
                          </w:p>
                        </w:tc>
                        <w:tc>
                          <w:tcPr>
                            <w:tcW w:w="920" w:type="dxa"/>
                            <w:tcBorders>
                              <w:top w:val="nil"/>
                              <w:left w:val="nil"/>
                              <w:bottom w:val="single" w:sz="4" w:space="0" w:color="auto"/>
                              <w:right w:val="single" w:sz="4" w:space="0" w:color="auto"/>
                            </w:tcBorders>
                            <w:noWrap/>
                            <w:vAlign w:val="bottom"/>
                            <w:hideMark/>
                          </w:tcPr>
                          <w:p w14:paraId="09C805D5" w14:textId="77777777" w:rsidR="000702C6" w:rsidRDefault="000702C6">
                            <w:pPr>
                              <w:widowControl/>
                              <w:spacing w:after="0" w:line="256" w:lineRule="auto"/>
                              <w:jc w:val="right"/>
                              <w:rPr>
                                <w:rFonts w:ascii="Calibri" w:hAnsi="Calibri" w:cs="Calibri"/>
                                <w:color w:val="000000"/>
                                <w:sz w:val="16"/>
                                <w:szCs w:val="16"/>
                              </w:rPr>
                            </w:pPr>
                            <w:r>
                              <w:rPr>
                                <w:rFonts w:ascii="Calibri" w:hAnsi="Calibri" w:cs="Calibri"/>
                                <w:color w:val="000000"/>
                                <w:sz w:val="16"/>
                                <w:szCs w:val="16"/>
                              </w:rPr>
                              <w:t>25,235,000</w:t>
                            </w:r>
                          </w:p>
                        </w:tc>
                        <w:tc>
                          <w:tcPr>
                            <w:tcW w:w="920" w:type="dxa"/>
                            <w:tcBorders>
                              <w:top w:val="nil"/>
                              <w:left w:val="nil"/>
                              <w:bottom w:val="single" w:sz="4" w:space="0" w:color="auto"/>
                              <w:right w:val="single" w:sz="4" w:space="0" w:color="auto"/>
                            </w:tcBorders>
                            <w:noWrap/>
                            <w:vAlign w:val="bottom"/>
                            <w:hideMark/>
                          </w:tcPr>
                          <w:p w14:paraId="599461FE" w14:textId="77777777" w:rsidR="000702C6" w:rsidRDefault="000702C6">
                            <w:pPr>
                              <w:widowControl/>
                              <w:spacing w:after="0" w:line="256" w:lineRule="auto"/>
                              <w:jc w:val="right"/>
                              <w:rPr>
                                <w:rFonts w:ascii="Calibri" w:hAnsi="Calibri" w:cs="Calibri"/>
                                <w:color w:val="000000"/>
                                <w:sz w:val="16"/>
                                <w:szCs w:val="16"/>
                              </w:rPr>
                            </w:pPr>
                            <w:r>
                              <w:rPr>
                                <w:rFonts w:ascii="Calibri" w:hAnsi="Calibri" w:cs="Calibri"/>
                                <w:color w:val="000000"/>
                                <w:sz w:val="16"/>
                                <w:szCs w:val="16"/>
                              </w:rPr>
                              <w:t>24,750,000</w:t>
                            </w:r>
                          </w:p>
                        </w:tc>
                        <w:tc>
                          <w:tcPr>
                            <w:tcW w:w="920" w:type="dxa"/>
                            <w:tcBorders>
                              <w:top w:val="nil"/>
                              <w:left w:val="nil"/>
                              <w:bottom w:val="single" w:sz="4" w:space="0" w:color="auto"/>
                              <w:right w:val="single" w:sz="4" w:space="0" w:color="auto"/>
                            </w:tcBorders>
                            <w:noWrap/>
                            <w:vAlign w:val="bottom"/>
                            <w:hideMark/>
                          </w:tcPr>
                          <w:p w14:paraId="2C802E28" w14:textId="77777777" w:rsidR="000702C6" w:rsidRDefault="000702C6">
                            <w:pPr>
                              <w:widowControl/>
                              <w:spacing w:after="0" w:line="256" w:lineRule="auto"/>
                              <w:jc w:val="right"/>
                              <w:rPr>
                                <w:rFonts w:ascii="Calibri" w:hAnsi="Calibri" w:cs="Calibri"/>
                                <w:color w:val="000000"/>
                                <w:sz w:val="16"/>
                                <w:szCs w:val="16"/>
                              </w:rPr>
                            </w:pPr>
                            <w:r>
                              <w:rPr>
                                <w:rFonts w:ascii="Calibri" w:hAnsi="Calibri" w:cs="Calibri"/>
                                <w:color w:val="000000"/>
                                <w:sz w:val="16"/>
                                <w:szCs w:val="16"/>
                              </w:rPr>
                              <w:t>23,500,000</w:t>
                            </w:r>
                          </w:p>
                        </w:tc>
                        <w:tc>
                          <w:tcPr>
                            <w:tcW w:w="920" w:type="dxa"/>
                            <w:tcBorders>
                              <w:top w:val="nil"/>
                              <w:left w:val="nil"/>
                              <w:bottom w:val="single" w:sz="4" w:space="0" w:color="auto"/>
                              <w:right w:val="single" w:sz="4" w:space="0" w:color="auto"/>
                            </w:tcBorders>
                            <w:noWrap/>
                            <w:vAlign w:val="bottom"/>
                            <w:hideMark/>
                          </w:tcPr>
                          <w:p w14:paraId="4C77890D" w14:textId="77777777" w:rsidR="000702C6" w:rsidRDefault="000702C6">
                            <w:pPr>
                              <w:widowControl/>
                              <w:spacing w:after="0" w:line="256" w:lineRule="auto"/>
                              <w:jc w:val="right"/>
                              <w:rPr>
                                <w:rFonts w:ascii="Calibri" w:hAnsi="Calibri" w:cs="Calibri"/>
                                <w:color w:val="000000"/>
                                <w:sz w:val="16"/>
                                <w:szCs w:val="16"/>
                              </w:rPr>
                            </w:pPr>
                            <w:r>
                              <w:rPr>
                                <w:rFonts w:ascii="Calibri" w:hAnsi="Calibri" w:cs="Calibri"/>
                                <w:color w:val="000000"/>
                                <w:sz w:val="16"/>
                                <w:szCs w:val="16"/>
                              </w:rPr>
                              <w:t>23,850,000</w:t>
                            </w:r>
                          </w:p>
                        </w:tc>
                        <w:tc>
                          <w:tcPr>
                            <w:tcW w:w="920" w:type="dxa"/>
                            <w:tcBorders>
                              <w:top w:val="nil"/>
                              <w:left w:val="nil"/>
                              <w:bottom w:val="single" w:sz="4" w:space="0" w:color="auto"/>
                              <w:right w:val="single" w:sz="4" w:space="0" w:color="auto"/>
                            </w:tcBorders>
                            <w:noWrap/>
                            <w:vAlign w:val="bottom"/>
                            <w:hideMark/>
                          </w:tcPr>
                          <w:p w14:paraId="20D18D5E" w14:textId="77777777" w:rsidR="000702C6" w:rsidRDefault="000702C6">
                            <w:pPr>
                              <w:widowControl/>
                              <w:spacing w:after="0" w:line="256" w:lineRule="auto"/>
                              <w:jc w:val="right"/>
                              <w:rPr>
                                <w:rFonts w:ascii="Calibri" w:hAnsi="Calibri" w:cs="Calibri"/>
                                <w:color w:val="000000"/>
                                <w:sz w:val="16"/>
                                <w:szCs w:val="16"/>
                              </w:rPr>
                            </w:pPr>
                            <w:r>
                              <w:rPr>
                                <w:rFonts w:ascii="Calibri" w:hAnsi="Calibri" w:cs="Calibri"/>
                                <w:color w:val="000000"/>
                                <w:sz w:val="16"/>
                                <w:szCs w:val="16"/>
                              </w:rPr>
                              <w:t>23,320,000</w:t>
                            </w:r>
                          </w:p>
                        </w:tc>
                      </w:tr>
                    </w:tbl>
                    <w:p w14:paraId="1DDFFD10" w14:textId="77777777" w:rsidR="000702C6" w:rsidRDefault="000702C6" w:rsidP="000702C6">
                      <w:pPr>
                        <w:spacing w:after="0"/>
                        <w:rPr>
                          <w:rFonts w:cstheme="minorHAnsi"/>
                          <w:sz w:val="18"/>
                          <w:szCs w:val="18"/>
                        </w:rPr>
                      </w:pPr>
                    </w:p>
                    <w:p w14:paraId="34FC080F" w14:textId="77777777" w:rsidR="000702C6" w:rsidRDefault="000702C6" w:rsidP="000702C6">
                      <w:pPr>
                        <w:spacing w:after="60"/>
                        <w:rPr>
                          <w:rFonts w:cstheme="minorHAnsi"/>
                          <w:b/>
                          <w:sz w:val="18"/>
                          <w:szCs w:val="18"/>
                        </w:rPr>
                      </w:pPr>
                      <w:del w:id="327" w:author="Carly Olig" w:date="2022-05-04T15:15:00Z">
                        <w:r w:rsidDel="00311833">
                          <w:rPr>
                            <w:rFonts w:cstheme="minorHAnsi"/>
                            <w:b/>
                            <w:sz w:val="18"/>
                            <w:szCs w:val="18"/>
                          </w:rPr>
                          <w:delText>Calculation of</w:delText>
                        </w:r>
                      </w:del>
                      <w:r>
                        <w:rPr>
                          <w:rFonts w:cstheme="minorHAnsi"/>
                          <w:b/>
                          <w:sz w:val="18"/>
                          <w:szCs w:val="18"/>
                        </w:rPr>
                        <w:t xml:space="preserve"> </w:t>
                      </w:r>
                      <w:ins w:id="328" w:author="Carly Olig" w:date="2022-05-04T15:17:00Z">
                        <w:r>
                          <w:rPr>
                            <w:rFonts w:cstheme="minorHAnsi"/>
                            <w:b/>
                            <w:sz w:val="18"/>
                            <w:szCs w:val="18"/>
                          </w:rPr>
                          <w:t xml:space="preserve">Expected </w:t>
                        </w:r>
                      </w:ins>
                      <w:r>
                        <w:rPr>
                          <w:rFonts w:cstheme="minorHAnsi"/>
                          <w:b/>
                          <w:sz w:val="18"/>
                          <w:szCs w:val="18"/>
                        </w:rPr>
                        <w:t>Retention Rate</w:t>
                      </w:r>
                      <w:del w:id="329" w:author="Carly Olig" w:date="2022-05-04T15:15:00Z">
                        <w:r w:rsidDel="00311833">
                          <w:rPr>
                            <w:rFonts w:cstheme="minorHAnsi"/>
                            <w:b/>
                            <w:sz w:val="18"/>
                            <w:szCs w:val="18"/>
                          </w:rPr>
                          <w:delText>s:</w:delText>
                        </w:r>
                      </w:del>
                      <w:ins w:id="330" w:author="Carly Olig" w:date="2022-05-04T15:15:00Z">
                        <w:r>
                          <w:rPr>
                            <w:rFonts w:cstheme="minorHAnsi"/>
                            <w:b/>
                            <w:sz w:val="18"/>
                            <w:szCs w:val="18"/>
                          </w:rPr>
                          <w:t xml:space="preserve"> of </w:t>
                        </w:r>
                      </w:ins>
                      <w:ins w:id="331" w:author="Carly Olig" w:date="2022-05-04T15:16:00Z">
                        <w:r>
                          <w:rPr>
                            <w:rFonts w:cstheme="minorHAnsi"/>
                            <w:b/>
                            <w:sz w:val="18"/>
                            <w:szCs w:val="18"/>
                          </w:rPr>
                          <w:t>95%</w:t>
                        </w:r>
                      </w:ins>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43"/>
                        <w:gridCol w:w="4444"/>
                      </w:tblGrid>
                      <w:tr w:rsidR="000702C6" w:rsidDel="00311833" w14:paraId="19D536A9" w14:textId="77777777">
                        <w:trPr>
                          <w:trHeight w:val="279"/>
                          <w:del w:id="332" w:author="Carly Olig" w:date="2022-05-04T15:15:00Z"/>
                        </w:trPr>
                        <w:tc>
                          <w:tcPr>
                            <w:tcW w:w="4443" w:type="dxa"/>
                            <w:vAlign w:val="center"/>
                            <w:hideMark/>
                          </w:tcPr>
                          <w:p w14:paraId="43CDF899" w14:textId="77777777" w:rsidR="000702C6" w:rsidDel="00311833" w:rsidRDefault="000702C6">
                            <w:pPr>
                              <w:spacing w:after="0"/>
                              <w:jc w:val="left"/>
                              <w:rPr>
                                <w:del w:id="333" w:author="Carly Olig" w:date="2022-05-04T15:15:00Z"/>
                                <w:rFonts w:cstheme="minorHAnsi"/>
                                <w:b/>
                                <w:bCs/>
                                <w:sz w:val="18"/>
                                <w:szCs w:val="18"/>
                              </w:rPr>
                            </w:pPr>
                            <w:del w:id="334" w:author="Carly Olig" w:date="2022-05-04T15:15:00Z">
                              <w:r w:rsidDel="00311833">
                                <w:rPr>
                                  <w:rFonts w:cstheme="minorHAnsi"/>
                                  <w:b/>
                                  <w:bCs/>
                                  <w:sz w:val="18"/>
                                  <w:szCs w:val="18"/>
                                </w:rPr>
                                <w:delText>For use in 2022:</w:delText>
                              </w:r>
                            </w:del>
                          </w:p>
                        </w:tc>
                        <w:tc>
                          <w:tcPr>
                            <w:tcW w:w="4444" w:type="dxa"/>
                            <w:vAlign w:val="center"/>
                            <w:hideMark/>
                          </w:tcPr>
                          <w:p w14:paraId="4FC6D48E" w14:textId="77777777" w:rsidR="000702C6" w:rsidDel="00311833" w:rsidRDefault="000702C6">
                            <w:pPr>
                              <w:spacing w:after="0"/>
                              <w:jc w:val="left"/>
                              <w:rPr>
                                <w:del w:id="335" w:author="Carly Olig" w:date="2022-05-04T15:15:00Z"/>
                                <w:rFonts w:cstheme="minorHAnsi"/>
                                <w:b/>
                                <w:bCs/>
                                <w:sz w:val="18"/>
                                <w:szCs w:val="18"/>
                              </w:rPr>
                            </w:pPr>
                            <w:del w:id="336" w:author="Carly Olig" w:date="2022-05-04T15:15:00Z">
                              <w:r w:rsidDel="00311833">
                                <w:rPr>
                                  <w:rFonts w:cstheme="minorHAnsi"/>
                                  <w:b/>
                                  <w:bCs/>
                                  <w:sz w:val="18"/>
                                  <w:szCs w:val="18"/>
                                </w:rPr>
                                <w:delText>For use in 2026:</w:delText>
                              </w:r>
                            </w:del>
                          </w:p>
                        </w:tc>
                      </w:tr>
                      <w:tr w:rsidR="000702C6" w:rsidDel="00311833" w14:paraId="47FB2D5D" w14:textId="77777777">
                        <w:trPr>
                          <w:del w:id="337" w:author="Carly Olig" w:date="2022-05-04T15:15:00Z"/>
                        </w:trPr>
                        <w:tc>
                          <w:tcPr>
                            <w:tcW w:w="4443" w:type="dxa"/>
                            <w:vAlign w:val="center"/>
                            <w:hideMark/>
                          </w:tcPr>
                          <w:p w14:paraId="239EBA87" w14:textId="77777777" w:rsidR="000702C6" w:rsidDel="00311833" w:rsidRDefault="000702C6">
                            <w:pPr>
                              <w:spacing w:after="0"/>
                              <w:jc w:val="left"/>
                              <w:rPr>
                                <w:del w:id="338" w:author="Carly Olig" w:date="2022-05-04T15:15:00Z"/>
                                <w:rFonts w:cstheme="minorHAnsi"/>
                                <w:sz w:val="18"/>
                                <w:szCs w:val="18"/>
                              </w:rPr>
                            </w:pPr>
                            <w:del w:id="339" w:author="Carly Olig" w:date="2022-05-04T15:15:00Z">
                              <w:r w:rsidDel="00311833">
                                <w:rPr>
                                  <w:rFonts w:cstheme="minorHAnsi"/>
                                  <w:sz w:val="18"/>
                                  <w:szCs w:val="18"/>
                                </w:rPr>
                                <w:delText>RR</w:delText>
                              </w:r>
                            </w:del>
                            <w:del w:id="340" w:author="Carly Olig" w:date="2022-05-04T15:14:00Z">
                              <w:r w:rsidDel="00471969">
                                <w:rPr>
                                  <w:rFonts w:cstheme="minorHAnsi"/>
                                  <w:sz w:val="18"/>
                                  <w:szCs w:val="18"/>
                                  <w:vertAlign w:val="subscript"/>
                                </w:rPr>
                                <w:delText>2021, 2022</w:delText>
                              </w:r>
                            </w:del>
                            <w:del w:id="341" w:author="Carly Olig" w:date="2022-05-04T15:15:00Z">
                              <w:r w:rsidDel="00311833">
                                <w:rPr>
                                  <w:rFonts w:cstheme="minorHAnsi"/>
                                  <w:sz w:val="18"/>
                                  <w:szCs w:val="18"/>
                                </w:rPr>
                                <w:delText xml:space="preserve"> = 109,000/120,000 = 0.908</w:delText>
                              </w:r>
                            </w:del>
                          </w:p>
                        </w:tc>
                        <w:tc>
                          <w:tcPr>
                            <w:tcW w:w="4444" w:type="dxa"/>
                            <w:vAlign w:val="center"/>
                            <w:hideMark/>
                          </w:tcPr>
                          <w:p w14:paraId="1B668B50" w14:textId="77777777" w:rsidR="000702C6" w:rsidDel="00311833" w:rsidRDefault="000702C6">
                            <w:pPr>
                              <w:spacing w:after="0"/>
                              <w:jc w:val="left"/>
                              <w:rPr>
                                <w:del w:id="342" w:author="Carly Olig" w:date="2022-05-04T15:15:00Z"/>
                                <w:rFonts w:cstheme="minorHAnsi"/>
                                <w:sz w:val="18"/>
                                <w:szCs w:val="18"/>
                              </w:rPr>
                            </w:pPr>
                            <w:del w:id="343" w:author="Carly Olig" w:date="2022-05-04T15:15:00Z">
                              <w:r w:rsidDel="00311833">
                                <w:rPr>
                                  <w:rFonts w:cstheme="minorHAnsi"/>
                                  <w:sz w:val="18"/>
                                  <w:szCs w:val="18"/>
                                </w:rPr>
                                <w:delText>RR</w:delText>
                              </w:r>
                              <w:r w:rsidDel="00311833">
                                <w:rPr>
                                  <w:rFonts w:cstheme="minorHAnsi"/>
                                  <w:sz w:val="18"/>
                                  <w:szCs w:val="18"/>
                                  <w:vertAlign w:val="subscript"/>
                                </w:rPr>
                                <w:delText>2021, 2026</w:delText>
                              </w:r>
                              <w:r w:rsidDel="00311833">
                                <w:rPr>
                                  <w:rFonts w:cstheme="minorHAnsi"/>
                                  <w:sz w:val="18"/>
                                  <w:szCs w:val="18"/>
                                </w:rPr>
                                <w:delText xml:space="preserve"> = 90,000/120,000 = 0.750</w:delText>
                              </w:r>
                            </w:del>
                          </w:p>
                        </w:tc>
                      </w:tr>
                      <w:tr w:rsidR="000702C6" w:rsidDel="00311833" w14:paraId="4251E36A" w14:textId="77777777">
                        <w:trPr>
                          <w:del w:id="344" w:author="Carly Olig" w:date="2022-05-04T15:15:00Z"/>
                        </w:trPr>
                        <w:tc>
                          <w:tcPr>
                            <w:tcW w:w="4443" w:type="dxa"/>
                            <w:vAlign w:val="center"/>
                            <w:hideMark/>
                          </w:tcPr>
                          <w:p w14:paraId="0A08368F" w14:textId="77777777" w:rsidR="000702C6" w:rsidDel="00311833" w:rsidRDefault="000702C6">
                            <w:pPr>
                              <w:spacing w:after="0"/>
                              <w:jc w:val="left"/>
                              <w:rPr>
                                <w:del w:id="345" w:author="Carly Olig" w:date="2022-05-04T15:15:00Z"/>
                                <w:rFonts w:cstheme="minorHAnsi"/>
                                <w:b/>
                                <w:bCs/>
                                <w:sz w:val="18"/>
                                <w:szCs w:val="18"/>
                                <w:u w:val="single"/>
                              </w:rPr>
                            </w:pPr>
                            <w:del w:id="346" w:author="Carly Olig" w:date="2022-05-04T15:15:00Z">
                              <w:r w:rsidDel="00311833">
                                <w:rPr>
                                  <w:rFonts w:cstheme="minorHAnsi"/>
                                  <w:b/>
                                  <w:bCs/>
                                  <w:sz w:val="18"/>
                                  <w:szCs w:val="18"/>
                                </w:rPr>
                                <w:delText>For use in 2023:</w:delText>
                              </w:r>
                            </w:del>
                          </w:p>
                        </w:tc>
                        <w:tc>
                          <w:tcPr>
                            <w:tcW w:w="4444" w:type="dxa"/>
                            <w:vAlign w:val="center"/>
                            <w:hideMark/>
                          </w:tcPr>
                          <w:p w14:paraId="7821C365" w14:textId="77777777" w:rsidR="000702C6" w:rsidDel="00311833" w:rsidRDefault="000702C6">
                            <w:pPr>
                              <w:spacing w:after="0"/>
                              <w:jc w:val="left"/>
                              <w:rPr>
                                <w:del w:id="347" w:author="Carly Olig" w:date="2022-05-04T15:15:00Z"/>
                                <w:rFonts w:cstheme="minorHAnsi"/>
                                <w:sz w:val="18"/>
                                <w:szCs w:val="18"/>
                              </w:rPr>
                            </w:pPr>
                            <w:del w:id="348" w:author="Carly Olig" w:date="2022-05-04T15:15:00Z">
                              <w:r w:rsidDel="00311833">
                                <w:rPr>
                                  <w:rFonts w:cstheme="minorHAnsi"/>
                                  <w:sz w:val="18"/>
                                  <w:szCs w:val="18"/>
                                </w:rPr>
                                <w:delText>RR</w:delText>
                              </w:r>
                              <w:r w:rsidDel="00311833">
                                <w:rPr>
                                  <w:rFonts w:cstheme="minorHAnsi"/>
                                  <w:sz w:val="18"/>
                                  <w:szCs w:val="18"/>
                                  <w:vertAlign w:val="subscript"/>
                                </w:rPr>
                                <w:delText>2022, 2026</w:delText>
                              </w:r>
                              <w:r w:rsidDel="00311833">
                                <w:rPr>
                                  <w:rFonts w:cstheme="minorHAnsi"/>
                                  <w:sz w:val="18"/>
                                  <w:szCs w:val="18"/>
                                </w:rPr>
                                <w:delText xml:space="preserve"> = 90,000/109,000 = 0.826</w:delText>
                              </w:r>
                            </w:del>
                          </w:p>
                        </w:tc>
                      </w:tr>
                      <w:tr w:rsidR="000702C6" w:rsidDel="00311833" w14:paraId="71997221" w14:textId="77777777">
                        <w:trPr>
                          <w:del w:id="349" w:author="Carly Olig" w:date="2022-05-04T15:15:00Z"/>
                        </w:trPr>
                        <w:tc>
                          <w:tcPr>
                            <w:tcW w:w="4443" w:type="dxa"/>
                            <w:vAlign w:val="center"/>
                            <w:hideMark/>
                          </w:tcPr>
                          <w:p w14:paraId="5A8E3EBC" w14:textId="77777777" w:rsidR="000702C6" w:rsidDel="00311833" w:rsidRDefault="000702C6">
                            <w:pPr>
                              <w:spacing w:after="0"/>
                              <w:jc w:val="left"/>
                              <w:rPr>
                                <w:del w:id="350" w:author="Carly Olig" w:date="2022-05-04T15:15:00Z"/>
                                <w:rFonts w:cstheme="minorHAnsi"/>
                                <w:sz w:val="18"/>
                                <w:szCs w:val="18"/>
                              </w:rPr>
                            </w:pPr>
                            <w:del w:id="351" w:author="Carly Olig" w:date="2022-05-04T15:15:00Z">
                              <w:r w:rsidDel="00311833">
                                <w:rPr>
                                  <w:rFonts w:cstheme="minorHAnsi"/>
                                  <w:sz w:val="18"/>
                                  <w:szCs w:val="18"/>
                                </w:rPr>
                                <w:delText>RR</w:delText>
                              </w:r>
                              <w:r w:rsidDel="00311833">
                                <w:rPr>
                                  <w:rFonts w:cstheme="minorHAnsi"/>
                                  <w:sz w:val="18"/>
                                  <w:szCs w:val="18"/>
                                  <w:vertAlign w:val="subscript"/>
                                </w:rPr>
                                <w:delText>2021, 2023</w:delText>
                              </w:r>
                              <w:r w:rsidDel="00311833">
                                <w:rPr>
                                  <w:rFonts w:cstheme="minorHAnsi"/>
                                  <w:sz w:val="18"/>
                                  <w:szCs w:val="18"/>
                                </w:rPr>
                                <w:delText xml:space="preserve"> = 103,000/120,000 = 0.858</w:delText>
                              </w:r>
                            </w:del>
                          </w:p>
                        </w:tc>
                        <w:tc>
                          <w:tcPr>
                            <w:tcW w:w="4444" w:type="dxa"/>
                            <w:vAlign w:val="center"/>
                            <w:hideMark/>
                          </w:tcPr>
                          <w:p w14:paraId="1E099B59" w14:textId="77777777" w:rsidR="000702C6" w:rsidDel="00311833" w:rsidRDefault="000702C6">
                            <w:pPr>
                              <w:spacing w:after="0"/>
                              <w:jc w:val="left"/>
                              <w:rPr>
                                <w:del w:id="352" w:author="Carly Olig" w:date="2022-05-04T15:15:00Z"/>
                                <w:rFonts w:cstheme="minorHAnsi"/>
                                <w:sz w:val="18"/>
                                <w:szCs w:val="18"/>
                              </w:rPr>
                            </w:pPr>
                            <w:del w:id="353" w:author="Carly Olig" w:date="2022-05-04T15:15:00Z">
                              <w:r w:rsidDel="00311833">
                                <w:rPr>
                                  <w:rFonts w:cstheme="minorHAnsi"/>
                                  <w:sz w:val="18"/>
                                  <w:szCs w:val="18"/>
                                </w:rPr>
                                <w:delText>RR</w:delText>
                              </w:r>
                              <w:r w:rsidDel="00311833">
                                <w:rPr>
                                  <w:rFonts w:cstheme="minorHAnsi"/>
                                  <w:sz w:val="18"/>
                                  <w:szCs w:val="18"/>
                                  <w:vertAlign w:val="subscript"/>
                                </w:rPr>
                                <w:delText xml:space="preserve">2023, 2026 </w:delText>
                              </w:r>
                              <w:r w:rsidDel="00311833">
                                <w:rPr>
                                  <w:rFonts w:cstheme="minorHAnsi"/>
                                  <w:sz w:val="18"/>
                                  <w:szCs w:val="18"/>
                                </w:rPr>
                                <w:delText>= 90,000/103,000 = 0.874</w:delText>
                              </w:r>
                            </w:del>
                          </w:p>
                        </w:tc>
                      </w:tr>
                      <w:tr w:rsidR="000702C6" w:rsidDel="00311833" w14:paraId="1CEC942E" w14:textId="77777777">
                        <w:trPr>
                          <w:del w:id="354" w:author="Carly Olig" w:date="2022-05-04T15:15:00Z"/>
                        </w:trPr>
                        <w:tc>
                          <w:tcPr>
                            <w:tcW w:w="4443" w:type="dxa"/>
                            <w:vAlign w:val="center"/>
                            <w:hideMark/>
                          </w:tcPr>
                          <w:p w14:paraId="26BC6329" w14:textId="77777777" w:rsidR="000702C6" w:rsidDel="00311833" w:rsidRDefault="000702C6">
                            <w:pPr>
                              <w:spacing w:after="0"/>
                              <w:jc w:val="left"/>
                              <w:rPr>
                                <w:del w:id="355" w:author="Carly Olig" w:date="2022-05-04T15:15:00Z"/>
                                <w:rFonts w:cstheme="minorHAnsi"/>
                                <w:sz w:val="18"/>
                                <w:szCs w:val="18"/>
                              </w:rPr>
                            </w:pPr>
                            <w:del w:id="356" w:author="Carly Olig" w:date="2022-05-04T15:15:00Z">
                              <w:r w:rsidDel="00311833">
                                <w:rPr>
                                  <w:rFonts w:cstheme="minorHAnsi"/>
                                  <w:sz w:val="18"/>
                                  <w:szCs w:val="18"/>
                                </w:rPr>
                                <w:delText>RR</w:delText>
                              </w:r>
                              <w:r w:rsidDel="00311833">
                                <w:rPr>
                                  <w:rFonts w:cstheme="minorHAnsi"/>
                                  <w:sz w:val="18"/>
                                  <w:szCs w:val="18"/>
                                  <w:vertAlign w:val="subscript"/>
                                </w:rPr>
                                <w:delText>2022, 2023</w:delText>
                              </w:r>
                              <w:r w:rsidDel="00311833">
                                <w:rPr>
                                  <w:rFonts w:cstheme="minorHAnsi"/>
                                  <w:sz w:val="18"/>
                                  <w:szCs w:val="18"/>
                                </w:rPr>
                                <w:delText xml:space="preserve"> = 103,000/109,000 = 0.945</w:delText>
                              </w:r>
                            </w:del>
                          </w:p>
                        </w:tc>
                        <w:tc>
                          <w:tcPr>
                            <w:tcW w:w="4444" w:type="dxa"/>
                            <w:vAlign w:val="center"/>
                            <w:hideMark/>
                          </w:tcPr>
                          <w:p w14:paraId="2434E973" w14:textId="77777777" w:rsidR="000702C6" w:rsidDel="00311833" w:rsidRDefault="000702C6">
                            <w:pPr>
                              <w:spacing w:after="0"/>
                              <w:jc w:val="left"/>
                              <w:rPr>
                                <w:del w:id="357" w:author="Carly Olig" w:date="2022-05-04T15:15:00Z"/>
                                <w:rFonts w:cstheme="minorHAnsi"/>
                                <w:sz w:val="18"/>
                                <w:szCs w:val="18"/>
                              </w:rPr>
                            </w:pPr>
                            <w:del w:id="358" w:author="Carly Olig" w:date="2022-05-04T15:15:00Z">
                              <w:r w:rsidDel="00311833">
                                <w:rPr>
                                  <w:rFonts w:cstheme="minorHAnsi"/>
                                  <w:sz w:val="18"/>
                                  <w:szCs w:val="18"/>
                                </w:rPr>
                                <w:delText>RR</w:delText>
                              </w:r>
                              <w:r w:rsidDel="00311833">
                                <w:rPr>
                                  <w:rFonts w:cstheme="minorHAnsi"/>
                                  <w:sz w:val="18"/>
                                  <w:szCs w:val="18"/>
                                  <w:vertAlign w:val="subscript"/>
                                </w:rPr>
                                <w:delText xml:space="preserve">2024, 2026 </w:delText>
                              </w:r>
                              <w:r w:rsidDel="00311833">
                                <w:rPr>
                                  <w:rFonts w:cstheme="minorHAnsi"/>
                                  <w:sz w:val="18"/>
                                  <w:szCs w:val="18"/>
                                </w:rPr>
                                <w:delText>= 90,000/99,000 = 0.909</w:delText>
                              </w:r>
                            </w:del>
                          </w:p>
                        </w:tc>
                      </w:tr>
                      <w:tr w:rsidR="000702C6" w:rsidDel="00311833" w14:paraId="74E598AA" w14:textId="77777777">
                        <w:trPr>
                          <w:del w:id="359" w:author="Carly Olig" w:date="2022-05-04T15:15:00Z"/>
                        </w:trPr>
                        <w:tc>
                          <w:tcPr>
                            <w:tcW w:w="4443" w:type="dxa"/>
                            <w:vAlign w:val="center"/>
                            <w:hideMark/>
                          </w:tcPr>
                          <w:p w14:paraId="3AFD736A" w14:textId="77777777" w:rsidR="000702C6" w:rsidDel="00311833" w:rsidRDefault="000702C6">
                            <w:pPr>
                              <w:spacing w:after="0"/>
                              <w:jc w:val="left"/>
                              <w:rPr>
                                <w:del w:id="360" w:author="Carly Olig" w:date="2022-05-04T15:15:00Z"/>
                                <w:rFonts w:cstheme="minorHAnsi"/>
                                <w:b/>
                                <w:bCs/>
                                <w:sz w:val="18"/>
                                <w:szCs w:val="18"/>
                              </w:rPr>
                            </w:pPr>
                            <w:del w:id="361" w:author="Carly Olig" w:date="2022-05-04T15:15:00Z">
                              <w:r w:rsidDel="00311833">
                                <w:rPr>
                                  <w:rFonts w:cstheme="minorHAnsi"/>
                                  <w:b/>
                                  <w:bCs/>
                                  <w:sz w:val="18"/>
                                  <w:szCs w:val="18"/>
                                </w:rPr>
                                <w:delText>For use in 2024:</w:delText>
                              </w:r>
                            </w:del>
                          </w:p>
                        </w:tc>
                        <w:tc>
                          <w:tcPr>
                            <w:tcW w:w="4444" w:type="dxa"/>
                            <w:vAlign w:val="center"/>
                            <w:hideMark/>
                          </w:tcPr>
                          <w:p w14:paraId="28418705" w14:textId="77777777" w:rsidR="000702C6" w:rsidDel="00311833" w:rsidRDefault="000702C6">
                            <w:pPr>
                              <w:spacing w:after="0"/>
                              <w:jc w:val="left"/>
                              <w:rPr>
                                <w:del w:id="362" w:author="Carly Olig" w:date="2022-05-04T15:15:00Z"/>
                                <w:rFonts w:cstheme="minorHAnsi"/>
                                <w:sz w:val="18"/>
                                <w:szCs w:val="18"/>
                              </w:rPr>
                            </w:pPr>
                            <w:del w:id="363" w:author="Carly Olig" w:date="2022-05-04T15:15:00Z">
                              <w:r w:rsidDel="00311833">
                                <w:rPr>
                                  <w:rFonts w:cstheme="minorHAnsi"/>
                                  <w:sz w:val="18"/>
                                  <w:szCs w:val="18"/>
                                </w:rPr>
                                <w:delText>RR</w:delText>
                              </w:r>
                              <w:r w:rsidDel="00311833">
                                <w:rPr>
                                  <w:rFonts w:cstheme="minorHAnsi"/>
                                  <w:sz w:val="18"/>
                                  <w:szCs w:val="18"/>
                                  <w:vertAlign w:val="subscript"/>
                                </w:rPr>
                                <w:delText xml:space="preserve">2025, 2026 </w:delText>
                              </w:r>
                              <w:r w:rsidDel="00311833">
                                <w:rPr>
                                  <w:rFonts w:cstheme="minorHAnsi"/>
                                  <w:sz w:val="18"/>
                                  <w:szCs w:val="18"/>
                                </w:rPr>
                                <w:delText>= 90,000/94,000 = 0.957</w:delText>
                              </w:r>
                            </w:del>
                          </w:p>
                        </w:tc>
                      </w:tr>
                      <w:tr w:rsidR="000702C6" w:rsidDel="00311833" w14:paraId="0E18522F" w14:textId="77777777">
                        <w:trPr>
                          <w:del w:id="364" w:author="Carly Olig" w:date="2022-05-04T15:15:00Z"/>
                        </w:trPr>
                        <w:tc>
                          <w:tcPr>
                            <w:tcW w:w="4443" w:type="dxa"/>
                            <w:vAlign w:val="center"/>
                            <w:hideMark/>
                          </w:tcPr>
                          <w:p w14:paraId="271EA766" w14:textId="77777777" w:rsidR="000702C6" w:rsidDel="00311833" w:rsidRDefault="000702C6">
                            <w:pPr>
                              <w:spacing w:after="0"/>
                              <w:jc w:val="left"/>
                              <w:rPr>
                                <w:del w:id="365" w:author="Carly Olig" w:date="2022-05-04T15:15:00Z"/>
                                <w:rFonts w:cstheme="minorHAnsi"/>
                                <w:sz w:val="18"/>
                                <w:szCs w:val="18"/>
                              </w:rPr>
                            </w:pPr>
                            <w:del w:id="366" w:author="Carly Olig" w:date="2022-05-04T15:15:00Z">
                              <w:r w:rsidDel="00311833">
                                <w:rPr>
                                  <w:rFonts w:cstheme="minorHAnsi"/>
                                  <w:sz w:val="18"/>
                                  <w:szCs w:val="18"/>
                                </w:rPr>
                                <w:delText>RR</w:delText>
                              </w:r>
                              <w:r w:rsidDel="00311833">
                                <w:rPr>
                                  <w:rFonts w:cstheme="minorHAnsi"/>
                                  <w:sz w:val="18"/>
                                  <w:szCs w:val="18"/>
                                  <w:vertAlign w:val="subscript"/>
                                </w:rPr>
                                <w:delText>2021, 2024</w:delText>
                              </w:r>
                              <w:r w:rsidDel="00311833">
                                <w:rPr>
                                  <w:rFonts w:cstheme="minorHAnsi"/>
                                  <w:sz w:val="18"/>
                                  <w:szCs w:val="18"/>
                                </w:rPr>
                                <w:delText xml:space="preserve"> = 99,000/120,000 = 0.825</w:delText>
                              </w:r>
                            </w:del>
                          </w:p>
                        </w:tc>
                        <w:tc>
                          <w:tcPr>
                            <w:tcW w:w="4444" w:type="dxa"/>
                            <w:vAlign w:val="center"/>
                            <w:hideMark/>
                          </w:tcPr>
                          <w:p w14:paraId="5E08AE6C" w14:textId="77777777" w:rsidR="000702C6" w:rsidDel="00311833" w:rsidRDefault="000702C6">
                            <w:pPr>
                              <w:spacing w:after="0"/>
                              <w:jc w:val="left"/>
                              <w:rPr>
                                <w:del w:id="367" w:author="Carly Olig" w:date="2022-05-04T15:15:00Z"/>
                                <w:rFonts w:cstheme="minorHAnsi"/>
                                <w:b/>
                                <w:bCs/>
                                <w:sz w:val="18"/>
                                <w:szCs w:val="18"/>
                              </w:rPr>
                            </w:pPr>
                            <w:del w:id="368" w:author="Carly Olig" w:date="2022-05-04T15:15:00Z">
                              <w:r w:rsidDel="00311833">
                                <w:rPr>
                                  <w:rFonts w:cstheme="minorHAnsi"/>
                                  <w:b/>
                                  <w:bCs/>
                                  <w:sz w:val="18"/>
                                  <w:szCs w:val="18"/>
                                </w:rPr>
                                <w:delText>For use in 2027:</w:delText>
                              </w:r>
                            </w:del>
                          </w:p>
                        </w:tc>
                      </w:tr>
                      <w:tr w:rsidR="000702C6" w:rsidDel="00311833" w14:paraId="379A32AD" w14:textId="77777777">
                        <w:trPr>
                          <w:del w:id="369" w:author="Carly Olig" w:date="2022-05-04T15:15:00Z"/>
                        </w:trPr>
                        <w:tc>
                          <w:tcPr>
                            <w:tcW w:w="4443" w:type="dxa"/>
                            <w:vAlign w:val="center"/>
                            <w:hideMark/>
                          </w:tcPr>
                          <w:p w14:paraId="56158C98" w14:textId="77777777" w:rsidR="000702C6" w:rsidDel="00311833" w:rsidRDefault="000702C6">
                            <w:pPr>
                              <w:spacing w:after="0"/>
                              <w:jc w:val="left"/>
                              <w:rPr>
                                <w:del w:id="370" w:author="Carly Olig" w:date="2022-05-04T15:15:00Z"/>
                                <w:rFonts w:cstheme="minorHAnsi"/>
                                <w:sz w:val="18"/>
                                <w:szCs w:val="18"/>
                              </w:rPr>
                            </w:pPr>
                            <w:del w:id="371" w:author="Carly Olig" w:date="2022-05-04T15:15:00Z">
                              <w:r w:rsidDel="00311833">
                                <w:rPr>
                                  <w:rFonts w:cstheme="minorHAnsi"/>
                                  <w:sz w:val="18"/>
                                  <w:szCs w:val="18"/>
                                </w:rPr>
                                <w:delText>RR</w:delText>
                              </w:r>
                              <w:r w:rsidDel="00311833">
                                <w:rPr>
                                  <w:rFonts w:cstheme="minorHAnsi"/>
                                  <w:sz w:val="18"/>
                                  <w:szCs w:val="18"/>
                                  <w:vertAlign w:val="subscript"/>
                                </w:rPr>
                                <w:delText xml:space="preserve">2022, 2024 </w:delText>
                              </w:r>
                              <w:r w:rsidDel="00311833">
                                <w:rPr>
                                  <w:rFonts w:cstheme="minorHAnsi"/>
                                  <w:sz w:val="18"/>
                                  <w:szCs w:val="18"/>
                                </w:rPr>
                                <w:delText>= 99,000/109,000 = 0.908</w:delText>
                              </w:r>
                            </w:del>
                          </w:p>
                        </w:tc>
                        <w:tc>
                          <w:tcPr>
                            <w:tcW w:w="4444" w:type="dxa"/>
                            <w:vAlign w:val="center"/>
                            <w:hideMark/>
                          </w:tcPr>
                          <w:p w14:paraId="13BF93EA" w14:textId="77777777" w:rsidR="000702C6" w:rsidDel="00311833" w:rsidRDefault="000702C6">
                            <w:pPr>
                              <w:spacing w:after="0"/>
                              <w:jc w:val="left"/>
                              <w:rPr>
                                <w:del w:id="372" w:author="Carly Olig" w:date="2022-05-04T15:15:00Z"/>
                                <w:rFonts w:cstheme="minorHAnsi"/>
                                <w:sz w:val="18"/>
                                <w:szCs w:val="18"/>
                              </w:rPr>
                            </w:pPr>
                            <w:del w:id="373" w:author="Carly Olig" w:date="2022-05-04T15:15:00Z">
                              <w:r w:rsidDel="00311833">
                                <w:rPr>
                                  <w:rFonts w:cstheme="minorHAnsi"/>
                                  <w:sz w:val="18"/>
                                  <w:szCs w:val="18"/>
                                </w:rPr>
                                <w:delText>RR</w:delText>
                              </w:r>
                              <w:r w:rsidDel="00311833">
                                <w:rPr>
                                  <w:rFonts w:cstheme="minorHAnsi"/>
                                  <w:sz w:val="18"/>
                                  <w:szCs w:val="18"/>
                                  <w:vertAlign w:val="subscript"/>
                                </w:rPr>
                                <w:delText>2021, 2027</w:delText>
                              </w:r>
                              <w:r w:rsidDel="00311833">
                                <w:rPr>
                                  <w:rFonts w:cstheme="minorHAnsi"/>
                                  <w:sz w:val="18"/>
                                  <w:szCs w:val="18"/>
                                </w:rPr>
                                <w:delText xml:space="preserve"> = 88,000/120,000 = 0.733</w:delText>
                              </w:r>
                            </w:del>
                          </w:p>
                        </w:tc>
                      </w:tr>
                      <w:tr w:rsidR="000702C6" w:rsidDel="00311833" w14:paraId="41FB087D" w14:textId="77777777">
                        <w:trPr>
                          <w:del w:id="374" w:author="Carly Olig" w:date="2022-05-04T15:15:00Z"/>
                        </w:trPr>
                        <w:tc>
                          <w:tcPr>
                            <w:tcW w:w="4443" w:type="dxa"/>
                            <w:vAlign w:val="center"/>
                            <w:hideMark/>
                          </w:tcPr>
                          <w:p w14:paraId="3196F94E" w14:textId="77777777" w:rsidR="000702C6" w:rsidDel="00311833" w:rsidRDefault="000702C6">
                            <w:pPr>
                              <w:spacing w:after="0"/>
                              <w:jc w:val="left"/>
                              <w:rPr>
                                <w:del w:id="375" w:author="Carly Olig" w:date="2022-05-04T15:15:00Z"/>
                                <w:rFonts w:cstheme="minorHAnsi"/>
                                <w:sz w:val="18"/>
                                <w:szCs w:val="18"/>
                              </w:rPr>
                            </w:pPr>
                            <w:del w:id="376" w:author="Carly Olig" w:date="2022-05-04T15:15:00Z">
                              <w:r w:rsidDel="00311833">
                                <w:rPr>
                                  <w:rFonts w:cstheme="minorHAnsi"/>
                                  <w:sz w:val="18"/>
                                  <w:szCs w:val="18"/>
                                </w:rPr>
                                <w:delText>RR</w:delText>
                              </w:r>
                              <w:r w:rsidDel="00311833">
                                <w:rPr>
                                  <w:rFonts w:cstheme="minorHAnsi"/>
                                  <w:sz w:val="18"/>
                                  <w:szCs w:val="18"/>
                                  <w:vertAlign w:val="subscript"/>
                                </w:rPr>
                                <w:delText xml:space="preserve">2023, 2024 </w:delText>
                              </w:r>
                              <w:r w:rsidDel="00311833">
                                <w:rPr>
                                  <w:rFonts w:cstheme="minorHAnsi"/>
                                  <w:sz w:val="18"/>
                                  <w:szCs w:val="18"/>
                                </w:rPr>
                                <w:delText>= 99,000/103,000 = 0.961</w:delText>
                              </w:r>
                            </w:del>
                          </w:p>
                        </w:tc>
                        <w:tc>
                          <w:tcPr>
                            <w:tcW w:w="4444" w:type="dxa"/>
                            <w:vAlign w:val="center"/>
                            <w:hideMark/>
                          </w:tcPr>
                          <w:p w14:paraId="07E6F2BE" w14:textId="77777777" w:rsidR="000702C6" w:rsidDel="00311833" w:rsidRDefault="000702C6">
                            <w:pPr>
                              <w:spacing w:after="0"/>
                              <w:jc w:val="left"/>
                              <w:rPr>
                                <w:del w:id="377" w:author="Carly Olig" w:date="2022-05-04T15:15:00Z"/>
                                <w:rFonts w:cstheme="minorHAnsi"/>
                                <w:sz w:val="18"/>
                                <w:szCs w:val="18"/>
                              </w:rPr>
                            </w:pPr>
                            <w:del w:id="378" w:author="Carly Olig" w:date="2022-05-04T15:15:00Z">
                              <w:r w:rsidDel="00311833">
                                <w:rPr>
                                  <w:rFonts w:cstheme="minorHAnsi"/>
                                  <w:sz w:val="18"/>
                                  <w:szCs w:val="18"/>
                                </w:rPr>
                                <w:delText>RR</w:delText>
                              </w:r>
                              <w:r w:rsidDel="00311833">
                                <w:rPr>
                                  <w:rFonts w:cstheme="minorHAnsi"/>
                                  <w:sz w:val="18"/>
                                  <w:szCs w:val="18"/>
                                  <w:vertAlign w:val="subscript"/>
                                </w:rPr>
                                <w:delText>2022, 2027</w:delText>
                              </w:r>
                              <w:r w:rsidDel="00311833">
                                <w:rPr>
                                  <w:rFonts w:cstheme="minorHAnsi"/>
                                  <w:sz w:val="18"/>
                                  <w:szCs w:val="18"/>
                                </w:rPr>
                                <w:delText xml:space="preserve"> = 88,000/109,000 = 0.807</w:delText>
                              </w:r>
                            </w:del>
                          </w:p>
                        </w:tc>
                      </w:tr>
                      <w:tr w:rsidR="000702C6" w:rsidDel="00311833" w14:paraId="6C6A162E" w14:textId="77777777">
                        <w:trPr>
                          <w:del w:id="379" w:author="Carly Olig" w:date="2022-05-04T15:15:00Z"/>
                        </w:trPr>
                        <w:tc>
                          <w:tcPr>
                            <w:tcW w:w="4443" w:type="dxa"/>
                            <w:vAlign w:val="center"/>
                            <w:hideMark/>
                          </w:tcPr>
                          <w:p w14:paraId="5681765B" w14:textId="77777777" w:rsidR="000702C6" w:rsidDel="00311833" w:rsidRDefault="000702C6">
                            <w:pPr>
                              <w:spacing w:after="0"/>
                              <w:jc w:val="left"/>
                              <w:rPr>
                                <w:del w:id="380" w:author="Carly Olig" w:date="2022-05-04T15:15:00Z"/>
                                <w:rFonts w:cstheme="minorHAnsi"/>
                                <w:b/>
                                <w:bCs/>
                                <w:sz w:val="18"/>
                                <w:szCs w:val="18"/>
                              </w:rPr>
                            </w:pPr>
                            <w:del w:id="381" w:author="Carly Olig" w:date="2022-05-04T15:15:00Z">
                              <w:r w:rsidDel="00311833">
                                <w:rPr>
                                  <w:rFonts w:cstheme="minorHAnsi"/>
                                  <w:b/>
                                  <w:bCs/>
                                  <w:sz w:val="18"/>
                                  <w:szCs w:val="18"/>
                                </w:rPr>
                                <w:delText>For use in 2025:</w:delText>
                              </w:r>
                            </w:del>
                          </w:p>
                        </w:tc>
                        <w:tc>
                          <w:tcPr>
                            <w:tcW w:w="4444" w:type="dxa"/>
                            <w:vAlign w:val="center"/>
                            <w:hideMark/>
                          </w:tcPr>
                          <w:p w14:paraId="3FA65DD2" w14:textId="77777777" w:rsidR="000702C6" w:rsidDel="00311833" w:rsidRDefault="000702C6">
                            <w:pPr>
                              <w:spacing w:after="0"/>
                              <w:jc w:val="left"/>
                              <w:rPr>
                                <w:del w:id="382" w:author="Carly Olig" w:date="2022-05-04T15:15:00Z"/>
                                <w:rFonts w:cstheme="minorHAnsi"/>
                                <w:sz w:val="18"/>
                                <w:szCs w:val="18"/>
                              </w:rPr>
                            </w:pPr>
                            <w:del w:id="383" w:author="Carly Olig" w:date="2022-05-04T15:15:00Z">
                              <w:r w:rsidDel="00311833">
                                <w:rPr>
                                  <w:rFonts w:cstheme="minorHAnsi"/>
                                  <w:sz w:val="18"/>
                                  <w:szCs w:val="18"/>
                                </w:rPr>
                                <w:delText>RR</w:delText>
                              </w:r>
                              <w:r w:rsidDel="00311833">
                                <w:rPr>
                                  <w:rFonts w:cstheme="minorHAnsi"/>
                                  <w:sz w:val="18"/>
                                  <w:szCs w:val="18"/>
                                  <w:vertAlign w:val="subscript"/>
                                </w:rPr>
                                <w:delText xml:space="preserve">2023, 2027 </w:delText>
                              </w:r>
                              <w:r w:rsidDel="00311833">
                                <w:rPr>
                                  <w:rFonts w:cstheme="minorHAnsi"/>
                                  <w:sz w:val="18"/>
                                  <w:szCs w:val="18"/>
                                </w:rPr>
                                <w:delText>= 88,000/103,000 = 0.854</w:delText>
                              </w:r>
                            </w:del>
                          </w:p>
                        </w:tc>
                      </w:tr>
                      <w:tr w:rsidR="000702C6" w:rsidDel="00311833" w14:paraId="67F7DDDC" w14:textId="77777777">
                        <w:trPr>
                          <w:del w:id="384" w:author="Carly Olig" w:date="2022-05-04T15:15:00Z"/>
                        </w:trPr>
                        <w:tc>
                          <w:tcPr>
                            <w:tcW w:w="4443" w:type="dxa"/>
                            <w:vAlign w:val="center"/>
                            <w:hideMark/>
                          </w:tcPr>
                          <w:p w14:paraId="3CE1DB32" w14:textId="77777777" w:rsidR="000702C6" w:rsidDel="00311833" w:rsidRDefault="000702C6">
                            <w:pPr>
                              <w:spacing w:after="0"/>
                              <w:jc w:val="left"/>
                              <w:rPr>
                                <w:del w:id="385" w:author="Carly Olig" w:date="2022-05-04T15:15:00Z"/>
                                <w:rFonts w:cstheme="minorHAnsi"/>
                                <w:sz w:val="18"/>
                                <w:szCs w:val="18"/>
                              </w:rPr>
                            </w:pPr>
                            <w:del w:id="386" w:author="Carly Olig" w:date="2022-05-04T15:15:00Z">
                              <w:r w:rsidDel="00311833">
                                <w:rPr>
                                  <w:rFonts w:cstheme="minorHAnsi"/>
                                  <w:sz w:val="18"/>
                                  <w:szCs w:val="18"/>
                                </w:rPr>
                                <w:delText>RR</w:delText>
                              </w:r>
                              <w:r w:rsidDel="00311833">
                                <w:rPr>
                                  <w:rFonts w:cstheme="minorHAnsi"/>
                                  <w:sz w:val="18"/>
                                  <w:szCs w:val="18"/>
                                  <w:vertAlign w:val="subscript"/>
                                </w:rPr>
                                <w:delText>2021, 2025</w:delText>
                              </w:r>
                              <w:r w:rsidDel="00311833">
                                <w:rPr>
                                  <w:rFonts w:cstheme="minorHAnsi"/>
                                  <w:sz w:val="18"/>
                                  <w:szCs w:val="18"/>
                                </w:rPr>
                                <w:delText xml:space="preserve"> = 94,000/120,000 = 0.783</w:delText>
                              </w:r>
                            </w:del>
                          </w:p>
                        </w:tc>
                        <w:tc>
                          <w:tcPr>
                            <w:tcW w:w="4444" w:type="dxa"/>
                            <w:vAlign w:val="center"/>
                            <w:hideMark/>
                          </w:tcPr>
                          <w:p w14:paraId="3FA2EA00" w14:textId="77777777" w:rsidR="000702C6" w:rsidDel="00311833" w:rsidRDefault="000702C6">
                            <w:pPr>
                              <w:spacing w:after="0"/>
                              <w:jc w:val="left"/>
                              <w:rPr>
                                <w:del w:id="387" w:author="Carly Olig" w:date="2022-05-04T15:15:00Z"/>
                                <w:rFonts w:cstheme="minorHAnsi"/>
                                <w:sz w:val="18"/>
                                <w:szCs w:val="18"/>
                              </w:rPr>
                            </w:pPr>
                            <w:del w:id="388" w:author="Carly Olig" w:date="2022-05-04T15:15:00Z">
                              <w:r w:rsidDel="00311833">
                                <w:rPr>
                                  <w:rFonts w:cstheme="minorHAnsi"/>
                                  <w:sz w:val="18"/>
                                  <w:szCs w:val="18"/>
                                </w:rPr>
                                <w:delText>RR</w:delText>
                              </w:r>
                              <w:r w:rsidDel="00311833">
                                <w:rPr>
                                  <w:rFonts w:cstheme="minorHAnsi"/>
                                  <w:sz w:val="18"/>
                                  <w:szCs w:val="18"/>
                                  <w:vertAlign w:val="subscript"/>
                                </w:rPr>
                                <w:delText xml:space="preserve">2024, 2027 </w:delText>
                              </w:r>
                              <w:r w:rsidDel="00311833">
                                <w:rPr>
                                  <w:rFonts w:cstheme="minorHAnsi"/>
                                  <w:sz w:val="18"/>
                                  <w:szCs w:val="18"/>
                                </w:rPr>
                                <w:delText>= 88,000/99,000 = 0.889</w:delText>
                              </w:r>
                            </w:del>
                          </w:p>
                        </w:tc>
                      </w:tr>
                      <w:tr w:rsidR="000702C6" w:rsidDel="00311833" w14:paraId="2105F447" w14:textId="77777777">
                        <w:trPr>
                          <w:del w:id="389" w:author="Carly Olig" w:date="2022-05-04T15:15:00Z"/>
                        </w:trPr>
                        <w:tc>
                          <w:tcPr>
                            <w:tcW w:w="4443" w:type="dxa"/>
                            <w:vAlign w:val="center"/>
                            <w:hideMark/>
                          </w:tcPr>
                          <w:p w14:paraId="2B07354A" w14:textId="77777777" w:rsidR="000702C6" w:rsidDel="00311833" w:rsidRDefault="000702C6">
                            <w:pPr>
                              <w:spacing w:after="0"/>
                              <w:jc w:val="left"/>
                              <w:rPr>
                                <w:del w:id="390" w:author="Carly Olig" w:date="2022-05-04T15:15:00Z"/>
                                <w:rFonts w:cstheme="minorHAnsi"/>
                                <w:sz w:val="18"/>
                                <w:szCs w:val="18"/>
                              </w:rPr>
                            </w:pPr>
                            <w:del w:id="391" w:author="Carly Olig" w:date="2022-05-04T15:15:00Z">
                              <w:r w:rsidDel="00311833">
                                <w:rPr>
                                  <w:rFonts w:cstheme="minorHAnsi"/>
                                  <w:sz w:val="18"/>
                                  <w:szCs w:val="18"/>
                                </w:rPr>
                                <w:delText>RR</w:delText>
                              </w:r>
                              <w:r w:rsidDel="00311833">
                                <w:rPr>
                                  <w:rFonts w:cstheme="minorHAnsi"/>
                                  <w:sz w:val="18"/>
                                  <w:szCs w:val="18"/>
                                  <w:vertAlign w:val="subscript"/>
                                </w:rPr>
                                <w:delText xml:space="preserve">2022, 2025 </w:delText>
                              </w:r>
                              <w:r w:rsidDel="00311833">
                                <w:rPr>
                                  <w:rFonts w:cstheme="minorHAnsi"/>
                                  <w:sz w:val="18"/>
                                  <w:szCs w:val="18"/>
                                </w:rPr>
                                <w:delText>= 94,000/109,000 = 0.862</w:delText>
                              </w:r>
                            </w:del>
                          </w:p>
                        </w:tc>
                        <w:tc>
                          <w:tcPr>
                            <w:tcW w:w="4444" w:type="dxa"/>
                            <w:vAlign w:val="center"/>
                            <w:hideMark/>
                          </w:tcPr>
                          <w:p w14:paraId="4E940EBB" w14:textId="77777777" w:rsidR="000702C6" w:rsidDel="00311833" w:rsidRDefault="000702C6">
                            <w:pPr>
                              <w:spacing w:after="0"/>
                              <w:jc w:val="left"/>
                              <w:rPr>
                                <w:del w:id="392" w:author="Carly Olig" w:date="2022-05-04T15:15:00Z"/>
                                <w:rFonts w:cstheme="minorHAnsi"/>
                                <w:sz w:val="18"/>
                                <w:szCs w:val="18"/>
                              </w:rPr>
                            </w:pPr>
                            <w:del w:id="393" w:author="Carly Olig" w:date="2022-05-04T15:15:00Z">
                              <w:r w:rsidDel="00311833">
                                <w:rPr>
                                  <w:rFonts w:cstheme="minorHAnsi"/>
                                  <w:sz w:val="18"/>
                                  <w:szCs w:val="18"/>
                                </w:rPr>
                                <w:delText>RR</w:delText>
                              </w:r>
                              <w:r w:rsidDel="00311833">
                                <w:rPr>
                                  <w:rFonts w:cstheme="minorHAnsi"/>
                                  <w:sz w:val="18"/>
                                  <w:szCs w:val="18"/>
                                  <w:vertAlign w:val="subscript"/>
                                </w:rPr>
                                <w:delText xml:space="preserve">2025, 2027 </w:delText>
                              </w:r>
                              <w:r w:rsidDel="00311833">
                                <w:rPr>
                                  <w:rFonts w:cstheme="minorHAnsi"/>
                                  <w:sz w:val="18"/>
                                  <w:szCs w:val="18"/>
                                </w:rPr>
                                <w:delText>= 88,000/94,000 = 0.936</w:delText>
                              </w:r>
                            </w:del>
                          </w:p>
                        </w:tc>
                      </w:tr>
                      <w:tr w:rsidR="000702C6" w:rsidDel="00311833" w14:paraId="3B89747D" w14:textId="77777777">
                        <w:trPr>
                          <w:del w:id="394" w:author="Carly Olig" w:date="2022-05-04T15:15:00Z"/>
                        </w:trPr>
                        <w:tc>
                          <w:tcPr>
                            <w:tcW w:w="4443" w:type="dxa"/>
                            <w:vAlign w:val="center"/>
                            <w:hideMark/>
                          </w:tcPr>
                          <w:p w14:paraId="7C79012F" w14:textId="77777777" w:rsidR="000702C6" w:rsidDel="00311833" w:rsidRDefault="000702C6">
                            <w:pPr>
                              <w:spacing w:after="0"/>
                              <w:jc w:val="left"/>
                              <w:rPr>
                                <w:del w:id="395" w:author="Carly Olig" w:date="2022-05-04T15:15:00Z"/>
                                <w:rFonts w:cstheme="minorHAnsi"/>
                                <w:sz w:val="18"/>
                                <w:szCs w:val="18"/>
                              </w:rPr>
                            </w:pPr>
                            <w:del w:id="396" w:author="Carly Olig" w:date="2022-05-04T15:15:00Z">
                              <w:r w:rsidDel="00311833">
                                <w:rPr>
                                  <w:rFonts w:cstheme="minorHAnsi"/>
                                  <w:sz w:val="18"/>
                                  <w:szCs w:val="18"/>
                                </w:rPr>
                                <w:delText>RR</w:delText>
                              </w:r>
                              <w:r w:rsidDel="00311833">
                                <w:rPr>
                                  <w:rFonts w:cstheme="minorHAnsi"/>
                                  <w:sz w:val="18"/>
                                  <w:szCs w:val="18"/>
                                  <w:vertAlign w:val="subscript"/>
                                </w:rPr>
                                <w:delText xml:space="preserve">2023, 2025 </w:delText>
                              </w:r>
                              <w:r w:rsidDel="00311833">
                                <w:rPr>
                                  <w:rFonts w:cstheme="minorHAnsi"/>
                                  <w:sz w:val="18"/>
                                  <w:szCs w:val="18"/>
                                </w:rPr>
                                <w:delText>= 94,000/103,000 = 0.913</w:delText>
                              </w:r>
                            </w:del>
                          </w:p>
                        </w:tc>
                        <w:tc>
                          <w:tcPr>
                            <w:tcW w:w="4444" w:type="dxa"/>
                            <w:vAlign w:val="center"/>
                            <w:hideMark/>
                          </w:tcPr>
                          <w:p w14:paraId="492F6D85" w14:textId="77777777" w:rsidR="000702C6" w:rsidDel="00311833" w:rsidRDefault="000702C6">
                            <w:pPr>
                              <w:spacing w:after="0"/>
                              <w:jc w:val="left"/>
                              <w:rPr>
                                <w:del w:id="397" w:author="Carly Olig" w:date="2022-05-04T15:15:00Z"/>
                                <w:rFonts w:cstheme="minorHAnsi"/>
                                <w:sz w:val="18"/>
                                <w:szCs w:val="18"/>
                              </w:rPr>
                            </w:pPr>
                            <w:del w:id="398" w:author="Carly Olig" w:date="2022-05-04T15:15:00Z">
                              <w:r w:rsidDel="00311833">
                                <w:rPr>
                                  <w:rFonts w:cstheme="minorHAnsi"/>
                                  <w:sz w:val="18"/>
                                  <w:szCs w:val="18"/>
                                </w:rPr>
                                <w:delText>RR</w:delText>
                              </w:r>
                              <w:r w:rsidDel="00311833">
                                <w:rPr>
                                  <w:rFonts w:cstheme="minorHAnsi"/>
                                  <w:sz w:val="18"/>
                                  <w:szCs w:val="18"/>
                                  <w:vertAlign w:val="subscript"/>
                                </w:rPr>
                                <w:delText xml:space="preserve">2026, 2027 </w:delText>
                              </w:r>
                              <w:r w:rsidDel="00311833">
                                <w:rPr>
                                  <w:rFonts w:cstheme="minorHAnsi"/>
                                  <w:sz w:val="18"/>
                                  <w:szCs w:val="18"/>
                                </w:rPr>
                                <w:delText>= 88,000/90,000 = 0.978</w:delText>
                              </w:r>
                            </w:del>
                          </w:p>
                        </w:tc>
                      </w:tr>
                      <w:tr w:rsidR="000702C6" w:rsidDel="00311833" w14:paraId="1AA435B3" w14:textId="77777777">
                        <w:trPr>
                          <w:del w:id="399" w:author="Carly Olig" w:date="2022-05-04T15:15:00Z"/>
                        </w:trPr>
                        <w:tc>
                          <w:tcPr>
                            <w:tcW w:w="4443" w:type="dxa"/>
                            <w:vAlign w:val="center"/>
                            <w:hideMark/>
                          </w:tcPr>
                          <w:p w14:paraId="2346ABD7" w14:textId="77777777" w:rsidR="000702C6" w:rsidDel="00311833" w:rsidRDefault="000702C6">
                            <w:pPr>
                              <w:spacing w:after="0"/>
                              <w:jc w:val="left"/>
                              <w:rPr>
                                <w:del w:id="400" w:author="Carly Olig" w:date="2022-05-04T15:15:00Z"/>
                                <w:rFonts w:cstheme="minorHAnsi"/>
                                <w:sz w:val="18"/>
                                <w:szCs w:val="18"/>
                              </w:rPr>
                            </w:pPr>
                            <w:del w:id="401" w:author="Carly Olig" w:date="2022-05-04T15:15:00Z">
                              <w:r w:rsidDel="00311833">
                                <w:rPr>
                                  <w:rFonts w:cstheme="minorHAnsi"/>
                                  <w:sz w:val="18"/>
                                  <w:szCs w:val="18"/>
                                </w:rPr>
                                <w:delText>RR</w:delText>
                              </w:r>
                              <w:r w:rsidDel="00311833">
                                <w:rPr>
                                  <w:rFonts w:cstheme="minorHAnsi"/>
                                  <w:sz w:val="18"/>
                                  <w:szCs w:val="18"/>
                                  <w:vertAlign w:val="subscript"/>
                                </w:rPr>
                                <w:delText xml:space="preserve">2024, 2025 </w:delText>
                              </w:r>
                              <w:r w:rsidDel="00311833">
                                <w:rPr>
                                  <w:rFonts w:cstheme="minorHAnsi"/>
                                  <w:sz w:val="18"/>
                                  <w:szCs w:val="18"/>
                                </w:rPr>
                                <w:delText>= 94,000/99,000 = 0.949</w:delText>
                              </w:r>
                            </w:del>
                          </w:p>
                        </w:tc>
                        <w:tc>
                          <w:tcPr>
                            <w:tcW w:w="4444" w:type="dxa"/>
                            <w:vAlign w:val="center"/>
                            <w:hideMark/>
                          </w:tcPr>
                          <w:p w14:paraId="693B1512" w14:textId="77777777" w:rsidR="000702C6" w:rsidDel="00311833" w:rsidRDefault="000702C6">
                            <w:pPr>
                              <w:spacing w:after="0"/>
                              <w:jc w:val="left"/>
                              <w:rPr>
                                <w:del w:id="402" w:author="Carly Olig" w:date="2022-05-04T15:15:00Z"/>
                                <w:rFonts w:cstheme="minorHAnsi"/>
                                <w:b/>
                                <w:bCs/>
                                <w:sz w:val="18"/>
                                <w:szCs w:val="18"/>
                              </w:rPr>
                            </w:pPr>
                            <w:del w:id="403" w:author="Carly Olig" w:date="2022-05-04T15:15:00Z">
                              <w:r w:rsidDel="00311833">
                                <w:rPr>
                                  <w:rFonts w:cstheme="minorHAnsi"/>
                                  <w:b/>
                                  <w:bCs/>
                                  <w:sz w:val="18"/>
                                  <w:szCs w:val="18"/>
                                </w:rPr>
                                <w:delText>Continue this approach for future years as appropriate.</w:delText>
                              </w:r>
                            </w:del>
                          </w:p>
                        </w:tc>
                      </w:tr>
                    </w:tbl>
                    <w:p w14:paraId="28ACC58F" w14:textId="77777777" w:rsidR="000702C6" w:rsidRDefault="000702C6" w:rsidP="000702C6">
                      <w:pPr>
                        <w:spacing w:after="60"/>
                        <w:rPr>
                          <w:rFonts w:cstheme="minorHAnsi"/>
                          <w:b/>
                          <w:sz w:val="18"/>
                          <w:szCs w:val="18"/>
                        </w:rPr>
                      </w:pPr>
                    </w:p>
                    <w:p w14:paraId="0723B4E7" w14:textId="77777777" w:rsidR="000702C6" w:rsidRDefault="000702C6" w:rsidP="000702C6">
                      <w:pPr>
                        <w:spacing w:after="60"/>
                        <w:rPr>
                          <w:rFonts w:cstheme="minorHAnsi"/>
                          <w:b/>
                          <w:sz w:val="18"/>
                          <w:szCs w:val="18"/>
                        </w:rPr>
                      </w:pPr>
                      <w:r>
                        <w:rPr>
                          <w:rFonts w:cstheme="minorHAnsi"/>
                          <w:b/>
                          <w:sz w:val="18"/>
                          <w:szCs w:val="18"/>
                        </w:rPr>
                        <w:t>Calculation of Adjusted Annual Savings:</w:t>
                      </w:r>
                    </w:p>
                    <w:p w14:paraId="7FDFAD00" w14:textId="77777777" w:rsidR="000702C6" w:rsidRDefault="000702C6" w:rsidP="000702C6">
                      <w:pPr>
                        <w:spacing w:after="60"/>
                        <w:rPr>
                          <w:rFonts w:cstheme="minorHAnsi"/>
                          <w:sz w:val="18"/>
                          <w:szCs w:val="18"/>
                        </w:rPr>
                      </w:pPr>
                      <w:r>
                        <w:rPr>
                          <w:rFonts w:cstheme="minorHAnsi"/>
                          <w:sz w:val="18"/>
                          <w:szCs w:val="18"/>
                        </w:rPr>
                        <w:t>ΔkWh</w:t>
                      </w:r>
                      <w:r>
                        <w:rPr>
                          <w:rFonts w:cstheme="minorHAnsi"/>
                          <w:sz w:val="18"/>
                          <w:szCs w:val="18"/>
                          <w:vertAlign w:val="subscript"/>
                        </w:rPr>
                        <w:t>2021 Adjusted</w:t>
                      </w:r>
                      <w:r>
                        <w:rPr>
                          <w:rFonts w:cstheme="minorHAnsi"/>
                          <w:sz w:val="18"/>
                          <w:szCs w:val="18"/>
                        </w:rPr>
                        <w:t xml:space="preserve"> = 24,000,000 kWh</w:t>
                      </w:r>
                    </w:p>
                    <w:p w14:paraId="42FCC3D9" w14:textId="77777777" w:rsidR="000702C6" w:rsidRDefault="000702C6" w:rsidP="000702C6">
                      <w:pPr>
                        <w:spacing w:after="60"/>
                        <w:rPr>
                          <w:rFonts w:cstheme="minorHAnsi"/>
                          <w:sz w:val="18"/>
                          <w:szCs w:val="18"/>
                        </w:rPr>
                      </w:pPr>
                      <w:r>
                        <w:rPr>
                          <w:rFonts w:cstheme="minorHAnsi"/>
                          <w:sz w:val="18"/>
                          <w:szCs w:val="18"/>
                        </w:rPr>
                        <w:t>ΔkWh</w:t>
                      </w:r>
                      <w:r>
                        <w:rPr>
                          <w:rFonts w:cstheme="minorHAnsi"/>
                          <w:sz w:val="18"/>
                          <w:szCs w:val="18"/>
                          <w:vertAlign w:val="subscript"/>
                        </w:rPr>
                        <w:t>2022 Adjusted</w:t>
                      </w:r>
                      <w:r>
                        <w:rPr>
                          <w:rFonts w:cstheme="minorHAnsi"/>
                          <w:sz w:val="18"/>
                          <w:szCs w:val="18"/>
                        </w:rPr>
                        <w:t xml:space="preserve">  = 27,250,000 – (24,000,000 * 0.9</w:t>
                      </w:r>
                      <w:ins w:id="404" w:author="Carly Olig" w:date="2022-05-04T15:17:00Z">
                        <w:r>
                          <w:rPr>
                            <w:rFonts w:cstheme="minorHAnsi"/>
                            <w:sz w:val="18"/>
                            <w:szCs w:val="18"/>
                          </w:rPr>
                          <w:t>5</w:t>
                        </w:r>
                      </w:ins>
                      <w:del w:id="405" w:author="Carly Olig" w:date="2022-05-04T15:17:00Z">
                        <w:r w:rsidDel="00461501">
                          <w:rPr>
                            <w:rFonts w:cstheme="minorHAnsi"/>
                            <w:sz w:val="18"/>
                            <w:szCs w:val="18"/>
                          </w:rPr>
                          <w:delText>08</w:delText>
                        </w:r>
                      </w:del>
                      <w:r>
                        <w:rPr>
                          <w:rFonts w:cstheme="minorHAnsi"/>
                          <w:sz w:val="18"/>
                          <w:szCs w:val="18"/>
                        </w:rPr>
                        <w:t xml:space="preserve"> * 0.78) </w:t>
                      </w:r>
                    </w:p>
                    <w:p w14:paraId="75F23691" w14:textId="77777777" w:rsidR="000702C6" w:rsidRDefault="000702C6" w:rsidP="000702C6">
                      <w:pPr>
                        <w:spacing w:after="60"/>
                        <w:ind w:left="720" w:firstLine="720"/>
                        <w:rPr>
                          <w:rFonts w:cstheme="minorHAnsi"/>
                          <w:sz w:val="18"/>
                          <w:szCs w:val="18"/>
                        </w:rPr>
                      </w:pPr>
                      <w:r>
                        <w:rPr>
                          <w:rFonts w:cstheme="minorHAnsi"/>
                          <w:sz w:val="18"/>
                          <w:szCs w:val="18"/>
                        </w:rPr>
                        <w:t xml:space="preserve">= </w:t>
                      </w:r>
                      <w:del w:id="406" w:author="Carly Olig" w:date="2022-05-04T15:24:00Z">
                        <w:r w:rsidDel="006E3A63">
                          <w:rPr>
                            <w:rFonts w:cstheme="minorHAnsi"/>
                            <w:sz w:val="18"/>
                            <w:szCs w:val="18"/>
                          </w:rPr>
                          <w:delText>10,252,240</w:delText>
                        </w:r>
                      </w:del>
                      <w:ins w:id="407" w:author="Carly Olig" w:date="2022-05-04T15:30:00Z">
                        <w:r>
                          <w:rPr>
                            <w:rFonts w:cstheme="minorHAnsi"/>
                            <w:sz w:val="18"/>
                            <w:szCs w:val="18"/>
                          </w:rPr>
                          <w:t>9,466,000</w:t>
                        </w:r>
                      </w:ins>
                      <w:r>
                        <w:rPr>
                          <w:rFonts w:cstheme="minorHAnsi"/>
                          <w:sz w:val="18"/>
                          <w:szCs w:val="18"/>
                        </w:rPr>
                        <w:t xml:space="preserve"> kWh</w:t>
                      </w:r>
                    </w:p>
                    <w:p w14:paraId="6824579A" w14:textId="77777777" w:rsidR="000702C6" w:rsidRDefault="000702C6" w:rsidP="000702C6">
                      <w:pPr>
                        <w:spacing w:after="60"/>
                        <w:rPr>
                          <w:rFonts w:cstheme="minorHAnsi"/>
                          <w:color w:val="FF0000"/>
                          <w:sz w:val="18"/>
                          <w:szCs w:val="18"/>
                        </w:rPr>
                      </w:pPr>
                      <w:r>
                        <w:rPr>
                          <w:rFonts w:cstheme="minorHAnsi"/>
                          <w:sz w:val="18"/>
                          <w:szCs w:val="18"/>
                        </w:rPr>
                        <w:t>ΔkWh</w:t>
                      </w:r>
                      <w:r>
                        <w:rPr>
                          <w:rFonts w:cstheme="minorHAnsi"/>
                          <w:sz w:val="18"/>
                          <w:szCs w:val="18"/>
                          <w:vertAlign w:val="subscript"/>
                        </w:rPr>
                        <w:t>2023 Adjusted</w:t>
                      </w:r>
                      <w:r>
                        <w:rPr>
                          <w:rFonts w:cstheme="minorHAnsi"/>
                          <w:sz w:val="18"/>
                          <w:szCs w:val="18"/>
                        </w:rPr>
                        <w:t xml:space="preserve">  = 25,235,000 – (</w:t>
                      </w:r>
                      <w:ins w:id="408" w:author="Carly Olig" w:date="2022-05-04T15:30:00Z">
                        <w:r>
                          <w:rPr>
                            <w:rFonts w:cstheme="minorHAnsi"/>
                            <w:sz w:val="18"/>
                            <w:szCs w:val="18"/>
                          </w:rPr>
                          <w:t xml:space="preserve">9,466,000 </w:t>
                        </w:r>
                      </w:ins>
                      <w:del w:id="409" w:author="Carly Olig" w:date="2022-05-04T15:30:00Z">
                        <w:r w:rsidDel="00795A05">
                          <w:rPr>
                            <w:rFonts w:cstheme="minorHAnsi"/>
                            <w:sz w:val="18"/>
                            <w:szCs w:val="18"/>
                          </w:rPr>
                          <w:delText xml:space="preserve">10,252,240 </w:delText>
                        </w:r>
                      </w:del>
                      <w:r>
                        <w:rPr>
                          <w:rFonts w:cstheme="minorHAnsi"/>
                          <w:sz w:val="18"/>
                          <w:szCs w:val="18"/>
                        </w:rPr>
                        <w:t>* 0.9</w:t>
                      </w:r>
                      <w:ins w:id="410" w:author="Carly Olig" w:date="2022-05-04T15:17:00Z">
                        <w:r>
                          <w:rPr>
                            <w:rFonts w:cstheme="minorHAnsi"/>
                            <w:sz w:val="18"/>
                            <w:szCs w:val="18"/>
                          </w:rPr>
                          <w:t>5</w:t>
                        </w:r>
                      </w:ins>
                      <w:del w:id="411" w:author="Carly Olig" w:date="2022-05-04T15:17:00Z">
                        <w:r w:rsidDel="00461501">
                          <w:rPr>
                            <w:rFonts w:cstheme="minorHAnsi"/>
                            <w:sz w:val="18"/>
                            <w:szCs w:val="18"/>
                          </w:rPr>
                          <w:delText>45</w:delText>
                        </w:r>
                      </w:del>
                      <w:r>
                        <w:rPr>
                          <w:rFonts w:cstheme="minorHAnsi"/>
                          <w:sz w:val="18"/>
                          <w:szCs w:val="18"/>
                        </w:rPr>
                        <w:t xml:space="preserve"> * 0.78) – (24,000,000 * 0.</w:t>
                      </w:r>
                      <w:del w:id="412" w:author="Carly Olig" w:date="2022-05-04T15:17:00Z">
                        <w:r w:rsidDel="00461501">
                          <w:rPr>
                            <w:rFonts w:cstheme="minorHAnsi"/>
                            <w:sz w:val="18"/>
                            <w:szCs w:val="18"/>
                          </w:rPr>
                          <w:delText>858</w:delText>
                        </w:r>
                      </w:del>
                      <w:ins w:id="413" w:author="Carly Olig" w:date="2022-05-04T15:17:00Z">
                        <w:r>
                          <w:rPr>
                            <w:rFonts w:cstheme="minorHAnsi"/>
                            <w:sz w:val="18"/>
                            <w:szCs w:val="18"/>
                          </w:rPr>
                          <w:t>95</w:t>
                        </w:r>
                        <w:r>
                          <w:rPr>
                            <w:rFonts w:cstheme="minorHAnsi"/>
                            <w:sz w:val="18"/>
                            <w:szCs w:val="18"/>
                            <w:vertAlign w:val="superscript"/>
                          </w:rPr>
                          <w:t>2</w:t>
                        </w:r>
                      </w:ins>
                      <w:r>
                        <w:rPr>
                          <w:rFonts w:cstheme="minorHAnsi"/>
                          <w:sz w:val="18"/>
                          <w:szCs w:val="18"/>
                        </w:rPr>
                        <w:t xml:space="preserve"> * 0.61)</w:t>
                      </w:r>
                    </w:p>
                    <w:p w14:paraId="5541A3C2" w14:textId="77777777" w:rsidR="000702C6" w:rsidRDefault="000702C6" w:rsidP="000702C6">
                      <w:pPr>
                        <w:spacing w:after="60"/>
                        <w:ind w:left="720" w:firstLine="720"/>
                        <w:rPr>
                          <w:rFonts w:cstheme="minorHAnsi"/>
                          <w:sz w:val="18"/>
                          <w:szCs w:val="18"/>
                        </w:rPr>
                      </w:pPr>
                      <w:r>
                        <w:rPr>
                          <w:rFonts w:cstheme="minorHAnsi"/>
                          <w:sz w:val="18"/>
                          <w:szCs w:val="18"/>
                        </w:rPr>
                        <w:t xml:space="preserve">= </w:t>
                      </w:r>
                      <w:del w:id="414" w:author="Carly Olig" w:date="2022-05-04T15:25:00Z">
                        <w:r w:rsidDel="00723674">
                          <w:rPr>
                            <w:rFonts w:cstheme="minorHAnsi"/>
                            <w:sz w:val="18"/>
                            <w:szCs w:val="18"/>
                          </w:rPr>
                          <w:delText>5,116,954</w:delText>
                        </w:r>
                      </w:del>
                      <w:ins w:id="415" w:author="Carly Olig" w:date="2022-05-04T15:25:00Z">
                        <w:r>
                          <w:rPr>
                            <w:rFonts w:cstheme="minorHAnsi"/>
                            <w:sz w:val="18"/>
                            <w:szCs w:val="18"/>
                          </w:rPr>
                          <w:t>5,008,094</w:t>
                        </w:r>
                      </w:ins>
                      <w:r>
                        <w:rPr>
                          <w:rFonts w:cstheme="minorHAnsi"/>
                          <w:sz w:val="18"/>
                          <w:szCs w:val="18"/>
                        </w:rPr>
                        <w:t xml:space="preserve"> kWh</w:t>
                      </w:r>
                    </w:p>
                    <w:p w14:paraId="52342A22" w14:textId="77777777" w:rsidR="000702C6" w:rsidRDefault="000702C6" w:rsidP="000702C6">
                      <w:pPr>
                        <w:spacing w:after="60"/>
                        <w:rPr>
                          <w:rFonts w:cstheme="minorHAnsi"/>
                          <w:color w:val="FF0000"/>
                          <w:sz w:val="18"/>
                          <w:szCs w:val="18"/>
                        </w:rPr>
                      </w:pPr>
                      <w:r>
                        <w:rPr>
                          <w:rFonts w:cstheme="minorHAnsi"/>
                          <w:sz w:val="18"/>
                          <w:szCs w:val="18"/>
                        </w:rPr>
                        <w:t>ΔkWh</w:t>
                      </w:r>
                      <w:r>
                        <w:rPr>
                          <w:rFonts w:cstheme="minorHAnsi"/>
                          <w:sz w:val="18"/>
                          <w:szCs w:val="18"/>
                          <w:vertAlign w:val="subscript"/>
                        </w:rPr>
                        <w:t>2024 Adjusted</w:t>
                      </w:r>
                      <w:r>
                        <w:rPr>
                          <w:rFonts w:cstheme="minorHAnsi"/>
                          <w:sz w:val="18"/>
                          <w:szCs w:val="18"/>
                        </w:rPr>
                        <w:t xml:space="preserve">  = 24,750,000 – (</w:t>
                      </w:r>
                      <w:ins w:id="416" w:author="Carly Olig" w:date="2022-05-04T15:31:00Z">
                        <w:r>
                          <w:rPr>
                            <w:rFonts w:cstheme="minorHAnsi"/>
                            <w:sz w:val="18"/>
                            <w:szCs w:val="18"/>
                          </w:rPr>
                          <w:t>5,008,094</w:t>
                        </w:r>
                      </w:ins>
                      <w:ins w:id="417" w:author="Carly Olig" w:date="2022-05-04T15:32:00Z">
                        <w:r>
                          <w:rPr>
                            <w:rFonts w:cstheme="minorHAnsi"/>
                            <w:sz w:val="18"/>
                            <w:szCs w:val="18"/>
                          </w:rPr>
                          <w:t xml:space="preserve"> </w:t>
                        </w:r>
                      </w:ins>
                      <w:del w:id="418" w:author="Carly Olig" w:date="2022-05-04T15:31:00Z">
                        <w:r w:rsidDel="00CB3B81">
                          <w:rPr>
                            <w:rFonts w:cstheme="minorHAnsi"/>
                            <w:sz w:val="18"/>
                            <w:szCs w:val="18"/>
                          </w:rPr>
                          <w:delText>5,116,954</w:delText>
                        </w:r>
                      </w:del>
                      <w:del w:id="419" w:author="Carly Olig" w:date="2022-05-04T15:32:00Z">
                        <w:r w:rsidDel="00AF1C40">
                          <w:rPr>
                            <w:rFonts w:cstheme="minorHAnsi"/>
                            <w:sz w:val="18"/>
                            <w:szCs w:val="18"/>
                          </w:rPr>
                          <w:delText xml:space="preserve"> </w:delText>
                        </w:r>
                      </w:del>
                      <w:r>
                        <w:rPr>
                          <w:rFonts w:cstheme="minorHAnsi"/>
                          <w:sz w:val="18"/>
                          <w:szCs w:val="18"/>
                        </w:rPr>
                        <w:t>* 0.9</w:t>
                      </w:r>
                      <w:ins w:id="420" w:author="Carly Olig" w:date="2022-05-04T15:17:00Z">
                        <w:r>
                          <w:rPr>
                            <w:rFonts w:cstheme="minorHAnsi"/>
                            <w:sz w:val="18"/>
                            <w:szCs w:val="18"/>
                          </w:rPr>
                          <w:t>5</w:t>
                        </w:r>
                      </w:ins>
                      <w:del w:id="421" w:author="Carly Olig" w:date="2022-05-04T15:17:00Z">
                        <w:r w:rsidDel="0011531D">
                          <w:rPr>
                            <w:rFonts w:cstheme="minorHAnsi"/>
                            <w:sz w:val="18"/>
                            <w:szCs w:val="18"/>
                          </w:rPr>
                          <w:delText>61</w:delText>
                        </w:r>
                      </w:del>
                      <w:r>
                        <w:rPr>
                          <w:rFonts w:cstheme="minorHAnsi"/>
                          <w:sz w:val="18"/>
                          <w:szCs w:val="18"/>
                        </w:rPr>
                        <w:t xml:space="preserve"> * 0.78) – (</w:t>
                      </w:r>
                      <w:ins w:id="422" w:author="Carly Olig" w:date="2022-05-04T15:32:00Z">
                        <w:r>
                          <w:rPr>
                            <w:rFonts w:cstheme="minorHAnsi"/>
                            <w:sz w:val="18"/>
                            <w:szCs w:val="18"/>
                          </w:rPr>
                          <w:t xml:space="preserve">9,466,000 </w:t>
                        </w:r>
                      </w:ins>
                      <w:del w:id="423" w:author="Carly Olig" w:date="2022-05-04T15:31:00Z">
                        <w:r w:rsidDel="00CB3B81">
                          <w:rPr>
                            <w:rFonts w:cstheme="minorHAnsi"/>
                            <w:sz w:val="18"/>
                            <w:szCs w:val="18"/>
                          </w:rPr>
                          <w:delText>10,252,240</w:delText>
                        </w:r>
                      </w:del>
                      <w:del w:id="424" w:author="Carly Olig" w:date="2022-05-04T15:32:00Z">
                        <w:r w:rsidDel="00AF1C40">
                          <w:rPr>
                            <w:rFonts w:cstheme="minorHAnsi"/>
                            <w:sz w:val="18"/>
                            <w:szCs w:val="18"/>
                          </w:rPr>
                          <w:delText xml:space="preserve"> </w:delText>
                        </w:r>
                      </w:del>
                      <w:r>
                        <w:rPr>
                          <w:rFonts w:cstheme="minorHAnsi"/>
                          <w:sz w:val="18"/>
                          <w:szCs w:val="18"/>
                        </w:rPr>
                        <w:t>* 0.</w:t>
                      </w:r>
                      <w:del w:id="425" w:author="Carly Olig" w:date="2022-05-04T15:18:00Z">
                        <w:r w:rsidDel="0011531D">
                          <w:rPr>
                            <w:rFonts w:cstheme="minorHAnsi"/>
                            <w:sz w:val="18"/>
                            <w:szCs w:val="18"/>
                          </w:rPr>
                          <w:delText>908</w:delText>
                        </w:r>
                      </w:del>
                      <w:ins w:id="426" w:author="Carly Olig" w:date="2022-05-04T15:18:00Z">
                        <w:r>
                          <w:rPr>
                            <w:rFonts w:cstheme="minorHAnsi"/>
                            <w:sz w:val="18"/>
                            <w:szCs w:val="18"/>
                          </w:rPr>
                          <w:t>95</w:t>
                        </w:r>
                        <w:r>
                          <w:rPr>
                            <w:rFonts w:cstheme="minorHAnsi"/>
                            <w:sz w:val="18"/>
                            <w:szCs w:val="18"/>
                            <w:vertAlign w:val="superscript"/>
                          </w:rPr>
                          <w:t>2</w:t>
                        </w:r>
                      </w:ins>
                      <w:r>
                        <w:rPr>
                          <w:rFonts w:cstheme="minorHAnsi"/>
                          <w:sz w:val="18"/>
                          <w:szCs w:val="18"/>
                        </w:rPr>
                        <w:t xml:space="preserve"> * 0.61) – (24,000,000 * 0.</w:t>
                      </w:r>
                      <w:del w:id="427" w:author="Carly Olig" w:date="2022-05-04T15:18:00Z">
                        <w:r w:rsidDel="0011531D">
                          <w:rPr>
                            <w:rFonts w:cstheme="minorHAnsi"/>
                            <w:sz w:val="18"/>
                            <w:szCs w:val="18"/>
                          </w:rPr>
                          <w:delText>825</w:delText>
                        </w:r>
                      </w:del>
                      <w:ins w:id="428" w:author="Carly Olig" w:date="2022-05-04T15:18:00Z">
                        <w:r>
                          <w:rPr>
                            <w:rFonts w:cstheme="minorHAnsi"/>
                            <w:sz w:val="18"/>
                            <w:szCs w:val="18"/>
                          </w:rPr>
                          <w:t>95</w:t>
                        </w:r>
                        <w:r>
                          <w:rPr>
                            <w:rFonts w:cstheme="minorHAnsi"/>
                            <w:sz w:val="18"/>
                            <w:szCs w:val="18"/>
                            <w:vertAlign w:val="superscript"/>
                          </w:rPr>
                          <w:t>3</w:t>
                        </w:r>
                      </w:ins>
                      <w:r>
                        <w:rPr>
                          <w:rFonts w:cstheme="minorHAnsi"/>
                          <w:sz w:val="18"/>
                          <w:szCs w:val="18"/>
                        </w:rPr>
                        <w:t xml:space="preserve"> * 0.47)</w:t>
                      </w:r>
                    </w:p>
                    <w:p w14:paraId="36414054" w14:textId="77777777" w:rsidR="000702C6" w:rsidRDefault="000702C6" w:rsidP="000702C6">
                      <w:pPr>
                        <w:spacing w:after="60"/>
                        <w:ind w:left="720" w:firstLine="720"/>
                        <w:rPr>
                          <w:rFonts w:cstheme="minorHAnsi"/>
                          <w:sz w:val="18"/>
                          <w:szCs w:val="18"/>
                        </w:rPr>
                      </w:pPr>
                      <w:r>
                        <w:rPr>
                          <w:rFonts w:cstheme="minorHAnsi"/>
                          <w:sz w:val="18"/>
                          <w:szCs w:val="18"/>
                        </w:rPr>
                        <w:t xml:space="preserve">= </w:t>
                      </w:r>
                      <w:del w:id="429" w:author="Carly Olig" w:date="2022-05-04T15:33:00Z">
                        <w:r w:rsidDel="00B93D7A">
                          <w:rPr>
                            <w:rFonts w:cstheme="minorHAnsi"/>
                            <w:sz w:val="18"/>
                            <w:szCs w:val="18"/>
                          </w:rPr>
                          <w:delText xml:space="preserve">5,929,923 </w:delText>
                        </w:r>
                      </w:del>
                      <w:ins w:id="430" w:author="Carly Olig" w:date="2022-05-04T15:33:00Z">
                        <w:r>
                          <w:rPr>
                            <w:rFonts w:cstheme="minorHAnsi"/>
                            <w:sz w:val="18"/>
                            <w:szCs w:val="18"/>
                          </w:rPr>
                          <w:t xml:space="preserve">6,156,543 </w:t>
                        </w:r>
                      </w:ins>
                      <w:r>
                        <w:rPr>
                          <w:rFonts w:cstheme="minorHAnsi"/>
                          <w:sz w:val="18"/>
                          <w:szCs w:val="18"/>
                        </w:rPr>
                        <w:t xml:space="preserve">kWh </w:t>
                      </w:r>
                    </w:p>
                    <w:p w14:paraId="004DB887" w14:textId="77777777" w:rsidR="000702C6" w:rsidRDefault="000702C6" w:rsidP="000702C6">
                      <w:pPr>
                        <w:spacing w:after="60"/>
                        <w:rPr>
                          <w:rFonts w:cstheme="minorHAnsi"/>
                          <w:sz w:val="18"/>
                          <w:szCs w:val="18"/>
                        </w:rPr>
                      </w:pPr>
                      <w:r>
                        <w:rPr>
                          <w:rFonts w:cstheme="minorHAnsi"/>
                          <w:sz w:val="18"/>
                          <w:szCs w:val="18"/>
                        </w:rPr>
                        <w:t>ΔkWh</w:t>
                      </w:r>
                      <w:r>
                        <w:rPr>
                          <w:rFonts w:cstheme="minorHAnsi"/>
                          <w:sz w:val="18"/>
                          <w:szCs w:val="18"/>
                          <w:vertAlign w:val="subscript"/>
                        </w:rPr>
                        <w:t>2025 Adjusted</w:t>
                      </w:r>
                      <w:r>
                        <w:rPr>
                          <w:rFonts w:cstheme="minorHAnsi"/>
                          <w:sz w:val="18"/>
                          <w:szCs w:val="18"/>
                        </w:rPr>
                        <w:t xml:space="preserve">  = 23,500,000 – (</w:t>
                      </w:r>
                      <w:del w:id="431" w:author="Carly Olig" w:date="2022-05-04T15:34:00Z">
                        <w:r w:rsidDel="00ED2F8A">
                          <w:rPr>
                            <w:rFonts w:cstheme="minorHAnsi"/>
                            <w:sz w:val="18"/>
                            <w:szCs w:val="18"/>
                          </w:rPr>
                          <w:delText xml:space="preserve">5,929,923 </w:delText>
                        </w:r>
                      </w:del>
                      <w:ins w:id="432" w:author="Carly Olig" w:date="2022-05-04T15:34:00Z">
                        <w:r>
                          <w:rPr>
                            <w:rFonts w:cstheme="minorHAnsi"/>
                            <w:sz w:val="18"/>
                            <w:szCs w:val="18"/>
                          </w:rPr>
                          <w:t xml:space="preserve">6,156,543 </w:t>
                        </w:r>
                      </w:ins>
                      <w:r>
                        <w:rPr>
                          <w:rFonts w:cstheme="minorHAnsi"/>
                          <w:sz w:val="18"/>
                          <w:szCs w:val="18"/>
                        </w:rPr>
                        <w:t>* 0.9</w:t>
                      </w:r>
                      <w:ins w:id="433" w:author="Carly Olig" w:date="2022-05-04T15:18:00Z">
                        <w:r>
                          <w:rPr>
                            <w:rFonts w:cstheme="minorHAnsi"/>
                            <w:sz w:val="18"/>
                            <w:szCs w:val="18"/>
                          </w:rPr>
                          <w:t>5</w:t>
                        </w:r>
                      </w:ins>
                      <w:del w:id="434" w:author="Carly Olig" w:date="2022-05-04T15:18:00Z">
                        <w:r w:rsidDel="0011531D">
                          <w:rPr>
                            <w:rFonts w:cstheme="minorHAnsi"/>
                            <w:sz w:val="18"/>
                            <w:szCs w:val="18"/>
                          </w:rPr>
                          <w:delText>49</w:delText>
                        </w:r>
                      </w:del>
                      <w:r>
                        <w:rPr>
                          <w:rFonts w:cstheme="minorHAnsi"/>
                          <w:sz w:val="18"/>
                          <w:szCs w:val="18"/>
                        </w:rPr>
                        <w:t xml:space="preserve"> * 0.78) – (</w:t>
                      </w:r>
                      <w:del w:id="435" w:author="Carly Olig" w:date="2022-05-04T15:35:00Z">
                        <w:r w:rsidDel="00ED2F8A">
                          <w:rPr>
                            <w:rFonts w:cstheme="minorHAnsi"/>
                            <w:sz w:val="18"/>
                            <w:szCs w:val="18"/>
                          </w:rPr>
                          <w:delText xml:space="preserve">5,116,954 </w:delText>
                        </w:r>
                      </w:del>
                      <w:ins w:id="436" w:author="Carly Olig" w:date="2022-05-04T15:35:00Z">
                        <w:r>
                          <w:rPr>
                            <w:rFonts w:cstheme="minorHAnsi"/>
                            <w:sz w:val="18"/>
                            <w:szCs w:val="18"/>
                          </w:rPr>
                          <w:t xml:space="preserve">5,008,094 </w:t>
                        </w:r>
                      </w:ins>
                      <w:r>
                        <w:rPr>
                          <w:rFonts w:cstheme="minorHAnsi"/>
                          <w:sz w:val="18"/>
                          <w:szCs w:val="18"/>
                        </w:rPr>
                        <w:t>* 0.</w:t>
                      </w:r>
                      <w:del w:id="437" w:author="Carly Olig" w:date="2022-05-04T15:18:00Z">
                        <w:r w:rsidDel="0011531D">
                          <w:rPr>
                            <w:rFonts w:cstheme="minorHAnsi"/>
                            <w:sz w:val="18"/>
                            <w:szCs w:val="18"/>
                          </w:rPr>
                          <w:delText>913</w:delText>
                        </w:r>
                      </w:del>
                      <w:ins w:id="438" w:author="Carly Olig" w:date="2022-05-04T15:18:00Z">
                        <w:r>
                          <w:rPr>
                            <w:rFonts w:cstheme="minorHAnsi"/>
                            <w:sz w:val="18"/>
                            <w:szCs w:val="18"/>
                          </w:rPr>
                          <w:t>95</w:t>
                        </w:r>
                        <w:r>
                          <w:rPr>
                            <w:rFonts w:cstheme="minorHAnsi"/>
                            <w:sz w:val="18"/>
                            <w:szCs w:val="18"/>
                            <w:vertAlign w:val="superscript"/>
                          </w:rPr>
                          <w:t>2</w:t>
                        </w:r>
                      </w:ins>
                      <w:r>
                        <w:rPr>
                          <w:rFonts w:cstheme="minorHAnsi"/>
                          <w:sz w:val="18"/>
                          <w:szCs w:val="18"/>
                        </w:rPr>
                        <w:t xml:space="preserve"> * 0.61) – (</w:t>
                      </w:r>
                      <w:ins w:id="439" w:author="Carly Olig" w:date="2022-05-04T15:35:00Z">
                        <w:r>
                          <w:rPr>
                            <w:rFonts w:cstheme="minorHAnsi"/>
                            <w:sz w:val="18"/>
                            <w:szCs w:val="18"/>
                          </w:rPr>
                          <w:t xml:space="preserve">9,466,000  </w:t>
                        </w:r>
                      </w:ins>
                      <w:del w:id="440" w:author="Carly Olig" w:date="2022-05-04T15:35:00Z">
                        <w:r w:rsidDel="00004545">
                          <w:rPr>
                            <w:rFonts w:cstheme="minorHAnsi"/>
                            <w:sz w:val="18"/>
                            <w:szCs w:val="18"/>
                          </w:rPr>
                          <w:delText xml:space="preserve">10,252,240 </w:delText>
                        </w:r>
                      </w:del>
                      <w:r>
                        <w:rPr>
                          <w:rFonts w:cstheme="minorHAnsi"/>
                          <w:sz w:val="18"/>
                          <w:szCs w:val="18"/>
                        </w:rPr>
                        <w:t>* 0.</w:t>
                      </w:r>
                      <w:del w:id="441" w:author="Carly Olig" w:date="2022-05-04T15:18:00Z">
                        <w:r w:rsidDel="0011531D">
                          <w:rPr>
                            <w:rFonts w:cstheme="minorHAnsi"/>
                            <w:sz w:val="18"/>
                            <w:szCs w:val="18"/>
                          </w:rPr>
                          <w:delText>862</w:delText>
                        </w:r>
                      </w:del>
                      <w:ins w:id="442" w:author="Carly Olig" w:date="2022-05-04T15:18:00Z">
                        <w:r>
                          <w:rPr>
                            <w:rFonts w:cstheme="minorHAnsi"/>
                            <w:sz w:val="18"/>
                            <w:szCs w:val="18"/>
                          </w:rPr>
                          <w:t>95</w:t>
                        </w:r>
                        <w:r>
                          <w:rPr>
                            <w:rFonts w:cstheme="minorHAnsi"/>
                            <w:sz w:val="18"/>
                            <w:szCs w:val="18"/>
                            <w:vertAlign w:val="superscript"/>
                          </w:rPr>
                          <w:t>3</w:t>
                        </w:r>
                      </w:ins>
                      <w:r>
                        <w:rPr>
                          <w:rFonts w:cstheme="minorHAnsi"/>
                          <w:sz w:val="18"/>
                          <w:szCs w:val="18"/>
                        </w:rPr>
                        <w:t xml:space="preserve"> * 0.47) </w:t>
                      </w:r>
                    </w:p>
                    <w:p w14:paraId="40ACB6A2" w14:textId="77777777" w:rsidR="000702C6" w:rsidRDefault="000702C6" w:rsidP="000702C6">
                      <w:pPr>
                        <w:spacing w:after="60"/>
                        <w:ind w:left="1440" w:firstLine="720"/>
                        <w:rPr>
                          <w:rFonts w:cstheme="minorHAnsi"/>
                          <w:sz w:val="18"/>
                          <w:szCs w:val="18"/>
                        </w:rPr>
                      </w:pPr>
                      <w:r>
                        <w:rPr>
                          <w:rFonts w:cstheme="minorHAnsi"/>
                          <w:sz w:val="18"/>
                          <w:szCs w:val="18"/>
                        </w:rPr>
                        <w:t>– (24,000,000 * 0.</w:t>
                      </w:r>
                      <w:del w:id="443" w:author="Carly Olig" w:date="2022-05-04T15:18:00Z">
                        <w:r w:rsidDel="0011531D">
                          <w:rPr>
                            <w:rFonts w:cstheme="minorHAnsi"/>
                            <w:sz w:val="18"/>
                            <w:szCs w:val="18"/>
                          </w:rPr>
                          <w:delText>783</w:delText>
                        </w:r>
                      </w:del>
                      <w:ins w:id="444" w:author="Carly Olig" w:date="2022-05-04T15:18:00Z">
                        <w:r>
                          <w:rPr>
                            <w:rFonts w:cstheme="minorHAnsi"/>
                            <w:sz w:val="18"/>
                            <w:szCs w:val="18"/>
                          </w:rPr>
                          <w:t>95</w:t>
                        </w:r>
                        <w:r>
                          <w:rPr>
                            <w:rFonts w:cstheme="minorHAnsi"/>
                            <w:sz w:val="18"/>
                            <w:szCs w:val="18"/>
                            <w:vertAlign w:val="superscript"/>
                          </w:rPr>
                          <w:t>4</w:t>
                        </w:r>
                      </w:ins>
                      <w:r>
                        <w:rPr>
                          <w:rFonts w:cstheme="minorHAnsi"/>
                          <w:sz w:val="18"/>
                          <w:szCs w:val="18"/>
                        </w:rPr>
                        <w:t xml:space="preserve"> * 0.37)</w:t>
                      </w:r>
                    </w:p>
                    <w:p w14:paraId="3CE74968" w14:textId="77777777" w:rsidR="000702C6" w:rsidRDefault="000702C6" w:rsidP="000702C6">
                      <w:pPr>
                        <w:spacing w:after="60"/>
                        <w:ind w:left="720" w:firstLine="720"/>
                        <w:rPr>
                          <w:rFonts w:cstheme="minorHAnsi"/>
                          <w:sz w:val="18"/>
                          <w:szCs w:val="18"/>
                        </w:rPr>
                      </w:pPr>
                      <w:r>
                        <w:rPr>
                          <w:rFonts w:cstheme="minorHAnsi"/>
                          <w:sz w:val="18"/>
                          <w:szCs w:val="18"/>
                        </w:rPr>
                        <w:t xml:space="preserve">= </w:t>
                      </w:r>
                      <w:del w:id="445" w:author="Carly Olig" w:date="2022-05-04T15:34:00Z">
                        <w:r w:rsidDel="00ED2F8A">
                          <w:rPr>
                            <w:rFonts w:cstheme="minorHAnsi"/>
                            <w:sz w:val="18"/>
                            <w:szCs w:val="18"/>
                          </w:rPr>
                          <w:delText>5,154,135</w:delText>
                        </w:r>
                      </w:del>
                      <w:ins w:id="446" w:author="Carly Olig" w:date="2022-05-04T15:34:00Z">
                        <w:r>
                          <w:rPr>
                            <w:rFonts w:cstheme="minorHAnsi"/>
                            <w:sz w:val="18"/>
                            <w:szCs w:val="18"/>
                          </w:rPr>
                          <w:t>5,133,6</w:t>
                        </w:r>
                      </w:ins>
                      <w:ins w:id="447" w:author="Carly Olig" w:date="2022-05-10T14:44:00Z">
                        <w:r>
                          <w:rPr>
                            <w:rFonts w:cstheme="minorHAnsi"/>
                            <w:sz w:val="18"/>
                            <w:szCs w:val="18"/>
                          </w:rPr>
                          <w:t>2</w:t>
                        </w:r>
                      </w:ins>
                      <w:ins w:id="448" w:author="Carly Olig" w:date="2022-05-04T15:34:00Z">
                        <w:r>
                          <w:rPr>
                            <w:rFonts w:cstheme="minorHAnsi"/>
                            <w:sz w:val="18"/>
                            <w:szCs w:val="18"/>
                          </w:rPr>
                          <w:t>7</w:t>
                        </w:r>
                      </w:ins>
                      <w:r>
                        <w:rPr>
                          <w:rFonts w:cstheme="minorHAnsi"/>
                          <w:sz w:val="18"/>
                          <w:szCs w:val="18"/>
                        </w:rPr>
                        <w:t xml:space="preserve"> kWh </w:t>
                      </w:r>
                    </w:p>
                    <w:p w14:paraId="0FF7F9DE" w14:textId="77777777" w:rsidR="000702C6" w:rsidRDefault="000702C6" w:rsidP="000702C6">
                      <w:pPr>
                        <w:spacing w:after="60"/>
                        <w:rPr>
                          <w:rFonts w:cstheme="minorHAnsi"/>
                          <w:sz w:val="18"/>
                          <w:szCs w:val="18"/>
                        </w:rPr>
                      </w:pPr>
                      <w:bookmarkStart w:id="449" w:name="_Hlk43814413"/>
                      <w:r>
                        <w:rPr>
                          <w:rFonts w:cstheme="minorHAnsi"/>
                          <w:sz w:val="18"/>
                          <w:szCs w:val="18"/>
                        </w:rPr>
                        <w:t>ΔkWh</w:t>
                      </w:r>
                      <w:r>
                        <w:rPr>
                          <w:rFonts w:cstheme="minorHAnsi"/>
                          <w:sz w:val="18"/>
                          <w:szCs w:val="18"/>
                          <w:vertAlign w:val="subscript"/>
                        </w:rPr>
                        <w:t>2026 Adjusted</w:t>
                      </w:r>
                      <w:r>
                        <w:rPr>
                          <w:rFonts w:cstheme="minorHAnsi"/>
                          <w:sz w:val="18"/>
                          <w:szCs w:val="18"/>
                        </w:rPr>
                        <w:t xml:space="preserve">  = 23,850,000 – (</w:t>
                      </w:r>
                      <w:ins w:id="450" w:author="Carly Olig" w:date="2022-05-04T15:36:00Z">
                        <w:r>
                          <w:rPr>
                            <w:rFonts w:cstheme="minorHAnsi"/>
                            <w:sz w:val="18"/>
                            <w:szCs w:val="18"/>
                          </w:rPr>
                          <w:t>5,133,6</w:t>
                        </w:r>
                      </w:ins>
                      <w:ins w:id="451" w:author="Carly Olig" w:date="2022-05-10T14:44:00Z">
                        <w:r>
                          <w:rPr>
                            <w:rFonts w:cstheme="minorHAnsi"/>
                            <w:sz w:val="18"/>
                            <w:szCs w:val="18"/>
                          </w:rPr>
                          <w:t>2</w:t>
                        </w:r>
                      </w:ins>
                      <w:ins w:id="452" w:author="Carly Olig" w:date="2022-05-04T15:36:00Z">
                        <w:r>
                          <w:rPr>
                            <w:rFonts w:cstheme="minorHAnsi"/>
                            <w:sz w:val="18"/>
                            <w:szCs w:val="18"/>
                          </w:rPr>
                          <w:t xml:space="preserve">7 </w:t>
                        </w:r>
                      </w:ins>
                      <w:del w:id="453" w:author="Carly Olig" w:date="2022-05-04T15:36:00Z">
                        <w:r w:rsidDel="00683C60">
                          <w:rPr>
                            <w:rFonts w:cstheme="minorHAnsi"/>
                            <w:sz w:val="18"/>
                            <w:szCs w:val="18"/>
                          </w:rPr>
                          <w:delText xml:space="preserve">5,154,135 </w:delText>
                        </w:r>
                      </w:del>
                      <w:r>
                        <w:rPr>
                          <w:rFonts w:cstheme="minorHAnsi"/>
                          <w:sz w:val="18"/>
                          <w:szCs w:val="18"/>
                        </w:rPr>
                        <w:t>* 0.95</w:t>
                      </w:r>
                      <w:del w:id="454" w:author="Carly Olig" w:date="2022-05-04T15:18:00Z">
                        <w:r w:rsidDel="0011531D">
                          <w:rPr>
                            <w:rFonts w:cstheme="minorHAnsi"/>
                            <w:sz w:val="18"/>
                            <w:szCs w:val="18"/>
                          </w:rPr>
                          <w:delText>7</w:delText>
                        </w:r>
                      </w:del>
                      <w:r>
                        <w:rPr>
                          <w:rFonts w:cstheme="minorHAnsi"/>
                          <w:sz w:val="18"/>
                          <w:szCs w:val="18"/>
                        </w:rPr>
                        <w:t xml:space="preserve"> * 0.78) – (</w:t>
                      </w:r>
                      <w:ins w:id="455" w:author="Carly Olig" w:date="2022-05-04T15:37:00Z">
                        <w:r>
                          <w:rPr>
                            <w:rFonts w:cstheme="minorHAnsi"/>
                            <w:sz w:val="18"/>
                            <w:szCs w:val="18"/>
                          </w:rPr>
                          <w:t xml:space="preserve">6,156,543 </w:t>
                        </w:r>
                      </w:ins>
                      <w:del w:id="456" w:author="Carly Olig" w:date="2022-05-04T15:37:00Z">
                        <w:r w:rsidDel="00683C60">
                          <w:rPr>
                            <w:rFonts w:cstheme="minorHAnsi"/>
                            <w:sz w:val="18"/>
                            <w:szCs w:val="18"/>
                          </w:rPr>
                          <w:delText xml:space="preserve">5,929,923 </w:delText>
                        </w:r>
                      </w:del>
                      <w:r>
                        <w:rPr>
                          <w:rFonts w:cstheme="minorHAnsi"/>
                          <w:sz w:val="18"/>
                          <w:szCs w:val="18"/>
                        </w:rPr>
                        <w:t>* 0.</w:t>
                      </w:r>
                      <w:del w:id="457" w:author="Carly Olig" w:date="2022-05-04T15:19:00Z">
                        <w:r w:rsidDel="0011531D">
                          <w:rPr>
                            <w:rFonts w:cstheme="minorHAnsi"/>
                            <w:sz w:val="18"/>
                            <w:szCs w:val="18"/>
                          </w:rPr>
                          <w:delText xml:space="preserve">909 </w:delText>
                        </w:r>
                      </w:del>
                      <w:ins w:id="458" w:author="Carly Olig" w:date="2022-05-04T15:19:00Z">
                        <w:r>
                          <w:rPr>
                            <w:rFonts w:cstheme="minorHAnsi"/>
                            <w:sz w:val="18"/>
                            <w:szCs w:val="18"/>
                          </w:rPr>
                          <w:t>95</w:t>
                        </w:r>
                        <w:r>
                          <w:rPr>
                            <w:rFonts w:cstheme="minorHAnsi"/>
                            <w:sz w:val="18"/>
                            <w:szCs w:val="18"/>
                            <w:vertAlign w:val="superscript"/>
                          </w:rPr>
                          <w:t>2</w:t>
                        </w:r>
                      </w:ins>
                      <w:r>
                        <w:rPr>
                          <w:rFonts w:cstheme="minorHAnsi"/>
                          <w:sz w:val="18"/>
                          <w:szCs w:val="18"/>
                        </w:rPr>
                        <w:t>* 0.61) – (</w:t>
                      </w:r>
                      <w:ins w:id="459" w:author="Carly Olig" w:date="2022-05-04T15:37:00Z">
                        <w:r>
                          <w:rPr>
                            <w:rFonts w:cstheme="minorHAnsi"/>
                            <w:sz w:val="18"/>
                            <w:szCs w:val="18"/>
                          </w:rPr>
                          <w:t xml:space="preserve">5,008,094 </w:t>
                        </w:r>
                      </w:ins>
                      <w:del w:id="460" w:author="Carly Olig" w:date="2022-05-04T15:37:00Z">
                        <w:r w:rsidDel="00AB20A8">
                          <w:rPr>
                            <w:rFonts w:cstheme="minorHAnsi"/>
                            <w:sz w:val="18"/>
                            <w:szCs w:val="18"/>
                          </w:rPr>
                          <w:delText xml:space="preserve">5,116,954 </w:delText>
                        </w:r>
                      </w:del>
                      <w:r>
                        <w:rPr>
                          <w:rFonts w:cstheme="minorHAnsi"/>
                          <w:sz w:val="18"/>
                          <w:szCs w:val="18"/>
                        </w:rPr>
                        <w:t>* 0.</w:t>
                      </w:r>
                      <w:del w:id="461" w:author="Carly Olig" w:date="2022-05-04T15:19:00Z">
                        <w:r w:rsidDel="0011531D">
                          <w:rPr>
                            <w:rFonts w:cstheme="minorHAnsi"/>
                            <w:sz w:val="18"/>
                            <w:szCs w:val="18"/>
                          </w:rPr>
                          <w:delText>874</w:delText>
                        </w:r>
                      </w:del>
                      <w:ins w:id="462" w:author="Carly Olig" w:date="2022-05-04T15:19:00Z">
                        <w:r>
                          <w:rPr>
                            <w:rFonts w:cstheme="minorHAnsi"/>
                            <w:sz w:val="18"/>
                            <w:szCs w:val="18"/>
                          </w:rPr>
                          <w:t>95</w:t>
                        </w:r>
                        <w:r>
                          <w:rPr>
                            <w:rFonts w:cstheme="minorHAnsi"/>
                            <w:sz w:val="18"/>
                            <w:szCs w:val="18"/>
                            <w:vertAlign w:val="superscript"/>
                          </w:rPr>
                          <w:t>3</w:t>
                        </w:r>
                      </w:ins>
                      <w:r>
                        <w:rPr>
                          <w:rFonts w:cstheme="minorHAnsi"/>
                          <w:sz w:val="18"/>
                          <w:szCs w:val="18"/>
                        </w:rPr>
                        <w:t xml:space="preserve"> * 0.47) </w:t>
                      </w:r>
                    </w:p>
                    <w:p w14:paraId="37398062" w14:textId="77777777" w:rsidR="000702C6" w:rsidRDefault="000702C6" w:rsidP="000702C6">
                      <w:pPr>
                        <w:spacing w:after="60"/>
                        <w:ind w:left="1440" w:firstLine="720"/>
                        <w:rPr>
                          <w:rFonts w:cstheme="minorHAnsi"/>
                          <w:sz w:val="18"/>
                          <w:szCs w:val="18"/>
                        </w:rPr>
                      </w:pPr>
                      <w:r>
                        <w:rPr>
                          <w:rFonts w:cstheme="minorHAnsi"/>
                          <w:sz w:val="18"/>
                          <w:szCs w:val="18"/>
                        </w:rPr>
                        <w:t>– (</w:t>
                      </w:r>
                      <w:ins w:id="463" w:author="Carly Olig" w:date="2022-05-04T15:37:00Z">
                        <w:r>
                          <w:rPr>
                            <w:rFonts w:cstheme="minorHAnsi"/>
                            <w:sz w:val="18"/>
                            <w:szCs w:val="18"/>
                          </w:rPr>
                          <w:t xml:space="preserve">9,466,000 </w:t>
                        </w:r>
                      </w:ins>
                      <w:del w:id="464" w:author="Carly Olig" w:date="2022-05-04T15:37:00Z">
                        <w:r w:rsidDel="00AB20A8">
                          <w:rPr>
                            <w:rFonts w:cstheme="minorHAnsi"/>
                            <w:sz w:val="18"/>
                            <w:szCs w:val="18"/>
                          </w:rPr>
                          <w:delText xml:space="preserve">10,252,240 </w:delText>
                        </w:r>
                      </w:del>
                      <w:r>
                        <w:rPr>
                          <w:rFonts w:cstheme="minorHAnsi"/>
                          <w:sz w:val="18"/>
                          <w:szCs w:val="18"/>
                        </w:rPr>
                        <w:t>* 0.</w:t>
                      </w:r>
                      <w:del w:id="465" w:author="Carly Olig" w:date="2022-05-04T15:19:00Z">
                        <w:r w:rsidDel="0011531D">
                          <w:rPr>
                            <w:rFonts w:cstheme="minorHAnsi"/>
                            <w:sz w:val="18"/>
                            <w:szCs w:val="18"/>
                          </w:rPr>
                          <w:delText>826</w:delText>
                        </w:r>
                      </w:del>
                      <w:ins w:id="466" w:author="Carly Olig" w:date="2022-05-04T15:19:00Z">
                        <w:r>
                          <w:rPr>
                            <w:rFonts w:cstheme="minorHAnsi"/>
                            <w:sz w:val="18"/>
                            <w:szCs w:val="18"/>
                          </w:rPr>
                          <w:t>95</w:t>
                        </w:r>
                        <w:r>
                          <w:rPr>
                            <w:rFonts w:cstheme="minorHAnsi"/>
                            <w:sz w:val="18"/>
                            <w:szCs w:val="18"/>
                            <w:vertAlign w:val="superscript"/>
                          </w:rPr>
                          <w:t>4</w:t>
                        </w:r>
                      </w:ins>
                      <w:r>
                        <w:rPr>
                          <w:rFonts w:cstheme="minorHAnsi"/>
                          <w:sz w:val="18"/>
                          <w:szCs w:val="18"/>
                        </w:rPr>
                        <w:t xml:space="preserve"> * 0.37) – (24,000,000 * 0.</w:t>
                      </w:r>
                      <w:del w:id="467" w:author="Carly Olig" w:date="2022-05-04T15:19:00Z">
                        <w:r w:rsidDel="0011531D">
                          <w:rPr>
                            <w:rFonts w:cstheme="minorHAnsi"/>
                            <w:sz w:val="18"/>
                            <w:szCs w:val="18"/>
                          </w:rPr>
                          <w:delText>750</w:delText>
                        </w:r>
                      </w:del>
                      <w:ins w:id="468" w:author="Carly Olig" w:date="2022-05-04T15:19:00Z">
                        <w:r>
                          <w:rPr>
                            <w:rFonts w:cstheme="minorHAnsi"/>
                            <w:sz w:val="18"/>
                            <w:szCs w:val="18"/>
                          </w:rPr>
                          <w:t>95</w:t>
                        </w:r>
                        <w:r>
                          <w:rPr>
                            <w:rFonts w:cstheme="minorHAnsi"/>
                            <w:sz w:val="18"/>
                            <w:szCs w:val="18"/>
                            <w:vertAlign w:val="superscript"/>
                          </w:rPr>
                          <w:t>5</w:t>
                        </w:r>
                      </w:ins>
                      <w:r>
                        <w:rPr>
                          <w:rFonts w:cstheme="minorHAnsi"/>
                          <w:sz w:val="18"/>
                          <w:szCs w:val="18"/>
                        </w:rPr>
                        <w:t xml:space="preserve"> * 0.29)</w:t>
                      </w:r>
                    </w:p>
                    <w:p w14:paraId="33FEF510" w14:textId="77777777" w:rsidR="000702C6" w:rsidRDefault="000702C6" w:rsidP="000702C6">
                      <w:pPr>
                        <w:spacing w:after="60"/>
                        <w:ind w:left="720" w:firstLine="720"/>
                        <w:rPr>
                          <w:rFonts w:cstheme="minorHAnsi"/>
                          <w:sz w:val="18"/>
                          <w:szCs w:val="18"/>
                        </w:rPr>
                      </w:pPr>
                      <w:r>
                        <w:rPr>
                          <w:rFonts w:cstheme="minorHAnsi"/>
                          <w:sz w:val="18"/>
                          <w:szCs w:val="18"/>
                        </w:rPr>
                        <w:t xml:space="preserve">= </w:t>
                      </w:r>
                      <w:del w:id="469" w:author="Carly Olig" w:date="2022-05-04T15:36:00Z">
                        <w:r w:rsidDel="00683C60">
                          <w:rPr>
                            <w:rFonts w:cstheme="minorHAnsi"/>
                            <w:sz w:val="18"/>
                            <w:szCs w:val="18"/>
                          </w:rPr>
                          <w:delText>6,259,330</w:delText>
                        </w:r>
                      </w:del>
                      <w:ins w:id="470" w:author="Carly Olig" w:date="2022-05-04T15:36:00Z">
                        <w:r>
                          <w:rPr>
                            <w:rFonts w:cstheme="minorHAnsi"/>
                            <w:sz w:val="18"/>
                            <w:szCs w:val="18"/>
                          </w:rPr>
                          <w:t>6,400,301</w:t>
                        </w:r>
                      </w:ins>
                      <w:r>
                        <w:rPr>
                          <w:rFonts w:cstheme="minorHAnsi"/>
                          <w:sz w:val="18"/>
                          <w:szCs w:val="18"/>
                        </w:rPr>
                        <w:t xml:space="preserve"> kWh  </w:t>
                      </w:r>
                    </w:p>
                    <w:bookmarkEnd w:id="449"/>
                    <w:p w14:paraId="570C28E6" w14:textId="77777777" w:rsidR="000702C6" w:rsidRDefault="000702C6" w:rsidP="000702C6">
                      <w:pPr>
                        <w:spacing w:after="60"/>
                        <w:rPr>
                          <w:rFonts w:cstheme="minorHAnsi"/>
                          <w:sz w:val="18"/>
                          <w:szCs w:val="18"/>
                        </w:rPr>
                      </w:pPr>
                      <w:r>
                        <w:rPr>
                          <w:rFonts w:cstheme="minorHAnsi"/>
                          <w:sz w:val="18"/>
                          <w:szCs w:val="18"/>
                        </w:rPr>
                        <w:t>ΔkWh</w:t>
                      </w:r>
                      <w:r>
                        <w:rPr>
                          <w:rFonts w:cstheme="minorHAnsi"/>
                          <w:sz w:val="18"/>
                          <w:szCs w:val="18"/>
                          <w:vertAlign w:val="subscript"/>
                        </w:rPr>
                        <w:t>2027 Adjusted</w:t>
                      </w:r>
                      <w:r>
                        <w:rPr>
                          <w:rFonts w:cstheme="minorHAnsi"/>
                          <w:sz w:val="18"/>
                          <w:szCs w:val="18"/>
                        </w:rPr>
                        <w:t xml:space="preserve">  = 23,320,000 – (</w:t>
                      </w:r>
                      <w:ins w:id="471" w:author="Carly Olig" w:date="2022-05-04T15:39:00Z">
                        <w:r>
                          <w:rPr>
                            <w:rFonts w:cstheme="minorHAnsi"/>
                            <w:sz w:val="18"/>
                            <w:szCs w:val="18"/>
                          </w:rPr>
                          <w:t xml:space="preserve">6,400,301 </w:t>
                        </w:r>
                      </w:ins>
                      <w:del w:id="472" w:author="Carly Olig" w:date="2022-05-04T15:39:00Z">
                        <w:r w:rsidDel="00643BA5">
                          <w:rPr>
                            <w:rFonts w:cstheme="minorHAnsi"/>
                            <w:sz w:val="18"/>
                            <w:szCs w:val="18"/>
                          </w:rPr>
                          <w:delText xml:space="preserve">6,259,330 </w:delText>
                        </w:r>
                      </w:del>
                      <w:r>
                        <w:rPr>
                          <w:rFonts w:cstheme="minorHAnsi"/>
                          <w:sz w:val="18"/>
                          <w:szCs w:val="18"/>
                        </w:rPr>
                        <w:t>* 0.9</w:t>
                      </w:r>
                      <w:ins w:id="473" w:author="Carly Olig" w:date="2022-05-04T15:19:00Z">
                        <w:r>
                          <w:rPr>
                            <w:rFonts w:cstheme="minorHAnsi"/>
                            <w:sz w:val="18"/>
                            <w:szCs w:val="18"/>
                          </w:rPr>
                          <w:t>5</w:t>
                        </w:r>
                      </w:ins>
                      <w:del w:id="474" w:author="Carly Olig" w:date="2022-05-04T15:19:00Z">
                        <w:r w:rsidDel="0011531D">
                          <w:rPr>
                            <w:rFonts w:cstheme="minorHAnsi"/>
                            <w:sz w:val="18"/>
                            <w:szCs w:val="18"/>
                          </w:rPr>
                          <w:delText>78</w:delText>
                        </w:r>
                      </w:del>
                      <w:r>
                        <w:rPr>
                          <w:rFonts w:cstheme="minorHAnsi"/>
                          <w:sz w:val="18"/>
                          <w:szCs w:val="18"/>
                        </w:rPr>
                        <w:t xml:space="preserve"> * 0.78) – (</w:t>
                      </w:r>
                      <w:ins w:id="475" w:author="Carly Olig" w:date="2022-05-04T15:39:00Z">
                        <w:r>
                          <w:rPr>
                            <w:rFonts w:cstheme="minorHAnsi"/>
                            <w:sz w:val="18"/>
                            <w:szCs w:val="18"/>
                          </w:rPr>
                          <w:t xml:space="preserve">5,133,637 </w:t>
                        </w:r>
                      </w:ins>
                      <w:del w:id="476" w:author="Carly Olig" w:date="2022-05-04T15:39:00Z">
                        <w:r w:rsidDel="00643BA5">
                          <w:rPr>
                            <w:rFonts w:cstheme="minorHAnsi"/>
                            <w:sz w:val="18"/>
                            <w:szCs w:val="18"/>
                          </w:rPr>
                          <w:delText xml:space="preserve">5,154,135 </w:delText>
                        </w:r>
                      </w:del>
                      <w:r>
                        <w:rPr>
                          <w:rFonts w:cstheme="minorHAnsi"/>
                          <w:sz w:val="18"/>
                          <w:szCs w:val="18"/>
                        </w:rPr>
                        <w:t>* 0.</w:t>
                      </w:r>
                      <w:del w:id="477" w:author="Carly Olig" w:date="2022-05-04T15:19:00Z">
                        <w:r w:rsidDel="0089248D">
                          <w:rPr>
                            <w:rFonts w:cstheme="minorHAnsi"/>
                            <w:sz w:val="18"/>
                            <w:szCs w:val="18"/>
                          </w:rPr>
                          <w:delText>936</w:delText>
                        </w:r>
                      </w:del>
                      <w:ins w:id="478" w:author="Carly Olig" w:date="2022-05-04T15:19:00Z">
                        <w:r>
                          <w:rPr>
                            <w:rFonts w:cstheme="minorHAnsi"/>
                            <w:sz w:val="18"/>
                            <w:szCs w:val="18"/>
                          </w:rPr>
                          <w:t>95</w:t>
                        </w:r>
                        <w:r>
                          <w:rPr>
                            <w:rFonts w:cstheme="minorHAnsi"/>
                            <w:sz w:val="18"/>
                            <w:szCs w:val="18"/>
                            <w:vertAlign w:val="superscript"/>
                          </w:rPr>
                          <w:t>2</w:t>
                        </w:r>
                      </w:ins>
                      <w:r>
                        <w:rPr>
                          <w:rFonts w:cstheme="minorHAnsi"/>
                          <w:sz w:val="18"/>
                          <w:szCs w:val="18"/>
                        </w:rPr>
                        <w:t xml:space="preserve"> * 0.61) – (</w:t>
                      </w:r>
                      <w:ins w:id="479" w:author="Carly Olig" w:date="2022-05-04T15:39:00Z">
                        <w:r>
                          <w:rPr>
                            <w:rFonts w:cstheme="minorHAnsi"/>
                            <w:sz w:val="18"/>
                            <w:szCs w:val="18"/>
                          </w:rPr>
                          <w:t xml:space="preserve">6,156,543 </w:t>
                        </w:r>
                      </w:ins>
                      <w:del w:id="480" w:author="Carly Olig" w:date="2022-05-04T15:39:00Z">
                        <w:r w:rsidDel="00643BA5">
                          <w:rPr>
                            <w:rFonts w:cstheme="minorHAnsi"/>
                            <w:sz w:val="18"/>
                            <w:szCs w:val="18"/>
                          </w:rPr>
                          <w:delText xml:space="preserve">5,929,923 </w:delText>
                        </w:r>
                      </w:del>
                      <w:r>
                        <w:rPr>
                          <w:rFonts w:cstheme="minorHAnsi"/>
                          <w:sz w:val="18"/>
                          <w:szCs w:val="18"/>
                        </w:rPr>
                        <w:t>* 0.</w:t>
                      </w:r>
                      <w:del w:id="481" w:author="Carly Olig" w:date="2022-05-04T15:19:00Z">
                        <w:r w:rsidDel="0089248D">
                          <w:rPr>
                            <w:rFonts w:cstheme="minorHAnsi"/>
                            <w:sz w:val="18"/>
                            <w:szCs w:val="18"/>
                          </w:rPr>
                          <w:delText>889</w:delText>
                        </w:r>
                      </w:del>
                      <w:ins w:id="482" w:author="Carly Olig" w:date="2022-05-04T15:19:00Z">
                        <w:r>
                          <w:rPr>
                            <w:rFonts w:cstheme="minorHAnsi"/>
                            <w:sz w:val="18"/>
                            <w:szCs w:val="18"/>
                          </w:rPr>
                          <w:t>95</w:t>
                        </w:r>
                        <w:r>
                          <w:rPr>
                            <w:rFonts w:cstheme="minorHAnsi"/>
                            <w:sz w:val="18"/>
                            <w:szCs w:val="18"/>
                            <w:vertAlign w:val="superscript"/>
                          </w:rPr>
                          <w:t>3</w:t>
                        </w:r>
                      </w:ins>
                      <w:r>
                        <w:rPr>
                          <w:rFonts w:cstheme="minorHAnsi"/>
                          <w:sz w:val="18"/>
                          <w:szCs w:val="18"/>
                        </w:rPr>
                        <w:t xml:space="preserve"> * 0.47) </w:t>
                      </w:r>
                    </w:p>
                    <w:p w14:paraId="0889E157" w14:textId="77777777" w:rsidR="000702C6" w:rsidRDefault="000702C6" w:rsidP="000702C6">
                      <w:pPr>
                        <w:spacing w:after="60"/>
                        <w:ind w:left="1440" w:firstLine="720"/>
                        <w:rPr>
                          <w:ins w:id="483" w:author="Carly Olig" w:date="2022-05-04T15:20:00Z"/>
                          <w:rFonts w:cstheme="minorHAnsi"/>
                          <w:sz w:val="18"/>
                          <w:szCs w:val="18"/>
                        </w:rPr>
                      </w:pPr>
                      <w:r>
                        <w:rPr>
                          <w:rFonts w:cstheme="minorHAnsi"/>
                          <w:sz w:val="18"/>
                          <w:szCs w:val="18"/>
                        </w:rPr>
                        <w:t>– (</w:t>
                      </w:r>
                      <w:ins w:id="484" w:author="Carly Olig" w:date="2022-05-04T15:39:00Z">
                        <w:r>
                          <w:rPr>
                            <w:rFonts w:cstheme="minorHAnsi"/>
                            <w:sz w:val="18"/>
                            <w:szCs w:val="18"/>
                          </w:rPr>
                          <w:t xml:space="preserve">5,008,094 </w:t>
                        </w:r>
                      </w:ins>
                      <w:del w:id="485" w:author="Carly Olig" w:date="2022-05-04T15:39:00Z">
                        <w:r w:rsidDel="00643BA5">
                          <w:rPr>
                            <w:rFonts w:cstheme="minorHAnsi"/>
                            <w:sz w:val="18"/>
                            <w:szCs w:val="18"/>
                          </w:rPr>
                          <w:delText>5,116,954</w:delText>
                        </w:r>
                      </w:del>
                      <w:r>
                        <w:rPr>
                          <w:rFonts w:cstheme="minorHAnsi"/>
                          <w:sz w:val="18"/>
                          <w:szCs w:val="18"/>
                        </w:rPr>
                        <w:t xml:space="preserve"> * 0.</w:t>
                      </w:r>
                      <w:del w:id="486" w:author="Carly Olig" w:date="2022-05-04T15:19:00Z">
                        <w:r w:rsidDel="0089248D">
                          <w:rPr>
                            <w:rFonts w:cstheme="minorHAnsi"/>
                            <w:sz w:val="18"/>
                            <w:szCs w:val="18"/>
                          </w:rPr>
                          <w:delText>854</w:delText>
                        </w:r>
                      </w:del>
                      <w:ins w:id="487" w:author="Carly Olig" w:date="2022-05-04T15:19:00Z">
                        <w:r>
                          <w:rPr>
                            <w:rFonts w:cstheme="minorHAnsi"/>
                            <w:sz w:val="18"/>
                            <w:szCs w:val="18"/>
                          </w:rPr>
                          <w:t>95</w:t>
                        </w:r>
                        <w:r>
                          <w:rPr>
                            <w:rFonts w:cstheme="minorHAnsi"/>
                            <w:sz w:val="18"/>
                            <w:szCs w:val="18"/>
                            <w:vertAlign w:val="superscript"/>
                          </w:rPr>
                          <w:t>4</w:t>
                        </w:r>
                      </w:ins>
                      <w:r>
                        <w:rPr>
                          <w:rFonts w:cstheme="minorHAnsi"/>
                          <w:sz w:val="18"/>
                          <w:szCs w:val="18"/>
                        </w:rPr>
                        <w:t xml:space="preserve"> * 0.37) – (</w:t>
                      </w:r>
                      <w:ins w:id="488" w:author="Carly Olig" w:date="2022-05-04T15:40:00Z">
                        <w:r>
                          <w:rPr>
                            <w:rFonts w:cstheme="minorHAnsi"/>
                            <w:sz w:val="18"/>
                            <w:szCs w:val="18"/>
                          </w:rPr>
                          <w:t xml:space="preserve">9,466,000 </w:t>
                        </w:r>
                      </w:ins>
                      <w:del w:id="489" w:author="Carly Olig" w:date="2022-05-04T15:40:00Z">
                        <w:r w:rsidDel="00643BA5">
                          <w:rPr>
                            <w:rFonts w:cstheme="minorHAnsi"/>
                            <w:sz w:val="18"/>
                            <w:szCs w:val="18"/>
                          </w:rPr>
                          <w:delText xml:space="preserve">10,252,240 </w:delText>
                        </w:r>
                      </w:del>
                      <w:r>
                        <w:rPr>
                          <w:rFonts w:cstheme="minorHAnsi"/>
                          <w:sz w:val="18"/>
                          <w:szCs w:val="18"/>
                        </w:rPr>
                        <w:t>* 0.</w:t>
                      </w:r>
                      <w:del w:id="490" w:author="Carly Olig" w:date="2022-05-04T15:20:00Z">
                        <w:r w:rsidDel="0089248D">
                          <w:rPr>
                            <w:rFonts w:cstheme="minorHAnsi"/>
                            <w:sz w:val="18"/>
                            <w:szCs w:val="18"/>
                          </w:rPr>
                          <w:delText>807</w:delText>
                        </w:r>
                      </w:del>
                      <w:ins w:id="491" w:author="Carly Olig" w:date="2022-05-04T15:20:00Z">
                        <w:r>
                          <w:rPr>
                            <w:rFonts w:cstheme="minorHAnsi"/>
                            <w:sz w:val="18"/>
                            <w:szCs w:val="18"/>
                          </w:rPr>
                          <w:t>95</w:t>
                        </w:r>
                        <w:r>
                          <w:rPr>
                            <w:rFonts w:cstheme="minorHAnsi"/>
                            <w:sz w:val="18"/>
                            <w:szCs w:val="18"/>
                            <w:vertAlign w:val="superscript"/>
                          </w:rPr>
                          <w:t>5</w:t>
                        </w:r>
                      </w:ins>
                      <w:r>
                        <w:rPr>
                          <w:rFonts w:cstheme="minorHAnsi"/>
                          <w:sz w:val="18"/>
                          <w:szCs w:val="18"/>
                        </w:rPr>
                        <w:t xml:space="preserve"> * 0.29) </w:t>
                      </w:r>
                    </w:p>
                    <w:p w14:paraId="2C967BA8" w14:textId="77777777" w:rsidR="000702C6" w:rsidRDefault="000702C6" w:rsidP="000702C6">
                      <w:pPr>
                        <w:spacing w:after="60"/>
                        <w:ind w:left="1440" w:firstLine="720"/>
                        <w:rPr>
                          <w:rFonts w:cstheme="minorHAnsi"/>
                          <w:sz w:val="18"/>
                          <w:szCs w:val="18"/>
                        </w:rPr>
                      </w:pPr>
                      <w:r>
                        <w:rPr>
                          <w:rFonts w:cstheme="minorHAnsi"/>
                          <w:sz w:val="18"/>
                          <w:szCs w:val="18"/>
                        </w:rPr>
                        <w:t>– (24,000,000 * 0.</w:t>
                      </w:r>
                      <w:del w:id="492" w:author="Carly Olig" w:date="2022-05-04T15:20:00Z">
                        <w:r w:rsidDel="0089248D">
                          <w:rPr>
                            <w:rFonts w:cstheme="minorHAnsi"/>
                            <w:sz w:val="18"/>
                            <w:szCs w:val="18"/>
                          </w:rPr>
                          <w:delText>733</w:delText>
                        </w:r>
                      </w:del>
                      <w:ins w:id="493" w:author="Carly Olig" w:date="2022-05-04T15:20:00Z">
                        <w:r>
                          <w:rPr>
                            <w:rFonts w:cstheme="minorHAnsi"/>
                            <w:sz w:val="18"/>
                            <w:szCs w:val="18"/>
                          </w:rPr>
                          <w:t>95</w:t>
                        </w:r>
                        <w:r>
                          <w:rPr>
                            <w:rFonts w:cstheme="minorHAnsi"/>
                            <w:sz w:val="18"/>
                            <w:szCs w:val="18"/>
                            <w:vertAlign w:val="superscript"/>
                          </w:rPr>
                          <w:t>6</w:t>
                        </w:r>
                      </w:ins>
                      <w:r>
                        <w:rPr>
                          <w:rFonts w:cstheme="minorHAnsi"/>
                          <w:sz w:val="18"/>
                          <w:szCs w:val="18"/>
                        </w:rPr>
                        <w:t xml:space="preserve"> * 0.23)</w:t>
                      </w:r>
                    </w:p>
                    <w:p w14:paraId="2412A696" w14:textId="77777777" w:rsidR="000702C6" w:rsidRDefault="000702C6" w:rsidP="000702C6">
                      <w:pPr>
                        <w:spacing w:after="60"/>
                        <w:ind w:left="720" w:firstLine="720"/>
                        <w:rPr>
                          <w:rFonts w:cstheme="minorHAnsi"/>
                          <w:sz w:val="18"/>
                          <w:szCs w:val="18"/>
                        </w:rPr>
                      </w:pPr>
                      <w:r>
                        <w:rPr>
                          <w:rFonts w:cstheme="minorHAnsi"/>
                          <w:sz w:val="18"/>
                          <w:szCs w:val="18"/>
                        </w:rPr>
                        <w:t xml:space="preserve">= </w:t>
                      </w:r>
                      <w:del w:id="494" w:author="Carly Olig" w:date="2022-05-04T15:39:00Z">
                        <w:r w:rsidDel="0027050C">
                          <w:rPr>
                            <w:rFonts w:cstheme="minorHAnsi"/>
                            <w:sz w:val="18"/>
                            <w:szCs w:val="18"/>
                          </w:rPr>
                          <w:delText>5,062,282</w:delText>
                        </w:r>
                      </w:del>
                      <w:ins w:id="495" w:author="Carly Olig" w:date="2022-05-04T15:39:00Z">
                        <w:r>
                          <w:rPr>
                            <w:rFonts w:cstheme="minorHAnsi"/>
                            <w:sz w:val="18"/>
                            <w:szCs w:val="18"/>
                          </w:rPr>
                          <w:t>5,579,188</w:t>
                        </w:r>
                      </w:ins>
                      <w:r>
                        <w:rPr>
                          <w:rFonts w:cstheme="minorHAnsi"/>
                          <w:sz w:val="18"/>
                          <w:szCs w:val="18"/>
                        </w:rPr>
                        <w:t xml:space="preserve"> kWh  </w:t>
                      </w:r>
                    </w:p>
                    <w:p w14:paraId="7A8D9810" w14:textId="77777777" w:rsidR="000702C6" w:rsidRDefault="000702C6" w:rsidP="000702C6">
                      <w:pPr>
                        <w:spacing w:after="60"/>
                        <w:rPr>
                          <w:rFonts w:cstheme="minorHAnsi"/>
                          <w:b/>
                          <w:bCs/>
                          <w:sz w:val="18"/>
                          <w:szCs w:val="18"/>
                        </w:rPr>
                      </w:pPr>
                      <w:r>
                        <w:rPr>
                          <w:rFonts w:cstheme="minorHAnsi"/>
                          <w:b/>
                          <w:bCs/>
                          <w:sz w:val="18"/>
                          <w:szCs w:val="18"/>
                        </w:rPr>
                        <w:t>Continue for future years as appropriate.</w:t>
                      </w:r>
                    </w:p>
                    <w:p w14:paraId="250F9A45" w14:textId="77777777" w:rsidR="000702C6" w:rsidRDefault="000702C6" w:rsidP="000702C6">
                      <w:pPr>
                        <w:spacing w:after="60"/>
                        <w:rPr>
                          <w:sz w:val="18"/>
                          <w:szCs w:val="18"/>
                        </w:rPr>
                      </w:pPr>
                      <w:r>
                        <w:rPr>
                          <w:rFonts w:cstheme="minorHAnsi"/>
                          <w:sz w:val="18"/>
                          <w:szCs w:val="18"/>
                        </w:rPr>
                        <w:t xml:space="preserve">Apply the same approach to calculate adjusted annual kW and Therms, using appropriate factors and lifetimes. </w:t>
                      </w:r>
                    </w:p>
                  </w:txbxContent>
                </v:textbox>
                <w10:anchorlock/>
              </v:shape>
            </w:pict>
          </mc:Fallback>
        </mc:AlternateContent>
      </w:r>
    </w:p>
    <w:p w14:paraId="07315F35" w14:textId="77777777" w:rsidR="000702C6" w:rsidRDefault="000702C6" w:rsidP="000702C6">
      <w:pPr>
        <w:pStyle w:val="Heading6"/>
      </w:pPr>
      <w:bookmarkStart w:id="496" w:name="_Toc442804354"/>
      <w:r>
        <w:t>Summer Coincident Peak Demand Savings</w:t>
      </w:r>
      <w:bookmarkEnd w:id="496"/>
    </w:p>
    <w:p w14:paraId="0C1E2303" w14:textId="77777777" w:rsidR="000702C6" w:rsidRDefault="000702C6" w:rsidP="000702C6">
      <w:pPr>
        <w:rPr>
          <w:b/>
          <w:i/>
        </w:rPr>
      </w:pPr>
      <w:r>
        <w:rPr>
          <w:rFonts w:ascii="Calibri" w:hAnsi="Calibri"/>
          <w:szCs w:val="20"/>
        </w:rPr>
        <w:t>Coincident peak demand savings in year T should also be adjusted to account for persistence from previous years using a similar algorithm.</w:t>
      </w:r>
      <w:r>
        <w:rPr>
          <w:rStyle w:val="FootnoteReference"/>
          <w:rFonts w:eastAsiaTheme="majorEastAsia"/>
          <w:szCs w:val="20"/>
        </w:rPr>
        <w:footnoteReference w:id="22"/>
      </w:r>
      <w:r>
        <w:rPr>
          <w:rFonts w:ascii="Calibri" w:hAnsi="Calibri"/>
          <w:szCs w:val="20"/>
        </w:rPr>
        <w:t xml:space="preserve"> </w:t>
      </w:r>
    </w:p>
    <w:p w14:paraId="7B31EAC0" w14:textId="77777777" w:rsidR="000702C6" w:rsidRDefault="000702C6" w:rsidP="000702C6">
      <w:pPr>
        <w:ind w:left="360"/>
        <w:rPr>
          <w:rFonts w:cstheme="minorHAnsi"/>
          <w:noProof/>
        </w:rPr>
      </w:pPr>
      <w:r>
        <w:rPr>
          <w:rFonts w:cstheme="minorHAnsi"/>
          <w:noProof/>
        </w:rPr>
        <w:t>If peak demand is measured directly by the custom savings analysis:</w:t>
      </w:r>
    </w:p>
    <w:p w14:paraId="4507BE96" w14:textId="77777777" w:rsidR="000702C6" w:rsidRDefault="000702C6" w:rsidP="000702C6">
      <w:pPr>
        <w:widowControl/>
        <w:spacing w:after="0"/>
        <w:ind w:firstLine="720"/>
        <w:rPr>
          <w:rFonts w:ascii="Calibri" w:hAnsi="Calibri"/>
          <w:sz w:val="22"/>
          <w:szCs w:val="20"/>
        </w:rPr>
      </w:pPr>
      <w:r>
        <w:rPr>
          <w:rFonts w:ascii="Calibri" w:hAnsi="Calibri" w:cs="Calibri"/>
          <w:noProof/>
        </w:rPr>
        <w:t>ΔkW</w:t>
      </w:r>
      <w:r>
        <w:rPr>
          <w:rFonts w:ascii="Calibri" w:hAnsi="Calibri"/>
          <w:szCs w:val="20"/>
          <w:vertAlign w:val="subscript"/>
        </w:rPr>
        <w:t>T Adjusted</w:t>
      </w:r>
      <w:r>
        <w:rPr>
          <w:rFonts w:ascii="Calibri" w:hAnsi="Calibri"/>
          <w:szCs w:val="20"/>
        </w:rPr>
        <w:t xml:space="preserve"> = </w:t>
      </w:r>
      <w:proofErr w:type="spellStart"/>
      <w:r>
        <w:rPr>
          <w:rFonts w:ascii="Calibri" w:hAnsi="Calibri" w:cs="Calibri"/>
          <w:noProof/>
        </w:rPr>
        <w:t>ΔkW</w:t>
      </w:r>
      <w:r>
        <w:rPr>
          <w:rFonts w:ascii="Calibri" w:hAnsi="Calibri"/>
          <w:szCs w:val="20"/>
          <w:vertAlign w:val="subscript"/>
        </w:rPr>
        <w:t>T</w:t>
      </w:r>
      <w:proofErr w:type="spellEnd"/>
      <w:r>
        <w:rPr>
          <w:rFonts w:ascii="Calibri" w:hAnsi="Calibri"/>
          <w:szCs w:val="20"/>
          <w:vertAlign w:val="subscript"/>
        </w:rPr>
        <w:t xml:space="preserve"> Measured</w:t>
      </w:r>
      <w:r>
        <w:rPr>
          <w:rFonts w:ascii="Calibri" w:hAnsi="Calibri"/>
          <w:szCs w:val="20"/>
        </w:rPr>
        <w:t xml:space="preserve"> –</w:t>
      </w:r>
      <w:r>
        <w:rPr>
          <w:rFonts w:ascii="Calibri" w:hAnsi="Calibri"/>
          <w:sz w:val="22"/>
          <w:szCs w:val="20"/>
        </w:rPr>
        <w:t xml:space="preserve"> </w:t>
      </w:r>
      <m:oMath>
        <m:nary>
          <m:naryPr>
            <m:chr m:val="∑"/>
            <m:limLoc m:val="subSup"/>
            <m:grow m:val="1"/>
            <m:ctrlPr>
              <w:rPr>
                <w:rFonts w:ascii="Cambria Math" w:hAnsi="Cambria Math"/>
                <w:i/>
              </w:rPr>
            </m:ctrlPr>
          </m:naryPr>
          <m:sub>
            <m:r>
              <w:rPr>
                <w:rFonts w:ascii="Cambria Math" w:hAnsi="Cambria Math"/>
                <w:szCs w:val="20"/>
              </w:rPr>
              <m:t>i=1</m:t>
            </m:r>
          </m:sub>
          <m:sup>
            <m:r>
              <w:rPr>
                <w:rFonts w:ascii="Cambria Math" w:hAnsi="Cambria Math"/>
                <w:szCs w:val="20"/>
              </w:rPr>
              <m:t>n</m:t>
            </m:r>
          </m:sup>
          <m:e>
            <m:r>
              <w:rPr>
                <w:rFonts w:ascii="Cambria Math" w:hAnsi="Cambria Math"/>
                <w:szCs w:val="20"/>
              </w:rPr>
              <m:t xml:space="preserve"> </m:t>
            </m:r>
          </m:e>
        </m:nary>
      </m:oMath>
      <w:r>
        <w:rPr>
          <w:rFonts w:ascii="Calibri" w:hAnsi="Calibri"/>
          <w:szCs w:val="20"/>
        </w:rPr>
        <w:t>(</w:t>
      </w:r>
      <w:r>
        <w:rPr>
          <w:rFonts w:ascii="Calibri" w:hAnsi="Calibri" w:cs="Calibri"/>
          <w:noProof/>
        </w:rPr>
        <w:t>ΔkW</w:t>
      </w:r>
      <w:r>
        <w:rPr>
          <w:rFonts w:ascii="Calibri" w:hAnsi="Calibri"/>
          <w:szCs w:val="20"/>
          <w:vertAlign w:val="subscript"/>
        </w:rPr>
        <w:t>T-</w:t>
      </w:r>
      <w:proofErr w:type="spellStart"/>
      <w:r>
        <w:rPr>
          <w:rFonts w:ascii="Calibri" w:hAnsi="Calibri"/>
          <w:i/>
          <w:szCs w:val="20"/>
          <w:vertAlign w:val="subscript"/>
        </w:rPr>
        <w:t>i</w:t>
      </w:r>
      <w:proofErr w:type="spellEnd"/>
      <w:r>
        <w:rPr>
          <w:rFonts w:ascii="Calibri" w:hAnsi="Calibri"/>
          <w:szCs w:val="20"/>
          <w:vertAlign w:val="subscript"/>
        </w:rPr>
        <w:t xml:space="preserve"> Adjusted</w:t>
      </w:r>
      <w:r>
        <w:rPr>
          <w:rFonts w:ascii="Calibri" w:hAnsi="Calibri"/>
          <w:szCs w:val="20"/>
        </w:rPr>
        <w:t xml:space="preserve"> * </w:t>
      </w:r>
      <w:proofErr w:type="spellStart"/>
      <w:r>
        <w:rPr>
          <w:rFonts w:ascii="Calibri" w:hAnsi="Calibri"/>
          <w:szCs w:val="20"/>
        </w:rPr>
        <w:t>RR</w:t>
      </w:r>
      <w:ins w:id="497" w:author="Carly Olig" w:date="2022-05-04T15:40:00Z">
        <w:r>
          <w:rPr>
            <w:rFonts w:ascii="Calibri" w:hAnsi="Calibri"/>
            <w:szCs w:val="20"/>
            <w:vertAlign w:val="superscript"/>
          </w:rPr>
          <w:t>i</w:t>
        </w:r>
        <w:proofErr w:type="spellEnd"/>
        <w:r>
          <w:rPr>
            <w:rFonts w:ascii="Calibri" w:hAnsi="Calibri"/>
            <w:szCs w:val="20"/>
          </w:rPr>
          <w:t xml:space="preserve"> </w:t>
        </w:r>
      </w:ins>
      <w:del w:id="498" w:author="Carly Olig" w:date="2022-05-04T15:40:00Z">
        <w:r w:rsidDel="008B5782">
          <w:rPr>
            <w:rFonts w:ascii="Calibri" w:hAnsi="Calibri"/>
            <w:szCs w:val="20"/>
            <w:vertAlign w:val="subscript"/>
          </w:rPr>
          <w:delText>T-</w:delText>
        </w:r>
        <w:r w:rsidDel="008B5782">
          <w:rPr>
            <w:rFonts w:ascii="Calibri" w:hAnsi="Calibri"/>
            <w:i/>
            <w:szCs w:val="20"/>
            <w:vertAlign w:val="subscript"/>
          </w:rPr>
          <w:delText>i</w:delText>
        </w:r>
        <w:r w:rsidDel="008B5782">
          <w:rPr>
            <w:rFonts w:ascii="Calibri" w:hAnsi="Calibri"/>
            <w:szCs w:val="20"/>
            <w:vertAlign w:val="subscript"/>
          </w:rPr>
          <w:delText>,T</w:delText>
        </w:r>
      </w:del>
      <w:r>
        <w:rPr>
          <w:rFonts w:ascii="Calibri" w:hAnsi="Calibri"/>
          <w:szCs w:val="20"/>
        </w:rPr>
        <w:t xml:space="preserve"> * </w:t>
      </w:r>
      <w:proofErr w:type="spellStart"/>
      <w:r>
        <w:rPr>
          <w:rFonts w:ascii="Calibri" w:hAnsi="Calibri"/>
          <w:szCs w:val="20"/>
        </w:rPr>
        <w:t>PFE</w:t>
      </w:r>
      <w:r>
        <w:rPr>
          <w:rFonts w:ascii="Calibri" w:hAnsi="Calibri"/>
          <w:i/>
          <w:szCs w:val="20"/>
          <w:vertAlign w:val="subscript"/>
        </w:rPr>
        <w:t>i</w:t>
      </w:r>
      <w:proofErr w:type="spellEnd"/>
      <w:r>
        <w:rPr>
          <w:rFonts w:ascii="Calibri" w:hAnsi="Calibri"/>
          <w:szCs w:val="20"/>
        </w:rPr>
        <w:t>)</w:t>
      </w:r>
    </w:p>
    <w:p w14:paraId="55275DA1" w14:textId="77777777" w:rsidR="000702C6" w:rsidRDefault="000702C6" w:rsidP="000702C6">
      <w:pPr>
        <w:ind w:left="720"/>
        <w:rPr>
          <w:rFonts w:cstheme="minorHAnsi"/>
          <w:szCs w:val="20"/>
        </w:rPr>
      </w:pPr>
      <w:r>
        <w:rPr>
          <w:rFonts w:cstheme="minorHAnsi"/>
          <w:szCs w:val="20"/>
        </w:rPr>
        <w:lastRenderedPageBreak/>
        <w:t>Where:</w:t>
      </w:r>
    </w:p>
    <w:p w14:paraId="623FBADC" w14:textId="77777777" w:rsidR="000702C6" w:rsidRDefault="000702C6" w:rsidP="000702C6">
      <w:pPr>
        <w:ind w:left="1440"/>
        <w:rPr>
          <w:rFonts w:cstheme="minorHAnsi"/>
          <w:szCs w:val="20"/>
        </w:rPr>
      </w:pPr>
      <w:r>
        <w:rPr>
          <w:rFonts w:cstheme="minorHAnsi"/>
          <w:noProof/>
        </w:rPr>
        <w:t>ΔkW</w:t>
      </w:r>
      <w:r>
        <w:rPr>
          <w:rFonts w:cstheme="minorHAnsi"/>
          <w:noProof/>
          <w:vertAlign w:val="subscript"/>
        </w:rPr>
        <w:t xml:space="preserve">X </w:t>
      </w:r>
      <w:proofErr w:type="gramStart"/>
      <w:r>
        <w:rPr>
          <w:rFonts w:cstheme="minorHAnsi"/>
          <w:szCs w:val="20"/>
          <w:vertAlign w:val="subscript"/>
        </w:rPr>
        <w:t>Adjusted</w:t>
      </w:r>
      <w:r>
        <w:rPr>
          <w:rFonts w:cstheme="minorHAnsi"/>
          <w:szCs w:val="20"/>
        </w:rPr>
        <w:t xml:space="preserve">  =</w:t>
      </w:r>
      <w:proofErr w:type="gramEnd"/>
      <w:r>
        <w:rPr>
          <w:rFonts w:cstheme="minorHAnsi"/>
          <w:szCs w:val="20"/>
        </w:rPr>
        <w:t xml:space="preserve"> total program demand savings for year X after adjustments to account for persistence (calculated value)</w:t>
      </w:r>
    </w:p>
    <w:p w14:paraId="41F06DCD" w14:textId="77777777" w:rsidR="000702C6" w:rsidRDefault="000702C6" w:rsidP="000702C6">
      <w:pPr>
        <w:ind w:left="1440"/>
        <w:rPr>
          <w:rFonts w:cstheme="minorHAnsi"/>
          <w:szCs w:val="20"/>
        </w:rPr>
      </w:pPr>
      <w:r>
        <w:rPr>
          <w:rFonts w:cstheme="minorHAnsi"/>
          <w:noProof/>
        </w:rPr>
        <w:t>ΔkW</w:t>
      </w:r>
      <w:r>
        <w:rPr>
          <w:rFonts w:cstheme="minorHAnsi"/>
          <w:noProof/>
          <w:vertAlign w:val="subscript"/>
        </w:rPr>
        <w:t xml:space="preserve">X </w:t>
      </w:r>
      <w:r>
        <w:rPr>
          <w:rFonts w:cstheme="minorHAnsi"/>
          <w:szCs w:val="20"/>
          <w:vertAlign w:val="subscript"/>
        </w:rPr>
        <w:t>Measured</w:t>
      </w:r>
      <w:r>
        <w:rPr>
          <w:rFonts w:cstheme="minorHAnsi"/>
          <w:szCs w:val="20"/>
        </w:rPr>
        <w:t xml:space="preserve">   = total program demand savings as determined from custom calculation /billing analysis of participants in program during year X (input value)</w:t>
      </w:r>
      <w:r>
        <w:rPr>
          <w:rStyle w:val="FootnoteReference"/>
          <w:rFonts w:eastAsiaTheme="majorEastAsia"/>
          <w:szCs w:val="20"/>
        </w:rPr>
        <w:footnoteReference w:id="23"/>
      </w:r>
      <w:r>
        <w:rPr>
          <w:rFonts w:cstheme="minorHAnsi"/>
          <w:szCs w:val="20"/>
        </w:rPr>
        <w:t xml:space="preserve"> </w:t>
      </w:r>
    </w:p>
    <w:p w14:paraId="3FB1302F" w14:textId="77777777" w:rsidR="000702C6" w:rsidRDefault="000702C6" w:rsidP="000702C6">
      <w:pPr>
        <w:ind w:left="1440"/>
        <w:rPr>
          <w:rFonts w:cstheme="minorHAnsi"/>
          <w:szCs w:val="20"/>
        </w:rPr>
      </w:pPr>
      <w:r>
        <w:rPr>
          <w:rFonts w:cstheme="minorHAnsi"/>
          <w:szCs w:val="20"/>
        </w:rPr>
        <w:t>Other variables as defined above</w:t>
      </w:r>
    </w:p>
    <w:p w14:paraId="0B924555" w14:textId="77777777" w:rsidR="000702C6" w:rsidRDefault="000702C6" w:rsidP="000702C6">
      <w:pPr>
        <w:ind w:left="360"/>
        <w:rPr>
          <w:rFonts w:cstheme="minorHAnsi"/>
          <w:noProof/>
        </w:rPr>
      </w:pPr>
      <w:r>
        <w:rPr>
          <w:rFonts w:cstheme="minorHAnsi"/>
          <w:noProof/>
        </w:rPr>
        <w:t>If peak demand is not measured directly by the custom savings analysis, peak demand should be calculated as follows:</w:t>
      </w:r>
    </w:p>
    <w:p w14:paraId="057A8195" w14:textId="77777777" w:rsidR="000702C6" w:rsidRDefault="000702C6" w:rsidP="000702C6">
      <w:pPr>
        <w:ind w:left="720"/>
        <w:rPr>
          <w:rFonts w:cstheme="minorHAnsi"/>
          <w:szCs w:val="20"/>
        </w:rPr>
      </w:pPr>
      <w:r>
        <w:rPr>
          <w:rFonts w:cstheme="minorHAnsi"/>
          <w:noProof/>
        </w:rPr>
        <w:t>ΔkW</w:t>
      </w:r>
      <w:r>
        <w:rPr>
          <w:rFonts w:cstheme="minorHAnsi"/>
          <w:noProof/>
          <w:vertAlign w:val="subscript"/>
        </w:rPr>
        <w:t xml:space="preserve">T </w:t>
      </w:r>
      <w:r>
        <w:rPr>
          <w:rFonts w:cstheme="minorHAnsi"/>
          <w:szCs w:val="20"/>
          <w:vertAlign w:val="subscript"/>
        </w:rPr>
        <w:t>Adjusted</w:t>
      </w:r>
      <w:r>
        <w:rPr>
          <w:rFonts w:cstheme="minorHAnsi"/>
          <w:szCs w:val="20"/>
        </w:rPr>
        <w:t xml:space="preserve">   = (</w:t>
      </w:r>
      <w:proofErr w:type="spellStart"/>
      <w:r>
        <w:rPr>
          <w:rFonts w:ascii="Calibri" w:hAnsi="Calibri" w:cs="Calibri"/>
          <w:noProof/>
        </w:rPr>
        <w:t>ΔkWh</w:t>
      </w:r>
      <w:r>
        <w:rPr>
          <w:rFonts w:ascii="Calibri" w:hAnsi="Calibri" w:cs="Calibri"/>
          <w:noProof/>
          <w:vertAlign w:val="subscript"/>
        </w:rPr>
        <w:t>T</w:t>
      </w:r>
      <w:proofErr w:type="spellEnd"/>
      <w:r>
        <w:rPr>
          <w:rFonts w:ascii="Calibri" w:hAnsi="Calibri" w:cs="Calibri"/>
          <w:noProof/>
          <w:vertAlign w:val="subscript"/>
        </w:rPr>
        <w:t xml:space="preserve"> Adjusted</w:t>
      </w:r>
      <w:r>
        <w:rPr>
          <w:rFonts w:cstheme="minorHAnsi"/>
          <w:noProof/>
        </w:rPr>
        <w:t xml:space="preserve"> </w:t>
      </w:r>
      <w:r>
        <w:rPr>
          <w:rFonts w:cstheme="minorHAnsi"/>
          <w:noProof/>
          <w:vertAlign w:val="subscript"/>
        </w:rPr>
        <w:t>Summer</w:t>
      </w:r>
      <w:r>
        <w:rPr>
          <w:rFonts w:cstheme="minorHAnsi"/>
          <w:noProof/>
        </w:rPr>
        <w:t xml:space="preserve"> / #summer hours) * peak adjustment factor</w:t>
      </w:r>
    </w:p>
    <w:p w14:paraId="47C9F158" w14:textId="77777777" w:rsidR="000702C6" w:rsidRDefault="000702C6" w:rsidP="000702C6">
      <w:pPr>
        <w:ind w:left="720"/>
        <w:rPr>
          <w:rFonts w:cstheme="minorHAnsi"/>
          <w:szCs w:val="20"/>
        </w:rPr>
      </w:pPr>
      <w:bookmarkStart w:id="499" w:name="_Hlk521314078"/>
      <w:r>
        <w:rPr>
          <w:rFonts w:cstheme="minorHAnsi"/>
          <w:szCs w:val="20"/>
        </w:rPr>
        <w:t>Where:</w:t>
      </w:r>
    </w:p>
    <w:p w14:paraId="293C89FF" w14:textId="77777777" w:rsidR="000702C6" w:rsidRDefault="000702C6" w:rsidP="000702C6">
      <w:pPr>
        <w:ind w:left="1440"/>
        <w:rPr>
          <w:rFonts w:cstheme="minorHAnsi"/>
          <w:szCs w:val="20"/>
        </w:rPr>
      </w:pPr>
      <w:r>
        <w:rPr>
          <w:rFonts w:ascii="Calibri" w:hAnsi="Calibri" w:cs="Calibri"/>
          <w:noProof/>
        </w:rPr>
        <w:t>ΔkWh</w:t>
      </w:r>
      <w:r>
        <w:rPr>
          <w:rFonts w:ascii="Calibri" w:hAnsi="Calibri" w:cs="Calibri"/>
          <w:noProof/>
          <w:vertAlign w:val="subscript"/>
        </w:rPr>
        <w:t>T Adjusted Summer</w:t>
      </w:r>
      <w:r>
        <w:rPr>
          <w:rFonts w:cstheme="minorHAnsi"/>
          <w:szCs w:val="20"/>
        </w:rPr>
        <w:t xml:space="preserve"> = average adjusted electric energy savings (calculated above) for peak summer months</w:t>
      </w:r>
    </w:p>
    <w:bookmarkEnd w:id="499"/>
    <w:p w14:paraId="1286CAFD" w14:textId="77777777" w:rsidR="000702C6" w:rsidRDefault="000702C6" w:rsidP="000702C6">
      <w:pPr>
        <w:ind w:left="1440" w:firstLine="720"/>
        <w:rPr>
          <w:rFonts w:ascii="Calibri" w:hAnsi="Calibri" w:cs="Calibri"/>
          <w:noProof/>
        </w:rPr>
      </w:pPr>
      <w:r>
        <w:rPr>
          <w:rFonts w:cstheme="minorHAnsi"/>
          <w:szCs w:val="20"/>
        </w:rPr>
        <w:t xml:space="preserve"> = </w:t>
      </w:r>
      <w:r>
        <w:rPr>
          <w:rFonts w:ascii="Calibri" w:hAnsi="Calibri" w:cs="Calibri"/>
          <w:noProof/>
        </w:rPr>
        <w:t>ΔkWh</w:t>
      </w:r>
      <w:r>
        <w:rPr>
          <w:rFonts w:ascii="Calibri" w:hAnsi="Calibri" w:cs="Calibri"/>
          <w:noProof/>
          <w:vertAlign w:val="subscript"/>
        </w:rPr>
        <w:t xml:space="preserve">T Adjusted </w:t>
      </w:r>
      <w:r>
        <w:rPr>
          <w:rFonts w:ascii="Calibri" w:hAnsi="Calibri" w:cs="Calibri"/>
          <w:noProof/>
        </w:rPr>
        <w:t xml:space="preserve">* 0.42 * (3/5) </w:t>
      </w:r>
    </w:p>
    <w:p w14:paraId="58260D19" w14:textId="77777777" w:rsidR="000702C6" w:rsidRDefault="000702C6" w:rsidP="000702C6">
      <w:pPr>
        <w:ind w:left="1440"/>
        <w:rPr>
          <w:rFonts w:cstheme="minorHAnsi"/>
          <w:szCs w:val="20"/>
        </w:rPr>
      </w:pPr>
      <w:r>
        <w:rPr>
          <w:rFonts w:ascii="Calibri" w:hAnsi="Calibri" w:cs="Calibri"/>
          <w:noProof/>
        </w:rPr>
        <w:tab/>
        <w:t xml:space="preserve"> = ΔkWh</w:t>
      </w:r>
      <w:r>
        <w:rPr>
          <w:rFonts w:ascii="Calibri" w:hAnsi="Calibri" w:cs="Calibri"/>
          <w:noProof/>
          <w:vertAlign w:val="subscript"/>
        </w:rPr>
        <w:t xml:space="preserve">T Adjusted </w:t>
      </w:r>
      <w:r>
        <w:rPr>
          <w:rFonts w:ascii="Calibri" w:hAnsi="Calibri" w:cs="Calibri"/>
          <w:noProof/>
        </w:rPr>
        <w:t>* 0.25</w:t>
      </w:r>
    </w:p>
    <w:p w14:paraId="46D152F8" w14:textId="77777777" w:rsidR="000702C6" w:rsidRDefault="000702C6" w:rsidP="000702C6">
      <w:pPr>
        <w:ind w:left="1440" w:firstLine="720"/>
        <w:rPr>
          <w:rFonts w:cstheme="minorHAnsi"/>
          <w:szCs w:val="20"/>
        </w:rPr>
      </w:pPr>
      <w:r>
        <w:rPr>
          <w:rFonts w:cstheme="minorHAnsi"/>
          <w:szCs w:val="20"/>
        </w:rPr>
        <w:t xml:space="preserve">Where: </w:t>
      </w:r>
    </w:p>
    <w:p w14:paraId="6768DA98" w14:textId="77777777" w:rsidR="000702C6" w:rsidRDefault="000702C6" w:rsidP="000702C6">
      <w:pPr>
        <w:ind w:left="1440"/>
        <w:rPr>
          <w:rFonts w:ascii="Calibri" w:hAnsi="Calibri" w:cs="Calibri"/>
          <w:noProof/>
        </w:rPr>
      </w:pPr>
      <w:r>
        <w:rPr>
          <w:rFonts w:cstheme="minorHAnsi"/>
          <w:szCs w:val="20"/>
        </w:rPr>
        <w:tab/>
        <w:t xml:space="preserve">0.42 = </w:t>
      </w:r>
      <w:r>
        <w:rPr>
          <w:rFonts w:ascii="Calibri" w:hAnsi="Calibri" w:cs="Calibri"/>
          <w:noProof/>
        </w:rPr>
        <w:t>Summer Loadshape % for May – Sept</w:t>
      </w:r>
    </w:p>
    <w:p w14:paraId="3C96E5A4" w14:textId="77777777" w:rsidR="000702C6" w:rsidRDefault="000702C6" w:rsidP="000702C6">
      <w:pPr>
        <w:ind w:left="1440"/>
        <w:rPr>
          <w:rFonts w:cstheme="minorHAnsi"/>
          <w:szCs w:val="20"/>
        </w:rPr>
      </w:pPr>
      <w:r>
        <w:rPr>
          <w:rFonts w:ascii="Calibri" w:hAnsi="Calibri" w:cs="Calibri"/>
          <w:noProof/>
        </w:rPr>
        <w:tab/>
        <w:t>3/5  = proportion of May-Sept hours that fall in June, July, and Aug</w:t>
      </w:r>
    </w:p>
    <w:p w14:paraId="03F4980D" w14:textId="77777777" w:rsidR="000702C6" w:rsidRDefault="000702C6" w:rsidP="000702C6">
      <w:pPr>
        <w:ind w:left="1440"/>
        <w:rPr>
          <w:rFonts w:cstheme="minorHAnsi"/>
          <w:szCs w:val="20"/>
        </w:rPr>
      </w:pPr>
      <w:r>
        <w:rPr>
          <w:rFonts w:cstheme="minorHAnsi"/>
          <w:szCs w:val="20"/>
        </w:rPr>
        <w:t xml:space="preserve"># </w:t>
      </w:r>
      <w:proofErr w:type="gramStart"/>
      <w:r>
        <w:rPr>
          <w:rFonts w:cstheme="minorHAnsi"/>
          <w:szCs w:val="20"/>
        </w:rPr>
        <w:t>summer</w:t>
      </w:r>
      <w:proofErr w:type="gramEnd"/>
      <w:r>
        <w:rPr>
          <w:rFonts w:cstheme="minorHAnsi"/>
          <w:szCs w:val="20"/>
        </w:rPr>
        <w:t xml:space="preserve"> hours = # hours in June, July, and Aug</w:t>
      </w:r>
    </w:p>
    <w:p w14:paraId="5979EB89" w14:textId="77777777" w:rsidR="000702C6" w:rsidRDefault="000702C6" w:rsidP="000702C6">
      <w:pPr>
        <w:ind w:left="1440"/>
        <w:rPr>
          <w:rFonts w:cstheme="minorHAnsi"/>
          <w:szCs w:val="20"/>
        </w:rPr>
      </w:pPr>
      <w:r>
        <w:rPr>
          <w:rFonts w:cstheme="minorHAnsi"/>
          <w:szCs w:val="20"/>
        </w:rPr>
        <w:tab/>
        <w:t xml:space="preserve">   = 8760 / 4</w:t>
      </w:r>
    </w:p>
    <w:p w14:paraId="354DC52E" w14:textId="77777777" w:rsidR="000702C6" w:rsidRDefault="000702C6" w:rsidP="000702C6">
      <w:pPr>
        <w:ind w:left="1440" w:firstLine="720"/>
        <w:rPr>
          <w:rFonts w:cstheme="minorHAnsi"/>
          <w:szCs w:val="20"/>
        </w:rPr>
      </w:pPr>
      <w:r>
        <w:rPr>
          <w:rFonts w:cstheme="minorHAnsi"/>
          <w:szCs w:val="20"/>
        </w:rPr>
        <w:t>Where:</w:t>
      </w:r>
      <w:r>
        <w:rPr>
          <w:rFonts w:cstheme="minorHAnsi"/>
          <w:szCs w:val="20"/>
        </w:rPr>
        <w:tab/>
        <w:t>8760 = Hours per year</w:t>
      </w:r>
    </w:p>
    <w:p w14:paraId="03924A75" w14:textId="77777777" w:rsidR="000702C6" w:rsidRDefault="000702C6" w:rsidP="000702C6">
      <w:pPr>
        <w:rPr>
          <w:rFonts w:cstheme="minorHAnsi"/>
          <w:szCs w:val="20"/>
        </w:rPr>
      </w:pPr>
      <w:r>
        <w:rPr>
          <w:rFonts w:cstheme="minorHAnsi"/>
          <w:szCs w:val="20"/>
        </w:rPr>
        <w:tab/>
      </w:r>
      <w:r>
        <w:rPr>
          <w:rFonts w:cstheme="minorHAnsi"/>
          <w:szCs w:val="20"/>
        </w:rPr>
        <w:tab/>
        <w:t>peak adjustment factor = adjustment for peak k/w over average kW for these hours</w:t>
      </w:r>
    </w:p>
    <w:p w14:paraId="1E3F2EB1" w14:textId="77777777" w:rsidR="000702C6" w:rsidRDefault="000702C6" w:rsidP="000702C6">
      <w:pPr>
        <w:rPr>
          <w:rFonts w:cstheme="minorHAnsi"/>
          <w:szCs w:val="20"/>
        </w:rPr>
      </w:pPr>
      <w:r>
        <w:rPr>
          <w:rFonts w:cstheme="minorHAnsi"/>
          <w:szCs w:val="20"/>
        </w:rPr>
        <w:tab/>
      </w:r>
      <w:r>
        <w:rPr>
          <w:rFonts w:cstheme="minorHAnsi"/>
          <w:szCs w:val="20"/>
        </w:rPr>
        <w:tab/>
      </w:r>
      <w:r>
        <w:rPr>
          <w:rFonts w:cstheme="minorHAnsi"/>
          <w:szCs w:val="20"/>
        </w:rPr>
        <w:tab/>
        <w:t xml:space="preserve">  = 1.5 </w:t>
      </w:r>
      <w:r>
        <w:rPr>
          <w:rStyle w:val="FootnoteReference"/>
          <w:rFonts w:eastAsiaTheme="majorEastAsia"/>
          <w:szCs w:val="20"/>
        </w:rPr>
        <w:footnoteReference w:id="24"/>
      </w:r>
      <w:r>
        <w:rPr>
          <w:rFonts w:cstheme="minorHAnsi"/>
          <w:szCs w:val="20"/>
        </w:rPr>
        <w:t xml:space="preserve"> </w:t>
      </w:r>
    </w:p>
    <w:p w14:paraId="78EEFB03" w14:textId="0431E368" w:rsidR="000702C6" w:rsidRDefault="000702C6" w:rsidP="000702C6">
      <w:pPr>
        <w:pStyle w:val="Heading6"/>
      </w:pPr>
      <w:bookmarkStart w:id="500" w:name="_Toc442804355"/>
      <w:del w:id="501" w:author="Sam Dent" w:date="2022-06-22T11:26:00Z">
        <w:r w:rsidDel="0069047C">
          <w:delText>Natural Gas</w:delText>
        </w:r>
      </w:del>
      <w:ins w:id="502" w:author="Sam Dent" w:date="2022-06-22T11:26:00Z">
        <w:r w:rsidR="0069047C">
          <w:t>Fossil Fuel</w:t>
        </w:r>
      </w:ins>
      <w:r>
        <w:t xml:space="preserve"> Energy Savings</w:t>
      </w:r>
      <w:bookmarkEnd w:id="500"/>
    </w:p>
    <w:p w14:paraId="0320A392" w14:textId="77777777" w:rsidR="000702C6" w:rsidRDefault="000702C6" w:rsidP="000702C6">
      <w:pPr>
        <w:rPr>
          <w:rFonts w:ascii="Calibri" w:hAnsi="Calibri"/>
          <w:szCs w:val="20"/>
        </w:rPr>
      </w:pPr>
      <w:r>
        <w:rPr>
          <w:rFonts w:ascii="Calibri" w:hAnsi="Calibri"/>
          <w:szCs w:val="20"/>
        </w:rPr>
        <w:t xml:space="preserve">The algorithm shown below for this measure was developed to calculate the annual persistence-adjusted </w:t>
      </w:r>
      <w:proofErr w:type="spellStart"/>
      <w:r>
        <w:rPr>
          <w:rFonts w:ascii="Calibri" w:hAnsi="Calibri"/>
          <w:szCs w:val="20"/>
        </w:rPr>
        <w:t>Therm</w:t>
      </w:r>
      <w:proofErr w:type="spellEnd"/>
      <w:r>
        <w:rPr>
          <w:rFonts w:ascii="Calibri" w:hAnsi="Calibri"/>
          <w:szCs w:val="20"/>
        </w:rPr>
        <w:t xml:space="preserve"> savings in to be reported in year T after adjustment to account for the proportion of the measured savings for that program year that actually reflects any persistent savings from prior years’ program activities (Years T-1, T-2, T-3, etc.).</w:t>
      </w:r>
      <w:r>
        <w:rPr>
          <w:rStyle w:val="FootnoteReference"/>
          <w:rFonts w:eastAsiaTheme="majorEastAsia"/>
          <w:szCs w:val="20"/>
        </w:rPr>
        <w:footnoteReference w:id="25"/>
      </w:r>
    </w:p>
    <w:p w14:paraId="162FC6B9" w14:textId="77777777" w:rsidR="000702C6" w:rsidRDefault="000702C6" w:rsidP="000702C6">
      <w:pPr>
        <w:widowControl/>
        <w:spacing w:after="0"/>
        <w:ind w:firstLine="720"/>
        <w:rPr>
          <w:rFonts w:ascii="Calibri" w:hAnsi="Calibri"/>
          <w:sz w:val="22"/>
          <w:szCs w:val="20"/>
        </w:rPr>
      </w:pPr>
      <w:r>
        <w:rPr>
          <w:rFonts w:ascii="Calibri" w:hAnsi="Calibri" w:cs="Calibri"/>
          <w:noProof/>
        </w:rPr>
        <w:t>ΔTherms</w:t>
      </w:r>
      <w:r>
        <w:rPr>
          <w:rFonts w:ascii="Calibri" w:hAnsi="Calibri"/>
          <w:szCs w:val="20"/>
          <w:vertAlign w:val="subscript"/>
        </w:rPr>
        <w:t>T Adjusted</w:t>
      </w:r>
      <w:r>
        <w:rPr>
          <w:rFonts w:ascii="Calibri" w:hAnsi="Calibri"/>
          <w:szCs w:val="20"/>
        </w:rPr>
        <w:t xml:space="preserve"> = </w:t>
      </w:r>
      <w:proofErr w:type="spellStart"/>
      <w:r>
        <w:rPr>
          <w:rFonts w:ascii="Calibri" w:hAnsi="Calibri" w:cs="Calibri"/>
          <w:noProof/>
        </w:rPr>
        <w:t>ΔTherms</w:t>
      </w:r>
      <w:r>
        <w:rPr>
          <w:rFonts w:ascii="Calibri" w:hAnsi="Calibri"/>
          <w:szCs w:val="20"/>
          <w:vertAlign w:val="subscript"/>
        </w:rPr>
        <w:t>T</w:t>
      </w:r>
      <w:proofErr w:type="spellEnd"/>
      <w:r>
        <w:rPr>
          <w:rFonts w:ascii="Calibri" w:hAnsi="Calibri"/>
          <w:szCs w:val="20"/>
          <w:vertAlign w:val="subscript"/>
        </w:rPr>
        <w:t xml:space="preserve"> Measured</w:t>
      </w:r>
      <w:r>
        <w:rPr>
          <w:rFonts w:ascii="Calibri" w:hAnsi="Calibri"/>
          <w:szCs w:val="20"/>
        </w:rPr>
        <w:t xml:space="preserve"> –</w:t>
      </w:r>
      <w:r>
        <w:rPr>
          <w:rFonts w:ascii="Calibri" w:hAnsi="Calibri"/>
          <w:sz w:val="22"/>
          <w:szCs w:val="20"/>
        </w:rPr>
        <w:t xml:space="preserve"> </w:t>
      </w:r>
      <m:oMath>
        <m:nary>
          <m:naryPr>
            <m:chr m:val="∑"/>
            <m:limLoc m:val="subSup"/>
            <m:grow m:val="1"/>
            <m:ctrlPr>
              <w:rPr>
                <w:rFonts w:ascii="Cambria Math" w:hAnsi="Cambria Math"/>
                <w:i/>
              </w:rPr>
            </m:ctrlPr>
          </m:naryPr>
          <m:sub>
            <m:r>
              <w:rPr>
                <w:rFonts w:ascii="Cambria Math" w:hAnsi="Cambria Math"/>
                <w:szCs w:val="20"/>
              </w:rPr>
              <m:t>i=1</m:t>
            </m:r>
          </m:sub>
          <m:sup>
            <m:r>
              <w:rPr>
                <w:rFonts w:ascii="Cambria Math" w:hAnsi="Cambria Math"/>
                <w:szCs w:val="20"/>
              </w:rPr>
              <m:t>n</m:t>
            </m:r>
          </m:sup>
          <m:e>
            <m:r>
              <w:rPr>
                <w:rFonts w:ascii="Cambria Math" w:hAnsi="Cambria Math"/>
                <w:szCs w:val="20"/>
              </w:rPr>
              <m:t xml:space="preserve"> </m:t>
            </m:r>
          </m:e>
        </m:nary>
      </m:oMath>
      <w:r>
        <w:rPr>
          <w:rFonts w:ascii="Calibri" w:hAnsi="Calibri"/>
          <w:szCs w:val="20"/>
        </w:rPr>
        <w:t>(</w:t>
      </w:r>
      <w:r>
        <w:rPr>
          <w:rFonts w:ascii="Calibri" w:hAnsi="Calibri" w:cs="Calibri"/>
          <w:noProof/>
        </w:rPr>
        <w:t>ΔTherms</w:t>
      </w:r>
      <w:r>
        <w:rPr>
          <w:rFonts w:ascii="Calibri" w:hAnsi="Calibri"/>
          <w:szCs w:val="20"/>
          <w:vertAlign w:val="subscript"/>
        </w:rPr>
        <w:t>T-</w:t>
      </w:r>
      <w:proofErr w:type="spellStart"/>
      <w:r>
        <w:rPr>
          <w:rFonts w:ascii="Calibri" w:hAnsi="Calibri"/>
          <w:i/>
          <w:szCs w:val="20"/>
          <w:vertAlign w:val="subscript"/>
        </w:rPr>
        <w:t>i</w:t>
      </w:r>
      <w:proofErr w:type="spellEnd"/>
      <w:r>
        <w:rPr>
          <w:rFonts w:ascii="Calibri" w:hAnsi="Calibri"/>
          <w:szCs w:val="20"/>
          <w:vertAlign w:val="subscript"/>
        </w:rPr>
        <w:t xml:space="preserve"> Adjusted</w:t>
      </w:r>
      <w:r>
        <w:rPr>
          <w:rFonts w:ascii="Calibri" w:hAnsi="Calibri"/>
          <w:szCs w:val="20"/>
        </w:rPr>
        <w:t xml:space="preserve"> * </w:t>
      </w:r>
      <w:proofErr w:type="spellStart"/>
      <w:r>
        <w:rPr>
          <w:rFonts w:ascii="Calibri" w:hAnsi="Calibri"/>
          <w:szCs w:val="20"/>
        </w:rPr>
        <w:t>RR</w:t>
      </w:r>
      <w:ins w:id="503" w:author="Carly Olig" w:date="2022-05-04T15:41:00Z">
        <w:r>
          <w:rPr>
            <w:rFonts w:ascii="Calibri" w:hAnsi="Calibri"/>
            <w:szCs w:val="20"/>
            <w:vertAlign w:val="superscript"/>
          </w:rPr>
          <w:t>i</w:t>
        </w:r>
        <w:proofErr w:type="spellEnd"/>
        <w:r>
          <w:rPr>
            <w:rFonts w:ascii="Calibri" w:hAnsi="Calibri"/>
            <w:szCs w:val="20"/>
          </w:rPr>
          <w:t xml:space="preserve"> </w:t>
        </w:r>
      </w:ins>
      <w:del w:id="504" w:author="Carly Olig" w:date="2022-05-04T15:41:00Z">
        <w:r w:rsidDel="008B5782">
          <w:rPr>
            <w:rFonts w:ascii="Calibri" w:hAnsi="Calibri"/>
            <w:szCs w:val="20"/>
            <w:vertAlign w:val="subscript"/>
          </w:rPr>
          <w:delText>T-</w:delText>
        </w:r>
        <w:r w:rsidDel="008B5782">
          <w:rPr>
            <w:rFonts w:ascii="Calibri" w:hAnsi="Calibri"/>
            <w:i/>
            <w:szCs w:val="20"/>
            <w:vertAlign w:val="subscript"/>
          </w:rPr>
          <w:delText>i</w:delText>
        </w:r>
        <w:r w:rsidDel="008B5782">
          <w:rPr>
            <w:rFonts w:ascii="Calibri" w:hAnsi="Calibri"/>
            <w:szCs w:val="20"/>
            <w:vertAlign w:val="subscript"/>
          </w:rPr>
          <w:delText>,T</w:delText>
        </w:r>
      </w:del>
      <w:r>
        <w:rPr>
          <w:rFonts w:ascii="Calibri" w:hAnsi="Calibri"/>
          <w:szCs w:val="20"/>
        </w:rPr>
        <w:t xml:space="preserve"> * </w:t>
      </w:r>
      <w:proofErr w:type="spellStart"/>
      <w:r>
        <w:rPr>
          <w:rFonts w:ascii="Calibri" w:hAnsi="Calibri"/>
          <w:szCs w:val="20"/>
        </w:rPr>
        <w:t>PFG</w:t>
      </w:r>
      <w:r>
        <w:rPr>
          <w:rFonts w:ascii="Calibri" w:hAnsi="Calibri"/>
          <w:i/>
          <w:szCs w:val="20"/>
          <w:vertAlign w:val="subscript"/>
        </w:rPr>
        <w:t>i</w:t>
      </w:r>
      <w:proofErr w:type="spellEnd"/>
      <w:r>
        <w:rPr>
          <w:rFonts w:ascii="Calibri" w:hAnsi="Calibri"/>
          <w:szCs w:val="20"/>
        </w:rPr>
        <w:t>)</w:t>
      </w:r>
    </w:p>
    <w:p w14:paraId="41E760E8" w14:textId="77777777" w:rsidR="000702C6" w:rsidRDefault="000702C6" w:rsidP="000702C6">
      <w:pPr>
        <w:spacing w:after="0"/>
        <w:ind w:left="1440" w:hanging="720"/>
        <w:rPr>
          <w:rFonts w:ascii="Calibri" w:hAnsi="Calibri" w:cs="Calibri"/>
          <w:noProof/>
        </w:rPr>
      </w:pPr>
    </w:p>
    <w:p w14:paraId="647D6983" w14:textId="77777777" w:rsidR="000702C6" w:rsidRDefault="000702C6" w:rsidP="000702C6">
      <w:pPr>
        <w:ind w:left="1440" w:hanging="720"/>
        <w:rPr>
          <w:rFonts w:cstheme="minorHAnsi"/>
          <w:noProof/>
        </w:rPr>
      </w:pPr>
      <w:r>
        <w:rPr>
          <w:rFonts w:cstheme="minorHAnsi"/>
          <w:noProof/>
        </w:rPr>
        <w:t>Where:</w:t>
      </w:r>
    </w:p>
    <w:p w14:paraId="3A45C080" w14:textId="77777777" w:rsidR="000702C6" w:rsidRDefault="000702C6" w:rsidP="000702C6">
      <w:pPr>
        <w:ind w:left="1440"/>
        <w:rPr>
          <w:rFonts w:cstheme="minorHAnsi"/>
          <w:szCs w:val="20"/>
        </w:rPr>
      </w:pPr>
      <w:r>
        <w:rPr>
          <w:rFonts w:cstheme="minorHAnsi"/>
          <w:noProof/>
        </w:rPr>
        <w:t>ΔTherms</w:t>
      </w:r>
      <w:r>
        <w:rPr>
          <w:rFonts w:cstheme="minorHAnsi"/>
          <w:noProof/>
          <w:vertAlign w:val="subscript"/>
        </w:rPr>
        <w:t xml:space="preserve">x </w:t>
      </w:r>
      <w:r>
        <w:rPr>
          <w:rFonts w:cstheme="minorHAnsi"/>
          <w:szCs w:val="20"/>
          <w:vertAlign w:val="subscript"/>
        </w:rPr>
        <w:t>Adjusted</w:t>
      </w:r>
      <w:r>
        <w:rPr>
          <w:rFonts w:cstheme="minorHAnsi"/>
          <w:szCs w:val="20"/>
        </w:rPr>
        <w:t xml:space="preserve"> </w:t>
      </w:r>
      <w:r>
        <w:rPr>
          <w:rFonts w:cstheme="minorHAnsi"/>
          <w:szCs w:val="20"/>
        </w:rPr>
        <w:tab/>
        <w:t>= total program annual savings for year X after adjustments to account for persistence (calculated value)</w:t>
      </w:r>
    </w:p>
    <w:p w14:paraId="20F6B649" w14:textId="77777777" w:rsidR="000702C6" w:rsidRDefault="000702C6" w:rsidP="000702C6">
      <w:pPr>
        <w:ind w:left="1440"/>
        <w:rPr>
          <w:rFonts w:cstheme="minorHAnsi"/>
          <w:szCs w:val="20"/>
        </w:rPr>
      </w:pPr>
      <w:r>
        <w:rPr>
          <w:rFonts w:cstheme="minorHAnsi"/>
          <w:noProof/>
        </w:rPr>
        <w:lastRenderedPageBreak/>
        <w:t>ΔTherms</w:t>
      </w:r>
      <w:r>
        <w:rPr>
          <w:rFonts w:cstheme="minorHAnsi"/>
          <w:noProof/>
          <w:vertAlign w:val="subscript"/>
        </w:rPr>
        <w:t xml:space="preserve">x </w:t>
      </w:r>
      <w:r>
        <w:rPr>
          <w:rFonts w:cstheme="minorHAnsi"/>
          <w:szCs w:val="20"/>
          <w:vertAlign w:val="subscript"/>
        </w:rPr>
        <w:t>Measured</w:t>
      </w:r>
      <w:r>
        <w:rPr>
          <w:rFonts w:cstheme="minorHAnsi"/>
          <w:szCs w:val="20"/>
        </w:rPr>
        <w:t xml:space="preserve"> </w:t>
      </w:r>
      <w:r>
        <w:rPr>
          <w:rFonts w:cstheme="minorHAnsi"/>
          <w:szCs w:val="20"/>
        </w:rPr>
        <w:tab/>
        <w:t>= total program savings as determined from custom calculation/billing analysis of participants in program during year X (input value)</w:t>
      </w:r>
      <w:r>
        <w:rPr>
          <w:rStyle w:val="FootnoteReference"/>
          <w:rFonts w:eastAsiaTheme="majorEastAsia"/>
          <w:szCs w:val="20"/>
        </w:rPr>
        <w:footnoteReference w:id="26"/>
      </w:r>
      <w:r>
        <w:rPr>
          <w:rFonts w:cstheme="minorHAnsi"/>
          <w:szCs w:val="20"/>
        </w:rPr>
        <w:t xml:space="preserve"> </w:t>
      </w:r>
    </w:p>
    <w:p w14:paraId="33BBC272" w14:textId="77777777" w:rsidR="000702C6" w:rsidRDefault="000702C6" w:rsidP="000702C6">
      <w:pPr>
        <w:ind w:left="1440"/>
        <w:rPr>
          <w:rFonts w:cstheme="minorHAnsi"/>
          <w:szCs w:val="20"/>
        </w:rPr>
      </w:pPr>
      <w:r>
        <w:rPr>
          <w:rFonts w:cstheme="minorHAnsi"/>
          <w:szCs w:val="20"/>
        </w:rPr>
        <w:t>PFG</w:t>
      </w:r>
      <w:r>
        <w:rPr>
          <w:rFonts w:cstheme="minorHAnsi"/>
          <w:szCs w:val="20"/>
          <w:vertAlign w:val="subscript"/>
        </w:rPr>
        <w:t>Z</w:t>
      </w:r>
      <w:r>
        <w:rPr>
          <w:rFonts w:cstheme="minorHAnsi"/>
          <w:szCs w:val="20"/>
        </w:rPr>
        <w:tab/>
        <w:t xml:space="preserve"> = Persistence factor, gas programs (deemed value)</w:t>
      </w:r>
    </w:p>
    <w:p w14:paraId="451F6488" w14:textId="77777777" w:rsidR="000702C6" w:rsidRDefault="000702C6" w:rsidP="000702C6">
      <w:pPr>
        <w:ind w:left="2160" w:hanging="720"/>
        <w:rPr>
          <w:rFonts w:cstheme="minorHAnsi"/>
          <w:szCs w:val="20"/>
        </w:rPr>
      </w:pPr>
      <w:r>
        <w:rPr>
          <w:rFonts w:cstheme="minorHAnsi"/>
          <w:szCs w:val="20"/>
        </w:rPr>
        <w:tab/>
        <w:t xml:space="preserve"> = % savings that persist Z years after savings were initially measured</w:t>
      </w:r>
    </w:p>
    <w:p w14:paraId="60609C6E" w14:textId="77777777" w:rsidR="000702C6" w:rsidRDefault="000702C6" w:rsidP="000702C6">
      <w:pPr>
        <w:rPr>
          <w:rFonts w:cstheme="minorHAnsi"/>
          <w:szCs w:val="20"/>
        </w:rPr>
      </w:pPr>
      <w:r>
        <w:rPr>
          <w:rFonts w:cstheme="minorHAnsi"/>
          <w:szCs w:val="20"/>
        </w:rPr>
        <w:t xml:space="preserve"> </w:t>
      </w:r>
      <w:r>
        <w:rPr>
          <w:rFonts w:cstheme="minorHAnsi"/>
          <w:szCs w:val="20"/>
        </w:rPr>
        <w:tab/>
      </w:r>
      <w:r>
        <w:rPr>
          <w:rFonts w:cstheme="minorHAnsi"/>
          <w:szCs w:val="20"/>
        </w:rPr>
        <w:tab/>
      </w:r>
      <w:r>
        <w:rPr>
          <w:rFonts w:cstheme="minorHAnsi"/>
          <w:szCs w:val="20"/>
        </w:rPr>
        <w:tab/>
        <w:t>= use table below to select the appropriate value</w:t>
      </w:r>
    </w:p>
    <w:p w14:paraId="755E1ECB" w14:textId="77777777" w:rsidR="000702C6" w:rsidRDefault="000702C6" w:rsidP="000702C6">
      <w:pPr>
        <w:ind w:left="2160" w:hanging="720"/>
        <w:jc w:val="left"/>
        <w:rPr>
          <w:rFonts w:cstheme="minorHAnsi"/>
          <w:szCs w:val="20"/>
        </w:rPr>
      </w:pPr>
      <w:r>
        <w:rPr>
          <w:rFonts w:cstheme="minorHAnsi"/>
          <w:i/>
          <w:iCs/>
          <w:szCs w:val="20"/>
        </w:rPr>
        <w:t>n</w:t>
      </w:r>
      <w:r>
        <w:rPr>
          <w:rFonts w:cstheme="minorHAnsi"/>
          <w:szCs w:val="20"/>
        </w:rPr>
        <w:tab/>
        <w:t xml:space="preserve">= number of additional years </w:t>
      </w:r>
      <w:r>
        <w:rPr>
          <w:rFonts w:cstheme="minorHAnsi"/>
          <w:szCs w:val="20"/>
          <w:u w:val="single"/>
        </w:rPr>
        <w:t>beyond</w:t>
      </w:r>
      <w:r>
        <w:rPr>
          <w:rFonts w:cstheme="minorHAnsi"/>
          <w:szCs w:val="20"/>
        </w:rPr>
        <w:t xml:space="preserve"> first year of program delivery for which savings persist</w:t>
      </w:r>
    </w:p>
    <w:p w14:paraId="36D05519" w14:textId="77777777" w:rsidR="000702C6" w:rsidRDefault="000702C6" w:rsidP="000702C6">
      <w:pPr>
        <w:jc w:val="left"/>
        <w:rPr>
          <w:rFonts w:cstheme="minorHAnsi"/>
          <w:szCs w:val="20"/>
        </w:rPr>
      </w:pPr>
      <w:r>
        <w:rPr>
          <w:rFonts w:cstheme="minorHAnsi"/>
          <w:szCs w:val="20"/>
        </w:rPr>
        <w:tab/>
      </w:r>
      <w:r>
        <w:rPr>
          <w:rFonts w:cstheme="minorHAnsi"/>
          <w:szCs w:val="20"/>
        </w:rPr>
        <w:tab/>
      </w:r>
      <w:r>
        <w:rPr>
          <w:rFonts w:cstheme="minorHAnsi"/>
          <w:szCs w:val="20"/>
        </w:rPr>
        <w:tab/>
        <w:t>= Illinois gas programs assumption = 6</w:t>
      </w:r>
    </w:p>
    <w:p w14:paraId="715D6397" w14:textId="77777777" w:rsidR="000702C6" w:rsidRDefault="000702C6" w:rsidP="000702C6">
      <w:pPr>
        <w:ind w:left="2160" w:hanging="720"/>
        <w:rPr>
          <w:rFonts w:cstheme="minorHAnsi"/>
          <w:szCs w:val="20"/>
        </w:rPr>
      </w:pPr>
      <w:r>
        <w:rPr>
          <w:rFonts w:cstheme="minorHAnsi"/>
          <w:szCs w:val="20"/>
        </w:rPr>
        <w:t>Other variables as defined above</w:t>
      </w:r>
    </w:p>
    <w:p w14:paraId="26C28AF2" w14:textId="77777777" w:rsidR="000702C6" w:rsidRDefault="000702C6" w:rsidP="000702C6">
      <w:pPr>
        <w:keepNext/>
        <w:ind w:left="187"/>
        <w:jc w:val="left"/>
        <w:rPr>
          <w:rFonts w:cstheme="minorHAnsi"/>
        </w:rPr>
      </w:pPr>
      <w:r>
        <w:rPr>
          <w:rFonts w:cstheme="minorHAnsi"/>
          <w:b/>
          <w:szCs w:val="20"/>
        </w:rPr>
        <w:t>Gas Persistence Factors</w:t>
      </w:r>
      <w:r>
        <w:rPr>
          <w:rStyle w:val="FootnoteReference"/>
          <w:rFonts w:eastAsiaTheme="majorEastAsia"/>
          <w:b/>
          <w:szCs w:val="20"/>
        </w:rPr>
        <w:footnoteReference w:id="27"/>
      </w:r>
    </w:p>
    <w:tbl>
      <w:tblPr>
        <w:tblW w:w="63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60"/>
        <w:gridCol w:w="2020"/>
      </w:tblGrid>
      <w:tr w:rsidR="000702C6" w14:paraId="4AEFA0C9" w14:textId="77777777" w:rsidTr="00114B6E">
        <w:trPr>
          <w:trHeight w:val="315"/>
          <w:tblHeader/>
          <w:jc w:val="center"/>
        </w:trPr>
        <w:tc>
          <w:tcPr>
            <w:tcW w:w="6380" w:type="dxa"/>
            <w:gridSpan w:val="2"/>
            <w:tcBorders>
              <w:top w:val="single" w:sz="4" w:space="0" w:color="auto"/>
              <w:left w:val="single" w:sz="4" w:space="0" w:color="auto"/>
              <w:bottom w:val="single" w:sz="4" w:space="0" w:color="auto"/>
              <w:right w:val="single" w:sz="4" w:space="0" w:color="auto"/>
            </w:tcBorders>
            <w:shd w:val="clear" w:color="auto" w:fill="7F7F7F"/>
            <w:vAlign w:val="center"/>
            <w:hideMark/>
          </w:tcPr>
          <w:p w14:paraId="10593FC2" w14:textId="77777777" w:rsidR="000702C6" w:rsidRDefault="000702C6" w:rsidP="00114B6E">
            <w:pPr>
              <w:widowControl/>
              <w:spacing w:after="0" w:line="256" w:lineRule="auto"/>
              <w:jc w:val="center"/>
              <w:rPr>
                <w:rFonts w:ascii="Calibri" w:hAnsi="Calibri" w:cs="Calibri"/>
                <w:b/>
                <w:bCs/>
                <w:color w:val="FFFFFF"/>
                <w:szCs w:val="20"/>
              </w:rPr>
            </w:pPr>
            <w:bookmarkStart w:id="505" w:name="_Toc442804356"/>
            <w:r>
              <w:rPr>
                <w:rFonts w:ascii="Calibri" w:hAnsi="Calibri" w:cs="Calibri"/>
                <w:b/>
                <w:bCs/>
                <w:color w:val="FFFFFF"/>
                <w:szCs w:val="20"/>
              </w:rPr>
              <w:t>Program Type = Gas Residential HERs-type (RCT)</w:t>
            </w:r>
          </w:p>
        </w:tc>
      </w:tr>
      <w:tr w:rsidR="000702C6" w14:paraId="52780243" w14:textId="77777777" w:rsidTr="00114B6E">
        <w:trPr>
          <w:trHeight w:val="315"/>
          <w:tblHeader/>
          <w:jc w:val="center"/>
        </w:trPr>
        <w:tc>
          <w:tcPr>
            <w:tcW w:w="4360" w:type="dxa"/>
            <w:tcBorders>
              <w:top w:val="single" w:sz="4" w:space="0" w:color="auto"/>
              <w:left w:val="single" w:sz="4" w:space="0" w:color="auto"/>
              <w:bottom w:val="single" w:sz="4" w:space="0" w:color="auto"/>
              <w:right w:val="single" w:sz="4" w:space="0" w:color="auto"/>
            </w:tcBorders>
            <w:shd w:val="clear" w:color="auto" w:fill="808080"/>
            <w:vAlign w:val="center"/>
            <w:hideMark/>
          </w:tcPr>
          <w:p w14:paraId="65F81868" w14:textId="77777777" w:rsidR="000702C6" w:rsidRDefault="000702C6" w:rsidP="00114B6E">
            <w:pPr>
              <w:widowControl/>
              <w:spacing w:after="0" w:line="256" w:lineRule="auto"/>
              <w:jc w:val="center"/>
              <w:rPr>
                <w:rFonts w:ascii="Calibri" w:hAnsi="Calibri" w:cs="Calibri"/>
                <w:b/>
                <w:bCs/>
                <w:color w:val="FFFFFF"/>
                <w:szCs w:val="20"/>
              </w:rPr>
            </w:pPr>
            <w:r>
              <w:rPr>
                <w:rFonts w:ascii="Calibri" w:hAnsi="Calibri" w:cs="Calibri"/>
                <w:b/>
                <w:bCs/>
                <w:color w:val="FFFFFF"/>
                <w:szCs w:val="20"/>
              </w:rPr>
              <w:t>Application Year</w:t>
            </w:r>
          </w:p>
        </w:tc>
        <w:tc>
          <w:tcPr>
            <w:tcW w:w="2020" w:type="dxa"/>
            <w:tcBorders>
              <w:top w:val="single" w:sz="4" w:space="0" w:color="auto"/>
              <w:left w:val="single" w:sz="4" w:space="0" w:color="auto"/>
              <w:bottom w:val="single" w:sz="4" w:space="0" w:color="auto"/>
              <w:right w:val="single" w:sz="4" w:space="0" w:color="auto"/>
            </w:tcBorders>
            <w:shd w:val="clear" w:color="auto" w:fill="808080"/>
            <w:vAlign w:val="center"/>
            <w:hideMark/>
          </w:tcPr>
          <w:p w14:paraId="79CD425E" w14:textId="77777777" w:rsidR="000702C6" w:rsidRDefault="000702C6" w:rsidP="00114B6E">
            <w:pPr>
              <w:widowControl/>
              <w:spacing w:after="0" w:line="256" w:lineRule="auto"/>
              <w:jc w:val="center"/>
              <w:rPr>
                <w:rFonts w:ascii="Calibri" w:hAnsi="Calibri" w:cs="Calibri"/>
                <w:b/>
                <w:bCs/>
                <w:color w:val="FFFFFF"/>
                <w:szCs w:val="20"/>
              </w:rPr>
            </w:pPr>
            <w:r>
              <w:rPr>
                <w:rFonts w:ascii="Calibri" w:hAnsi="Calibri" w:cs="Calibri"/>
                <w:b/>
                <w:bCs/>
                <w:color w:val="FFFFFF"/>
                <w:szCs w:val="20"/>
              </w:rPr>
              <w:t>Persistence Factor</w:t>
            </w:r>
          </w:p>
        </w:tc>
      </w:tr>
      <w:tr w:rsidR="000702C6" w14:paraId="73B56120" w14:textId="77777777" w:rsidTr="00114B6E">
        <w:trPr>
          <w:trHeight w:val="600"/>
          <w:jc w:val="center"/>
        </w:trPr>
        <w:tc>
          <w:tcPr>
            <w:tcW w:w="4360" w:type="dxa"/>
            <w:tcBorders>
              <w:top w:val="single" w:sz="4" w:space="0" w:color="auto"/>
              <w:left w:val="single" w:sz="4" w:space="0" w:color="auto"/>
              <w:bottom w:val="single" w:sz="4" w:space="0" w:color="auto"/>
              <w:right w:val="single" w:sz="4" w:space="0" w:color="auto"/>
            </w:tcBorders>
            <w:vAlign w:val="center"/>
            <w:hideMark/>
          </w:tcPr>
          <w:p w14:paraId="60FBB6C1" w14:textId="77777777" w:rsidR="000702C6" w:rsidRDefault="000702C6" w:rsidP="00114B6E">
            <w:pPr>
              <w:widowControl/>
              <w:spacing w:after="0" w:line="256" w:lineRule="auto"/>
              <w:jc w:val="center"/>
              <w:rPr>
                <w:rFonts w:ascii="Calibri" w:hAnsi="Calibri" w:cs="Calibri"/>
                <w:szCs w:val="20"/>
              </w:rPr>
            </w:pPr>
            <w:r>
              <w:rPr>
                <w:rFonts w:ascii="Calibri" w:hAnsi="Calibri" w:cs="Calibri"/>
                <w:b/>
                <w:bCs/>
                <w:szCs w:val="20"/>
              </w:rPr>
              <w:t>Program Year T (treatment year)</w:t>
            </w:r>
            <w:r>
              <w:rPr>
                <w:rFonts w:ascii="Calibri" w:hAnsi="Calibri" w:cs="Calibri"/>
                <w:szCs w:val="20"/>
              </w:rPr>
              <w:t xml:space="preserve"> - record 100% of adjusted savings (</w:t>
            </w:r>
            <w:proofErr w:type="spellStart"/>
            <w:r>
              <w:rPr>
                <w:rFonts w:ascii="Calibri" w:hAnsi="Calibri" w:cs="Calibri"/>
                <w:szCs w:val="20"/>
              </w:rPr>
              <w:t>ΔTherms</w:t>
            </w:r>
            <w:r>
              <w:rPr>
                <w:rFonts w:ascii="Calibri" w:hAnsi="Calibri" w:cs="Calibri"/>
                <w:szCs w:val="20"/>
                <w:vertAlign w:val="subscript"/>
              </w:rPr>
              <w:t>TAdjusted</w:t>
            </w:r>
            <w:proofErr w:type="spellEnd"/>
            <w:r>
              <w:rPr>
                <w:rFonts w:ascii="Calibri" w:hAnsi="Calibri" w:cs="Calibri"/>
                <w:szCs w:val="20"/>
              </w:rPr>
              <w:t xml:space="preserve"> above)</w:t>
            </w:r>
          </w:p>
        </w:tc>
        <w:tc>
          <w:tcPr>
            <w:tcW w:w="2020" w:type="dxa"/>
            <w:tcBorders>
              <w:top w:val="single" w:sz="4" w:space="0" w:color="auto"/>
              <w:left w:val="single" w:sz="4" w:space="0" w:color="auto"/>
              <w:bottom w:val="single" w:sz="4" w:space="0" w:color="auto"/>
              <w:right w:val="single" w:sz="4" w:space="0" w:color="auto"/>
            </w:tcBorders>
            <w:vAlign w:val="center"/>
            <w:hideMark/>
          </w:tcPr>
          <w:p w14:paraId="339EF1F7" w14:textId="77777777" w:rsidR="000702C6" w:rsidRDefault="000702C6" w:rsidP="00114B6E">
            <w:pPr>
              <w:widowControl/>
              <w:spacing w:after="0" w:line="256" w:lineRule="auto"/>
              <w:jc w:val="center"/>
              <w:rPr>
                <w:rFonts w:ascii="Calibri" w:hAnsi="Calibri" w:cs="Calibri"/>
                <w:color w:val="000000"/>
                <w:szCs w:val="20"/>
              </w:rPr>
            </w:pPr>
            <w:r>
              <w:rPr>
                <w:rFonts w:ascii="Calibri" w:eastAsia="Calibri" w:hAnsi="Calibri" w:cs="Calibri"/>
                <w:color w:val="000000"/>
                <w:szCs w:val="20"/>
              </w:rPr>
              <w:t>100%</w:t>
            </w:r>
          </w:p>
        </w:tc>
      </w:tr>
      <w:tr w:rsidR="000702C6" w14:paraId="62C0E6E7" w14:textId="77777777" w:rsidTr="00114B6E">
        <w:trPr>
          <w:trHeight w:val="600"/>
          <w:jc w:val="center"/>
        </w:trPr>
        <w:tc>
          <w:tcPr>
            <w:tcW w:w="4360" w:type="dxa"/>
            <w:tcBorders>
              <w:top w:val="single" w:sz="4" w:space="0" w:color="auto"/>
              <w:left w:val="single" w:sz="4" w:space="0" w:color="auto"/>
              <w:bottom w:val="single" w:sz="4" w:space="0" w:color="auto"/>
              <w:right w:val="single" w:sz="4" w:space="0" w:color="auto"/>
            </w:tcBorders>
            <w:vAlign w:val="center"/>
            <w:hideMark/>
          </w:tcPr>
          <w:p w14:paraId="105C0502" w14:textId="77777777" w:rsidR="000702C6" w:rsidRDefault="000702C6" w:rsidP="00114B6E">
            <w:pPr>
              <w:widowControl/>
              <w:spacing w:after="0" w:line="256" w:lineRule="auto"/>
              <w:jc w:val="center"/>
              <w:rPr>
                <w:rFonts w:ascii="Calibri" w:hAnsi="Calibri" w:cs="Calibri"/>
                <w:szCs w:val="20"/>
              </w:rPr>
            </w:pPr>
            <w:r>
              <w:rPr>
                <w:rFonts w:ascii="Calibri" w:hAnsi="Calibri" w:cs="Calibri"/>
                <w:szCs w:val="20"/>
              </w:rPr>
              <w:t xml:space="preserve">Percent adjusted savings from Year </w:t>
            </w:r>
            <w:proofErr w:type="spellStart"/>
            <w:r>
              <w:rPr>
                <w:rFonts w:ascii="Calibri" w:hAnsi="Calibri" w:cs="Calibri"/>
                <w:szCs w:val="20"/>
              </w:rPr>
              <w:t>T</w:t>
            </w:r>
            <w:proofErr w:type="spellEnd"/>
            <w:r>
              <w:rPr>
                <w:rFonts w:ascii="Calibri" w:hAnsi="Calibri" w:cs="Calibri"/>
                <w:szCs w:val="20"/>
              </w:rPr>
              <w:t xml:space="preserve"> activities that persist </w:t>
            </w:r>
            <w:r>
              <w:rPr>
                <w:rFonts w:ascii="Calibri" w:hAnsi="Calibri" w:cs="Calibri"/>
                <w:b/>
                <w:bCs/>
                <w:szCs w:val="20"/>
              </w:rPr>
              <w:t>1 year after year T</w:t>
            </w:r>
            <w:r>
              <w:rPr>
                <w:rFonts w:ascii="Calibri" w:hAnsi="Calibri" w:cs="Calibri"/>
                <w:szCs w:val="20"/>
              </w:rPr>
              <w:t xml:space="preserve"> = PGE</w:t>
            </w:r>
            <w:r>
              <w:rPr>
                <w:rFonts w:ascii="Calibri" w:hAnsi="Calibri" w:cs="Calibri"/>
                <w:szCs w:val="20"/>
                <w:vertAlign w:val="subscript"/>
              </w:rPr>
              <w:t>1</w:t>
            </w:r>
          </w:p>
        </w:tc>
        <w:tc>
          <w:tcPr>
            <w:tcW w:w="2020" w:type="dxa"/>
            <w:tcBorders>
              <w:top w:val="single" w:sz="4" w:space="0" w:color="auto"/>
              <w:left w:val="single" w:sz="4" w:space="0" w:color="auto"/>
              <w:bottom w:val="single" w:sz="4" w:space="0" w:color="auto"/>
              <w:right w:val="single" w:sz="4" w:space="0" w:color="auto"/>
            </w:tcBorders>
            <w:vAlign w:val="center"/>
            <w:hideMark/>
          </w:tcPr>
          <w:p w14:paraId="3538E549" w14:textId="77777777" w:rsidR="000702C6" w:rsidRDefault="000702C6" w:rsidP="00114B6E">
            <w:pPr>
              <w:widowControl/>
              <w:spacing w:after="0" w:line="256" w:lineRule="auto"/>
              <w:jc w:val="center"/>
              <w:rPr>
                <w:rFonts w:ascii="Calibri" w:hAnsi="Calibri" w:cs="Calibri"/>
                <w:color w:val="000000"/>
                <w:szCs w:val="20"/>
              </w:rPr>
            </w:pPr>
            <w:r>
              <w:rPr>
                <w:rFonts w:ascii="Calibri" w:eastAsia="Calibri" w:hAnsi="Calibri" w:cs="Calibri"/>
                <w:color w:val="000000"/>
                <w:szCs w:val="20"/>
              </w:rPr>
              <w:t>70%</w:t>
            </w:r>
          </w:p>
        </w:tc>
      </w:tr>
      <w:tr w:rsidR="000702C6" w14:paraId="00C47D0C" w14:textId="77777777" w:rsidTr="00114B6E">
        <w:trPr>
          <w:trHeight w:val="600"/>
          <w:jc w:val="center"/>
        </w:trPr>
        <w:tc>
          <w:tcPr>
            <w:tcW w:w="4360" w:type="dxa"/>
            <w:tcBorders>
              <w:top w:val="single" w:sz="4" w:space="0" w:color="auto"/>
              <w:left w:val="single" w:sz="4" w:space="0" w:color="auto"/>
              <w:bottom w:val="single" w:sz="4" w:space="0" w:color="auto"/>
              <w:right w:val="single" w:sz="4" w:space="0" w:color="auto"/>
            </w:tcBorders>
            <w:vAlign w:val="center"/>
            <w:hideMark/>
          </w:tcPr>
          <w:p w14:paraId="1D670D67" w14:textId="77777777" w:rsidR="000702C6" w:rsidRDefault="000702C6" w:rsidP="00114B6E">
            <w:pPr>
              <w:widowControl/>
              <w:spacing w:after="0" w:line="256" w:lineRule="auto"/>
              <w:jc w:val="center"/>
              <w:rPr>
                <w:rFonts w:ascii="Calibri" w:hAnsi="Calibri" w:cs="Calibri"/>
                <w:szCs w:val="20"/>
              </w:rPr>
            </w:pPr>
            <w:r>
              <w:rPr>
                <w:rFonts w:ascii="Calibri" w:hAnsi="Calibri" w:cs="Calibri"/>
                <w:szCs w:val="20"/>
              </w:rPr>
              <w:t xml:space="preserve">Percent adjusted savings from Year </w:t>
            </w:r>
            <w:proofErr w:type="spellStart"/>
            <w:r>
              <w:rPr>
                <w:rFonts w:ascii="Calibri" w:hAnsi="Calibri" w:cs="Calibri"/>
                <w:szCs w:val="20"/>
              </w:rPr>
              <w:t>T</w:t>
            </w:r>
            <w:proofErr w:type="spellEnd"/>
            <w:r>
              <w:rPr>
                <w:rFonts w:ascii="Calibri" w:hAnsi="Calibri" w:cs="Calibri"/>
                <w:szCs w:val="20"/>
              </w:rPr>
              <w:t xml:space="preserve"> activities that persist </w:t>
            </w:r>
            <w:r>
              <w:rPr>
                <w:rFonts w:ascii="Calibri" w:hAnsi="Calibri" w:cs="Calibri"/>
                <w:b/>
                <w:bCs/>
                <w:szCs w:val="20"/>
              </w:rPr>
              <w:t>2 years after year T</w:t>
            </w:r>
            <w:r>
              <w:rPr>
                <w:rFonts w:ascii="Calibri" w:hAnsi="Calibri" w:cs="Calibri"/>
                <w:szCs w:val="20"/>
              </w:rPr>
              <w:t xml:space="preserve"> = PGE</w:t>
            </w:r>
            <w:r>
              <w:rPr>
                <w:rFonts w:ascii="Calibri" w:hAnsi="Calibri" w:cs="Calibri"/>
                <w:szCs w:val="20"/>
                <w:vertAlign w:val="subscript"/>
              </w:rPr>
              <w:t>2</w:t>
            </w:r>
          </w:p>
        </w:tc>
        <w:tc>
          <w:tcPr>
            <w:tcW w:w="2020" w:type="dxa"/>
            <w:tcBorders>
              <w:top w:val="single" w:sz="4" w:space="0" w:color="auto"/>
              <w:left w:val="single" w:sz="4" w:space="0" w:color="auto"/>
              <w:bottom w:val="single" w:sz="4" w:space="0" w:color="auto"/>
              <w:right w:val="single" w:sz="4" w:space="0" w:color="auto"/>
            </w:tcBorders>
            <w:vAlign w:val="center"/>
            <w:hideMark/>
          </w:tcPr>
          <w:p w14:paraId="1579E7F6" w14:textId="77777777" w:rsidR="000702C6" w:rsidRDefault="000702C6" w:rsidP="00114B6E">
            <w:pPr>
              <w:widowControl/>
              <w:spacing w:after="0" w:line="256" w:lineRule="auto"/>
              <w:jc w:val="center"/>
              <w:rPr>
                <w:rFonts w:ascii="Calibri" w:hAnsi="Calibri" w:cs="Calibri"/>
                <w:color w:val="000000"/>
                <w:szCs w:val="20"/>
              </w:rPr>
            </w:pPr>
            <w:r>
              <w:rPr>
                <w:rFonts w:ascii="Calibri" w:eastAsia="Calibri" w:hAnsi="Calibri" w:cs="Calibri"/>
                <w:color w:val="000000"/>
                <w:szCs w:val="20"/>
              </w:rPr>
              <w:t>49%</w:t>
            </w:r>
          </w:p>
        </w:tc>
      </w:tr>
      <w:tr w:rsidR="000702C6" w14:paraId="42917591" w14:textId="77777777" w:rsidTr="00114B6E">
        <w:trPr>
          <w:trHeight w:val="600"/>
          <w:jc w:val="center"/>
        </w:trPr>
        <w:tc>
          <w:tcPr>
            <w:tcW w:w="4360" w:type="dxa"/>
            <w:tcBorders>
              <w:top w:val="single" w:sz="4" w:space="0" w:color="auto"/>
              <w:left w:val="single" w:sz="4" w:space="0" w:color="auto"/>
              <w:bottom w:val="single" w:sz="4" w:space="0" w:color="auto"/>
              <w:right w:val="single" w:sz="4" w:space="0" w:color="auto"/>
            </w:tcBorders>
            <w:vAlign w:val="center"/>
            <w:hideMark/>
          </w:tcPr>
          <w:p w14:paraId="0CFDDD13" w14:textId="77777777" w:rsidR="000702C6" w:rsidRDefault="000702C6" w:rsidP="00114B6E">
            <w:pPr>
              <w:widowControl/>
              <w:spacing w:after="0" w:line="256" w:lineRule="auto"/>
              <w:jc w:val="center"/>
              <w:rPr>
                <w:rFonts w:ascii="Calibri" w:hAnsi="Calibri" w:cs="Calibri"/>
                <w:szCs w:val="20"/>
              </w:rPr>
            </w:pPr>
            <w:r>
              <w:rPr>
                <w:rFonts w:ascii="Calibri" w:hAnsi="Calibri" w:cs="Calibri"/>
                <w:szCs w:val="20"/>
              </w:rPr>
              <w:t xml:space="preserve">Percent adjusted savings from Year </w:t>
            </w:r>
            <w:proofErr w:type="spellStart"/>
            <w:r>
              <w:rPr>
                <w:rFonts w:ascii="Calibri" w:hAnsi="Calibri" w:cs="Calibri"/>
                <w:szCs w:val="20"/>
              </w:rPr>
              <w:t>T</w:t>
            </w:r>
            <w:proofErr w:type="spellEnd"/>
            <w:r>
              <w:rPr>
                <w:rFonts w:ascii="Calibri" w:hAnsi="Calibri" w:cs="Calibri"/>
                <w:szCs w:val="20"/>
              </w:rPr>
              <w:t xml:space="preserve"> activities that persist </w:t>
            </w:r>
            <w:r>
              <w:rPr>
                <w:rFonts w:ascii="Calibri" w:hAnsi="Calibri" w:cs="Calibri"/>
                <w:b/>
                <w:bCs/>
                <w:szCs w:val="20"/>
              </w:rPr>
              <w:t>3 years after year T</w:t>
            </w:r>
            <w:r>
              <w:rPr>
                <w:rFonts w:ascii="Calibri" w:hAnsi="Calibri" w:cs="Calibri"/>
                <w:szCs w:val="20"/>
              </w:rPr>
              <w:t xml:space="preserve"> = PGE</w:t>
            </w:r>
            <w:r>
              <w:rPr>
                <w:rFonts w:ascii="Calibri" w:hAnsi="Calibri" w:cs="Calibri"/>
                <w:szCs w:val="20"/>
                <w:vertAlign w:val="subscript"/>
              </w:rPr>
              <w:t>3</w:t>
            </w:r>
          </w:p>
        </w:tc>
        <w:tc>
          <w:tcPr>
            <w:tcW w:w="2020" w:type="dxa"/>
            <w:tcBorders>
              <w:top w:val="single" w:sz="4" w:space="0" w:color="auto"/>
              <w:left w:val="single" w:sz="4" w:space="0" w:color="auto"/>
              <w:bottom w:val="single" w:sz="4" w:space="0" w:color="auto"/>
              <w:right w:val="single" w:sz="4" w:space="0" w:color="auto"/>
            </w:tcBorders>
            <w:vAlign w:val="center"/>
            <w:hideMark/>
          </w:tcPr>
          <w:p w14:paraId="0216DFB9" w14:textId="77777777" w:rsidR="000702C6" w:rsidRDefault="000702C6" w:rsidP="00114B6E">
            <w:pPr>
              <w:widowControl/>
              <w:spacing w:after="0" w:line="256" w:lineRule="auto"/>
              <w:jc w:val="center"/>
              <w:rPr>
                <w:rFonts w:ascii="Calibri" w:hAnsi="Calibri" w:cs="Calibri"/>
                <w:color w:val="000000"/>
                <w:szCs w:val="20"/>
              </w:rPr>
            </w:pPr>
            <w:r>
              <w:rPr>
                <w:rFonts w:ascii="Calibri" w:eastAsia="Calibri" w:hAnsi="Calibri" w:cs="Calibri"/>
                <w:color w:val="000000"/>
                <w:szCs w:val="20"/>
              </w:rPr>
              <w:t>34%</w:t>
            </w:r>
          </w:p>
        </w:tc>
      </w:tr>
      <w:tr w:rsidR="000702C6" w14:paraId="49D9C24C" w14:textId="77777777" w:rsidTr="00114B6E">
        <w:trPr>
          <w:trHeight w:val="600"/>
          <w:jc w:val="center"/>
        </w:trPr>
        <w:tc>
          <w:tcPr>
            <w:tcW w:w="4360" w:type="dxa"/>
            <w:tcBorders>
              <w:top w:val="single" w:sz="4" w:space="0" w:color="auto"/>
              <w:left w:val="single" w:sz="4" w:space="0" w:color="auto"/>
              <w:bottom w:val="single" w:sz="4" w:space="0" w:color="auto"/>
              <w:right w:val="single" w:sz="4" w:space="0" w:color="auto"/>
            </w:tcBorders>
            <w:vAlign w:val="center"/>
            <w:hideMark/>
          </w:tcPr>
          <w:p w14:paraId="61580418" w14:textId="77777777" w:rsidR="000702C6" w:rsidRDefault="000702C6" w:rsidP="00114B6E">
            <w:pPr>
              <w:widowControl/>
              <w:spacing w:after="0" w:line="256" w:lineRule="auto"/>
              <w:jc w:val="center"/>
              <w:rPr>
                <w:rFonts w:ascii="Calibri" w:hAnsi="Calibri" w:cs="Calibri"/>
                <w:szCs w:val="20"/>
              </w:rPr>
            </w:pPr>
            <w:r>
              <w:rPr>
                <w:rFonts w:ascii="Calibri" w:hAnsi="Calibri" w:cs="Calibri"/>
                <w:szCs w:val="20"/>
              </w:rPr>
              <w:t xml:space="preserve">Percent adjusted savings from Year </w:t>
            </w:r>
            <w:proofErr w:type="spellStart"/>
            <w:r>
              <w:rPr>
                <w:rFonts w:ascii="Calibri" w:hAnsi="Calibri" w:cs="Calibri"/>
                <w:szCs w:val="20"/>
              </w:rPr>
              <w:t>T</w:t>
            </w:r>
            <w:proofErr w:type="spellEnd"/>
            <w:r>
              <w:rPr>
                <w:rFonts w:ascii="Calibri" w:hAnsi="Calibri" w:cs="Calibri"/>
                <w:szCs w:val="20"/>
              </w:rPr>
              <w:t xml:space="preserve"> activities that persist </w:t>
            </w:r>
            <w:r>
              <w:rPr>
                <w:rFonts w:ascii="Calibri" w:hAnsi="Calibri" w:cs="Calibri"/>
                <w:b/>
                <w:bCs/>
                <w:szCs w:val="20"/>
              </w:rPr>
              <w:t>4 years after year T</w:t>
            </w:r>
            <w:r>
              <w:rPr>
                <w:rFonts w:ascii="Calibri" w:hAnsi="Calibri" w:cs="Calibri"/>
                <w:szCs w:val="20"/>
              </w:rPr>
              <w:t xml:space="preserve"> = PGE</w:t>
            </w:r>
            <w:r>
              <w:rPr>
                <w:rFonts w:ascii="Calibri" w:hAnsi="Calibri" w:cs="Calibri"/>
                <w:szCs w:val="20"/>
                <w:vertAlign w:val="subscript"/>
              </w:rPr>
              <w:t>4</w:t>
            </w:r>
          </w:p>
        </w:tc>
        <w:tc>
          <w:tcPr>
            <w:tcW w:w="2020" w:type="dxa"/>
            <w:tcBorders>
              <w:top w:val="single" w:sz="4" w:space="0" w:color="auto"/>
              <w:left w:val="single" w:sz="4" w:space="0" w:color="auto"/>
              <w:bottom w:val="single" w:sz="4" w:space="0" w:color="auto"/>
              <w:right w:val="single" w:sz="4" w:space="0" w:color="auto"/>
            </w:tcBorders>
            <w:vAlign w:val="center"/>
            <w:hideMark/>
          </w:tcPr>
          <w:p w14:paraId="08A1FFAA" w14:textId="77777777" w:rsidR="000702C6" w:rsidRDefault="000702C6" w:rsidP="00114B6E">
            <w:pPr>
              <w:widowControl/>
              <w:spacing w:after="0" w:line="256" w:lineRule="auto"/>
              <w:jc w:val="center"/>
              <w:rPr>
                <w:rFonts w:ascii="Calibri" w:hAnsi="Calibri" w:cs="Calibri"/>
                <w:color w:val="000000"/>
                <w:szCs w:val="20"/>
              </w:rPr>
            </w:pPr>
            <w:r>
              <w:rPr>
                <w:rFonts w:ascii="Calibri" w:eastAsia="Calibri" w:hAnsi="Calibri" w:cs="Calibri"/>
                <w:color w:val="000000"/>
                <w:szCs w:val="20"/>
              </w:rPr>
              <w:t>24%</w:t>
            </w:r>
          </w:p>
        </w:tc>
      </w:tr>
      <w:tr w:rsidR="000702C6" w14:paraId="7E1EE70E" w14:textId="77777777" w:rsidTr="00114B6E">
        <w:trPr>
          <w:trHeight w:val="600"/>
          <w:jc w:val="center"/>
        </w:trPr>
        <w:tc>
          <w:tcPr>
            <w:tcW w:w="4360" w:type="dxa"/>
            <w:tcBorders>
              <w:top w:val="single" w:sz="4" w:space="0" w:color="auto"/>
              <w:left w:val="single" w:sz="4" w:space="0" w:color="auto"/>
              <w:bottom w:val="single" w:sz="4" w:space="0" w:color="auto"/>
              <w:right w:val="single" w:sz="4" w:space="0" w:color="auto"/>
            </w:tcBorders>
            <w:vAlign w:val="center"/>
            <w:hideMark/>
          </w:tcPr>
          <w:p w14:paraId="41FFB786" w14:textId="77777777" w:rsidR="000702C6" w:rsidRDefault="000702C6" w:rsidP="00114B6E">
            <w:pPr>
              <w:widowControl/>
              <w:spacing w:after="0" w:line="256" w:lineRule="auto"/>
              <w:jc w:val="center"/>
              <w:rPr>
                <w:rFonts w:ascii="Calibri" w:hAnsi="Calibri" w:cs="Calibri"/>
                <w:szCs w:val="20"/>
              </w:rPr>
            </w:pPr>
            <w:r>
              <w:rPr>
                <w:rFonts w:ascii="Calibri" w:hAnsi="Calibri" w:cs="Calibri"/>
                <w:szCs w:val="20"/>
              </w:rPr>
              <w:t xml:space="preserve">Percent adjusted savings from Year </w:t>
            </w:r>
            <w:proofErr w:type="spellStart"/>
            <w:r>
              <w:rPr>
                <w:rFonts w:ascii="Calibri" w:hAnsi="Calibri" w:cs="Calibri"/>
                <w:szCs w:val="20"/>
              </w:rPr>
              <w:t>T</w:t>
            </w:r>
            <w:proofErr w:type="spellEnd"/>
            <w:r>
              <w:rPr>
                <w:rFonts w:ascii="Calibri" w:hAnsi="Calibri" w:cs="Calibri"/>
                <w:szCs w:val="20"/>
              </w:rPr>
              <w:t xml:space="preserve"> activities that persist </w:t>
            </w:r>
            <w:r>
              <w:rPr>
                <w:rFonts w:ascii="Calibri" w:hAnsi="Calibri" w:cs="Calibri"/>
                <w:b/>
                <w:bCs/>
                <w:szCs w:val="20"/>
              </w:rPr>
              <w:t>5 years after year T</w:t>
            </w:r>
            <w:r>
              <w:rPr>
                <w:rFonts w:ascii="Calibri" w:hAnsi="Calibri" w:cs="Calibri"/>
                <w:szCs w:val="20"/>
              </w:rPr>
              <w:t xml:space="preserve"> = PGE</w:t>
            </w:r>
            <w:r>
              <w:rPr>
                <w:rFonts w:ascii="Calibri" w:hAnsi="Calibri" w:cs="Calibri"/>
                <w:szCs w:val="20"/>
                <w:vertAlign w:val="subscript"/>
              </w:rPr>
              <w:t>5</w:t>
            </w:r>
          </w:p>
        </w:tc>
        <w:tc>
          <w:tcPr>
            <w:tcW w:w="2020" w:type="dxa"/>
            <w:tcBorders>
              <w:top w:val="single" w:sz="4" w:space="0" w:color="auto"/>
              <w:left w:val="single" w:sz="4" w:space="0" w:color="auto"/>
              <w:bottom w:val="single" w:sz="4" w:space="0" w:color="auto"/>
              <w:right w:val="single" w:sz="4" w:space="0" w:color="auto"/>
            </w:tcBorders>
            <w:vAlign w:val="center"/>
            <w:hideMark/>
          </w:tcPr>
          <w:p w14:paraId="0A306853" w14:textId="77777777" w:rsidR="000702C6" w:rsidRDefault="000702C6" w:rsidP="00114B6E">
            <w:pPr>
              <w:widowControl/>
              <w:spacing w:after="0" w:line="256" w:lineRule="auto"/>
              <w:jc w:val="center"/>
              <w:rPr>
                <w:rFonts w:ascii="Calibri" w:hAnsi="Calibri" w:cs="Calibri"/>
                <w:color w:val="000000"/>
                <w:szCs w:val="20"/>
              </w:rPr>
            </w:pPr>
            <w:r>
              <w:rPr>
                <w:rFonts w:ascii="Calibri" w:eastAsia="Calibri" w:hAnsi="Calibri" w:cs="Calibri"/>
                <w:color w:val="000000"/>
                <w:szCs w:val="20"/>
              </w:rPr>
              <w:t>17%</w:t>
            </w:r>
          </w:p>
        </w:tc>
      </w:tr>
      <w:tr w:rsidR="000702C6" w14:paraId="6D64613F" w14:textId="77777777" w:rsidTr="00114B6E">
        <w:trPr>
          <w:trHeight w:val="600"/>
          <w:jc w:val="center"/>
        </w:trPr>
        <w:tc>
          <w:tcPr>
            <w:tcW w:w="4360" w:type="dxa"/>
            <w:tcBorders>
              <w:top w:val="single" w:sz="4" w:space="0" w:color="auto"/>
              <w:left w:val="single" w:sz="4" w:space="0" w:color="auto"/>
              <w:bottom w:val="single" w:sz="4" w:space="0" w:color="auto"/>
              <w:right w:val="single" w:sz="4" w:space="0" w:color="auto"/>
            </w:tcBorders>
            <w:vAlign w:val="center"/>
            <w:hideMark/>
          </w:tcPr>
          <w:p w14:paraId="0292F90E" w14:textId="77777777" w:rsidR="000702C6" w:rsidRDefault="000702C6" w:rsidP="00114B6E">
            <w:pPr>
              <w:widowControl/>
              <w:spacing w:after="0" w:line="256" w:lineRule="auto"/>
              <w:jc w:val="center"/>
              <w:rPr>
                <w:rFonts w:ascii="Calibri" w:hAnsi="Calibri" w:cs="Calibri"/>
                <w:szCs w:val="20"/>
              </w:rPr>
            </w:pPr>
            <w:r>
              <w:rPr>
                <w:rFonts w:ascii="Calibri" w:hAnsi="Calibri" w:cs="Calibri"/>
                <w:szCs w:val="20"/>
              </w:rPr>
              <w:t xml:space="preserve">Percent adjusted savings from Year </w:t>
            </w:r>
            <w:proofErr w:type="spellStart"/>
            <w:r>
              <w:rPr>
                <w:rFonts w:ascii="Calibri" w:hAnsi="Calibri" w:cs="Calibri"/>
                <w:szCs w:val="20"/>
              </w:rPr>
              <w:t>T</w:t>
            </w:r>
            <w:proofErr w:type="spellEnd"/>
            <w:r>
              <w:rPr>
                <w:rFonts w:ascii="Calibri" w:hAnsi="Calibri" w:cs="Calibri"/>
                <w:szCs w:val="20"/>
              </w:rPr>
              <w:t xml:space="preserve"> activities that persist </w:t>
            </w:r>
            <w:r>
              <w:rPr>
                <w:rFonts w:ascii="Calibri" w:hAnsi="Calibri" w:cs="Calibri"/>
                <w:b/>
                <w:bCs/>
                <w:szCs w:val="20"/>
              </w:rPr>
              <w:t>6 years after year T</w:t>
            </w:r>
            <w:r>
              <w:rPr>
                <w:rFonts w:ascii="Calibri" w:hAnsi="Calibri" w:cs="Calibri"/>
                <w:szCs w:val="20"/>
              </w:rPr>
              <w:t xml:space="preserve"> = PGE</w:t>
            </w:r>
            <w:r>
              <w:rPr>
                <w:rFonts w:ascii="Calibri" w:hAnsi="Calibri" w:cs="Calibri"/>
                <w:szCs w:val="20"/>
                <w:vertAlign w:val="subscript"/>
              </w:rPr>
              <w:t>6</w:t>
            </w:r>
          </w:p>
        </w:tc>
        <w:tc>
          <w:tcPr>
            <w:tcW w:w="2020" w:type="dxa"/>
            <w:tcBorders>
              <w:top w:val="single" w:sz="4" w:space="0" w:color="auto"/>
              <w:left w:val="single" w:sz="4" w:space="0" w:color="auto"/>
              <w:bottom w:val="single" w:sz="4" w:space="0" w:color="auto"/>
              <w:right w:val="single" w:sz="4" w:space="0" w:color="auto"/>
            </w:tcBorders>
            <w:vAlign w:val="center"/>
            <w:hideMark/>
          </w:tcPr>
          <w:p w14:paraId="5B693007" w14:textId="77777777" w:rsidR="000702C6" w:rsidRDefault="000702C6" w:rsidP="00114B6E">
            <w:pPr>
              <w:widowControl/>
              <w:spacing w:after="0" w:line="256" w:lineRule="auto"/>
              <w:jc w:val="center"/>
              <w:rPr>
                <w:rFonts w:ascii="Calibri" w:hAnsi="Calibri" w:cs="Calibri"/>
                <w:color w:val="000000"/>
                <w:szCs w:val="20"/>
              </w:rPr>
            </w:pPr>
            <w:r>
              <w:rPr>
                <w:rFonts w:ascii="Calibri" w:eastAsia="Calibri" w:hAnsi="Calibri" w:cs="Calibri"/>
                <w:color w:val="000000"/>
                <w:szCs w:val="20"/>
              </w:rPr>
              <w:t>12%</w:t>
            </w:r>
          </w:p>
        </w:tc>
      </w:tr>
    </w:tbl>
    <w:p w14:paraId="3EF3A386" w14:textId="77777777" w:rsidR="000702C6" w:rsidRDefault="000702C6" w:rsidP="000702C6">
      <w:pPr>
        <w:pStyle w:val="Heading6"/>
      </w:pPr>
      <w:r>
        <w:t xml:space="preserve">Application of Persistence for </w:t>
      </w:r>
      <w:bookmarkEnd w:id="505"/>
      <w:r>
        <w:t>prospective Calculations</w:t>
      </w:r>
    </w:p>
    <w:p w14:paraId="23D52C6A" w14:textId="77777777" w:rsidR="000702C6" w:rsidRDefault="000702C6" w:rsidP="000702C6">
      <w:pPr>
        <w:widowControl/>
        <w:jc w:val="left"/>
        <w:rPr>
          <w:rFonts w:ascii="Calibri" w:hAnsi="Calibri"/>
          <w:szCs w:val="20"/>
        </w:rPr>
      </w:pPr>
      <w:r>
        <w:rPr>
          <w:rFonts w:ascii="Calibri" w:hAnsi="Calibri"/>
          <w:szCs w:val="20"/>
        </w:rPr>
        <w:t>For determination of prospective savings related to programs delivered in year T (including cost-effectiveness, lifetime savings, and cumulative prospective annual savings (CPAS)), future years’ savings related to the current year activities should be recorded for this measure as savings for each specific year calculated using the table below – the current year plus 9 years of future persisting savings for electric programs, and the current year plus 6 years of future persisting savings for gas programs. Because of the potentially confounding effects of differences in weather in future years, the savings inputs used (</w:t>
      </w:r>
      <w:proofErr w:type="spellStart"/>
      <w:r>
        <w:rPr>
          <w:rFonts w:ascii="Calibri" w:eastAsia="Calibri" w:hAnsi="Calibri"/>
          <w:szCs w:val="20"/>
        </w:rPr>
        <w:t>ΔkWh</w:t>
      </w:r>
      <w:r>
        <w:rPr>
          <w:rFonts w:ascii="Calibri" w:eastAsia="Calibri" w:hAnsi="Calibri"/>
          <w:szCs w:val="20"/>
          <w:vertAlign w:val="subscript"/>
        </w:rPr>
        <w:t>TAdjusted</w:t>
      </w:r>
      <w:proofErr w:type="spellEnd"/>
      <w:r>
        <w:rPr>
          <w:rFonts w:ascii="Calibri" w:hAnsi="Calibri"/>
          <w:szCs w:val="20"/>
        </w:rPr>
        <w:t xml:space="preserve">, </w:t>
      </w:r>
      <w:proofErr w:type="spellStart"/>
      <w:r>
        <w:rPr>
          <w:rFonts w:ascii="Calibri" w:eastAsia="Calibri" w:hAnsi="Calibri"/>
          <w:sz w:val="18"/>
          <w:szCs w:val="18"/>
        </w:rPr>
        <w:t>ΔkW</w:t>
      </w:r>
      <w:r>
        <w:rPr>
          <w:rFonts w:ascii="Calibri" w:eastAsia="Calibri" w:hAnsi="Calibri"/>
          <w:sz w:val="18"/>
          <w:szCs w:val="18"/>
          <w:vertAlign w:val="subscript"/>
        </w:rPr>
        <w:t>TAdjusted</w:t>
      </w:r>
      <w:proofErr w:type="spellEnd"/>
      <w:r>
        <w:rPr>
          <w:rFonts w:ascii="Calibri" w:eastAsia="Calibri" w:hAnsi="Calibri"/>
          <w:sz w:val="18"/>
          <w:szCs w:val="18"/>
          <w:vertAlign w:val="subscript"/>
        </w:rPr>
        <w:t xml:space="preserve">, </w:t>
      </w:r>
      <w:proofErr w:type="spellStart"/>
      <w:r>
        <w:rPr>
          <w:rFonts w:ascii="Calibri" w:eastAsia="Calibri" w:hAnsi="Calibri"/>
          <w:sz w:val="18"/>
          <w:szCs w:val="18"/>
        </w:rPr>
        <w:t>ΔTherms</w:t>
      </w:r>
      <w:r>
        <w:rPr>
          <w:rFonts w:ascii="Calibri" w:eastAsia="Calibri" w:hAnsi="Calibri"/>
          <w:sz w:val="18"/>
          <w:szCs w:val="18"/>
          <w:vertAlign w:val="subscript"/>
        </w:rPr>
        <w:t>TAdjusted</w:t>
      </w:r>
      <w:proofErr w:type="spellEnd"/>
      <w:r>
        <w:rPr>
          <w:rFonts w:ascii="Calibri" w:eastAsia="Calibri" w:hAnsi="Calibri"/>
          <w:szCs w:val="20"/>
        </w:rPr>
        <w:t xml:space="preserve">) for </w:t>
      </w:r>
      <w:r>
        <w:rPr>
          <w:rFonts w:ascii="Calibri" w:hAnsi="Calibri"/>
          <w:szCs w:val="20"/>
        </w:rPr>
        <w:t>these future-year savings calculations have been determined using weather normalized inputs. This input (to be provided by program evaluators) will approximate average savings for a standard weather year based upon historical data.</w:t>
      </w:r>
      <w:r>
        <w:rPr>
          <w:rFonts w:ascii="Calibri" w:hAnsi="Calibri"/>
          <w:szCs w:val="20"/>
          <w:vertAlign w:val="superscript"/>
        </w:rPr>
        <w:footnoteReference w:id="28"/>
      </w:r>
    </w:p>
    <w:p w14:paraId="4415A517" w14:textId="77777777" w:rsidR="000702C6" w:rsidRDefault="000702C6" w:rsidP="000702C6">
      <w:pPr>
        <w:widowControl/>
        <w:jc w:val="left"/>
        <w:rPr>
          <w:rFonts w:ascii="Calibri" w:eastAsia="Calibri" w:hAnsi="Calibri"/>
          <w:szCs w:val="20"/>
        </w:rPr>
      </w:pPr>
    </w:p>
    <w:tbl>
      <w:tblPr>
        <w:tblW w:w="8640" w:type="dxa"/>
        <w:jc w:val="center"/>
        <w:tblLook w:val="04A0" w:firstRow="1" w:lastRow="0" w:firstColumn="1" w:lastColumn="0" w:noHBand="0" w:noVBand="1"/>
      </w:tblPr>
      <w:tblGrid>
        <w:gridCol w:w="3960"/>
        <w:gridCol w:w="1600"/>
        <w:gridCol w:w="1480"/>
        <w:gridCol w:w="1600"/>
      </w:tblGrid>
      <w:tr w:rsidR="000702C6" w14:paraId="66B2B1DA" w14:textId="77777777" w:rsidTr="00114B6E">
        <w:trPr>
          <w:trHeight w:val="330"/>
          <w:jc w:val="center"/>
        </w:trPr>
        <w:tc>
          <w:tcPr>
            <w:tcW w:w="8640" w:type="dxa"/>
            <w:gridSpan w:val="4"/>
            <w:tcBorders>
              <w:top w:val="single" w:sz="4" w:space="0" w:color="auto"/>
              <w:left w:val="single" w:sz="4" w:space="0" w:color="auto"/>
              <w:bottom w:val="single" w:sz="4" w:space="0" w:color="auto"/>
              <w:right w:val="single" w:sz="4" w:space="0" w:color="auto"/>
            </w:tcBorders>
            <w:shd w:val="clear" w:color="auto" w:fill="808080"/>
            <w:noWrap/>
            <w:vAlign w:val="center"/>
            <w:hideMark/>
          </w:tcPr>
          <w:p w14:paraId="0D6B413E" w14:textId="77777777" w:rsidR="000702C6" w:rsidRDefault="000702C6" w:rsidP="00114B6E">
            <w:pPr>
              <w:widowControl/>
              <w:spacing w:after="0" w:line="256" w:lineRule="auto"/>
              <w:jc w:val="center"/>
              <w:rPr>
                <w:rFonts w:ascii="Calibri" w:hAnsi="Calibri" w:cs="Calibri"/>
                <w:b/>
                <w:bCs/>
                <w:color w:val="FFFFFF"/>
                <w:sz w:val="22"/>
              </w:rPr>
            </w:pPr>
            <w:r>
              <w:rPr>
                <w:rFonts w:ascii="Calibri" w:hAnsi="Calibri" w:cs="Calibri"/>
                <w:b/>
                <w:bCs/>
                <w:color w:val="FFFFFF"/>
                <w:sz w:val="22"/>
              </w:rPr>
              <w:t xml:space="preserve">Calculation of Future Years’ Savings Related to Current Year Activities </w:t>
            </w:r>
          </w:p>
        </w:tc>
      </w:tr>
      <w:tr w:rsidR="000702C6" w14:paraId="1A2830FC" w14:textId="77777777" w:rsidTr="00114B6E">
        <w:trPr>
          <w:trHeight w:val="330"/>
          <w:jc w:val="center"/>
        </w:trPr>
        <w:tc>
          <w:tcPr>
            <w:tcW w:w="3960" w:type="dxa"/>
            <w:vMerge w:val="restart"/>
            <w:tcBorders>
              <w:top w:val="nil"/>
              <w:left w:val="single" w:sz="4" w:space="0" w:color="auto"/>
              <w:bottom w:val="single" w:sz="4" w:space="0" w:color="000000"/>
              <w:right w:val="single" w:sz="4" w:space="0" w:color="auto"/>
            </w:tcBorders>
            <w:shd w:val="clear" w:color="auto" w:fill="808080"/>
            <w:noWrap/>
            <w:vAlign w:val="center"/>
            <w:hideMark/>
          </w:tcPr>
          <w:p w14:paraId="705DD93A" w14:textId="77777777" w:rsidR="000702C6" w:rsidRDefault="000702C6" w:rsidP="00114B6E">
            <w:pPr>
              <w:widowControl/>
              <w:spacing w:after="0" w:line="256" w:lineRule="auto"/>
              <w:jc w:val="center"/>
              <w:rPr>
                <w:rFonts w:ascii="Calibri" w:hAnsi="Calibri" w:cs="Calibri"/>
                <w:b/>
                <w:bCs/>
                <w:color w:val="FFFFFF"/>
                <w:sz w:val="22"/>
              </w:rPr>
            </w:pPr>
            <w:r>
              <w:rPr>
                <w:rFonts w:ascii="Calibri" w:hAnsi="Calibri" w:cs="Calibri"/>
                <w:b/>
                <w:bCs/>
                <w:color w:val="FFFFFF"/>
                <w:sz w:val="22"/>
              </w:rPr>
              <w:t> </w:t>
            </w:r>
          </w:p>
        </w:tc>
        <w:tc>
          <w:tcPr>
            <w:tcW w:w="3080" w:type="dxa"/>
            <w:gridSpan w:val="2"/>
            <w:tcBorders>
              <w:top w:val="single" w:sz="4" w:space="0" w:color="auto"/>
              <w:left w:val="nil"/>
              <w:bottom w:val="single" w:sz="4" w:space="0" w:color="auto"/>
              <w:right w:val="single" w:sz="4" w:space="0" w:color="auto"/>
            </w:tcBorders>
            <w:shd w:val="clear" w:color="auto" w:fill="808080"/>
            <w:noWrap/>
            <w:vAlign w:val="center"/>
            <w:hideMark/>
          </w:tcPr>
          <w:p w14:paraId="5B636886" w14:textId="77777777" w:rsidR="000702C6" w:rsidRDefault="000702C6" w:rsidP="00114B6E">
            <w:pPr>
              <w:widowControl/>
              <w:spacing w:after="0" w:line="256" w:lineRule="auto"/>
              <w:jc w:val="center"/>
              <w:rPr>
                <w:rFonts w:ascii="Calibri" w:hAnsi="Calibri" w:cs="Calibri"/>
                <w:b/>
                <w:bCs/>
                <w:color w:val="FFFFFF"/>
                <w:sz w:val="22"/>
              </w:rPr>
            </w:pPr>
            <w:r>
              <w:rPr>
                <w:rFonts w:ascii="Calibri" w:hAnsi="Calibri" w:cs="Calibri"/>
                <w:b/>
                <w:bCs/>
                <w:color w:val="FFFFFF"/>
                <w:sz w:val="22"/>
              </w:rPr>
              <w:t>Electric Programs</w:t>
            </w:r>
          </w:p>
        </w:tc>
        <w:tc>
          <w:tcPr>
            <w:tcW w:w="1600" w:type="dxa"/>
            <w:tcBorders>
              <w:top w:val="nil"/>
              <w:left w:val="nil"/>
              <w:bottom w:val="single" w:sz="4" w:space="0" w:color="auto"/>
              <w:right w:val="single" w:sz="4" w:space="0" w:color="auto"/>
            </w:tcBorders>
            <w:shd w:val="clear" w:color="auto" w:fill="808080"/>
            <w:noWrap/>
            <w:vAlign w:val="center"/>
            <w:hideMark/>
          </w:tcPr>
          <w:p w14:paraId="0FADD099" w14:textId="77777777" w:rsidR="000702C6" w:rsidRDefault="000702C6" w:rsidP="00114B6E">
            <w:pPr>
              <w:widowControl/>
              <w:spacing w:after="0" w:line="256" w:lineRule="auto"/>
              <w:jc w:val="center"/>
              <w:rPr>
                <w:rFonts w:ascii="Calibri" w:hAnsi="Calibri" w:cs="Calibri"/>
                <w:b/>
                <w:bCs/>
                <w:color w:val="FFFFFF"/>
                <w:sz w:val="22"/>
              </w:rPr>
            </w:pPr>
            <w:r>
              <w:rPr>
                <w:rFonts w:ascii="Calibri" w:hAnsi="Calibri" w:cs="Calibri"/>
                <w:b/>
                <w:bCs/>
                <w:color w:val="FFFFFF"/>
                <w:sz w:val="22"/>
              </w:rPr>
              <w:t>Gas Programs</w:t>
            </w:r>
          </w:p>
        </w:tc>
      </w:tr>
      <w:tr w:rsidR="000702C6" w14:paraId="776437FC" w14:textId="77777777" w:rsidTr="00114B6E">
        <w:trPr>
          <w:trHeight w:val="600"/>
          <w:jc w:val="center"/>
        </w:trPr>
        <w:tc>
          <w:tcPr>
            <w:tcW w:w="0" w:type="auto"/>
            <w:vMerge/>
            <w:tcBorders>
              <w:top w:val="nil"/>
              <w:left w:val="single" w:sz="4" w:space="0" w:color="auto"/>
              <w:bottom w:val="single" w:sz="4" w:space="0" w:color="000000"/>
              <w:right w:val="single" w:sz="4" w:space="0" w:color="auto"/>
            </w:tcBorders>
            <w:vAlign w:val="center"/>
            <w:hideMark/>
          </w:tcPr>
          <w:p w14:paraId="12EBFE41" w14:textId="77777777" w:rsidR="000702C6" w:rsidRDefault="000702C6" w:rsidP="00114B6E">
            <w:pPr>
              <w:widowControl/>
              <w:spacing w:after="0" w:line="256" w:lineRule="auto"/>
              <w:jc w:val="left"/>
              <w:rPr>
                <w:rFonts w:ascii="Calibri" w:hAnsi="Calibri" w:cs="Calibri"/>
                <w:b/>
                <w:bCs/>
                <w:color w:val="FFFFFF"/>
                <w:sz w:val="22"/>
              </w:rPr>
            </w:pPr>
          </w:p>
        </w:tc>
        <w:tc>
          <w:tcPr>
            <w:tcW w:w="1600" w:type="dxa"/>
            <w:tcBorders>
              <w:top w:val="nil"/>
              <w:left w:val="nil"/>
              <w:bottom w:val="single" w:sz="4" w:space="0" w:color="auto"/>
              <w:right w:val="single" w:sz="4" w:space="0" w:color="auto"/>
            </w:tcBorders>
            <w:shd w:val="clear" w:color="auto" w:fill="808080"/>
            <w:vAlign w:val="center"/>
            <w:hideMark/>
          </w:tcPr>
          <w:p w14:paraId="0285BAC4" w14:textId="77777777" w:rsidR="000702C6" w:rsidRDefault="000702C6" w:rsidP="00114B6E">
            <w:pPr>
              <w:widowControl/>
              <w:spacing w:after="0" w:line="256" w:lineRule="auto"/>
              <w:jc w:val="center"/>
              <w:rPr>
                <w:rFonts w:ascii="Calibri" w:hAnsi="Calibri" w:cs="Calibri"/>
                <w:b/>
                <w:bCs/>
                <w:color w:val="FFFFFF"/>
                <w:sz w:val="22"/>
              </w:rPr>
            </w:pPr>
            <w:r>
              <w:rPr>
                <w:rFonts w:ascii="Calibri" w:hAnsi="Calibri" w:cs="Calibri"/>
                <w:b/>
                <w:bCs/>
                <w:color w:val="FFFFFF"/>
                <w:sz w:val="22"/>
              </w:rPr>
              <w:t>Electric Energy Savings</w:t>
            </w:r>
          </w:p>
        </w:tc>
        <w:tc>
          <w:tcPr>
            <w:tcW w:w="1480" w:type="dxa"/>
            <w:tcBorders>
              <w:top w:val="nil"/>
              <w:left w:val="nil"/>
              <w:bottom w:val="single" w:sz="4" w:space="0" w:color="auto"/>
              <w:right w:val="single" w:sz="4" w:space="0" w:color="auto"/>
            </w:tcBorders>
            <w:shd w:val="clear" w:color="auto" w:fill="808080"/>
            <w:noWrap/>
            <w:vAlign w:val="center"/>
            <w:hideMark/>
          </w:tcPr>
          <w:p w14:paraId="5F5A98B0" w14:textId="77777777" w:rsidR="000702C6" w:rsidRDefault="000702C6" w:rsidP="00114B6E">
            <w:pPr>
              <w:widowControl/>
              <w:spacing w:after="0" w:line="256" w:lineRule="auto"/>
              <w:jc w:val="center"/>
              <w:rPr>
                <w:rFonts w:ascii="Calibri" w:hAnsi="Calibri" w:cs="Calibri"/>
                <w:b/>
                <w:bCs/>
                <w:color w:val="FFFFFF"/>
                <w:sz w:val="22"/>
              </w:rPr>
            </w:pPr>
            <w:r>
              <w:rPr>
                <w:rFonts w:ascii="Calibri" w:hAnsi="Calibri" w:cs="Calibri"/>
                <w:b/>
                <w:bCs/>
                <w:color w:val="FFFFFF"/>
                <w:sz w:val="22"/>
              </w:rPr>
              <w:t>Peak Savings</w:t>
            </w:r>
          </w:p>
        </w:tc>
        <w:tc>
          <w:tcPr>
            <w:tcW w:w="1600" w:type="dxa"/>
            <w:tcBorders>
              <w:top w:val="nil"/>
              <w:left w:val="nil"/>
              <w:bottom w:val="single" w:sz="4" w:space="0" w:color="auto"/>
              <w:right w:val="single" w:sz="4" w:space="0" w:color="auto"/>
            </w:tcBorders>
            <w:shd w:val="clear" w:color="auto" w:fill="808080"/>
            <w:noWrap/>
            <w:vAlign w:val="center"/>
            <w:hideMark/>
          </w:tcPr>
          <w:p w14:paraId="31A08D94" w14:textId="77777777" w:rsidR="000702C6" w:rsidRDefault="000702C6" w:rsidP="00114B6E">
            <w:pPr>
              <w:widowControl/>
              <w:spacing w:after="0" w:line="256" w:lineRule="auto"/>
              <w:jc w:val="center"/>
              <w:rPr>
                <w:rFonts w:ascii="Calibri" w:hAnsi="Calibri" w:cs="Calibri"/>
                <w:b/>
                <w:bCs/>
                <w:color w:val="FFFFFF"/>
                <w:sz w:val="22"/>
              </w:rPr>
            </w:pPr>
            <w:bookmarkStart w:id="506" w:name="RANGE!F5"/>
            <w:proofErr w:type="spellStart"/>
            <w:r>
              <w:rPr>
                <w:rFonts w:ascii="Calibri" w:hAnsi="Calibri" w:cs="Calibri"/>
                <w:b/>
                <w:bCs/>
                <w:color w:val="FFFFFF"/>
                <w:sz w:val="22"/>
              </w:rPr>
              <w:t>Therm</w:t>
            </w:r>
            <w:proofErr w:type="spellEnd"/>
            <w:r>
              <w:rPr>
                <w:rFonts w:ascii="Calibri" w:hAnsi="Calibri" w:cs="Calibri"/>
                <w:b/>
                <w:bCs/>
                <w:color w:val="FFFFFF"/>
                <w:sz w:val="22"/>
              </w:rPr>
              <w:t xml:space="preserve"> Savings</w:t>
            </w:r>
            <w:bookmarkEnd w:id="506"/>
          </w:p>
        </w:tc>
      </w:tr>
      <w:tr w:rsidR="000702C6" w14:paraId="4653DA76" w14:textId="77777777" w:rsidTr="00114B6E">
        <w:trPr>
          <w:trHeight w:val="559"/>
          <w:jc w:val="center"/>
        </w:trPr>
        <w:tc>
          <w:tcPr>
            <w:tcW w:w="3960" w:type="dxa"/>
            <w:tcBorders>
              <w:top w:val="nil"/>
              <w:left w:val="single" w:sz="4" w:space="0" w:color="auto"/>
              <w:bottom w:val="single" w:sz="4" w:space="0" w:color="auto"/>
              <w:right w:val="single" w:sz="4" w:space="0" w:color="auto"/>
            </w:tcBorders>
            <w:vAlign w:val="center"/>
            <w:hideMark/>
          </w:tcPr>
          <w:p w14:paraId="5AC4BADA" w14:textId="77777777" w:rsidR="000702C6" w:rsidRDefault="000702C6" w:rsidP="00114B6E">
            <w:pPr>
              <w:widowControl/>
              <w:spacing w:after="0" w:line="256" w:lineRule="auto"/>
              <w:jc w:val="center"/>
              <w:rPr>
                <w:rFonts w:ascii="Calibri" w:hAnsi="Calibri" w:cs="Calibri"/>
                <w:szCs w:val="20"/>
              </w:rPr>
            </w:pPr>
            <w:r>
              <w:rPr>
                <w:rFonts w:ascii="Calibri" w:hAnsi="Calibri" w:cs="Calibri"/>
                <w:szCs w:val="20"/>
              </w:rPr>
              <w:t xml:space="preserve">Program Year T: record 100% of adjusted annual savings as calculated above </w:t>
            </w:r>
          </w:p>
        </w:tc>
        <w:tc>
          <w:tcPr>
            <w:tcW w:w="1600" w:type="dxa"/>
            <w:tcBorders>
              <w:top w:val="nil"/>
              <w:left w:val="nil"/>
              <w:bottom w:val="single" w:sz="4" w:space="0" w:color="auto"/>
              <w:right w:val="single" w:sz="4" w:space="0" w:color="auto"/>
            </w:tcBorders>
            <w:vAlign w:val="center"/>
            <w:hideMark/>
          </w:tcPr>
          <w:p w14:paraId="48412439" w14:textId="77777777" w:rsidR="000702C6" w:rsidRDefault="000702C6" w:rsidP="00114B6E">
            <w:pPr>
              <w:widowControl/>
              <w:spacing w:after="0" w:line="256" w:lineRule="auto"/>
              <w:jc w:val="center"/>
              <w:rPr>
                <w:rFonts w:ascii="Calibri" w:hAnsi="Calibri" w:cs="Calibri"/>
                <w:color w:val="000000"/>
                <w:sz w:val="18"/>
                <w:szCs w:val="18"/>
              </w:rPr>
            </w:pPr>
            <w:proofErr w:type="spellStart"/>
            <w:r>
              <w:rPr>
                <w:rFonts w:ascii="Calibri" w:hAnsi="Calibri" w:cs="Calibri"/>
                <w:color w:val="000000"/>
                <w:sz w:val="18"/>
                <w:szCs w:val="18"/>
              </w:rPr>
              <w:t>ΔkWh</w:t>
            </w:r>
            <w:r>
              <w:rPr>
                <w:rFonts w:ascii="Calibri" w:hAnsi="Calibri" w:cs="Calibri"/>
                <w:color w:val="000000"/>
                <w:sz w:val="18"/>
                <w:szCs w:val="18"/>
                <w:vertAlign w:val="subscript"/>
              </w:rPr>
              <w:t>TAdjusted</w:t>
            </w:r>
            <w:proofErr w:type="spellEnd"/>
          </w:p>
        </w:tc>
        <w:tc>
          <w:tcPr>
            <w:tcW w:w="1480" w:type="dxa"/>
            <w:tcBorders>
              <w:top w:val="nil"/>
              <w:left w:val="nil"/>
              <w:bottom w:val="single" w:sz="4" w:space="0" w:color="auto"/>
              <w:right w:val="single" w:sz="4" w:space="0" w:color="auto"/>
            </w:tcBorders>
            <w:vAlign w:val="center"/>
            <w:hideMark/>
          </w:tcPr>
          <w:p w14:paraId="06176F2F" w14:textId="77777777" w:rsidR="000702C6" w:rsidRDefault="000702C6" w:rsidP="00114B6E">
            <w:pPr>
              <w:widowControl/>
              <w:spacing w:after="0" w:line="256" w:lineRule="auto"/>
              <w:jc w:val="center"/>
              <w:rPr>
                <w:rFonts w:ascii="Calibri" w:hAnsi="Calibri" w:cs="Calibri"/>
                <w:color w:val="000000"/>
                <w:sz w:val="18"/>
                <w:szCs w:val="18"/>
              </w:rPr>
            </w:pPr>
            <w:proofErr w:type="spellStart"/>
            <w:r>
              <w:rPr>
                <w:rFonts w:ascii="Calibri" w:hAnsi="Calibri" w:cs="Calibri"/>
                <w:color w:val="000000"/>
                <w:sz w:val="18"/>
                <w:szCs w:val="18"/>
              </w:rPr>
              <w:t>ΔkW</w:t>
            </w:r>
            <w:r>
              <w:rPr>
                <w:rFonts w:ascii="Calibri" w:hAnsi="Calibri" w:cs="Calibri"/>
                <w:color w:val="000000"/>
                <w:sz w:val="18"/>
                <w:szCs w:val="18"/>
                <w:vertAlign w:val="subscript"/>
              </w:rPr>
              <w:t>TAdjusted</w:t>
            </w:r>
            <w:proofErr w:type="spellEnd"/>
          </w:p>
        </w:tc>
        <w:tc>
          <w:tcPr>
            <w:tcW w:w="1600" w:type="dxa"/>
            <w:tcBorders>
              <w:top w:val="nil"/>
              <w:left w:val="nil"/>
              <w:bottom w:val="single" w:sz="4" w:space="0" w:color="auto"/>
              <w:right w:val="single" w:sz="4" w:space="0" w:color="auto"/>
            </w:tcBorders>
            <w:vAlign w:val="center"/>
            <w:hideMark/>
          </w:tcPr>
          <w:p w14:paraId="4C1114B2" w14:textId="77777777" w:rsidR="000702C6" w:rsidRDefault="000702C6" w:rsidP="00114B6E">
            <w:pPr>
              <w:widowControl/>
              <w:spacing w:after="0" w:line="256" w:lineRule="auto"/>
              <w:jc w:val="center"/>
              <w:rPr>
                <w:rFonts w:ascii="Calibri" w:hAnsi="Calibri" w:cs="Calibri"/>
                <w:color w:val="000000"/>
                <w:sz w:val="18"/>
                <w:szCs w:val="18"/>
              </w:rPr>
            </w:pPr>
            <w:proofErr w:type="spellStart"/>
            <w:r>
              <w:rPr>
                <w:rFonts w:ascii="Calibri" w:hAnsi="Calibri" w:cs="Calibri"/>
                <w:color w:val="000000"/>
                <w:sz w:val="18"/>
                <w:szCs w:val="18"/>
              </w:rPr>
              <w:t>ΔTherms</w:t>
            </w:r>
            <w:r>
              <w:rPr>
                <w:rFonts w:ascii="Calibri" w:hAnsi="Calibri" w:cs="Calibri"/>
                <w:color w:val="000000"/>
                <w:sz w:val="18"/>
                <w:szCs w:val="18"/>
                <w:vertAlign w:val="subscript"/>
              </w:rPr>
              <w:t>TAdjusted</w:t>
            </w:r>
            <w:proofErr w:type="spellEnd"/>
          </w:p>
        </w:tc>
      </w:tr>
      <w:tr w:rsidR="000702C6" w14:paraId="2368D581" w14:textId="77777777" w:rsidTr="00114B6E">
        <w:trPr>
          <w:trHeight w:val="559"/>
          <w:jc w:val="center"/>
        </w:trPr>
        <w:tc>
          <w:tcPr>
            <w:tcW w:w="3960" w:type="dxa"/>
            <w:tcBorders>
              <w:top w:val="nil"/>
              <w:left w:val="single" w:sz="4" w:space="0" w:color="auto"/>
              <w:bottom w:val="single" w:sz="4" w:space="0" w:color="auto"/>
              <w:right w:val="single" w:sz="4" w:space="0" w:color="auto"/>
            </w:tcBorders>
            <w:vAlign w:val="center"/>
            <w:hideMark/>
          </w:tcPr>
          <w:p w14:paraId="19F0CCFE" w14:textId="77777777" w:rsidR="000702C6" w:rsidRDefault="000702C6" w:rsidP="00114B6E">
            <w:pPr>
              <w:widowControl/>
              <w:spacing w:after="0" w:line="256" w:lineRule="auto"/>
              <w:jc w:val="center"/>
              <w:rPr>
                <w:rFonts w:ascii="Calibri" w:hAnsi="Calibri" w:cs="Calibri"/>
                <w:szCs w:val="20"/>
              </w:rPr>
            </w:pPr>
            <w:r>
              <w:rPr>
                <w:rFonts w:ascii="Calibri" w:hAnsi="Calibri" w:cs="Calibri"/>
                <w:szCs w:val="20"/>
              </w:rPr>
              <w:t xml:space="preserve">Percent savings from Year </w:t>
            </w:r>
            <w:proofErr w:type="spellStart"/>
            <w:r>
              <w:rPr>
                <w:rFonts w:ascii="Calibri" w:hAnsi="Calibri" w:cs="Calibri"/>
                <w:szCs w:val="20"/>
              </w:rPr>
              <w:t>T</w:t>
            </w:r>
            <w:proofErr w:type="spellEnd"/>
            <w:r>
              <w:rPr>
                <w:rFonts w:ascii="Calibri" w:hAnsi="Calibri" w:cs="Calibri"/>
                <w:szCs w:val="20"/>
              </w:rPr>
              <w:t xml:space="preserve"> activities that persist 1 year after year T</w:t>
            </w:r>
          </w:p>
        </w:tc>
        <w:tc>
          <w:tcPr>
            <w:tcW w:w="1600" w:type="dxa"/>
            <w:tcBorders>
              <w:top w:val="nil"/>
              <w:left w:val="nil"/>
              <w:bottom w:val="single" w:sz="4" w:space="0" w:color="auto"/>
              <w:right w:val="single" w:sz="4" w:space="0" w:color="auto"/>
            </w:tcBorders>
            <w:vAlign w:val="center"/>
            <w:hideMark/>
          </w:tcPr>
          <w:p w14:paraId="45F4E3DF" w14:textId="77777777" w:rsidR="000702C6" w:rsidRDefault="000702C6" w:rsidP="00114B6E">
            <w:pPr>
              <w:widowControl/>
              <w:spacing w:after="0" w:line="256" w:lineRule="auto"/>
              <w:jc w:val="center"/>
              <w:rPr>
                <w:rFonts w:ascii="Calibri" w:hAnsi="Calibri" w:cs="Calibri"/>
                <w:color w:val="000000"/>
                <w:sz w:val="18"/>
                <w:szCs w:val="18"/>
              </w:rPr>
            </w:pPr>
            <w:proofErr w:type="spellStart"/>
            <w:r>
              <w:rPr>
                <w:rFonts w:ascii="Calibri" w:hAnsi="Calibri" w:cs="Calibri"/>
                <w:color w:val="000000"/>
                <w:sz w:val="18"/>
                <w:szCs w:val="18"/>
              </w:rPr>
              <w:t>ΔkWh</w:t>
            </w:r>
            <w:r>
              <w:rPr>
                <w:rFonts w:ascii="Calibri" w:hAnsi="Calibri" w:cs="Calibri"/>
                <w:color w:val="000000"/>
                <w:sz w:val="18"/>
                <w:szCs w:val="18"/>
                <w:vertAlign w:val="subscript"/>
              </w:rPr>
              <w:t>TAdjusted</w:t>
            </w:r>
            <w:proofErr w:type="spellEnd"/>
            <w:r>
              <w:rPr>
                <w:rFonts w:ascii="Calibri" w:hAnsi="Calibri" w:cs="Calibri"/>
                <w:color w:val="000000"/>
                <w:sz w:val="18"/>
                <w:szCs w:val="18"/>
              </w:rPr>
              <w:t xml:space="preserve"> * PFE</w:t>
            </w:r>
            <w:r>
              <w:rPr>
                <w:rFonts w:ascii="Calibri" w:hAnsi="Calibri" w:cs="Calibri"/>
                <w:color w:val="000000"/>
                <w:sz w:val="18"/>
                <w:szCs w:val="18"/>
                <w:vertAlign w:val="subscript"/>
              </w:rPr>
              <w:t>1</w:t>
            </w:r>
            <w:r>
              <w:rPr>
                <w:rFonts w:ascii="Calibri" w:hAnsi="Calibri" w:cs="Calibri"/>
                <w:color w:val="000000"/>
                <w:sz w:val="18"/>
                <w:szCs w:val="18"/>
              </w:rPr>
              <w:t>* RR</w:t>
            </w:r>
            <w:del w:id="507" w:author="Carly Olig" w:date="2022-05-04T15:42:00Z">
              <w:r w:rsidDel="001F1EB1">
                <w:rPr>
                  <w:rFonts w:ascii="Calibri" w:hAnsi="Calibri" w:cs="Calibri"/>
                  <w:color w:val="000000"/>
                  <w:sz w:val="18"/>
                  <w:szCs w:val="18"/>
                  <w:vertAlign w:val="subscript"/>
                </w:rPr>
                <w:delText>Utility</w:delText>
              </w:r>
            </w:del>
          </w:p>
        </w:tc>
        <w:tc>
          <w:tcPr>
            <w:tcW w:w="1480" w:type="dxa"/>
            <w:tcBorders>
              <w:top w:val="nil"/>
              <w:left w:val="nil"/>
              <w:bottom w:val="single" w:sz="4" w:space="0" w:color="auto"/>
              <w:right w:val="single" w:sz="4" w:space="0" w:color="auto"/>
            </w:tcBorders>
            <w:vAlign w:val="center"/>
            <w:hideMark/>
          </w:tcPr>
          <w:p w14:paraId="5ED6B34F" w14:textId="77777777" w:rsidR="000702C6" w:rsidRDefault="000702C6" w:rsidP="00114B6E">
            <w:pPr>
              <w:widowControl/>
              <w:spacing w:after="0" w:line="256" w:lineRule="auto"/>
              <w:jc w:val="center"/>
              <w:rPr>
                <w:rFonts w:ascii="Calibri" w:hAnsi="Calibri" w:cs="Calibri"/>
                <w:color w:val="000000"/>
                <w:sz w:val="18"/>
                <w:szCs w:val="18"/>
              </w:rPr>
            </w:pPr>
            <w:proofErr w:type="spellStart"/>
            <w:r>
              <w:rPr>
                <w:rFonts w:ascii="Calibri" w:hAnsi="Calibri" w:cs="Calibri"/>
                <w:color w:val="000000"/>
                <w:sz w:val="18"/>
                <w:szCs w:val="18"/>
              </w:rPr>
              <w:t>ΔkW</w:t>
            </w:r>
            <w:r>
              <w:rPr>
                <w:rFonts w:ascii="Calibri" w:hAnsi="Calibri" w:cs="Calibri"/>
                <w:color w:val="000000"/>
                <w:sz w:val="18"/>
                <w:szCs w:val="18"/>
                <w:vertAlign w:val="subscript"/>
              </w:rPr>
              <w:t>TAdjusted</w:t>
            </w:r>
            <w:proofErr w:type="spellEnd"/>
            <w:r>
              <w:rPr>
                <w:rFonts w:ascii="Calibri" w:hAnsi="Calibri" w:cs="Calibri"/>
                <w:color w:val="000000"/>
                <w:sz w:val="18"/>
                <w:szCs w:val="18"/>
              </w:rPr>
              <w:t xml:space="preserve"> * PFE</w:t>
            </w:r>
            <w:r>
              <w:rPr>
                <w:rFonts w:ascii="Calibri" w:hAnsi="Calibri" w:cs="Calibri"/>
                <w:color w:val="000000"/>
                <w:sz w:val="18"/>
                <w:szCs w:val="18"/>
                <w:vertAlign w:val="subscript"/>
              </w:rPr>
              <w:t>1</w:t>
            </w:r>
            <w:r>
              <w:rPr>
                <w:rFonts w:ascii="Calibri" w:hAnsi="Calibri" w:cs="Calibri"/>
                <w:color w:val="000000"/>
                <w:sz w:val="18"/>
                <w:szCs w:val="18"/>
              </w:rPr>
              <w:t>* RR</w:t>
            </w:r>
            <w:del w:id="508" w:author="Carly Olig" w:date="2022-05-04T15:42:00Z">
              <w:r w:rsidDel="001F1EB1">
                <w:rPr>
                  <w:rFonts w:ascii="Calibri" w:hAnsi="Calibri" w:cs="Calibri"/>
                  <w:color w:val="000000"/>
                  <w:sz w:val="18"/>
                  <w:szCs w:val="18"/>
                  <w:vertAlign w:val="subscript"/>
                </w:rPr>
                <w:delText>Utility</w:delText>
              </w:r>
            </w:del>
          </w:p>
        </w:tc>
        <w:tc>
          <w:tcPr>
            <w:tcW w:w="1600" w:type="dxa"/>
            <w:tcBorders>
              <w:top w:val="nil"/>
              <w:left w:val="nil"/>
              <w:bottom w:val="single" w:sz="4" w:space="0" w:color="auto"/>
              <w:right w:val="single" w:sz="4" w:space="0" w:color="auto"/>
            </w:tcBorders>
            <w:vAlign w:val="center"/>
            <w:hideMark/>
          </w:tcPr>
          <w:p w14:paraId="6DA9BA9C" w14:textId="77777777" w:rsidR="000702C6" w:rsidRDefault="000702C6" w:rsidP="00114B6E">
            <w:pPr>
              <w:widowControl/>
              <w:spacing w:after="0" w:line="256" w:lineRule="auto"/>
              <w:jc w:val="center"/>
              <w:rPr>
                <w:rFonts w:ascii="Calibri" w:hAnsi="Calibri" w:cs="Calibri"/>
                <w:color w:val="000000"/>
                <w:sz w:val="18"/>
                <w:szCs w:val="18"/>
              </w:rPr>
            </w:pPr>
            <w:proofErr w:type="spellStart"/>
            <w:r>
              <w:rPr>
                <w:rFonts w:ascii="Calibri" w:hAnsi="Calibri" w:cs="Calibri"/>
                <w:color w:val="000000"/>
                <w:sz w:val="18"/>
                <w:szCs w:val="18"/>
              </w:rPr>
              <w:t>ΔTherms</w:t>
            </w:r>
            <w:r>
              <w:rPr>
                <w:rFonts w:ascii="Calibri" w:hAnsi="Calibri" w:cs="Calibri"/>
                <w:color w:val="000000"/>
                <w:sz w:val="18"/>
                <w:szCs w:val="18"/>
                <w:vertAlign w:val="subscript"/>
              </w:rPr>
              <w:t>TAdjusted</w:t>
            </w:r>
            <w:proofErr w:type="spellEnd"/>
            <w:r>
              <w:rPr>
                <w:rFonts w:ascii="Calibri" w:hAnsi="Calibri" w:cs="Calibri"/>
                <w:color w:val="000000"/>
                <w:sz w:val="18"/>
                <w:szCs w:val="18"/>
              </w:rPr>
              <w:t xml:space="preserve"> * PFG</w:t>
            </w:r>
            <w:r>
              <w:rPr>
                <w:rFonts w:ascii="Calibri" w:hAnsi="Calibri" w:cs="Calibri"/>
                <w:color w:val="000000"/>
                <w:sz w:val="18"/>
                <w:szCs w:val="18"/>
                <w:vertAlign w:val="subscript"/>
              </w:rPr>
              <w:t>1</w:t>
            </w:r>
            <w:r>
              <w:rPr>
                <w:rFonts w:ascii="Calibri" w:hAnsi="Calibri" w:cs="Calibri"/>
                <w:color w:val="000000"/>
                <w:sz w:val="18"/>
                <w:szCs w:val="18"/>
              </w:rPr>
              <w:t>* RR</w:t>
            </w:r>
            <w:del w:id="509" w:author="Carly Olig" w:date="2022-05-04T15:42:00Z">
              <w:r w:rsidDel="001F1EB1">
                <w:rPr>
                  <w:rFonts w:ascii="Calibri" w:hAnsi="Calibri" w:cs="Calibri"/>
                  <w:color w:val="000000"/>
                  <w:sz w:val="18"/>
                  <w:szCs w:val="18"/>
                  <w:vertAlign w:val="subscript"/>
                </w:rPr>
                <w:delText>Utility</w:delText>
              </w:r>
            </w:del>
          </w:p>
        </w:tc>
      </w:tr>
      <w:tr w:rsidR="000702C6" w14:paraId="562BB26C" w14:textId="77777777" w:rsidTr="00114B6E">
        <w:trPr>
          <w:trHeight w:val="559"/>
          <w:jc w:val="center"/>
        </w:trPr>
        <w:tc>
          <w:tcPr>
            <w:tcW w:w="3960" w:type="dxa"/>
            <w:tcBorders>
              <w:top w:val="nil"/>
              <w:left w:val="single" w:sz="4" w:space="0" w:color="auto"/>
              <w:bottom w:val="single" w:sz="4" w:space="0" w:color="auto"/>
              <w:right w:val="single" w:sz="4" w:space="0" w:color="auto"/>
            </w:tcBorders>
            <w:vAlign w:val="center"/>
            <w:hideMark/>
          </w:tcPr>
          <w:p w14:paraId="07D37FD2" w14:textId="77777777" w:rsidR="000702C6" w:rsidRDefault="000702C6" w:rsidP="00114B6E">
            <w:pPr>
              <w:widowControl/>
              <w:spacing w:after="0" w:line="256" w:lineRule="auto"/>
              <w:jc w:val="center"/>
              <w:rPr>
                <w:rFonts w:ascii="Calibri" w:hAnsi="Calibri" w:cs="Calibri"/>
                <w:szCs w:val="20"/>
              </w:rPr>
            </w:pPr>
            <w:r>
              <w:rPr>
                <w:rFonts w:ascii="Calibri" w:hAnsi="Calibri" w:cs="Calibri"/>
                <w:szCs w:val="20"/>
              </w:rPr>
              <w:t xml:space="preserve">Percent savings from Year </w:t>
            </w:r>
            <w:proofErr w:type="spellStart"/>
            <w:r>
              <w:rPr>
                <w:rFonts w:ascii="Calibri" w:hAnsi="Calibri" w:cs="Calibri"/>
                <w:szCs w:val="20"/>
              </w:rPr>
              <w:t>T</w:t>
            </w:r>
            <w:proofErr w:type="spellEnd"/>
            <w:r>
              <w:rPr>
                <w:rFonts w:ascii="Calibri" w:hAnsi="Calibri" w:cs="Calibri"/>
                <w:szCs w:val="20"/>
              </w:rPr>
              <w:t xml:space="preserve"> activities that persist 2 years after year T</w:t>
            </w:r>
          </w:p>
        </w:tc>
        <w:tc>
          <w:tcPr>
            <w:tcW w:w="1600" w:type="dxa"/>
            <w:tcBorders>
              <w:top w:val="nil"/>
              <w:left w:val="nil"/>
              <w:bottom w:val="single" w:sz="4" w:space="0" w:color="auto"/>
              <w:right w:val="single" w:sz="4" w:space="0" w:color="auto"/>
            </w:tcBorders>
            <w:vAlign w:val="center"/>
            <w:hideMark/>
          </w:tcPr>
          <w:p w14:paraId="57DB597A" w14:textId="77777777" w:rsidR="000702C6" w:rsidRDefault="000702C6" w:rsidP="00114B6E">
            <w:pPr>
              <w:widowControl/>
              <w:spacing w:after="0" w:line="256" w:lineRule="auto"/>
              <w:jc w:val="center"/>
              <w:rPr>
                <w:rFonts w:ascii="Calibri" w:hAnsi="Calibri" w:cs="Calibri"/>
                <w:color w:val="000000"/>
                <w:sz w:val="18"/>
                <w:szCs w:val="18"/>
              </w:rPr>
            </w:pPr>
            <w:proofErr w:type="spellStart"/>
            <w:r>
              <w:rPr>
                <w:rFonts w:ascii="Calibri" w:hAnsi="Calibri" w:cs="Calibri"/>
                <w:color w:val="000000"/>
                <w:sz w:val="18"/>
                <w:szCs w:val="18"/>
              </w:rPr>
              <w:t>ΔkWh</w:t>
            </w:r>
            <w:r>
              <w:rPr>
                <w:rFonts w:ascii="Calibri" w:hAnsi="Calibri" w:cs="Calibri"/>
                <w:color w:val="000000"/>
                <w:sz w:val="18"/>
                <w:szCs w:val="18"/>
                <w:vertAlign w:val="subscript"/>
              </w:rPr>
              <w:t>TAdjusted</w:t>
            </w:r>
            <w:proofErr w:type="spellEnd"/>
            <w:r>
              <w:rPr>
                <w:rFonts w:ascii="Calibri" w:hAnsi="Calibri" w:cs="Calibri"/>
                <w:color w:val="000000"/>
                <w:sz w:val="18"/>
                <w:szCs w:val="18"/>
              </w:rPr>
              <w:t xml:space="preserve"> * PFE</w:t>
            </w:r>
            <w:r>
              <w:rPr>
                <w:rFonts w:ascii="Calibri" w:hAnsi="Calibri" w:cs="Calibri"/>
                <w:color w:val="000000"/>
                <w:sz w:val="18"/>
                <w:szCs w:val="18"/>
                <w:vertAlign w:val="subscript"/>
              </w:rPr>
              <w:t>2</w:t>
            </w:r>
            <w:r>
              <w:rPr>
                <w:rFonts w:ascii="Calibri" w:hAnsi="Calibri" w:cs="Calibri"/>
                <w:color w:val="000000"/>
                <w:sz w:val="18"/>
                <w:szCs w:val="18"/>
              </w:rPr>
              <w:t>* RR</w:t>
            </w:r>
            <w:del w:id="510" w:author="Carly Olig" w:date="2022-05-04T15:42:00Z">
              <w:r w:rsidDel="001F1EB1">
                <w:rPr>
                  <w:rFonts w:ascii="Calibri" w:hAnsi="Calibri" w:cs="Calibri"/>
                  <w:color w:val="000000"/>
                  <w:sz w:val="18"/>
                  <w:szCs w:val="18"/>
                  <w:vertAlign w:val="subscript"/>
                </w:rPr>
                <w:delText>Utility</w:delText>
              </w:r>
            </w:del>
            <w:r>
              <w:rPr>
                <w:rFonts w:ascii="Calibri" w:hAnsi="Calibri" w:cs="Calibri"/>
                <w:color w:val="000000"/>
                <w:sz w:val="18"/>
                <w:szCs w:val="18"/>
                <w:vertAlign w:val="superscript"/>
              </w:rPr>
              <w:t>2</w:t>
            </w:r>
          </w:p>
        </w:tc>
        <w:tc>
          <w:tcPr>
            <w:tcW w:w="1480" w:type="dxa"/>
            <w:tcBorders>
              <w:top w:val="nil"/>
              <w:left w:val="nil"/>
              <w:bottom w:val="single" w:sz="4" w:space="0" w:color="auto"/>
              <w:right w:val="single" w:sz="4" w:space="0" w:color="auto"/>
            </w:tcBorders>
            <w:vAlign w:val="center"/>
            <w:hideMark/>
          </w:tcPr>
          <w:p w14:paraId="15049462" w14:textId="77777777" w:rsidR="000702C6" w:rsidRDefault="000702C6" w:rsidP="00114B6E">
            <w:pPr>
              <w:widowControl/>
              <w:spacing w:after="0" w:line="256" w:lineRule="auto"/>
              <w:jc w:val="center"/>
              <w:rPr>
                <w:rFonts w:ascii="Calibri" w:hAnsi="Calibri" w:cs="Calibri"/>
                <w:color w:val="000000"/>
                <w:sz w:val="18"/>
                <w:szCs w:val="18"/>
              </w:rPr>
            </w:pPr>
            <w:proofErr w:type="spellStart"/>
            <w:r>
              <w:rPr>
                <w:rFonts w:ascii="Calibri" w:hAnsi="Calibri" w:cs="Calibri"/>
                <w:color w:val="000000"/>
                <w:sz w:val="18"/>
                <w:szCs w:val="18"/>
              </w:rPr>
              <w:t>ΔkW</w:t>
            </w:r>
            <w:r>
              <w:rPr>
                <w:rFonts w:ascii="Calibri" w:hAnsi="Calibri" w:cs="Calibri"/>
                <w:color w:val="000000"/>
                <w:sz w:val="18"/>
                <w:szCs w:val="18"/>
                <w:vertAlign w:val="subscript"/>
              </w:rPr>
              <w:t>TAdjusted</w:t>
            </w:r>
            <w:proofErr w:type="spellEnd"/>
            <w:r>
              <w:rPr>
                <w:rFonts w:ascii="Calibri" w:hAnsi="Calibri" w:cs="Calibri"/>
                <w:color w:val="000000"/>
                <w:sz w:val="18"/>
                <w:szCs w:val="18"/>
              </w:rPr>
              <w:t xml:space="preserve"> * PFE</w:t>
            </w:r>
            <w:r>
              <w:rPr>
                <w:rFonts w:ascii="Calibri" w:hAnsi="Calibri" w:cs="Calibri"/>
                <w:color w:val="000000"/>
                <w:sz w:val="18"/>
                <w:szCs w:val="18"/>
                <w:vertAlign w:val="subscript"/>
              </w:rPr>
              <w:t>2</w:t>
            </w:r>
            <w:r>
              <w:rPr>
                <w:rFonts w:ascii="Calibri" w:hAnsi="Calibri" w:cs="Calibri"/>
                <w:color w:val="000000"/>
                <w:sz w:val="18"/>
                <w:szCs w:val="18"/>
              </w:rPr>
              <w:t>* RR</w:t>
            </w:r>
            <w:del w:id="511" w:author="Carly Olig" w:date="2022-05-04T15:43:00Z">
              <w:r w:rsidDel="001F1EB1">
                <w:rPr>
                  <w:rFonts w:ascii="Calibri" w:hAnsi="Calibri" w:cs="Calibri"/>
                  <w:color w:val="000000"/>
                  <w:sz w:val="18"/>
                  <w:szCs w:val="18"/>
                  <w:vertAlign w:val="subscript"/>
                </w:rPr>
                <w:delText>Utility</w:delText>
              </w:r>
            </w:del>
            <w:r>
              <w:rPr>
                <w:rFonts w:ascii="Calibri" w:hAnsi="Calibri" w:cs="Calibri"/>
                <w:color w:val="000000"/>
                <w:sz w:val="18"/>
                <w:szCs w:val="18"/>
                <w:vertAlign w:val="superscript"/>
              </w:rPr>
              <w:t>2</w:t>
            </w:r>
          </w:p>
        </w:tc>
        <w:tc>
          <w:tcPr>
            <w:tcW w:w="1600" w:type="dxa"/>
            <w:tcBorders>
              <w:top w:val="nil"/>
              <w:left w:val="nil"/>
              <w:bottom w:val="single" w:sz="4" w:space="0" w:color="auto"/>
              <w:right w:val="single" w:sz="4" w:space="0" w:color="auto"/>
            </w:tcBorders>
            <w:vAlign w:val="center"/>
            <w:hideMark/>
          </w:tcPr>
          <w:p w14:paraId="6BBD3F20" w14:textId="77777777" w:rsidR="000702C6" w:rsidRDefault="000702C6" w:rsidP="00114B6E">
            <w:pPr>
              <w:widowControl/>
              <w:spacing w:after="0" w:line="256" w:lineRule="auto"/>
              <w:jc w:val="center"/>
              <w:rPr>
                <w:rFonts w:ascii="Calibri" w:hAnsi="Calibri" w:cs="Calibri"/>
                <w:color w:val="000000"/>
                <w:sz w:val="18"/>
                <w:szCs w:val="18"/>
              </w:rPr>
            </w:pPr>
            <w:proofErr w:type="spellStart"/>
            <w:r>
              <w:rPr>
                <w:rFonts w:ascii="Calibri" w:hAnsi="Calibri" w:cs="Calibri"/>
                <w:color w:val="000000"/>
                <w:sz w:val="18"/>
                <w:szCs w:val="18"/>
              </w:rPr>
              <w:t>ΔTherms</w:t>
            </w:r>
            <w:r>
              <w:rPr>
                <w:rFonts w:ascii="Calibri" w:hAnsi="Calibri" w:cs="Calibri"/>
                <w:color w:val="000000"/>
                <w:sz w:val="18"/>
                <w:szCs w:val="18"/>
                <w:vertAlign w:val="subscript"/>
              </w:rPr>
              <w:t>TAdjusted</w:t>
            </w:r>
            <w:proofErr w:type="spellEnd"/>
            <w:r>
              <w:rPr>
                <w:rFonts w:ascii="Calibri" w:hAnsi="Calibri" w:cs="Calibri"/>
                <w:color w:val="000000"/>
                <w:sz w:val="18"/>
                <w:szCs w:val="18"/>
              </w:rPr>
              <w:t xml:space="preserve"> * PFG</w:t>
            </w:r>
            <w:r>
              <w:rPr>
                <w:rFonts w:ascii="Calibri" w:hAnsi="Calibri" w:cs="Calibri"/>
                <w:color w:val="000000"/>
                <w:sz w:val="18"/>
                <w:szCs w:val="18"/>
                <w:vertAlign w:val="subscript"/>
              </w:rPr>
              <w:t>2</w:t>
            </w:r>
            <w:r>
              <w:rPr>
                <w:rFonts w:ascii="Calibri" w:hAnsi="Calibri" w:cs="Calibri"/>
                <w:color w:val="000000"/>
                <w:sz w:val="18"/>
                <w:szCs w:val="18"/>
              </w:rPr>
              <w:t>* RR</w:t>
            </w:r>
            <w:del w:id="512" w:author="Carly Olig" w:date="2022-05-04T15:43:00Z">
              <w:r w:rsidDel="001F1EB1">
                <w:rPr>
                  <w:rFonts w:ascii="Calibri" w:hAnsi="Calibri" w:cs="Calibri"/>
                  <w:color w:val="000000"/>
                  <w:sz w:val="18"/>
                  <w:szCs w:val="18"/>
                  <w:vertAlign w:val="subscript"/>
                </w:rPr>
                <w:delText>Utility</w:delText>
              </w:r>
            </w:del>
            <w:r>
              <w:rPr>
                <w:rFonts w:ascii="Calibri" w:hAnsi="Calibri" w:cs="Calibri"/>
                <w:color w:val="000000"/>
                <w:sz w:val="18"/>
                <w:szCs w:val="18"/>
                <w:vertAlign w:val="superscript"/>
              </w:rPr>
              <w:t>2</w:t>
            </w:r>
          </w:p>
        </w:tc>
      </w:tr>
      <w:tr w:rsidR="000702C6" w14:paraId="7A18C204" w14:textId="77777777" w:rsidTr="00114B6E">
        <w:trPr>
          <w:trHeight w:val="559"/>
          <w:jc w:val="center"/>
        </w:trPr>
        <w:tc>
          <w:tcPr>
            <w:tcW w:w="3960" w:type="dxa"/>
            <w:tcBorders>
              <w:top w:val="nil"/>
              <w:left w:val="single" w:sz="4" w:space="0" w:color="auto"/>
              <w:bottom w:val="single" w:sz="4" w:space="0" w:color="auto"/>
              <w:right w:val="single" w:sz="4" w:space="0" w:color="auto"/>
            </w:tcBorders>
            <w:vAlign w:val="center"/>
            <w:hideMark/>
          </w:tcPr>
          <w:p w14:paraId="6568C68E" w14:textId="77777777" w:rsidR="000702C6" w:rsidRDefault="000702C6" w:rsidP="00114B6E">
            <w:pPr>
              <w:widowControl/>
              <w:spacing w:after="0" w:line="256" w:lineRule="auto"/>
              <w:jc w:val="center"/>
              <w:rPr>
                <w:rFonts w:ascii="Calibri" w:hAnsi="Calibri" w:cs="Calibri"/>
                <w:szCs w:val="20"/>
              </w:rPr>
            </w:pPr>
            <w:r>
              <w:rPr>
                <w:rFonts w:ascii="Calibri" w:hAnsi="Calibri" w:cs="Calibri"/>
                <w:szCs w:val="20"/>
              </w:rPr>
              <w:t xml:space="preserve">Percent savings from Year </w:t>
            </w:r>
            <w:proofErr w:type="spellStart"/>
            <w:r>
              <w:rPr>
                <w:rFonts w:ascii="Calibri" w:hAnsi="Calibri" w:cs="Calibri"/>
                <w:szCs w:val="20"/>
              </w:rPr>
              <w:t>T</w:t>
            </w:r>
            <w:proofErr w:type="spellEnd"/>
            <w:r>
              <w:rPr>
                <w:rFonts w:ascii="Calibri" w:hAnsi="Calibri" w:cs="Calibri"/>
                <w:szCs w:val="20"/>
              </w:rPr>
              <w:t xml:space="preserve"> activities that persist 3 years after year T</w:t>
            </w:r>
          </w:p>
        </w:tc>
        <w:tc>
          <w:tcPr>
            <w:tcW w:w="1600" w:type="dxa"/>
            <w:tcBorders>
              <w:top w:val="nil"/>
              <w:left w:val="nil"/>
              <w:bottom w:val="single" w:sz="4" w:space="0" w:color="auto"/>
              <w:right w:val="single" w:sz="4" w:space="0" w:color="auto"/>
            </w:tcBorders>
            <w:vAlign w:val="center"/>
            <w:hideMark/>
          </w:tcPr>
          <w:p w14:paraId="7F960FF2" w14:textId="77777777" w:rsidR="000702C6" w:rsidRDefault="000702C6" w:rsidP="00114B6E">
            <w:pPr>
              <w:widowControl/>
              <w:spacing w:after="0" w:line="256" w:lineRule="auto"/>
              <w:jc w:val="center"/>
              <w:rPr>
                <w:rFonts w:ascii="Calibri" w:hAnsi="Calibri" w:cs="Calibri"/>
                <w:color w:val="000000"/>
                <w:sz w:val="18"/>
                <w:szCs w:val="18"/>
              </w:rPr>
            </w:pPr>
            <w:proofErr w:type="spellStart"/>
            <w:r>
              <w:rPr>
                <w:rFonts w:ascii="Calibri" w:hAnsi="Calibri" w:cs="Calibri"/>
                <w:color w:val="000000"/>
                <w:sz w:val="18"/>
                <w:szCs w:val="18"/>
              </w:rPr>
              <w:t>ΔkWh</w:t>
            </w:r>
            <w:r>
              <w:rPr>
                <w:rFonts w:ascii="Calibri" w:hAnsi="Calibri" w:cs="Calibri"/>
                <w:color w:val="000000"/>
                <w:sz w:val="18"/>
                <w:szCs w:val="18"/>
                <w:vertAlign w:val="subscript"/>
              </w:rPr>
              <w:t>TAdjusted</w:t>
            </w:r>
            <w:proofErr w:type="spellEnd"/>
            <w:r>
              <w:rPr>
                <w:rFonts w:ascii="Calibri" w:hAnsi="Calibri" w:cs="Calibri"/>
                <w:color w:val="000000"/>
                <w:sz w:val="18"/>
                <w:szCs w:val="18"/>
              </w:rPr>
              <w:t xml:space="preserve"> * PFE</w:t>
            </w:r>
            <w:r>
              <w:rPr>
                <w:rFonts w:ascii="Calibri" w:hAnsi="Calibri" w:cs="Calibri"/>
                <w:color w:val="000000"/>
                <w:sz w:val="18"/>
                <w:szCs w:val="18"/>
                <w:vertAlign w:val="subscript"/>
              </w:rPr>
              <w:t>3</w:t>
            </w:r>
            <w:r>
              <w:rPr>
                <w:rFonts w:ascii="Calibri" w:hAnsi="Calibri" w:cs="Calibri"/>
                <w:color w:val="000000"/>
                <w:sz w:val="18"/>
                <w:szCs w:val="18"/>
              </w:rPr>
              <w:t>* RR</w:t>
            </w:r>
            <w:del w:id="513" w:author="Carly Olig" w:date="2022-05-04T15:42:00Z">
              <w:r w:rsidDel="001F1EB1">
                <w:rPr>
                  <w:rFonts w:ascii="Calibri" w:hAnsi="Calibri" w:cs="Calibri"/>
                  <w:color w:val="000000"/>
                  <w:sz w:val="18"/>
                  <w:szCs w:val="18"/>
                  <w:vertAlign w:val="subscript"/>
                </w:rPr>
                <w:delText>Utility</w:delText>
              </w:r>
            </w:del>
            <w:r>
              <w:rPr>
                <w:rFonts w:ascii="Calibri" w:hAnsi="Calibri" w:cs="Calibri"/>
                <w:color w:val="000000"/>
                <w:sz w:val="18"/>
                <w:szCs w:val="18"/>
                <w:vertAlign w:val="superscript"/>
              </w:rPr>
              <w:t>3</w:t>
            </w:r>
          </w:p>
        </w:tc>
        <w:tc>
          <w:tcPr>
            <w:tcW w:w="1480" w:type="dxa"/>
            <w:tcBorders>
              <w:top w:val="nil"/>
              <w:left w:val="nil"/>
              <w:bottom w:val="single" w:sz="4" w:space="0" w:color="auto"/>
              <w:right w:val="single" w:sz="4" w:space="0" w:color="auto"/>
            </w:tcBorders>
            <w:vAlign w:val="center"/>
            <w:hideMark/>
          </w:tcPr>
          <w:p w14:paraId="3AEEB95D" w14:textId="77777777" w:rsidR="000702C6" w:rsidRDefault="000702C6" w:rsidP="00114B6E">
            <w:pPr>
              <w:widowControl/>
              <w:spacing w:after="0" w:line="256" w:lineRule="auto"/>
              <w:jc w:val="center"/>
              <w:rPr>
                <w:rFonts w:ascii="Calibri" w:hAnsi="Calibri" w:cs="Calibri"/>
                <w:color w:val="000000"/>
                <w:sz w:val="18"/>
                <w:szCs w:val="18"/>
              </w:rPr>
            </w:pPr>
            <w:proofErr w:type="spellStart"/>
            <w:r>
              <w:rPr>
                <w:rFonts w:ascii="Calibri" w:hAnsi="Calibri" w:cs="Calibri"/>
                <w:color w:val="000000"/>
                <w:sz w:val="18"/>
                <w:szCs w:val="18"/>
              </w:rPr>
              <w:t>ΔkW</w:t>
            </w:r>
            <w:r>
              <w:rPr>
                <w:rFonts w:ascii="Calibri" w:hAnsi="Calibri" w:cs="Calibri"/>
                <w:color w:val="000000"/>
                <w:sz w:val="18"/>
                <w:szCs w:val="18"/>
                <w:vertAlign w:val="subscript"/>
              </w:rPr>
              <w:t>TAdjusted</w:t>
            </w:r>
            <w:proofErr w:type="spellEnd"/>
            <w:r>
              <w:rPr>
                <w:rFonts w:ascii="Calibri" w:hAnsi="Calibri" w:cs="Calibri"/>
                <w:color w:val="000000"/>
                <w:sz w:val="18"/>
                <w:szCs w:val="18"/>
              </w:rPr>
              <w:t xml:space="preserve"> * PFE</w:t>
            </w:r>
            <w:r>
              <w:rPr>
                <w:rFonts w:ascii="Calibri" w:hAnsi="Calibri" w:cs="Calibri"/>
                <w:color w:val="000000"/>
                <w:sz w:val="18"/>
                <w:szCs w:val="18"/>
                <w:vertAlign w:val="subscript"/>
              </w:rPr>
              <w:t>3</w:t>
            </w:r>
            <w:r>
              <w:rPr>
                <w:rFonts w:ascii="Calibri" w:hAnsi="Calibri" w:cs="Calibri"/>
                <w:color w:val="000000"/>
                <w:sz w:val="18"/>
                <w:szCs w:val="18"/>
              </w:rPr>
              <w:t>* RR</w:t>
            </w:r>
            <w:del w:id="514" w:author="Carly Olig" w:date="2022-05-04T15:43:00Z">
              <w:r w:rsidDel="001F1EB1">
                <w:rPr>
                  <w:rFonts w:ascii="Calibri" w:hAnsi="Calibri" w:cs="Calibri"/>
                  <w:color w:val="000000"/>
                  <w:sz w:val="18"/>
                  <w:szCs w:val="18"/>
                  <w:vertAlign w:val="subscript"/>
                </w:rPr>
                <w:delText>Utility</w:delText>
              </w:r>
            </w:del>
            <w:r>
              <w:rPr>
                <w:rFonts w:ascii="Calibri" w:hAnsi="Calibri" w:cs="Calibri"/>
                <w:color w:val="000000"/>
                <w:sz w:val="18"/>
                <w:szCs w:val="18"/>
                <w:vertAlign w:val="superscript"/>
              </w:rPr>
              <w:t>3</w:t>
            </w:r>
          </w:p>
        </w:tc>
        <w:tc>
          <w:tcPr>
            <w:tcW w:w="1600" w:type="dxa"/>
            <w:tcBorders>
              <w:top w:val="nil"/>
              <w:left w:val="nil"/>
              <w:bottom w:val="single" w:sz="4" w:space="0" w:color="auto"/>
              <w:right w:val="single" w:sz="4" w:space="0" w:color="auto"/>
            </w:tcBorders>
            <w:vAlign w:val="center"/>
            <w:hideMark/>
          </w:tcPr>
          <w:p w14:paraId="734A07C3" w14:textId="77777777" w:rsidR="000702C6" w:rsidRDefault="000702C6" w:rsidP="00114B6E">
            <w:pPr>
              <w:widowControl/>
              <w:spacing w:after="0" w:line="256" w:lineRule="auto"/>
              <w:jc w:val="center"/>
              <w:rPr>
                <w:rFonts w:ascii="Calibri" w:hAnsi="Calibri" w:cs="Calibri"/>
                <w:color w:val="000000"/>
                <w:sz w:val="18"/>
                <w:szCs w:val="18"/>
              </w:rPr>
            </w:pPr>
            <w:proofErr w:type="spellStart"/>
            <w:r>
              <w:rPr>
                <w:rFonts w:ascii="Calibri" w:hAnsi="Calibri" w:cs="Calibri"/>
                <w:color w:val="000000"/>
                <w:sz w:val="18"/>
                <w:szCs w:val="18"/>
              </w:rPr>
              <w:t>ΔTherms</w:t>
            </w:r>
            <w:r>
              <w:rPr>
                <w:rFonts w:ascii="Calibri" w:hAnsi="Calibri" w:cs="Calibri"/>
                <w:color w:val="000000"/>
                <w:sz w:val="18"/>
                <w:szCs w:val="18"/>
                <w:vertAlign w:val="subscript"/>
              </w:rPr>
              <w:t>TAdjusted</w:t>
            </w:r>
            <w:proofErr w:type="spellEnd"/>
            <w:r>
              <w:rPr>
                <w:rFonts w:ascii="Calibri" w:hAnsi="Calibri" w:cs="Calibri"/>
                <w:color w:val="000000"/>
                <w:sz w:val="18"/>
                <w:szCs w:val="18"/>
              </w:rPr>
              <w:t xml:space="preserve"> * PFG</w:t>
            </w:r>
            <w:r>
              <w:rPr>
                <w:rFonts w:ascii="Calibri" w:hAnsi="Calibri" w:cs="Calibri"/>
                <w:color w:val="000000"/>
                <w:sz w:val="18"/>
                <w:szCs w:val="18"/>
                <w:vertAlign w:val="subscript"/>
              </w:rPr>
              <w:t>3</w:t>
            </w:r>
            <w:r>
              <w:rPr>
                <w:rFonts w:ascii="Calibri" w:hAnsi="Calibri" w:cs="Calibri"/>
                <w:color w:val="000000"/>
                <w:sz w:val="18"/>
                <w:szCs w:val="18"/>
              </w:rPr>
              <w:t>* RR</w:t>
            </w:r>
            <w:del w:id="515" w:author="Carly Olig" w:date="2022-05-04T15:43:00Z">
              <w:r w:rsidDel="001F1EB1">
                <w:rPr>
                  <w:rFonts w:ascii="Calibri" w:hAnsi="Calibri" w:cs="Calibri"/>
                  <w:color w:val="000000"/>
                  <w:sz w:val="18"/>
                  <w:szCs w:val="18"/>
                  <w:vertAlign w:val="subscript"/>
                </w:rPr>
                <w:delText>Utility</w:delText>
              </w:r>
            </w:del>
            <w:r>
              <w:rPr>
                <w:rFonts w:ascii="Calibri" w:hAnsi="Calibri" w:cs="Calibri"/>
                <w:color w:val="000000"/>
                <w:sz w:val="18"/>
                <w:szCs w:val="18"/>
                <w:vertAlign w:val="superscript"/>
              </w:rPr>
              <w:t>3</w:t>
            </w:r>
          </w:p>
        </w:tc>
      </w:tr>
      <w:tr w:rsidR="000702C6" w14:paraId="013EC8EC" w14:textId="77777777" w:rsidTr="00114B6E">
        <w:trPr>
          <w:trHeight w:val="559"/>
          <w:jc w:val="center"/>
        </w:trPr>
        <w:tc>
          <w:tcPr>
            <w:tcW w:w="3960" w:type="dxa"/>
            <w:tcBorders>
              <w:top w:val="nil"/>
              <w:left w:val="single" w:sz="4" w:space="0" w:color="auto"/>
              <w:bottom w:val="single" w:sz="4" w:space="0" w:color="auto"/>
              <w:right w:val="single" w:sz="4" w:space="0" w:color="auto"/>
            </w:tcBorders>
            <w:vAlign w:val="center"/>
            <w:hideMark/>
          </w:tcPr>
          <w:p w14:paraId="22D80F29" w14:textId="77777777" w:rsidR="000702C6" w:rsidRDefault="000702C6" w:rsidP="00114B6E">
            <w:pPr>
              <w:widowControl/>
              <w:spacing w:after="0" w:line="256" w:lineRule="auto"/>
              <w:jc w:val="center"/>
              <w:rPr>
                <w:rFonts w:ascii="Calibri" w:hAnsi="Calibri" w:cs="Calibri"/>
                <w:szCs w:val="20"/>
              </w:rPr>
            </w:pPr>
            <w:r>
              <w:rPr>
                <w:rFonts w:ascii="Calibri" w:hAnsi="Calibri" w:cs="Calibri"/>
                <w:szCs w:val="20"/>
              </w:rPr>
              <w:t xml:space="preserve">Percent savings from Year </w:t>
            </w:r>
            <w:proofErr w:type="spellStart"/>
            <w:r>
              <w:rPr>
                <w:rFonts w:ascii="Calibri" w:hAnsi="Calibri" w:cs="Calibri"/>
                <w:szCs w:val="20"/>
              </w:rPr>
              <w:t>T</w:t>
            </w:r>
            <w:proofErr w:type="spellEnd"/>
            <w:r>
              <w:rPr>
                <w:rFonts w:ascii="Calibri" w:hAnsi="Calibri" w:cs="Calibri"/>
                <w:szCs w:val="20"/>
              </w:rPr>
              <w:t xml:space="preserve"> activities that persist 4 years after year T</w:t>
            </w:r>
          </w:p>
        </w:tc>
        <w:tc>
          <w:tcPr>
            <w:tcW w:w="1600" w:type="dxa"/>
            <w:tcBorders>
              <w:top w:val="nil"/>
              <w:left w:val="nil"/>
              <w:bottom w:val="single" w:sz="4" w:space="0" w:color="auto"/>
              <w:right w:val="single" w:sz="4" w:space="0" w:color="auto"/>
            </w:tcBorders>
            <w:vAlign w:val="center"/>
            <w:hideMark/>
          </w:tcPr>
          <w:p w14:paraId="55CA6D89" w14:textId="77777777" w:rsidR="000702C6" w:rsidRDefault="000702C6" w:rsidP="00114B6E">
            <w:pPr>
              <w:widowControl/>
              <w:spacing w:after="0" w:line="256" w:lineRule="auto"/>
              <w:jc w:val="center"/>
              <w:rPr>
                <w:rFonts w:ascii="Calibri" w:hAnsi="Calibri" w:cs="Calibri"/>
                <w:color w:val="000000"/>
                <w:sz w:val="18"/>
                <w:szCs w:val="18"/>
              </w:rPr>
            </w:pPr>
            <w:proofErr w:type="spellStart"/>
            <w:r>
              <w:rPr>
                <w:rFonts w:ascii="Calibri" w:hAnsi="Calibri" w:cs="Calibri"/>
                <w:color w:val="000000"/>
                <w:sz w:val="18"/>
                <w:szCs w:val="18"/>
              </w:rPr>
              <w:t>ΔkWh</w:t>
            </w:r>
            <w:r>
              <w:rPr>
                <w:rFonts w:ascii="Calibri" w:hAnsi="Calibri" w:cs="Calibri"/>
                <w:color w:val="000000"/>
                <w:sz w:val="18"/>
                <w:szCs w:val="18"/>
                <w:vertAlign w:val="subscript"/>
              </w:rPr>
              <w:t>TAdjusted</w:t>
            </w:r>
            <w:proofErr w:type="spellEnd"/>
            <w:r>
              <w:rPr>
                <w:rFonts w:ascii="Calibri" w:hAnsi="Calibri" w:cs="Calibri"/>
                <w:color w:val="000000"/>
                <w:sz w:val="18"/>
                <w:szCs w:val="18"/>
              </w:rPr>
              <w:t xml:space="preserve"> * PFE</w:t>
            </w:r>
            <w:r>
              <w:rPr>
                <w:rFonts w:ascii="Calibri" w:hAnsi="Calibri" w:cs="Calibri"/>
                <w:color w:val="000000"/>
                <w:sz w:val="18"/>
                <w:szCs w:val="18"/>
                <w:vertAlign w:val="subscript"/>
              </w:rPr>
              <w:t>4</w:t>
            </w:r>
            <w:r>
              <w:rPr>
                <w:rFonts w:ascii="Calibri" w:hAnsi="Calibri" w:cs="Calibri"/>
                <w:color w:val="000000"/>
                <w:sz w:val="18"/>
                <w:szCs w:val="18"/>
              </w:rPr>
              <w:t>* RR</w:t>
            </w:r>
            <w:del w:id="516" w:author="Carly Olig" w:date="2022-05-04T15:42:00Z">
              <w:r w:rsidDel="001F1EB1">
                <w:rPr>
                  <w:rFonts w:ascii="Calibri" w:hAnsi="Calibri" w:cs="Calibri"/>
                  <w:color w:val="000000"/>
                  <w:sz w:val="18"/>
                  <w:szCs w:val="18"/>
                  <w:vertAlign w:val="subscript"/>
                </w:rPr>
                <w:delText>Utility</w:delText>
              </w:r>
            </w:del>
            <w:r>
              <w:rPr>
                <w:rFonts w:ascii="Calibri" w:hAnsi="Calibri" w:cs="Calibri"/>
                <w:color w:val="000000"/>
                <w:sz w:val="18"/>
                <w:szCs w:val="18"/>
                <w:vertAlign w:val="superscript"/>
              </w:rPr>
              <w:t>4</w:t>
            </w:r>
          </w:p>
        </w:tc>
        <w:tc>
          <w:tcPr>
            <w:tcW w:w="1480" w:type="dxa"/>
            <w:tcBorders>
              <w:top w:val="nil"/>
              <w:left w:val="nil"/>
              <w:bottom w:val="single" w:sz="4" w:space="0" w:color="auto"/>
              <w:right w:val="single" w:sz="4" w:space="0" w:color="auto"/>
            </w:tcBorders>
            <w:vAlign w:val="center"/>
            <w:hideMark/>
          </w:tcPr>
          <w:p w14:paraId="51D91236" w14:textId="77777777" w:rsidR="000702C6" w:rsidRDefault="000702C6" w:rsidP="00114B6E">
            <w:pPr>
              <w:widowControl/>
              <w:spacing w:after="0" w:line="256" w:lineRule="auto"/>
              <w:jc w:val="center"/>
              <w:rPr>
                <w:rFonts w:ascii="Calibri" w:hAnsi="Calibri" w:cs="Calibri"/>
                <w:color w:val="000000"/>
                <w:sz w:val="18"/>
                <w:szCs w:val="18"/>
              </w:rPr>
            </w:pPr>
            <w:proofErr w:type="spellStart"/>
            <w:r>
              <w:rPr>
                <w:rFonts w:ascii="Calibri" w:hAnsi="Calibri" w:cs="Calibri"/>
                <w:color w:val="000000"/>
                <w:sz w:val="18"/>
                <w:szCs w:val="18"/>
              </w:rPr>
              <w:t>ΔkW</w:t>
            </w:r>
            <w:r>
              <w:rPr>
                <w:rFonts w:ascii="Calibri" w:hAnsi="Calibri" w:cs="Calibri"/>
                <w:color w:val="000000"/>
                <w:sz w:val="18"/>
                <w:szCs w:val="18"/>
                <w:vertAlign w:val="subscript"/>
              </w:rPr>
              <w:t>TAdjusted</w:t>
            </w:r>
            <w:proofErr w:type="spellEnd"/>
            <w:r>
              <w:rPr>
                <w:rFonts w:ascii="Calibri" w:hAnsi="Calibri" w:cs="Calibri"/>
                <w:color w:val="000000"/>
                <w:sz w:val="18"/>
                <w:szCs w:val="18"/>
              </w:rPr>
              <w:t xml:space="preserve"> * PFE</w:t>
            </w:r>
            <w:r>
              <w:rPr>
                <w:rFonts w:ascii="Calibri" w:hAnsi="Calibri" w:cs="Calibri"/>
                <w:color w:val="000000"/>
                <w:sz w:val="18"/>
                <w:szCs w:val="18"/>
                <w:vertAlign w:val="subscript"/>
              </w:rPr>
              <w:t>4</w:t>
            </w:r>
            <w:r>
              <w:rPr>
                <w:rFonts w:ascii="Calibri" w:hAnsi="Calibri" w:cs="Calibri"/>
                <w:color w:val="000000"/>
                <w:sz w:val="18"/>
                <w:szCs w:val="18"/>
              </w:rPr>
              <w:t>* RR</w:t>
            </w:r>
            <w:del w:id="517" w:author="Carly Olig" w:date="2022-05-04T15:43:00Z">
              <w:r w:rsidDel="001F1EB1">
                <w:rPr>
                  <w:rFonts w:ascii="Calibri" w:hAnsi="Calibri" w:cs="Calibri"/>
                  <w:color w:val="000000"/>
                  <w:sz w:val="18"/>
                  <w:szCs w:val="18"/>
                  <w:vertAlign w:val="subscript"/>
                </w:rPr>
                <w:delText>Utility</w:delText>
              </w:r>
            </w:del>
            <w:r>
              <w:rPr>
                <w:rFonts w:ascii="Calibri" w:hAnsi="Calibri" w:cs="Calibri"/>
                <w:color w:val="000000"/>
                <w:sz w:val="18"/>
                <w:szCs w:val="18"/>
                <w:vertAlign w:val="superscript"/>
              </w:rPr>
              <w:t>4</w:t>
            </w:r>
          </w:p>
        </w:tc>
        <w:tc>
          <w:tcPr>
            <w:tcW w:w="1600" w:type="dxa"/>
            <w:tcBorders>
              <w:top w:val="nil"/>
              <w:left w:val="nil"/>
              <w:bottom w:val="single" w:sz="4" w:space="0" w:color="auto"/>
              <w:right w:val="single" w:sz="4" w:space="0" w:color="auto"/>
            </w:tcBorders>
            <w:vAlign w:val="center"/>
            <w:hideMark/>
          </w:tcPr>
          <w:p w14:paraId="0F9C7B9C" w14:textId="77777777" w:rsidR="000702C6" w:rsidRDefault="000702C6" w:rsidP="00114B6E">
            <w:pPr>
              <w:widowControl/>
              <w:spacing w:after="0" w:line="256" w:lineRule="auto"/>
              <w:jc w:val="center"/>
              <w:rPr>
                <w:rFonts w:ascii="Calibri" w:hAnsi="Calibri" w:cs="Calibri"/>
                <w:color w:val="000000"/>
                <w:sz w:val="18"/>
                <w:szCs w:val="18"/>
              </w:rPr>
            </w:pPr>
            <w:proofErr w:type="spellStart"/>
            <w:r>
              <w:rPr>
                <w:rFonts w:ascii="Calibri" w:hAnsi="Calibri" w:cs="Calibri"/>
                <w:color w:val="000000"/>
                <w:sz w:val="18"/>
                <w:szCs w:val="18"/>
              </w:rPr>
              <w:t>ΔTherms</w:t>
            </w:r>
            <w:r>
              <w:rPr>
                <w:rFonts w:ascii="Calibri" w:hAnsi="Calibri" w:cs="Calibri"/>
                <w:color w:val="000000"/>
                <w:sz w:val="18"/>
                <w:szCs w:val="18"/>
                <w:vertAlign w:val="subscript"/>
              </w:rPr>
              <w:t>TAdjusted</w:t>
            </w:r>
            <w:proofErr w:type="spellEnd"/>
            <w:r>
              <w:rPr>
                <w:rFonts w:ascii="Calibri" w:hAnsi="Calibri" w:cs="Calibri"/>
                <w:color w:val="000000"/>
                <w:sz w:val="18"/>
                <w:szCs w:val="18"/>
              </w:rPr>
              <w:t xml:space="preserve"> * PFG</w:t>
            </w:r>
            <w:r>
              <w:rPr>
                <w:rFonts w:ascii="Calibri" w:hAnsi="Calibri" w:cs="Calibri"/>
                <w:color w:val="000000"/>
                <w:sz w:val="18"/>
                <w:szCs w:val="18"/>
                <w:vertAlign w:val="subscript"/>
              </w:rPr>
              <w:t>4</w:t>
            </w:r>
            <w:r>
              <w:rPr>
                <w:rFonts w:ascii="Calibri" w:hAnsi="Calibri" w:cs="Calibri"/>
                <w:color w:val="000000"/>
                <w:sz w:val="18"/>
                <w:szCs w:val="18"/>
              </w:rPr>
              <w:t>* RR</w:t>
            </w:r>
            <w:del w:id="518" w:author="Carly Olig" w:date="2022-05-04T15:43:00Z">
              <w:r w:rsidDel="001F1EB1">
                <w:rPr>
                  <w:rFonts w:ascii="Calibri" w:hAnsi="Calibri" w:cs="Calibri"/>
                  <w:color w:val="000000"/>
                  <w:sz w:val="18"/>
                  <w:szCs w:val="18"/>
                  <w:vertAlign w:val="subscript"/>
                </w:rPr>
                <w:delText>Utility</w:delText>
              </w:r>
            </w:del>
            <w:r>
              <w:rPr>
                <w:rFonts w:ascii="Calibri" w:hAnsi="Calibri" w:cs="Calibri"/>
                <w:color w:val="000000"/>
                <w:sz w:val="18"/>
                <w:szCs w:val="18"/>
                <w:vertAlign w:val="superscript"/>
              </w:rPr>
              <w:t>4</w:t>
            </w:r>
          </w:p>
        </w:tc>
      </w:tr>
      <w:tr w:rsidR="000702C6" w14:paraId="1471F042" w14:textId="77777777" w:rsidTr="00114B6E">
        <w:trPr>
          <w:trHeight w:val="559"/>
          <w:jc w:val="center"/>
        </w:trPr>
        <w:tc>
          <w:tcPr>
            <w:tcW w:w="3960" w:type="dxa"/>
            <w:tcBorders>
              <w:top w:val="nil"/>
              <w:left w:val="single" w:sz="4" w:space="0" w:color="auto"/>
              <w:bottom w:val="single" w:sz="4" w:space="0" w:color="auto"/>
              <w:right w:val="single" w:sz="4" w:space="0" w:color="auto"/>
            </w:tcBorders>
            <w:vAlign w:val="center"/>
            <w:hideMark/>
          </w:tcPr>
          <w:p w14:paraId="60AEB084" w14:textId="77777777" w:rsidR="000702C6" w:rsidRDefault="000702C6" w:rsidP="00114B6E">
            <w:pPr>
              <w:widowControl/>
              <w:spacing w:after="0" w:line="256" w:lineRule="auto"/>
              <w:jc w:val="center"/>
              <w:rPr>
                <w:rFonts w:ascii="Calibri" w:hAnsi="Calibri" w:cs="Calibri"/>
                <w:szCs w:val="20"/>
              </w:rPr>
            </w:pPr>
            <w:r>
              <w:rPr>
                <w:rFonts w:ascii="Calibri" w:hAnsi="Calibri" w:cs="Calibri"/>
                <w:szCs w:val="20"/>
              </w:rPr>
              <w:t xml:space="preserve">Percent savings from Year </w:t>
            </w:r>
            <w:proofErr w:type="spellStart"/>
            <w:r>
              <w:rPr>
                <w:rFonts w:ascii="Calibri" w:hAnsi="Calibri" w:cs="Calibri"/>
                <w:szCs w:val="20"/>
              </w:rPr>
              <w:t>T</w:t>
            </w:r>
            <w:proofErr w:type="spellEnd"/>
            <w:r>
              <w:rPr>
                <w:rFonts w:ascii="Calibri" w:hAnsi="Calibri" w:cs="Calibri"/>
                <w:szCs w:val="20"/>
              </w:rPr>
              <w:t xml:space="preserve"> activities that persist 5 years after year T</w:t>
            </w:r>
          </w:p>
        </w:tc>
        <w:tc>
          <w:tcPr>
            <w:tcW w:w="1600" w:type="dxa"/>
            <w:tcBorders>
              <w:top w:val="nil"/>
              <w:left w:val="nil"/>
              <w:bottom w:val="single" w:sz="4" w:space="0" w:color="auto"/>
              <w:right w:val="single" w:sz="4" w:space="0" w:color="auto"/>
            </w:tcBorders>
            <w:vAlign w:val="center"/>
            <w:hideMark/>
          </w:tcPr>
          <w:p w14:paraId="28B6AD4B" w14:textId="77777777" w:rsidR="000702C6" w:rsidRDefault="000702C6" w:rsidP="00114B6E">
            <w:pPr>
              <w:widowControl/>
              <w:spacing w:after="0" w:line="256" w:lineRule="auto"/>
              <w:jc w:val="center"/>
              <w:rPr>
                <w:rFonts w:ascii="Calibri" w:hAnsi="Calibri" w:cs="Calibri"/>
                <w:color w:val="000000"/>
                <w:sz w:val="18"/>
                <w:szCs w:val="18"/>
              </w:rPr>
            </w:pPr>
            <w:proofErr w:type="spellStart"/>
            <w:r>
              <w:rPr>
                <w:rFonts w:ascii="Calibri" w:hAnsi="Calibri" w:cs="Calibri"/>
                <w:color w:val="000000"/>
                <w:sz w:val="18"/>
                <w:szCs w:val="18"/>
              </w:rPr>
              <w:t>ΔkWh</w:t>
            </w:r>
            <w:r>
              <w:rPr>
                <w:rFonts w:ascii="Calibri" w:hAnsi="Calibri" w:cs="Calibri"/>
                <w:color w:val="000000"/>
                <w:sz w:val="18"/>
                <w:szCs w:val="18"/>
                <w:vertAlign w:val="subscript"/>
              </w:rPr>
              <w:t>TAdjusted</w:t>
            </w:r>
            <w:proofErr w:type="spellEnd"/>
            <w:r>
              <w:rPr>
                <w:rFonts w:ascii="Calibri" w:hAnsi="Calibri" w:cs="Calibri"/>
                <w:color w:val="000000"/>
                <w:sz w:val="18"/>
                <w:szCs w:val="18"/>
              </w:rPr>
              <w:t xml:space="preserve"> * PFE</w:t>
            </w:r>
            <w:r>
              <w:rPr>
                <w:rFonts w:ascii="Calibri" w:hAnsi="Calibri" w:cs="Calibri"/>
                <w:color w:val="000000"/>
                <w:sz w:val="18"/>
                <w:szCs w:val="18"/>
                <w:vertAlign w:val="subscript"/>
              </w:rPr>
              <w:t>5</w:t>
            </w:r>
            <w:r>
              <w:rPr>
                <w:rFonts w:ascii="Calibri" w:hAnsi="Calibri" w:cs="Calibri"/>
                <w:color w:val="000000"/>
                <w:sz w:val="18"/>
                <w:szCs w:val="18"/>
              </w:rPr>
              <w:t>* RR</w:t>
            </w:r>
            <w:del w:id="519" w:author="Carly Olig" w:date="2022-05-04T15:42:00Z">
              <w:r w:rsidDel="001F1EB1">
                <w:rPr>
                  <w:rFonts w:ascii="Calibri" w:hAnsi="Calibri" w:cs="Calibri"/>
                  <w:color w:val="000000"/>
                  <w:sz w:val="18"/>
                  <w:szCs w:val="18"/>
                  <w:vertAlign w:val="subscript"/>
                </w:rPr>
                <w:delText>Utility</w:delText>
              </w:r>
            </w:del>
            <w:r>
              <w:rPr>
                <w:rFonts w:ascii="Calibri" w:hAnsi="Calibri" w:cs="Calibri"/>
                <w:color w:val="000000"/>
                <w:sz w:val="18"/>
                <w:szCs w:val="18"/>
                <w:vertAlign w:val="superscript"/>
              </w:rPr>
              <w:t>5</w:t>
            </w:r>
          </w:p>
        </w:tc>
        <w:tc>
          <w:tcPr>
            <w:tcW w:w="1480" w:type="dxa"/>
            <w:tcBorders>
              <w:top w:val="nil"/>
              <w:left w:val="nil"/>
              <w:bottom w:val="single" w:sz="4" w:space="0" w:color="auto"/>
              <w:right w:val="single" w:sz="4" w:space="0" w:color="auto"/>
            </w:tcBorders>
            <w:vAlign w:val="center"/>
            <w:hideMark/>
          </w:tcPr>
          <w:p w14:paraId="0322E66C" w14:textId="77777777" w:rsidR="000702C6" w:rsidRDefault="000702C6" w:rsidP="00114B6E">
            <w:pPr>
              <w:widowControl/>
              <w:spacing w:after="0" w:line="256" w:lineRule="auto"/>
              <w:jc w:val="center"/>
              <w:rPr>
                <w:rFonts w:ascii="Calibri" w:hAnsi="Calibri" w:cs="Calibri"/>
                <w:color w:val="000000"/>
                <w:sz w:val="18"/>
                <w:szCs w:val="18"/>
              </w:rPr>
            </w:pPr>
            <w:proofErr w:type="spellStart"/>
            <w:r>
              <w:rPr>
                <w:rFonts w:ascii="Calibri" w:hAnsi="Calibri" w:cs="Calibri"/>
                <w:color w:val="000000"/>
                <w:sz w:val="18"/>
                <w:szCs w:val="18"/>
              </w:rPr>
              <w:t>ΔkW</w:t>
            </w:r>
            <w:r>
              <w:rPr>
                <w:rFonts w:ascii="Calibri" w:hAnsi="Calibri" w:cs="Calibri"/>
                <w:color w:val="000000"/>
                <w:sz w:val="18"/>
                <w:szCs w:val="18"/>
                <w:vertAlign w:val="subscript"/>
              </w:rPr>
              <w:t>TAdjusted</w:t>
            </w:r>
            <w:proofErr w:type="spellEnd"/>
            <w:r>
              <w:rPr>
                <w:rFonts w:ascii="Calibri" w:hAnsi="Calibri" w:cs="Calibri"/>
                <w:color w:val="000000"/>
                <w:sz w:val="18"/>
                <w:szCs w:val="18"/>
              </w:rPr>
              <w:t xml:space="preserve"> * PFE</w:t>
            </w:r>
            <w:r>
              <w:rPr>
                <w:rFonts w:ascii="Calibri" w:hAnsi="Calibri" w:cs="Calibri"/>
                <w:color w:val="000000"/>
                <w:sz w:val="18"/>
                <w:szCs w:val="18"/>
                <w:vertAlign w:val="subscript"/>
              </w:rPr>
              <w:t>5</w:t>
            </w:r>
            <w:r>
              <w:rPr>
                <w:rFonts w:ascii="Calibri" w:hAnsi="Calibri" w:cs="Calibri"/>
                <w:color w:val="000000"/>
                <w:sz w:val="18"/>
                <w:szCs w:val="18"/>
              </w:rPr>
              <w:t>* RR</w:t>
            </w:r>
            <w:del w:id="520" w:author="Carly Olig" w:date="2022-05-04T15:42:00Z">
              <w:r w:rsidDel="001F1EB1">
                <w:rPr>
                  <w:rFonts w:ascii="Calibri" w:hAnsi="Calibri" w:cs="Calibri"/>
                  <w:color w:val="000000"/>
                  <w:sz w:val="18"/>
                  <w:szCs w:val="18"/>
                  <w:vertAlign w:val="subscript"/>
                </w:rPr>
                <w:delText>Utility</w:delText>
              </w:r>
            </w:del>
            <w:r>
              <w:rPr>
                <w:rFonts w:ascii="Calibri" w:hAnsi="Calibri" w:cs="Calibri"/>
                <w:color w:val="000000"/>
                <w:sz w:val="18"/>
                <w:szCs w:val="18"/>
                <w:vertAlign w:val="superscript"/>
              </w:rPr>
              <w:t>5</w:t>
            </w:r>
          </w:p>
        </w:tc>
        <w:tc>
          <w:tcPr>
            <w:tcW w:w="1600" w:type="dxa"/>
            <w:tcBorders>
              <w:top w:val="nil"/>
              <w:left w:val="nil"/>
              <w:bottom w:val="single" w:sz="4" w:space="0" w:color="auto"/>
              <w:right w:val="single" w:sz="4" w:space="0" w:color="auto"/>
            </w:tcBorders>
            <w:vAlign w:val="center"/>
            <w:hideMark/>
          </w:tcPr>
          <w:p w14:paraId="6CEE7E58" w14:textId="77777777" w:rsidR="000702C6" w:rsidRDefault="000702C6" w:rsidP="00114B6E">
            <w:pPr>
              <w:widowControl/>
              <w:spacing w:after="0" w:line="256" w:lineRule="auto"/>
              <w:jc w:val="center"/>
              <w:rPr>
                <w:rFonts w:ascii="Calibri" w:hAnsi="Calibri" w:cs="Calibri"/>
                <w:color w:val="000000"/>
                <w:sz w:val="18"/>
                <w:szCs w:val="18"/>
              </w:rPr>
            </w:pPr>
            <w:proofErr w:type="spellStart"/>
            <w:r>
              <w:rPr>
                <w:rFonts w:ascii="Calibri" w:hAnsi="Calibri" w:cs="Calibri"/>
                <w:color w:val="000000"/>
                <w:sz w:val="18"/>
                <w:szCs w:val="18"/>
              </w:rPr>
              <w:t>ΔTherms</w:t>
            </w:r>
            <w:r>
              <w:rPr>
                <w:rFonts w:ascii="Calibri" w:hAnsi="Calibri" w:cs="Calibri"/>
                <w:color w:val="000000"/>
                <w:sz w:val="18"/>
                <w:szCs w:val="18"/>
                <w:vertAlign w:val="subscript"/>
              </w:rPr>
              <w:t>TAdjusted</w:t>
            </w:r>
            <w:proofErr w:type="spellEnd"/>
            <w:r>
              <w:rPr>
                <w:rFonts w:ascii="Calibri" w:hAnsi="Calibri" w:cs="Calibri"/>
                <w:color w:val="000000"/>
                <w:sz w:val="18"/>
                <w:szCs w:val="18"/>
              </w:rPr>
              <w:t xml:space="preserve"> * PFG</w:t>
            </w:r>
            <w:r>
              <w:rPr>
                <w:rFonts w:ascii="Calibri" w:hAnsi="Calibri" w:cs="Calibri"/>
                <w:color w:val="000000"/>
                <w:sz w:val="18"/>
                <w:szCs w:val="18"/>
                <w:vertAlign w:val="subscript"/>
              </w:rPr>
              <w:t>5</w:t>
            </w:r>
            <w:r>
              <w:rPr>
                <w:rFonts w:ascii="Calibri" w:hAnsi="Calibri" w:cs="Calibri"/>
                <w:color w:val="000000"/>
                <w:sz w:val="18"/>
                <w:szCs w:val="18"/>
              </w:rPr>
              <w:t>* RR</w:t>
            </w:r>
            <w:del w:id="521" w:author="Carly Olig" w:date="2022-05-04T15:43:00Z">
              <w:r w:rsidDel="001F1EB1">
                <w:rPr>
                  <w:rFonts w:ascii="Calibri" w:hAnsi="Calibri" w:cs="Calibri"/>
                  <w:color w:val="000000"/>
                  <w:sz w:val="18"/>
                  <w:szCs w:val="18"/>
                  <w:vertAlign w:val="subscript"/>
                </w:rPr>
                <w:delText>Utility</w:delText>
              </w:r>
            </w:del>
            <w:r>
              <w:rPr>
                <w:rFonts w:ascii="Calibri" w:hAnsi="Calibri" w:cs="Calibri"/>
                <w:color w:val="000000"/>
                <w:sz w:val="18"/>
                <w:szCs w:val="18"/>
                <w:vertAlign w:val="superscript"/>
              </w:rPr>
              <w:t>5</w:t>
            </w:r>
          </w:p>
        </w:tc>
      </w:tr>
      <w:tr w:rsidR="000702C6" w14:paraId="780E778F" w14:textId="77777777" w:rsidTr="00114B6E">
        <w:trPr>
          <w:trHeight w:val="559"/>
          <w:jc w:val="center"/>
        </w:trPr>
        <w:tc>
          <w:tcPr>
            <w:tcW w:w="3960" w:type="dxa"/>
            <w:tcBorders>
              <w:top w:val="nil"/>
              <w:left w:val="single" w:sz="4" w:space="0" w:color="auto"/>
              <w:bottom w:val="single" w:sz="4" w:space="0" w:color="auto"/>
              <w:right w:val="single" w:sz="4" w:space="0" w:color="auto"/>
            </w:tcBorders>
            <w:vAlign w:val="center"/>
            <w:hideMark/>
          </w:tcPr>
          <w:p w14:paraId="721AC8F3" w14:textId="77777777" w:rsidR="000702C6" w:rsidRDefault="000702C6" w:rsidP="00114B6E">
            <w:pPr>
              <w:widowControl/>
              <w:spacing w:after="0" w:line="256" w:lineRule="auto"/>
              <w:jc w:val="center"/>
              <w:rPr>
                <w:rFonts w:ascii="Calibri" w:hAnsi="Calibri" w:cs="Calibri"/>
                <w:szCs w:val="20"/>
              </w:rPr>
            </w:pPr>
            <w:r>
              <w:rPr>
                <w:rFonts w:ascii="Calibri" w:hAnsi="Calibri" w:cs="Calibri"/>
                <w:szCs w:val="20"/>
              </w:rPr>
              <w:t xml:space="preserve">Percent savings from Year </w:t>
            </w:r>
            <w:proofErr w:type="spellStart"/>
            <w:r>
              <w:rPr>
                <w:rFonts w:ascii="Calibri" w:hAnsi="Calibri" w:cs="Calibri"/>
                <w:szCs w:val="20"/>
              </w:rPr>
              <w:t>T</w:t>
            </w:r>
            <w:proofErr w:type="spellEnd"/>
            <w:r>
              <w:rPr>
                <w:rFonts w:ascii="Calibri" w:hAnsi="Calibri" w:cs="Calibri"/>
                <w:szCs w:val="20"/>
              </w:rPr>
              <w:t xml:space="preserve"> activities that persist 6 years after year T</w:t>
            </w:r>
          </w:p>
        </w:tc>
        <w:tc>
          <w:tcPr>
            <w:tcW w:w="1600" w:type="dxa"/>
            <w:tcBorders>
              <w:top w:val="nil"/>
              <w:left w:val="nil"/>
              <w:bottom w:val="single" w:sz="4" w:space="0" w:color="auto"/>
              <w:right w:val="single" w:sz="4" w:space="0" w:color="auto"/>
            </w:tcBorders>
            <w:vAlign w:val="center"/>
            <w:hideMark/>
          </w:tcPr>
          <w:p w14:paraId="089BFC3B" w14:textId="77777777" w:rsidR="000702C6" w:rsidRDefault="000702C6" w:rsidP="00114B6E">
            <w:pPr>
              <w:widowControl/>
              <w:spacing w:after="0" w:line="256" w:lineRule="auto"/>
              <w:jc w:val="center"/>
              <w:rPr>
                <w:rFonts w:ascii="Calibri" w:hAnsi="Calibri" w:cs="Calibri"/>
                <w:color w:val="000000"/>
                <w:sz w:val="18"/>
                <w:szCs w:val="18"/>
              </w:rPr>
            </w:pPr>
            <w:proofErr w:type="spellStart"/>
            <w:r>
              <w:rPr>
                <w:rFonts w:ascii="Calibri" w:hAnsi="Calibri" w:cs="Calibri"/>
                <w:color w:val="000000"/>
                <w:sz w:val="18"/>
                <w:szCs w:val="18"/>
              </w:rPr>
              <w:t>ΔkWh</w:t>
            </w:r>
            <w:r>
              <w:rPr>
                <w:rFonts w:ascii="Calibri" w:hAnsi="Calibri" w:cs="Calibri"/>
                <w:color w:val="000000"/>
                <w:sz w:val="18"/>
                <w:szCs w:val="18"/>
                <w:vertAlign w:val="subscript"/>
              </w:rPr>
              <w:t>TAdjusted</w:t>
            </w:r>
            <w:proofErr w:type="spellEnd"/>
            <w:r>
              <w:rPr>
                <w:rFonts w:ascii="Calibri" w:hAnsi="Calibri" w:cs="Calibri"/>
                <w:color w:val="000000"/>
                <w:sz w:val="18"/>
                <w:szCs w:val="18"/>
              </w:rPr>
              <w:t xml:space="preserve"> * PFE</w:t>
            </w:r>
            <w:r>
              <w:rPr>
                <w:rFonts w:ascii="Calibri" w:hAnsi="Calibri" w:cs="Calibri"/>
                <w:color w:val="000000"/>
                <w:sz w:val="18"/>
                <w:szCs w:val="18"/>
                <w:vertAlign w:val="subscript"/>
              </w:rPr>
              <w:t>6</w:t>
            </w:r>
            <w:r>
              <w:rPr>
                <w:rFonts w:ascii="Calibri" w:hAnsi="Calibri" w:cs="Calibri"/>
                <w:color w:val="000000"/>
                <w:sz w:val="18"/>
                <w:szCs w:val="18"/>
              </w:rPr>
              <w:t>* RR</w:t>
            </w:r>
            <w:del w:id="522" w:author="Carly Olig" w:date="2022-05-04T15:42:00Z">
              <w:r w:rsidDel="001F1EB1">
                <w:rPr>
                  <w:rFonts w:ascii="Calibri" w:hAnsi="Calibri" w:cs="Calibri"/>
                  <w:color w:val="000000"/>
                  <w:sz w:val="18"/>
                  <w:szCs w:val="18"/>
                  <w:vertAlign w:val="subscript"/>
                </w:rPr>
                <w:delText>Utility</w:delText>
              </w:r>
            </w:del>
            <w:r>
              <w:rPr>
                <w:rFonts w:ascii="Calibri" w:hAnsi="Calibri" w:cs="Calibri"/>
                <w:color w:val="000000"/>
                <w:sz w:val="18"/>
                <w:szCs w:val="18"/>
                <w:vertAlign w:val="superscript"/>
              </w:rPr>
              <w:t>6</w:t>
            </w:r>
          </w:p>
        </w:tc>
        <w:tc>
          <w:tcPr>
            <w:tcW w:w="1480" w:type="dxa"/>
            <w:tcBorders>
              <w:top w:val="nil"/>
              <w:left w:val="nil"/>
              <w:bottom w:val="single" w:sz="4" w:space="0" w:color="auto"/>
              <w:right w:val="single" w:sz="4" w:space="0" w:color="auto"/>
            </w:tcBorders>
            <w:vAlign w:val="center"/>
            <w:hideMark/>
          </w:tcPr>
          <w:p w14:paraId="632810EA" w14:textId="77777777" w:rsidR="000702C6" w:rsidRDefault="000702C6" w:rsidP="00114B6E">
            <w:pPr>
              <w:widowControl/>
              <w:spacing w:after="0" w:line="256" w:lineRule="auto"/>
              <w:jc w:val="center"/>
              <w:rPr>
                <w:rFonts w:ascii="Calibri" w:hAnsi="Calibri" w:cs="Calibri"/>
                <w:color w:val="000000"/>
                <w:sz w:val="18"/>
                <w:szCs w:val="18"/>
              </w:rPr>
            </w:pPr>
            <w:proofErr w:type="spellStart"/>
            <w:r>
              <w:rPr>
                <w:rFonts w:ascii="Calibri" w:hAnsi="Calibri" w:cs="Calibri"/>
                <w:color w:val="000000"/>
                <w:sz w:val="18"/>
                <w:szCs w:val="18"/>
              </w:rPr>
              <w:t>ΔkW</w:t>
            </w:r>
            <w:r>
              <w:rPr>
                <w:rFonts w:ascii="Calibri" w:hAnsi="Calibri" w:cs="Calibri"/>
                <w:color w:val="000000"/>
                <w:sz w:val="18"/>
                <w:szCs w:val="18"/>
                <w:vertAlign w:val="subscript"/>
              </w:rPr>
              <w:t>TAdjusted</w:t>
            </w:r>
            <w:proofErr w:type="spellEnd"/>
            <w:r>
              <w:rPr>
                <w:rFonts w:ascii="Calibri" w:hAnsi="Calibri" w:cs="Calibri"/>
                <w:color w:val="000000"/>
                <w:sz w:val="18"/>
                <w:szCs w:val="18"/>
              </w:rPr>
              <w:t xml:space="preserve"> * PFE</w:t>
            </w:r>
            <w:r>
              <w:rPr>
                <w:rFonts w:ascii="Calibri" w:hAnsi="Calibri" w:cs="Calibri"/>
                <w:color w:val="000000"/>
                <w:sz w:val="18"/>
                <w:szCs w:val="18"/>
                <w:vertAlign w:val="subscript"/>
              </w:rPr>
              <w:t>6</w:t>
            </w:r>
            <w:r>
              <w:rPr>
                <w:rFonts w:ascii="Calibri" w:hAnsi="Calibri" w:cs="Calibri"/>
                <w:color w:val="000000"/>
                <w:sz w:val="18"/>
                <w:szCs w:val="18"/>
              </w:rPr>
              <w:t>* RR</w:t>
            </w:r>
            <w:del w:id="523" w:author="Carly Olig" w:date="2022-05-04T15:42:00Z">
              <w:r w:rsidDel="001F1EB1">
                <w:rPr>
                  <w:rFonts w:ascii="Calibri" w:hAnsi="Calibri" w:cs="Calibri"/>
                  <w:color w:val="000000"/>
                  <w:sz w:val="18"/>
                  <w:szCs w:val="18"/>
                  <w:vertAlign w:val="subscript"/>
                </w:rPr>
                <w:delText>Utility</w:delText>
              </w:r>
            </w:del>
            <w:r>
              <w:rPr>
                <w:rFonts w:ascii="Calibri" w:hAnsi="Calibri" w:cs="Calibri"/>
                <w:color w:val="000000"/>
                <w:sz w:val="18"/>
                <w:szCs w:val="18"/>
                <w:vertAlign w:val="superscript"/>
              </w:rPr>
              <w:t>6</w:t>
            </w:r>
          </w:p>
        </w:tc>
        <w:tc>
          <w:tcPr>
            <w:tcW w:w="1600" w:type="dxa"/>
            <w:tcBorders>
              <w:top w:val="nil"/>
              <w:left w:val="nil"/>
              <w:bottom w:val="single" w:sz="4" w:space="0" w:color="auto"/>
              <w:right w:val="single" w:sz="4" w:space="0" w:color="auto"/>
            </w:tcBorders>
            <w:vAlign w:val="center"/>
            <w:hideMark/>
          </w:tcPr>
          <w:p w14:paraId="131DC4AA" w14:textId="77777777" w:rsidR="000702C6" w:rsidRDefault="000702C6" w:rsidP="00114B6E">
            <w:pPr>
              <w:widowControl/>
              <w:spacing w:after="0" w:line="256" w:lineRule="auto"/>
              <w:jc w:val="center"/>
              <w:rPr>
                <w:rFonts w:ascii="Calibri" w:hAnsi="Calibri" w:cs="Calibri"/>
                <w:color w:val="000000"/>
                <w:sz w:val="18"/>
                <w:szCs w:val="18"/>
              </w:rPr>
            </w:pPr>
            <w:proofErr w:type="spellStart"/>
            <w:r>
              <w:rPr>
                <w:rFonts w:ascii="Calibri" w:hAnsi="Calibri" w:cs="Calibri"/>
                <w:color w:val="000000"/>
                <w:sz w:val="18"/>
                <w:szCs w:val="18"/>
              </w:rPr>
              <w:t>ΔTherms</w:t>
            </w:r>
            <w:r>
              <w:rPr>
                <w:rFonts w:ascii="Calibri" w:hAnsi="Calibri" w:cs="Calibri"/>
                <w:color w:val="000000"/>
                <w:sz w:val="18"/>
                <w:szCs w:val="18"/>
                <w:vertAlign w:val="subscript"/>
              </w:rPr>
              <w:t>TAdjusted</w:t>
            </w:r>
            <w:proofErr w:type="spellEnd"/>
            <w:r>
              <w:rPr>
                <w:rFonts w:ascii="Calibri" w:hAnsi="Calibri" w:cs="Calibri"/>
                <w:color w:val="000000"/>
                <w:sz w:val="18"/>
                <w:szCs w:val="18"/>
              </w:rPr>
              <w:t xml:space="preserve"> * PFG</w:t>
            </w:r>
            <w:r>
              <w:rPr>
                <w:rFonts w:ascii="Calibri" w:hAnsi="Calibri" w:cs="Calibri"/>
                <w:color w:val="000000"/>
                <w:sz w:val="18"/>
                <w:szCs w:val="18"/>
                <w:vertAlign w:val="subscript"/>
              </w:rPr>
              <w:t>6</w:t>
            </w:r>
            <w:r>
              <w:rPr>
                <w:rFonts w:ascii="Calibri" w:hAnsi="Calibri" w:cs="Calibri"/>
                <w:color w:val="000000"/>
                <w:sz w:val="18"/>
                <w:szCs w:val="18"/>
              </w:rPr>
              <w:t>* RR</w:t>
            </w:r>
            <w:del w:id="524" w:author="Carly Olig" w:date="2022-05-04T15:43:00Z">
              <w:r w:rsidDel="001F1EB1">
                <w:rPr>
                  <w:rFonts w:ascii="Calibri" w:hAnsi="Calibri" w:cs="Calibri"/>
                  <w:color w:val="000000"/>
                  <w:sz w:val="18"/>
                  <w:szCs w:val="18"/>
                  <w:vertAlign w:val="subscript"/>
                </w:rPr>
                <w:delText>Utility</w:delText>
              </w:r>
            </w:del>
            <w:r>
              <w:rPr>
                <w:rFonts w:ascii="Calibri" w:hAnsi="Calibri" w:cs="Calibri"/>
                <w:color w:val="000000"/>
                <w:sz w:val="18"/>
                <w:szCs w:val="18"/>
                <w:vertAlign w:val="superscript"/>
              </w:rPr>
              <w:t>6</w:t>
            </w:r>
          </w:p>
        </w:tc>
      </w:tr>
      <w:tr w:rsidR="000702C6" w14:paraId="2BE5EBAC" w14:textId="77777777" w:rsidTr="00114B6E">
        <w:trPr>
          <w:trHeight w:val="559"/>
          <w:jc w:val="center"/>
        </w:trPr>
        <w:tc>
          <w:tcPr>
            <w:tcW w:w="3960" w:type="dxa"/>
            <w:tcBorders>
              <w:top w:val="nil"/>
              <w:left w:val="single" w:sz="4" w:space="0" w:color="auto"/>
              <w:bottom w:val="single" w:sz="4" w:space="0" w:color="auto"/>
              <w:right w:val="single" w:sz="4" w:space="0" w:color="auto"/>
            </w:tcBorders>
            <w:vAlign w:val="center"/>
            <w:hideMark/>
          </w:tcPr>
          <w:p w14:paraId="5E0DA5EE" w14:textId="77777777" w:rsidR="000702C6" w:rsidRDefault="000702C6" w:rsidP="00114B6E">
            <w:pPr>
              <w:widowControl/>
              <w:spacing w:after="0" w:line="256" w:lineRule="auto"/>
              <w:jc w:val="center"/>
              <w:rPr>
                <w:rFonts w:ascii="Calibri" w:hAnsi="Calibri" w:cs="Calibri"/>
                <w:szCs w:val="20"/>
              </w:rPr>
            </w:pPr>
            <w:r>
              <w:rPr>
                <w:rFonts w:ascii="Calibri" w:hAnsi="Calibri" w:cs="Calibri"/>
                <w:szCs w:val="20"/>
              </w:rPr>
              <w:t xml:space="preserve">Percent savings from Year </w:t>
            </w:r>
            <w:proofErr w:type="spellStart"/>
            <w:r>
              <w:rPr>
                <w:rFonts w:ascii="Calibri" w:hAnsi="Calibri" w:cs="Calibri"/>
                <w:szCs w:val="20"/>
              </w:rPr>
              <w:t>T</w:t>
            </w:r>
            <w:proofErr w:type="spellEnd"/>
            <w:r>
              <w:rPr>
                <w:rFonts w:ascii="Calibri" w:hAnsi="Calibri" w:cs="Calibri"/>
                <w:szCs w:val="20"/>
              </w:rPr>
              <w:t xml:space="preserve"> activities that persist 7 years after year T</w:t>
            </w:r>
          </w:p>
        </w:tc>
        <w:tc>
          <w:tcPr>
            <w:tcW w:w="1600" w:type="dxa"/>
            <w:tcBorders>
              <w:top w:val="nil"/>
              <w:left w:val="nil"/>
              <w:bottom w:val="single" w:sz="4" w:space="0" w:color="auto"/>
              <w:right w:val="single" w:sz="4" w:space="0" w:color="auto"/>
            </w:tcBorders>
            <w:vAlign w:val="center"/>
            <w:hideMark/>
          </w:tcPr>
          <w:p w14:paraId="4CA37466" w14:textId="77777777" w:rsidR="000702C6" w:rsidRDefault="000702C6" w:rsidP="00114B6E">
            <w:pPr>
              <w:widowControl/>
              <w:spacing w:after="0" w:line="256" w:lineRule="auto"/>
              <w:jc w:val="center"/>
              <w:rPr>
                <w:rFonts w:ascii="Calibri" w:hAnsi="Calibri" w:cs="Calibri"/>
                <w:color w:val="000000"/>
                <w:sz w:val="18"/>
                <w:szCs w:val="18"/>
              </w:rPr>
            </w:pPr>
            <w:proofErr w:type="spellStart"/>
            <w:r>
              <w:rPr>
                <w:rFonts w:ascii="Calibri" w:hAnsi="Calibri" w:cs="Calibri"/>
                <w:color w:val="000000"/>
                <w:sz w:val="18"/>
                <w:szCs w:val="18"/>
              </w:rPr>
              <w:t>ΔkWh</w:t>
            </w:r>
            <w:r>
              <w:rPr>
                <w:rFonts w:ascii="Calibri" w:hAnsi="Calibri" w:cs="Calibri"/>
                <w:color w:val="000000"/>
                <w:sz w:val="18"/>
                <w:szCs w:val="18"/>
                <w:vertAlign w:val="subscript"/>
              </w:rPr>
              <w:t>TAdjusted</w:t>
            </w:r>
            <w:proofErr w:type="spellEnd"/>
            <w:r>
              <w:rPr>
                <w:rFonts w:ascii="Calibri" w:hAnsi="Calibri" w:cs="Calibri"/>
                <w:color w:val="000000"/>
                <w:sz w:val="18"/>
                <w:szCs w:val="18"/>
              </w:rPr>
              <w:t xml:space="preserve"> * PFE</w:t>
            </w:r>
            <w:r>
              <w:rPr>
                <w:rFonts w:ascii="Calibri" w:hAnsi="Calibri" w:cs="Calibri"/>
                <w:color w:val="000000"/>
                <w:sz w:val="18"/>
                <w:szCs w:val="18"/>
                <w:vertAlign w:val="subscript"/>
              </w:rPr>
              <w:t>7</w:t>
            </w:r>
            <w:r>
              <w:rPr>
                <w:rFonts w:ascii="Calibri" w:hAnsi="Calibri" w:cs="Calibri"/>
                <w:color w:val="000000"/>
                <w:sz w:val="18"/>
                <w:szCs w:val="18"/>
              </w:rPr>
              <w:t>* RR</w:t>
            </w:r>
            <w:del w:id="525" w:author="Carly Olig" w:date="2022-05-04T15:42:00Z">
              <w:r w:rsidDel="001F1EB1">
                <w:rPr>
                  <w:rFonts w:ascii="Calibri" w:hAnsi="Calibri" w:cs="Calibri"/>
                  <w:color w:val="000000"/>
                  <w:sz w:val="18"/>
                  <w:szCs w:val="18"/>
                  <w:vertAlign w:val="subscript"/>
                </w:rPr>
                <w:delText>Utility</w:delText>
              </w:r>
            </w:del>
            <w:r>
              <w:rPr>
                <w:rFonts w:ascii="Calibri" w:hAnsi="Calibri" w:cs="Calibri"/>
                <w:color w:val="000000"/>
                <w:sz w:val="18"/>
                <w:szCs w:val="18"/>
                <w:vertAlign w:val="superscript"/>
              </w:rPr>
              <w:t>7</w:t>
            </w:r>
          </w:p>
        </w:tc>
        <w:tc>
          <w:tcPr>
            <w:tcW w:w="1480" w:type="dxa"/>
            <w:tcBorders>
              <w:top w:val="nil"/>
              <w:left w:val="nil"/>
              <w:bottom w:val="single" w:sz="4" w:space="0" w:color="auto"/>
              <w:right w:val="single" w:sz="4" w:space="0" w:color="auto"/>
            </w:tcBorders>
            <w:vAlign w:val="center"/>
            <w:hideMark/>
          </w:tcPr>
          <w:p w14:paraId="35B55E33" w14:textId="77777777" w:rsidR="000702C6" w:rsidRDefault="000702C6" w:rsidP="00114B6E">
            <w:pPr>
              <w:widowControl/>
              <w:spacing w:after="0" w:line="256" w:lineRule="auto"/>
              <w:jc w:val="center"/>
              <w:rPr>
                <w:rFonts w:ascii="Calibri" w:hAnsi="Calibri" w:cs="Calibri"/>
                <w:color w:val="000000"/>
                <w:sz w:val="18"/>
                <w:szCs w:val="18"/>
              </w:rPr>
            </w:pPr>
            <w:proofErr w:type="spellStart"/>
            <w:r>
              <w:rPr>
                <w:rFonts w:ascii="Calibri" w:hAnsi="Calibri" w:cs="Calibri"/>
                <w:color w:val="000000"/>
                <w:sz w:val="18"/>
                <w:szCs w:val="18"/>
              </w:rPr>
              <w:t>ΔkW</w:t>
            </w:r>
            <w:r>
              <w:rPr>
                <w:rFonts w:ascii="Calibri" w:hAnsi="Calibri" w:cs="Calibri"/>
                <w:color w:val="000000"/>
                <w:sz w:val="18"/>
                <w:szCs w:val="18"/>
                <w:vertAlign w:val="subscript"/>
              </w:rPr>
              <w:t>TAdjusted</w:t>
            </w:r>
            <w:proofErr w:type="spellEnd"/>
            <w:r>
              <w:rPr>
                <w:rFonts w:ascii="Calibri" w:hAnsi="Calibri" w:cs="Calibri"/>
                <w:color w:val="000000"/>
                <w:sz w:val="18"/>
                <w:szCs w:val="18"/>
              </w:rPr>
              <w:t xml:space="preserve"> * PFE</w:t>
            </w:r>
            <w:r>
              <w:rPr>
                <w:rFonts w:ascii="Calibri" w:hAnsi="Calibri" w:cs="Calibri"/>
                <w:color w:val="000000"/>
                <w:sz w:val="18"/>
                <w:szCs w:val="18"/>
                <w:vertAlign w:val="subscript"/>
              </w:rPr>
              <w:t>7</w:t>
            </w:r>
            <w:r>
              <w:rPr>
                <w:rFonts w:ascii="Calibri" w:hAnsi="Calibri" w:cs="Calibri"/>
                <w:color w:val="000000"/>
                <w:sz w:val="18"/>
                <w:szCs w:val="18"/>
              </w:rPr>
              <w:t>* RR</w:t>
            </w:r>
            <w:del w:id="526" w:author="Carly Olig" w:date="2022-05-04T15:42:00Z">
              <w:r w:rsidDel="001F1EB1">
                <w:rPr>
                  <w:rFonts w:ascii="Calibri" w:hAnsi="Calibri" w:cs="Calibri"/>
                  <w:color w:val="000000"/>
                  <w:sz w:val="18"/>
                  <w:szCs w:val="18"/>
                  <w:vertAlign w:val="subscript"/>
                </w:rPr>
                <w:delText>Utility</w:delText>
              </w:r>
            </w:del>
            <w:r>
              <w:rPr>
                <w:rFonts w:ascii="Calibri" w:hAnsi="Calibri" w:cs="Calibri"/>
                <w:color w:val="000000"/>
                <w:sz w:val="18"/>
                <w:szCs w:val="18"/>
                <w:vertAlign w:val="superscript"/>
              </w:rPr>
              <w:t>7</w:t>
            </w:r>
          </w:p>
        </w:tc>
        <w:tc>
          <w:tcPr>
            <w:tcW w:w="1600" w:type="dxa"/>
            <w:tcBorders>
              <w:top w:val="nil"/>
              <w:left w:val="nil"/>
              <w:bottom w:val="single" w:sz="4" w:space="0" w:color="auto"/>
              <w:right w:val="single" w:sz="4" w:space="0" w:color="auto"/>
            </w:tcBorders>
            <w:noWrap/>
            <w:vAlign w:val="center"/>
            <w:hideMark/>
          </w:tcPr>
          <w:p w14:paraId="09EB88A6" w14:textId="77777777" w:rsidR="000702C6" w:rsidRDefault="000702C6" w:rsidP="00114B6E">
            <w:pPr>
              <w:widowControl/>
              <w:spacing w:after="0" w:line="256" w:lineRule="auto"/>
              <w:jc w:val="center"/>
              <w:rPr>
                <w:rFonts w:ascii="Calibri" w:hAnsi="Calibri" w:cs="Calibri"/>
                <w:color w:val="000000"/>
                <w:sz w:val="22"/>
              </w:rPr>
            </w:pPr>
            <w:r>
              <w:rPr>
                <w:rFonts w:ascii="Calibri" w:hAnsi="Calibri" w:cs="Calibri"/>
                <w:color w:val="000000"/>
                <w:sz w:val="22"/>
              </w:rPr>
              <w:t>n/a</w:t>
            </w:r>
          </w:p>
        </w:tc>
      </w:tr>
      <w:tr w:rsidR="000702C6" w14:paraId="023ABC48" w14:textId="77777777" w:rsidTr="00114B6E">
        <w:trPr>
          <w:trHeight w:val="559"/>
          <w:jc w:val="center"/>
        </w:trPr>
        <w:tc>
          <w:tcPr>
            <w:tcW w:w="3960" w:type="dxa"/>
            <w:tcBorders>
              <w:top w:val="nil"/>
              <w:left w:val="single" w:sz="4" w:space="0" w:color="auto"/>
              <w:bottom w:val="single" w:sz="4" w:space="0" w:color="auto"/>
              <w:right w:val="single" w:sz="4" w:space="0" w:color="auto"/>
            </w:tcBorders>
            <w:vAlign w:val="center"/>
            <w:hideMark/>
          </w:tcPr>
          <w:p w14:paraId="2E8EF522" w14:textId="77777777" w:rsidR="000702C6" w:rsidRDefault="000702C6" w:rsidP="00114B6E">
            <w:pPr>
              <w:widowControl/>
              <w:spacing w:after="0" w:line="256" w:lineRule="auto"/>
              <w:jc w:val="center"/>
              <w:rPr>
                <w:rFonts w:ascii="Calibri" w:hAnsi="Calibri" w:cs="Calibri"/>
                <w:szCs w:val="20"/>
              </w:rPr>
            </w:pPr>
            <w:r>
              <w:rPr>
                <w:rFonts w:ascii="Calibri" w:hAnsi="Calibri" w:cs="Calibri"/>
                <w:szCs w:val="20"/>
              </w:rPr>
              <w:t xml:space="preserve">Percent savings from Year </w:t>
            </w:r>
            <w:proofErr w:type="spellStart"/>
            <w:r>
              <w:rPr>
                <w:rFonts w:ascii="Calibri" w:hAnsi="Calibri" w:cs="Calibri"/>
                <w:szCs w:val="20"/>
              </w:rPr>
              <w:t>T</w:t>
            </w:r>
            <w:proofErr w:type="spellEnd"/>
            <w:r>
              <w:rPr>
                <w:rFonts w:ascii="Calibri" w:hAnsi="Calibri" w:cs="Calibri"/>
                <w:szCs w:val="20"/>
              </w:rPr>
              <w:t xml:space="preserve"> activities that persist 8 years after year T</w:t>
            </w:r>
          </w:p>
        </w:tc>
        <w:tc>
          <w:tcPr>
            <w:tcW w:w="1600" w:type="dxa"/>
            <w:tcBorders>
              <w:top w:val="nil"/>
              <w:left w:val="nil"/>
              <w:bottom w:val="single" w:sz="4" w:space="0" w:color="auto"/>
              <w:right w:val="single" w:sz="4" w:space="0" w:color="auto"/>
            </w:tcBorders>
            <w:vAlign w:val="center"/>
            <w:hideMark/>
          </w:tcPr>
          <w:p w14:paraId="3D5EF66A" w14:textId="77777777" w:rsidR="000702C6" w:rsidRDefault="000702C6" w:rsidP="00114B6E">
            <w:pPr>
              <w:widowControl/>
              <w:spacing w:after="0" w:line="256" w:lineRule="auto"/>
              <w:jc w:val="center"/>
              <w:rPr>
                <w:rFonts w:ascii="Calibri" w:hAnsi="Calibri" w:cs="Calibri"/>
                <w:color w:val="000000"/>
                <w:sz w:val="18"/>
                <w:szCs w:val="18"/>
              </w:rPr>
            </w:pPr>
            <w:proofErr w:type="spellStart"/>
            <w:r>
              <w:rPr>
                <w:rFonts w:ascii="Calibri" w:hAnsi="Calibri" w:cs="Calibri"/>
                <w:color w:val="000000"/>
                <w:sz w:val="18"/>
                <w:szCs w:val="18"/>
              </w:rPr>
              <w:t>ΔkWh</w:t>
            </w:r>
            <w:r>
              <w:rPr>
                <w:rFonts w:ascii="Calibri" w:hAnsi="Calibri" w:cs="Calibri"/>
                <w:color w:val="000000"/>
                <w:sz w:val="18"/>
                <w:szCs w:val="18"/>
                <w:vertAlign w:val="subscript"/>
              </w:rPr>
              <w:t>TAdjusted</w:t>
            </w:r>
            <w:proofErr w:type="spellEnd"/>
            <w:r>
              <w:rPr>
                <w:rFonts w:ascii="Calibri" w:hAnsi="Calibri" w:cs="Calibri"/>
                <w:color w:val="000000"/>
                <w:sz w:val="18"/>
                <w:szCs w:val="18"/>
              </w:rPr>
              <w:t xml:space="preserve"> * PFE</w:t>
            </w:r>
            <w:r>
              <w:rPr>
                <w:rFonts w:ascii="Calibri" w:hAnsi="Calibri" w:cs="Calibri"/>
                <w:color w:val="000000"/>
                <w:sz w:val="18"/>
                <w:szCs w:val="18"/>
                <w:vertAlign w:val="subscript"/>
              </w:rPr>
              <w:t>8</w:t>
            </w:r>
            <w:r>
              <w:rPr>
                <w:rFonts w:ascii="Calibri" w:hAnsi="Calibri" w:cs="Calibri"/>
                <w:color w:val="000000"/>
                <w:sz w:val="18"/>
                <w:szCs w:val="18"/>
              </w:rPr>
              <w:t>* RR</w:t>
            </w:r>
            <w:del w:id="527" w:author="Carly Olig" w:date="2022-05-04T15:42:00Z">
              <w:r w:rsidDel="001F1EB1">
                <w:rPr>
                  <w:rFonts w:ascii="Calibri" w:hAnsi="Calibri" w:cs="Calibri"/>
                  <w:color w:val="000000"/>
                  <w:sz w:val="18"/>
                  <w:szCs w:val="18"/>
                  <w:vertAlign w:val="subscript"/>
                </w:rPr>
                <w:delText>Utility</w:delText>
              </w:r>
            </w:del>
            <w:r>
              <w:rPr>
                <w:rFonts w:ascii="Calibri" w:hAnsi="Calibri" w:cs="Calibri"/>
                <w:color w:val="000000"/>
                <w:sz w:val="18"/>
                <w:szCs w:val="18"/>
                <w:vertAlign w:val="superscript"/>
              </w:rPr>
              <w:t>8</w:t>
            </w:r>
          </w:p>
        </w:tc>
        <w:tc>
          <w:tcPr>
            <w:tcW w:w="1480" w:type="dxa"/>
            <w:tcBorders>
              <w:top w:val="nil"/>
              <w:left w:val="nil"/>
              <w:bottom w:val="single" w:sz="4" w:space="0" w:color="auto"/>
              <w:right w:val="single" w:sz="4" w:space="0" w:color="auto"/>
            </w:tcBorders>
            <w:vAlign w:val="center"/>
            <w:hideMark/>
          </w:tcPr>
          <w:p w14:paraId="7F200AE8" w14:textId="77777777" w:rsidR="000702C6" w:rsidRDefault="000702C6" w:rsidP="00114B6E">
            <w:pPr>
              <w:widowControl/>
              <w:spacing w:after="0" w:line="256" w:lineRule="auto"/>
              <w:jc w:val="center"/>
              <w:rPr>
                <w:rFonts w:ascii="Calibri" w:hAnsi="Calibri" w:cs="Calibri"/>
                <w:color w:val="000000"/>
                <w:sz w:val="18"/>
                <w:szCs w:val="18"/>
              </w:rPr>
            </w:pPr>
            <w:proofErr w:type="spellStart"/>
            <w:r>
              <w:rPr>
                <w:rFonts w:ascii="Calibri" w:hAnsi="Calibri" w:cs="Calibri"/>
                <w:color w:val="000000"/>
                <w:sz w:val="18"/>
                <w:szCs w:val="18"/>
              </w:rPr>
              <w:t>ΔkW</w:t>
            </w:r>
            <w:r>
              <w:rPr>
                <w:rFonts w:ascii="Calibri" w:hAnsi="Calibri" w:cs="Calibri"/>
                <w:color w:val="000000"/>
                <w:sz w:val="18"/>
                <w:szCs w:val="18"/>
                <w:vertAlign w:val="subscript"/>
              </w:rPr>
              <w:t>TAdjusted</w:t>
            </w:r>
            <w:proofErr w:type="spellEnd"/>
            <w:r>
              <w:rPr>
                <w:rFonts w:ascii="Calibri" w:hAnsi="Calibri" w:cs="Calibri"/>
                <w:color w:val="000000"/>
                <w:sz w:val="18"/>
                <w:szCs w:val="18"/>
              </w:rPr>
              <w:t xml:space="preserve"> * PFE</w:t>
            </w:r>
            <w:r>
              <w:rPr>
                <w:rFonts w:ascii="Calibri" w:hAnsi="Calibri" w:cs="Calibri"/>
                <w:color w:val="000000"/>
                <w:sz w:val="18"/>
                <w:szCs w:val="18"/>
                <w:vertAlign w:val="subscript"/>
              </w:rPr>
              <w:t>8</w:t>
            </w:r>
            <w:r>
              <w:rPr>
                <w:rFonts w:ascii="Calibri" w:hAnsi="Calibri" w:cs="Calibri"/>
                <w:color w:val="000000"/>
                <w:sz w:val="18"/>
                <w:szCs w:val="18"/>
              </w:rPr>
              <w:t>* RR</w:t>
            </w:r>
            <w:del w:id="528" w:author="Carly Olig" w:date="2022-05-04T15:42:00Z">
              <w:r w:rsidDel="001F1EB1">
                <w:rPr>
                  <w:rFonts w:ascii="Calibri" w:hAnsi="Calibri" w:cs="Calibri"/>
                  <w:color w:val="000000"/>
                  <w:sz w:val="18"/>
                  <w:szCs w:val="18"/>
                  <w:vertAlign w:val="subscript"/>
                </w:rPr>
                <w:delText>Utility</w:delText>
              </w:r>
            </w:del>
            <w:r>
              <w:rPr>
                <w:rFonts w:ascii="Calibri" w:hAnsi="Calibri" w:cs="Calibri"/>
                <w:color w:val="000000"/>
                <w:sz w:val="18"/>
                <w:szCs w:val="18"/>
                <w:vertAlign w:val="superscript"/>
              </w:rPr>
              <w:t>8</w:t>
            </w:r>
          </w:p>
        </w:tc>
        <w:tc>
          <w:tcPr>
            <w:tcW w:w="1600" w:type="dxa"/>
            <w:tcBorders>
              <w:top w:val="nil"/>
              <w:left w:val="nil"/>
              <w:bottom w:val="single" w:sz="4" w:space="0" w:color="auto"/>
              <w:right w:val="single" w:sz="4" w:space="0" w:color="auto"/>
            </w:tcBorders>
            <w:noWrap/>
            <w:vAlign w:val="center"/>
            <w:hideMark/>
          </w:tcPr>
          <w:p w14:paraId="0B4F74A6" w14:textId="77777777" w:rsidR="000702C6" w:rsidRDefault="000702C6" w:rsidP="00114B6E">
            <w:pPr>
              <w:widowControl/>
              <w:spacing w:after="0" w:line="256" w:lineRule="auto"/>
              <w:jc w:val="center"/>
              <w:rPr>
                <w:rFonts w:ascii="Calibri" w:hAnsi="Calibri" w:cs="Calibri"/>
                <w:color w:val="000000"/>
                <w:sz w:val="22"/>
              </w:rPr>
            </w:pPr>
            <w:r>
              <w:rPr>
                <w:rFonts w:ascii="Calibri" w:hAnsi="Calibri" w:cs="Calibri"/>
                <w:color w:val="000000"/>
                <w:sz w:val="22"/>
              </w:rPr>
              <w:t>n/a</w:t>
            </w:r>
          </w:p>
        </w:tc>
      </w:tr>
      <w:tr w:rsidR="000702C6" w14:paraId="7507A3FA" w14:textId="77777777" w:rsidTr="00114B6E">
        <w:trPr>
          <w:trHeight w:val="559"/>
          <w:jc w:val="center"/>
        </w:trPr>
        <w:tc>
          <w:tcPr>
            <w:tcW w:w="3960" w:type="dxa"/>
            <w:tcBorders>
              <w:top w:val="nil"/>
              <w:left w:val="single" w:sz="4" w:space="0" w:color="auto"/>
              <w:bottom w:val="single" w:sz="4" w:space="0" w:color="auto"/>
              <w:right w:val="single" w:sz="4" w:space="0" w:color="auto"/>
            </w:tcBorders>
            <w:vAlign w:val="center"/>
            <w:hideMark/>
          </w:tcPr>
          <w:p w14:paraId="2255BD92" w14:textId="77777777" w:rsidR="000702C6" w:rsidRDefault="000702C6" w:rsidP="00114B6E">
            <w:pPr>
              <w:widowControl/>
              <w:spacing w:after="0" w:line="256" w:lineRule="auto"/>
              <w:jc w:val="center"/>
              <w:rPr>
                <w:rFonts w:ascii="Calibri" w:hAnsi="Calibri" w:cs="Calibri"/>
                <w:szCs w:val="20"/>
              </w:rPr>
            </w:pPr>
            <w:r>
              <w:rPr>
                <w:rFonts w:ascii="Calibri" w:hAnsi="Calibri" w:cs="Calibri"/>
                <w:szCs w:val="20"/>
              </w:rPr>
              <w:t xml:space="preserve">Percent savings from Year </w:t>
            </w:r>
            <w:proofErr w:type="spellStart"/>
            <w:r>
              <w:rPr>
                <w:rFonts w:ascii="Calibri" w:hAnsi="Calibri" w:cs="Calibri"/>
                <w:szCs w:val="20"/>
              </w:rPr>
              <w:t>T</w:t>
            </w:r>
            <w:proofErr w:type="spellEnd"/>
            <w:r>
              <w:rPr>
                <w:rFonts w:ascii="Calibri" w:hAnsi="Calibri" w:cs="Calibri"/>
                <w:szCs w:val="20"/>
              </w:rPr>
              <w:t xml:space="preserve"> activities that persist 9 years after year T</w:t>
            </w:r>
          </w:p>
        </w:tc>
        <w:tc>
          <w:tcPr>
            <w:tcW w:w="1600" w:type="dxa"/>
            <w:tcBorders>
              <w:top w:val="nil"/>
              <w:left w:val="nil"/>
              <w:bottom w:val="single" w:sz="4" w:space="0" w:color="auto"/>
              <w:right w:val="single" w:sz="4" w:space="0" w:color="auto"/>
            </w:tcBorders>
            <w:vAlign w:val="center"/>
            <w:hideMark/>
          </w:tcPr>
          <w:p w14:paraId="4E565259" w14:textId="77777777" w:rsidR="000702C6" w:rsidRDefault="000702C6" w:rsidP="00114B6E">
            <w:pPr>
              <w:widowControl/>
              <w:spacing w:after="0" w:line="256" w:lineRule="auto"/>
              <w:jc w:val="center"/>
              <w:rPr>
                <w:rFonts w:ascii="Calibri" w:hAnsi="Calibri" w:cs="Calibri"/>
                <w:color w:val="000000"/>
                <w:sz w:val="18"/>
                <w:szCs w:val="18"/>
              </w:rPr>
            </w:pPr>
            <w:proofErr w:type="spellStart"/>
            <w:r>
              <w:rPr>
                <w:rFonts w:ascii="Calibri" w:hAnsi="Calibri" w:cs="Calibri"/>
                <w:color w:val="000000"/>
                <w:sz w:val="18"/>
                <w:szCs w:val="18"/>
              </w:rPr>
              <w:t>ΔkWh</w:t>
            </w:r>
            <w:r>
              <w:rPr>
                <w:rFonts w:ascii="Calibri" w:hAnsi="Calibri" w:cs="Calibri"/>
                <w:color w:val="000000"/>
                <w:sz w:val="18"/>
                <w:szCs w:val="18"/>
                <w:vertAlign w:val="subscript"/>
              </w:rPr>
              <w:t>TAdjusted</w:t>
            </w:r>
            <w:proofErr w:type="spellEnd"/>
            <w:r>
              <w:rPr>
                <w:rFonts w:ascii="Calibri" w:hAnsi="Calibri" w:cs="Calibri"/>
                <w:color w:val="000000"/>
                <w:sz w:val="18"/>
                <w:szCs w:val="18"/>
              </w:rPr>
              <w:t xml:space="preserve"> * PFE</w:t>
            </w:r>
            <w:r>
              <w:rPr>
                <w:rFonts w:ascii="Calibri" w:hAnsi="Calibri" w:cs="Calibri"/>
                <w:color w:val="000000"/>
                <w:sz w:val="18"/>
                <w:szCs w:val="18"/>
                <w:vertAlign w:val="subscript"/>
              </w:rPr>
              <w:t>9</w:t>
            </w:r>
            <w:r>
              <w:rPr>
                <w:rFonts w:ascii="Calibri" w:hAnsi="Calibri" w:cs="Calibri"/>
                <w:color w:val="000000"/>
                <w:sz w:val="18"/>
                <w:szCs w:val="18"/>
              </w:rPr>
              <w:t>* RR</w:t>
            </w:r>
            <w:del w:id="529" w:author="Carly Olig" w:date="2022-05-04T15:42:00Z">
              <w:r w:rsidDel="001F1EB1">
                <w:rPr>
                  <w:rFonts w:ascii="Calibri" w:hAnsi="Calibri" w:cs="Calibri"/>
                  <w:color w:val="000000"/>
                  <w:sz w:val="18"/>
                  <w:szCs w:val="18"/>
                  <w:vertAlign w:val="subscript"/>
                </w:rPr>
                <w:delText>Utility</w:delText>
              </w:r>
            </w:del>
            <w:r>
              <w:rPr>
                <w:rFonts w:ascii="Calibri" w:hAnsi="Calibri" w:cs="Calibri"/>
                <w:color w:val="000000"/>
                <w:sz w:val="18"/>
                <w:szCs w:val="18"/>
                <w:vertAlign w:val="superscript"/>
              </w:rPr>
              <w:t>9</w:t>
            </w:r>
          </w:p>
        </w:tc>
        <w:tc>
          <w:tcPr>
            <w:tcW w:w="1480" w:type="dxa"/>
            <w:tcBorders>
              <w:top w:val="nil"/>
              <w:left w:val="nil"/>
              <w:bottom w:val="single" w:sz="4" w:space="0" w:color="auto"/>
              <w:right w:val="single" w:sz="4" w:space="0" w:color="auto"/>
            </w:tcBorders>
            <w:vAlign w:val="center"/>
            <w:hideMark/>
          </w:tcPr>
          <w:p w14:paraId="60A1F5AC" w14:textId="77777777" w:rsidR="000702C6" w:rsidRDefault="000702C6" w:rsidP="00114B6E">
            <w:pPr>
              <w:widowControl/>
              <w:spacing w:after="0" w:line="256" w:lineRule="auto"/>
              <w:jc w:val="center"/>
              <w:rPr>
                <w:rFonts w:ascii="Calibri" w:hAnsi="Calibri" w:cs="Calibri"/>
                <w:color w:val="000000"/>
                <w:sz w:val="18"/>
                <w:szCs w:val="18"/>
              </w:rPr>
            </w:pPr>
            <w:proofErr w:type="spellStart"/>
            <w:r>
              <w:rPr>
                <w:rFonts w:ascii="Calibri" w:hAnsi="Calibri" w:cs="Calibri"/>
                <w:color w:val="000000"/>
                <w:sz w:val="18"/>
                <w:szCs w:val="18"/>
              </w:rPr>
              <w:t>ΔkW</w:t>
            </w:r>
            <w:r>
              <w:rPr>
                <w:rFonts w:ascii="Calibri" w:hAnsi="Calibri" w:cs="Calibri"/>
                <w:color w:val="000000"/>
                <w:sz w:val="18"/>
                <w:szCs w:val="18"/>
                <w:vertAlign w:val="subscript"/>
              </w:rPr>
              <w:t>TAdjusted</w:t>
            </w:r>
            <w:proofErr w:type="spellEnd"/>
            <w:r>
              <w:rPr>
                <w:rFonts w:ascii="Calibri" w:hAnsi="Calibri" w:cs="Calibri"/>
                <w:color w:val="000000"/>
                <w:sz w:val="18"/>
                <w:szCs w:val="18"/>
              </w:rPr>
              <w:t xml:space="preserve"> * PFE</w:t>
            </w:r>
            <w:r>
              <w:rPr>
                <w:rFonts w:ascii="Calibri" w:hAnsi="Calibri" w:cs="Calibri"/>
                <w:color w:val="000000"/>
                <w:sz w:val="18"/>
                <w:szCs w:val="18"/>
                <w:vertAlign w:val="subscript"/>
              </w:rPr>
              <w:t>9</w:t>
            </w:r>
            <w:r>
              <w:rPr>
                <w:rFonts w:ascii="Calibri" w:hAnsi="Calibri" w:cs="Calibri"/>
                <w:color w:val="000000"/>
                <w:sz w:val="18"/>
                <w:szCs w:val="18"/>
              </w:rPr>
              <w:t>* RR</w:t>
            </w:r>
            <w:del w:id="530" w:author="Carly Olig" w:date="2022-05-04T15:42:00Z">
              <w:r w:rsidDel="001F1EB1">
                <w:rPr>
                  <w:rFonts w:ascii="Calibri" w:hAnsi="Calibri" w:cs="Calibri"/>
                  <w:color w:val="000000"/>
                  <w:sz w:val="18"/>
                  <w:szCs w:val="18"/>
                  <w:vertAlign w:val="subscript"/>
                </w:rPr>
                <w:delText>Utility</w:delText>
              </w:r>
            </w:del>
            <w:r>
              <w:rPr>
                <w:rFonts w:ascii="Calibri" w:hAnsi="Calibri" w:cs="Calibri"/>
                <w:color w:val="000000"/>
                <w:sz w:val="18"/>
                <w:szCs w:val="18"/>
                <w:vertAlign w:val="superscript"/>
              </w:rPr>
              <w:t>9</w:t>
            </w:r>
          </w:p>
        </w:tc>
        <w:tc>
          <w:tcPr>
            <w:tcW w:w="1600" w:type="dxa"/>
            <w:tcBorders>
              <w:top w:val="nil"/>
              <w:left w:val="nil"/>
              <w:bottom w:val="single" w:sz="4" w:space="0" w:color="auto"/>
              <w:right w:val="single" w:sz="4" w:space="0" w:color="auto"/>
            </w:tcBorders>
            <w:noWrap/>
            <w:vAlign w:val="center"/>
            <w:hideMark/>
          </w:tcPr>
          <w:p w14:paraId="405AC36B" w14:textId="77777777" w:rsidR="000702C6" w:rsidRDefault="000702C6" w:rsidP="00114B6E">
            <w:pPr>
              <w:widowControl/>
              <w:spacing w:after="0" w:line="256" w:lineRule="auto"/>
              <w:jc w:val="center"/>
              <w:rPr>
                <w:rFonts w:ascii="Calibri" w:hAnsi="Calibri" w:cs="Calibri"/>
                <w:color w:val="000000"/>
                <w:sz w:val="22"/>
              </w:rPr>
            </w:pPr>
            <w:r>
              <w:rPr>
                <w:rFonts w:ascii="Calibri" w:hAnsi="Calibri" w:cs="Calibri"/>
                <w:color w:val="000000"/>
                <w:sz w:val="22"/>
              </w:rPr>
              <w:t>n/a</w:t>
            </w:r>
          </w:p>
        </w:tc>
      </w:tr>
    </w:tbl>
    <w:p w14:paraId="412AB24B" w14:textId="77777777" w:rsidR="000702C6" w:rsidRDefault="000702C6" w:rsidP="000702C6">
      <w:pPr>
        <w:ind w:left="720"/>
        <w:rPr>
          <w:rFonts w:cstheme="minorHAnsi"/>
          <w:szCs w:val="20"/>
        </w:rPr>
      </w:pPr>
    </w:p>
    <w:p w14:paraId="1E06C67B" w14:textId="3E856332" w:rsidR="000702C6" w:rsidRDefault="000702C6" w:rsidP="0071201B">
      <w:pPr>
        <w:widowControl/>
        <w:jc w:val="left"/>
        <w:rPr>
          <w:rFonts w:ascii="Calibri" w:hAnsi="Calibri"/>
          <w:szCs w:val="20"/>
        </w:rPr>
      </w:pPr>
      <w:r w:rsidRPr="0071201B">
        <w:rPr>
          <w:rFonts w:ascii="Calibri" w:hAnsi="Calibri"/>
          <w:szCs w:val="20"/>
        </w:rPr>
        <w:t>Where</w:t>
      </w:r>
      <w:ins w:id="531" w:author="Carly Olig" w:date="2022-05-04T15:43:00Z">
        <w:r w:rsidRPr="0071201B">
          <w:rPr>
            <w:rFonts w:ascii="Calibri" w:hAnsi="Calibri"/>
            <w:szCs w:val="20"/>
          </w:rPr>
          <w:t xml:space="preserve"> all variables are as defined above</w:t>
        </w:r>
      </w:ins>
      <w:del w:id="532" w:author="Carly Olig" w:date="2022-05-04T15:43:00Z">
        <w:r w:rsidRPr="0071201B" w:rsidDel="001F1EB1">
          <w:rPr>
            <w:rFonts w:ascii="Calibri" w:hAnsi="Calibri"/>
            <w:szCs w:val="20"/>
          </w:rPr>
          <w:delText>:</w:delText>
        </w:r>
      </w:del>
    </w:p>
    <w:p w14:paraId="1E3B3CB9" w14:textId="66B18975" w:rsidR="0071201B" w:rsidRPr="0071201B" w:rsidDel="001F1EB1" w:rsidRDefault="009154B8" w:rsidP="0071201B">
      <w:pPr>
        <w:widowControl/>
        <w:jc w:val="left"/>
        <w:rPr>
          <w:del w:id="533" w:author="Carly Olig" w:date="2022-05-04T15:43:00Z"/>
          <w:rFonts w:ascii="Calibri" w:hAnsi="Calibri"/>
          <w:szCs w:val="20"/>
        </w:rPr>
      </w:pPr>
      <w:r>
        <w:rPr>
          <w:noProof/>
        </w:rPr>
        <w:lastRenderedPageBreak/>
        <mc:AlternateContent>
          <mc:Choice Requires="wps">
            <w:drawing>
              <wp:inline distT="0" distB="0" distL="0" distR="0" wp14:anchorId="43F34876" wp14:editId="672FB37A">
                <wp:extent cx="5841365" cy="6398895"/>
                <wp:effectExtent l="0" t="0" r="26035" b="20955"/>
                <wp:docPr id="9"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41365" cy="6398895"/>
                        </a:xfrm>
                        <a:prstGeom prst="rect">
                          <a:avLst/>
                        </a:prstGeom>
                        <a:solidFill>
                          <a:srgbClr val="FFFFFF"/>
                        </a:solidFill>
                        <a:ln w="9525">
                          <a:solidFill>
                            <a:srgbClr val="000000"/>
                          </a:solidFill>
                          <a:miter lim="800000"/>
                          <a:headEnd/>
                          <a:tailEnd/>
                        </a:ln>
                      </wps:spPr>
                      <wps:txbx>
                        <w:txbxContent>
                          <w:p w14:paraId="20C029D5" w14:textId="77777777" w:rsidR="009154B8" w:rsidRDefault="009154B8" w:rsidP="009154B8">
                            <w:pPr>
                              <w:spacing w:after="60"/>
                              <w:rPr>
                                <w:rFonts w:cstheme="minorHAnsi"/>
                                <w:b/>
                                <w:sz w:val="18"/>
                                <w:szCs w:val="18"/>
                              </w:rPr>
                            </w:pPr>
                            <w:r>
                              <w:rPr>
                                <w:rFonts w:cstheme="minorHAnsi"/>
                                <w:b/>
                                <w:sz w:val="18"/>
                                <w:szCs w:val="18"/>
                              </w:rPr>
                              <w:t xml:space="preserve">Example of Calculation of Cost-effectiveness Inputs: </w:t>
                            </w:r>
                          </w:p>
                          <w:p w14:paraId="07118655" w14:textId="77777777" w:rsidR="009154B8" w:rsidRDefault="009154B8" w:rsidP="009154B8">
                            <w:pPr>
                              <w:spacing w:after="60"/>
                              <w:rPr>
                                <w:rFonts w:cstheme="minorHAnsi"/>
                                <w:sz w:val="18"/>
                                <w:szCs w:val="18"/>
                              </w:rPr>
                            </w:pPr>
                            <w:r>
                              <w:rPr>
                                <w:rFonts w:cstheme="minorHAnsi"/>
                                <w:sz w:val="18"/>
                                <w:szCs w:val="18"/>
                              </w:rPr>
                              <w:t>Assume the same information for an electric program as was used in the Example of Adjusted Annual Savings Calculations</w:t>
                            </w:r>
                            <w:del w:id="534" w:author="Carly Olig" w:date="2022-05-05T15:22:00Z">
                              <w:r w:rsidDel="00AB6A8F">
                                <w:rPr>
                                  <w:rFonts w:cstheme="minorHAnsi"/>
                                  <w:sz w:val="18"/>
                                  <w:szCs w:val="18"/>
                                </w:rPr>
                                <w:delText>, and the following estimated future program retention rate</w:delText>
                              </w:r>
                            </w:del>
                            <w:r>
                              <w:rPr>
                                <w:rFonts w:cstheme="minorHAnsi"/>
                                <w:sz w:val="18"/>
                                <w:szCs w:val="18"/>
                              </w:rPr>
                              <w:t xml:space="preserve">. </w:t>
                            </w:r>
                          </w:p>
                          <w:tbl>
                            <w:tblPr>
                              <w:tblW w:w="4899" w:type="pct"/>
                              <w:tblLayout w:type="fixed"/>
                              <w:tblCellMar>
                                <w:left w:w="58" w:type="dxa"/>
                                <w:right w:w="58" w:type="dxa"/>
                              </w:tblCellMar>
                              <w:tblLook w:val="04A0" w:firstRow="1" w:lastRow="0" w:firstColumn="1" w:lastColumn="0" w:noHBand="0" w:noVBand="1"/>
                            </w:tblPr>
                            <w:tblGrid>
                              <w:gridCol w:w="2789"/>
                              <w:gridCol w:w="1073"/>
                              <w:gridCol w:w="892"/>
                              <w:gridCol w:w="798"/>
                              <w:gridCol w:w="796"/>
                              <w:gridCol w:w="794"/>
                              <w:gridCol w:w="791"/>
                              <w:gridCol w:w="794"/>
                            </w:tblGrid>
                            <w:tr w:rsidR="009154B8" w14:paraId="06DF3D93" w14:textId="77777777" w:rsidTr="000A4C0C">
                              <w:trPr>
                                <w:trHeight w:val="18"/>
                              </w:trPr>
                              <w:tc>
                                <w:tcPr>
                                  <w:tcW w:w="1598" w:type="pct"/>
                                  <w:noWrap/>
                                  <w:vAlign w:val="center"/>
                                  <w:hideMark/>
                                </w:tcPr>
                                <w:p w14:paraId="465B15F6" w14:textId="77777777" w:rsidR="009154B8" w:rsidRDefault="009154B8">
                                  <w:pPr>
                                    <w:rPr>
                                      <w:rFonts w:cstheme="minorHAnsi"/>
                                      <w:sz w:val="18"/>
                                      <w:szCs w:val="18"/>
                                    </w:rPr>
                                  </w:pPr>
                                </w:p>
                              </w:tc>
                              <w:tc>
                                <w:tcPr>
                                  <w:tcW w:w="3402" w:type="pct"/>
                                  <w:gridSpan w:val="7"/>
                                  <w:tcBorders>
                                    <w:top w:val="single" w:sz="4" w:space="0" w:color="auto"/>
                                    <w:left w:val="single" w:sz="4" w:space="0" w:color="auto"/>
                                    <w:bottom w:val="single" w:sz="4" w:space="0" w:color="auto"/>
                                    <w:right w:val="single" w:sz="4" w:space="0" w:color="auto"/>
                                  </w:tcBorders>
                                  <w:shd w:val="clear" w:color="auto" w:fill="808080"/>
                                  <w:noWrap/>
                                  <w:vAlign w:val="center"/>
                                  <w:hideMark/>
                                </w:tcPr>
                                <w:p w14:paraId="2F666937" w14:textId="77777777" w:rsidR="009154B8" w:rsidRDefault="009154B8">
                                  <w:pPr>
                                    <w:spacing w:after="0" w:line="256" w:lineRule="auto"/>
                                    <w:jc w:val="center"/>
                                    <w:rPr>
                                      <w:rFonts w:ascii="Calibri" w:hAnsi="Calibri"/>
                                      <w:b/>
                                      <w:bCs/>
                                      <w:color w:val="FFFFFF"/>
                                      <w:sz w:val="16"/>
                                      <w:szCs w:val="16"/>
                                    </w:rPr>
                                  </w:pPr>
                                  <w:r>
                                    <w:rPr>
                                      <w:rFonts w:ascii="Calibri" w:hAnsi="Calibri"/>
                                      <w:b/>
                                      <w:bCs/>
                                      <w:color w:val="FFFFFF"/>
                                      <w:sz w:val="16"/>
                                      <w:szCs w:val="16"/>
                                    </w:rPr>
                                    <w:t>Reporting Year T</w:t>
                                  </w:r>
                                </w:p>
                              </w:tc>
                            </w:tr>
                            <w:tr w:rsidR="009154B8" w14:paraId="7EFB6B35" w14:textId="77777777" w:rsidTr="000A4C0C">
                              <w:trPr>
                                <w:trHeight w:val="18"/>
                              </w:trPr>
                              <w:tc>
                                <w:tcPr>
                                  <w:tcW w:w="1598" w:type="pct"/>
                                  <w:tcBorders>
                                    <w:top w:val="nil"/>
                                    <w:left w:val="nil"/>
                                    <w:bottom w:val="single" w:sz="4" w:space="0" w:color="auto"/>
                                    <w:right w:val="nil"/>
                                  </w:tcBorders>
                                  <w:noWrap/>
                                  <w:vAlign w:val="center"/>
                                  <w:hideMark/>
                                </w:tcPr>
                                <w:p w14:paraId="3D49D4AB" w14:textId="77777777" w:rsidR="009154B8" w:rsidRDefault="009154B8">
                                  <w:pPr>
                                    <w:rPr>
                                      <w:rFonts w:ascii="Calibri" w:hAnsi="Calibri"/>
                                      <w:b/>
                                      <w:bCs/>
                                      <w:color w:val="FFFFFF"/>
                                      <w:sz w:val="16"/>
                                      <w:szCs w:val="16"/>
                                    </w:rPr>
                                  </w:pPr>
                                </w:p>
                              </w:tc>
                              <w:tc>
                                <w:tcPr>
                                  <w:tcW w:w="615" w:type="pct"/>
                                  <w:tcBorders>
                                    <w:top w:val="single" w:sz="4" w:space="0" w:color="auto"/>
                                    <w:left w:val="single" w:sz="4" w:space="0" w:color="auto"/>
                                    <w:bottom w:val="single" w:sz="4" w:space="0" w:color="auto"/>
                                    <w:right w:val="single" w:sz="4" w:space="0" w:color="auto"/>
                                  </w:tcBorders>
                                  <w:shd w:val="clear" w:color="auto" w:fill="808080"/>
                                  <w:noWrap/>
                                  <w:vAlign w:val="center"/>
                                  <w:hideMark/>
                                </w:tcPr>
                                <w:p w14:paraId="54707AAA" w14:textId="77777777" w:rsidR="009154B8" w:rsidRDefault="009154B8">
                                  <w:pPr>
                                    <w:spacing w:after="0" w:line="256" w:lineRule="auto"/>
                                    <w:jc w:val="center"/>
                                    <w:rPr>
                                      <w:rFonts w:ascii="Calibri" w:hAnsi="Calibri"/>
                                      <w:b/>
                                      <w:bCs/>
                                      <w:color w:val="FFFFFF"/>
                                      <w:sz w:val="16"/>
                                      <w:szCs w:val="16"/>
                                    </w:rPr>
                                  </w:pPr>
                                  <w:r>
                                    <w:rPr>
                                      <w:rFonts w:ascii="Calibri" w:hAnsi="Calibri"/>
                                      <w:b/>
                                      <w:bCs/>
                                      <w:color w:val="FFFFFF"/>
                                      <w:sz w:val="16"/>
                                      <w:szCs w:val="16"/>
                                    </w:rPr>
                                    <w:t>2021</w:t>
                                  </w:r>
                                </w:p>
                              </w:tc>
                              <w:tc>
                                <w:tcPr>
                                  <w:tcW w:w="511" w:type="pct"/>
                                  <w:tcBorders>
                                    <w:top w:val="single" w:sz="4" w:space="0" w:color="auto"/>
                                    <w:left w:val="nil"/>
                                    <w:bottom w:val="single" w:sz="4" w:space="0" w:color="auto"/>
                                    <w:right w:val="single" w:sz="4" w:space="0" w:color="auto"/>
                                  </w:tcBorders>
                                  <w:shd w:val="clear" w:color="auto" w:fill="808080"/>
                                  <w:noWrap/>
                                  <w:vAlign w:val="center"/>
                                  <w:hideMark/>
                                </w:tcPr>
                                <w:p w14:paraId="7A1E9DBA" w14:textId="77777777" w:rsidR="009154B8" w:rsidRDefault="009154B8">
                                  <w:pPr>
                                    <w:spacing w:after="0" w:line="256" w:lineRule="auto"/>
                                    <w:jc w:val="center"/>
                                    <w:rPr>
                                      <w:rFonts w:ascii="Calibri" w:hAnsi="Calibri"/>
                                      <w:b/>
                                      <w:bCs/>
                                      <w:color w:val="FFFFFF"/>
                                      <w:sz w:val="16"/>
                                      <w:szCs w:val="16"/>
                                    </w:rPr>
                                  </w:pPr>
                                  <w:r>
                                    <w:rPr>
                                      <w:rFonts w:ascii="Calibri" w:hAnsi="Calibri"/>
                                      <w:b/>
                                      <w:bCs/>
                                      <w:color w:val="FFFFFF"/>
                                      <w:sz w:val="16"/>
                                      <w:szCs w:val="16"/>
                                    </w:rPr>
                                    <w:t>2022</w:t>
                                  </w:r>
                                </w:p>
                              </w:tc>
                              <w:tc>
                                <w:tcPr>
                                  <w:tcW w:w="457" w:type="pct"/>
                                  <w:tcBorders>
                                    <w:top w:val="single" w:sz="4" w:space="0" w:color="auto"/>
                                    <w:left w:val="nil"/>
                                    <w:bottom w:val="single" w:sz="4" w:space="0" w:color="auto"/>
                                    <w:right w:val="single" w:sz="4" w:space="0" w:color="auto"/>
                                  </w:tcBorders>
                                  <w:shd w:val="clear" w:color="auto" w:fill="808080"/>
                                  <w:noWrap/>
                                  <w:vAlign w:val="center"/>
                                  <w:hideMark/>
                                </w:tcPr>
                                <w:p w14:paraId="0395DDD6" w14:textId="77777777" w:rsidR="009154B8" w:rsidRDefault="009154B8">
                                  <w:pPr>
                                    <w:spacing w:after="0" w:line="256" w:lineRule="auto"/>
                                    <w:jc w:val="center"/>
                                    <w:rPr>
                                      <w:rFonts w:ascii="Calibri" w:hAnsi="Calibri"/>
                                      <w:b/>
                                      <w:bCs/>
                                      <w:color w:val="FFFFFF"/>
                                      <w:sz w:val="16"/>
                                      <w:szCs w:val="16"/>
                                    </w:rPr>
                                  </w:pPr>
                                  <w:r>
                                    <w:rPr>
                                      <w:rFonts w:ascii="Calibri" w:hAnsi="Calibri"/>
                                      <w:b/>
                                      <w:bCs/>
                                      <w:color w:val="FFFFFF"/>
                                      <w:sz w:val="16"/>
                                      <w:szCs w:val="16"/>
                                    </w:rPr>
                                    <w:t>2023</w:t>
                                  </w:r>
                                </w:p>
                              </w:tc>
                              <w:tc>
                                <w:tcPr>
                                  <w:tcW w:w="456" w:type="pct"/>
                                  <w:tcBorders>
                                    <w:top w:val="single" w:sz="4" w:space="0" w:color="auto"/>
                                    <w:left w:val="nil"/>
                                    <w:bottom w:val="single" w:sz="4" w:space="0" w:color="auto"/>
                                    <w:right w:val="single" w:sz="4" w:space="0" w:color="auto"/>
                                  </w:tcBorders>
                                  <w:shd w:val="clear" w:color="auto" w:fill="808080"/>
                                  <w:noWrap/>
                                  <w:vAlign w:val="center"/>
                                  <w:hideMark/>
                                </w:tcPr>
                                <w:p w14:paraId="276C188F" w14:textId="77777777" w:rsidR="009154B8" w:rsidRDefault="009154B8">
                                  <w:pPr>
                                    <w:spacing w:after="0" w:line="256" w:lineRule="auto"/>
                                    <w:jc w:val="center"/>
                                    <w:rPr>
                                      <w:rFonts w:ascii="Calibri" w:hAnsi="Calibri"/>
                                      <w:b/>
                                      <w:bCs/>
                                      <w:color w:val="FFFFFF"/>
                                      <w:sz w:val="16"/>
                                      <w:szCs w:val="16"/>
                                    </w:rPr>
                                  </w:pPr>
                                  <w:r>
                                    <w:rPr>
                                      <w:rFonts w:ascii="Calibri" w:hAnsi="Calibri"/>
                                      <w:b/>
                                      <w:bCs/>
                                      <w:color w:val="FFFFFF"/>
                                      <w:sz w:val="16"/>
                                      <w:szCs w:val="16"/>
                                    </w:rPr>
                                    <w:t>2024</w:t>
                                  </w:r>
                                </w:p>
                              </w:tc>
                              <w:tc>
                                <w:tcPr>
                                  <w:tcW w:w="455" w:type="pct"/>
                                  <w:tcBorders>
                                    <w:top w:val="single" w:sz="4" w:space="0" w:color="auto"/>
                                    <w:left w:val="nil"/>
                                    <w:bottom w:val="single" w:sz="4" w:space="0" w:color="auto"/>
                                    <w:right w:val="single" w:sz="4" w:space="0" w:color="auto"/>
                                  </w:tcBorders>
                                  <w:shd w:val="clear" w:color="auto" w:fill="808080"/>
                                  <w:noWrap/>
                                  <w:vAlign w:val="center"/>
                                  <w:hideMark/>
                                </w:tcPr>
                                <w:p w14:paraId="78F6FA2A" w14:textId="77777777" w:rsidR="009154B8" w:rsidRDefault="009154B8">
                                  <w:pPr>
                                    <w:spacing w:after="0" w:line="256" w:lineRule="auto"/>
                                    <w:jc w:val="center"/>
                                    <w:rPr>
                                      <w:rFonts w:ascii="Calibri" w:hAnsi="Calibri"/>
                                      <w:b/>
                                      <w:bCs/>
                                      <w:color w:val="FFFFFF"/>
                                      <w:sz w:val="16"/>
                                      <w:szCs w:val="16"/>
                                    </w:rPr>
                                  </w:pPr>
                                  <w:r>
                                    <w:rPr>
                                      <w:rFonts w:ascii="Calibri" w:hAnsi="Calibri"/>
                                      <w:b/>
                                      <w:bCs/>
                                      <w:color w:val="FFFFFF"/>
                                      <w:sz w:val="16"/>
                                      <w:szCs w:val="16"/>
                                    </w:rPr>
                                    <w:t>2025</w:t>
                                  </w:r>
                                </w:p>
                              </w:tc>
                              <w:tc>
                                <w:tcPr>
                                  <w:tcW w:w="453" w:type="pct"/>
                                  <w:tcBorders>
                                    <w:top w:val="single" w:sz="4" w:space="0" w:color="auto"/>
                                    <w:left w:val="nil"/>
                                    <w:bottom w:val="single" w:sz="4" w:space="0" w:color="auto"/>
                                    <w:right w:val="single" w:sz="4" w:space="0" w:color="auto"/>
                                  </w:tcBorders>
                                  <w:shd w:val="clear" w:color="auto" w:fill="808080"/>
                                  <w:noWrap/>
                                  <w:vAlign w:val="center"/>
                                  <w:hideMark/>
                                </w:tcPr>
                                <w:p w14:paraId="35E823C1" w14:textId="77777777" w:rsidR="009154B8" w:rsidRDefault="009154B8">
                                  <w:pPr>
                                    <w:spacing w:after="0" w:line="256" w:lineRule="auto"/>
                                    <w:jc w:val="center"/>
                                    <w:rPr>
                                      <w:rFonts w:ascii="Calibri" w:hAnsi="Calibri"/>
                                      <w:b/>
                                      <w:bCs/>
                                      <w:color w:val="FFFFFF"/>
                                      <w:sz w:val="16"/>
                                      <w:szCs w:val="16"/>
                                    </w:rPr>
                                  </w:pPr>
                                  <w:r>
                                    <w:rPr>
                                      <w:rFonts w:ascii="Calibri" w:hAnsi="Calibri"/>
                                      <w:b/>
                                      <w:bCs/>
                                      <w:color w:val="FFFFFF"/>
                                      <w:sz w:val="16"/>
                                      <w:szCs w:val="16"/>
                                    </w:rPr>
                                    <w:t>2026</w:t>
                                  </w:r>
                                </w:p>
                              </w:tc>
                              <w:tc>
                                <w:tcPr>
                                  <w:tcW w:w="451" w:type="pct"/>
                                  <w:tcBorders>
                                    <w:top w:val="single" w:sz="4" w:space="0" w:color="auto"/>
                                    <w:left w:val="nil"/>
                                    <w:bottom w:val="single" w:sz="4" w:space="0" w:color="auto"/>
                                    <w:right w:val="single" w:sz="4" w:space="0" w:color="auto"/>
                                  </w:tcBorders>
                                  <w:shd w:val="clear" w:color="auto" w:fill="808080"/>
                                  <w:hideMark/>
                                </w:tcPr>
                                <w:p w14:paraId="25B07EC1" w14:textId="77777777" w:rsidR="009154B8" w:rsidRDefault="009154B8">
                                  <w:pPr>
                                    <w:spacing w:after="0" w:line="256" w:lineRule="auto"/>
                                    <w:jc w:val="center"/>
                                    <w:rPr>
                                      <w:rFonts w:ascii="Calibri" w:hAnsi="Calibri"/>
                                      <w:b/>
                                      <w:bCs/>
                                      <w:color w:val="FFFFFF"/>
                                      <w:sz w:val="16"/>
                                      <w:szCs w:val="16"/>
                                    </w:rPr>
                                  </w:pPr>
                                  <w:r>
                                    <w:rPr>
                                      <w:rFonts w:ascii="Calibri" w:hAnsi="Calibri"/>
                                      <w:b/>
                                      <w:bCs/>
                                      <w:color w:val="FFFFFF"/>
                                      <w:sz w:val="16"/>
                                      <w:szCs w:val="16"/>
                                    </w:rPr>
                                    <w:t>2027</w:t>
                                  </w:r>
                                </w:p>
                              </w:tc>
                            </w:tr>
                            <w:tr w:rsidR="009154B8" w14:paraId="774F538E" w14:textId="77777777" w:rsidTr="000A4C0C">
                              <w:trPr>
                                <w:trHeight w:val="18"/>
                              </w:trPr>
                              <w:tc>
                                <w:tcPr>
                                  <w:tcW w:w="1598" w:type="pct"/>
                                  <w:tcBorders>
                                    <w:top w:val="single" w:sz="4" w:space="0" w:color="auto"/>
                                    <w:left w:val="single" w:sz="4" w:space="0" w:color="auto"/>
                                    <w:bottom w:val="single" w:sz="4" w:space="0" w:color="auto"/>
                                    <w:right w:val="single" w:sz="4" w:space="0" w:color="auto"/>
                                  </w:tcBorders>
                                  <w:noWrap/>
                                  <w:vAlign w:val="center"/>
                                  <w:hideMark/>
                                </w:tcPr>
                                <w:p w14:paraId="0E4CB9D5" w14:textId="77777777" w:rsidR="009154B8" w:rsidRDefault="009154B8">
                                  <w:pPr>
                                    <w:widowControl/>
                                    <w:spacing w:after="0" w:line="256" w:lineRule="auto"/>
                                    <w:jc w:val="center"/>
                                    <w:rPr>
                                      <w:rFonts w:ascii="Calibri" w:eastAsia="Calibri" w:hAnsi="Calibri"/>
                                      <w:sz w:val="18"/>
                                      <w:szCs w:val="18"/>
                                    </w:rPr>
                                  </w:pPr>
                                  <w:r>
                                    <w:rPr>
                                      <w:rFonts w:ascii="Calibri" w:hAnsi="Calibri"/>
                                      <w:b/>
                                      <w:color w:val="000000"/>
                                      <w:sz w:val="16"/>
                                      <w:szCs w:val="16"/>
                                    </w:rPr>
                                    <w:t>Annual Energy Savings</w:t>
                                  </w:r>
                                  <w:r>
                                    <w:rPr>
                                      <w:rFonts w:ascii="Calibri" w:hAnsi="Calibri"/>
                                      <w:color w:val="000000"/>
                                      <w:sz w:val="16"/>
                                      <w:szCs w:val="16"/>
                                    </w:rPr>
                                    <w:t xml:space="preserve"> = Adj. kWh savings (previously calculated) = </w:t>
                                  </w:r>
                                  <w:r>
                                    <w:rPr>
                                      <w:rFonts w:ascii="Calibri" w:eastAsia="Calibri" w:hAnsi="Calibri"/>
                                      <w:sz w:val="18"/>
                                      <w:szCs w:val="18"/>
                                    </w:rPr>
                                    <w:t>ΔkWh</w:t>
                                  </w:r>
                                  <w:r>
                                    <w:rPr>
                                      <w:rFonts w:ascii="Calibri" w:eastAsia="Calibri" w:hAnsi="Calibri"/>
                                      <w:sz w:val="18"/>
                                      <w:szCs w:val="18"/>
                                      <w:vertAlign w:val="subscript"/>
                                    </w:rPr>
                                    <w:t>TAdjusted</w:t>
                                  </w:r>
                                </w:p>
                              </w:tc>
                              <w:tc>
                                <w:tcPr>
                                  <w:tcW w:w="615" w:type="pct"/>
                                  <w:tcBorders>
                                    <w:top w:val="single" w:sz="4" w:space="0" w:color="auto"/>
                                    <w:left w:val="nil"/>
                                    <w:bottom w:val="single" w:sz="4" w:space="0" w:color="auto"/>
                                    <w:right w:val="single" w:sz="4" w:space="0" w:color="auto"/>
                                  </w:tcBorders>
                                  <w:noWrap/>
                                  <w:vAlign w:val="center"/>
                                  <w:hideMark/>
                                </w:tcPr>
                                <w:p w14:paraId="3081D14F" w14:textId="77777777" w:rsidR="009154B8" w:rsidRDefault="009154B8">
                                  <w:pPr>
                                    <w:spacing w:after="0" w:line="256" w:lineRule="auto"/>
                                    <w:jc w:val="center"/>
                                    <w:rPr>
                                      <w:rFonts w:ascii="Calibri" w:hAnsi="Calibri"/>
                                      <w:color w:val="000000"/>
                                      <w:sz w:val="16"/>
                                      <w:szCs w:val="16"/>
                                    </w:rPr>
                                  </w:pPr>
                                  <w:r>
                                    <w:rPr>
                                      <w:rFonts w:ascii="Calibri" w:hAnsi="Calibri"/>
                                      <w:color w:val="000000"/>
                                      <w:sz w:val="16"/>
                                      <w:szCs w:val="16"/>
                                    </w:rPr>
                                    <w:t>24,000,000</w:t>
                                  </w:r>
                                </w:p>
                              </w:tc>
                              <w:tc>
                                <w:tcPr>
                                  <w:tcW w:w="511" w:type="pct"/>
                                  <w:tcBorders>
                                    <w:top w:val="single" w:sz="4" w:space="0" w:color="auto"/>
                                    <w:left w:val="nil"/>
                                    <w:bottom w:val="single" w:sz="4" w:space="0" w:color="auto"/>
                                    <w:right w:val="single" w:sz="4" w:space="0" w:color="auto"/>
                                  </w:tcBorders>
                                  <w:noWrap/>
                                  <w:vAlign w:val="center"/>
                                  <w:hideMark/>
                                </w:tcPr>
                                <w:p w14:paraId="7F478EA0" w14:textId="77777777" w:rsidR="009154B8" w:rsidRDefault="009154B8">
                                  <w:pPr>
                                    <w:spacing w:after="0" w:line="256" w:lineRule="auto"/>
                                    <w:jc w:val="center"/>
                                    <w:rPr>
                                      <w:rFonts w:ascii="Calibri" w:hAnsi="Calibri"/>
                                      <w:color w:val="000000"/>
                                      <w:sz w:val="16"/>
                                      <w:szCs w:val="16"/>
                                    </w:rPr>
                                  </w:pPr>
                                  <w:del w:id="535" w:author="Carly Olig" w:date="2022-05-04T15:48:00Z">
                                    <w:r w:rsidDel="00D148D0">
                                      <w:rPr>
                                        <w:rFonts w:ascii="Calibri" w:hAnsi="Calibri"/>
                                        <w:color w:val="000000"/>
                                        <w:sz w:val="16"/>
                                        <w:szCs w:val="16"/>
                                      </w:rPr>
                                      <w:delText>10,252,240</w:delText>
                                    </w:r>
                                  </w:del>
                                  <w:ins w:id="536" w:author="Carly Olig" w:date="2022-05-04T15:48:00Z">
                                    <w:r>
                                      <w:rPr>
                                        <w:rFonts w:ascii="Calibri" w:hAnsi="Calibri"/>
                                        <w:color w:val="000000"/>
                                        <w:sz w:val="16"/>
                                        <w:szCs w:val="16"/>
                                      </w:rPr>
                                      <w:t>9,466,000</w:t>
                                    </w:r>
                                  </w:ins>
                                </w:p>
                              </w:tc>
                              <w:tc>
                                <w:tcPr>
                                  <w:tcW w:w="457" w:type="pct"/>
                                  <w:tcBorders>
                                    <w:top w:val="single" w:sz="4" w:space="0" w:color="auto"/>
                                    <w:left w:val="nil"/>
                                    <w:bottom w:val="single" w:sz="4" w:space="0" w:color="auto"/>
                                    <w:right w:val="single" w:sz="4" w:space="0" w:color="auto"/>
                                  </w:tcBorders>
                                  <w:noWrap/>
                                  <w:vAlign w:val="center"/>
                                  <w:hideMark/>
                                </w:tcPr>
                                <w:p w14:paraId="7737828A" w14:textId="77777777" w:rsidR="009154B8" w:rsidRDefault="009154B8">
                                  <w:pPr>
                                    <w:spacing w:after="0" w:line="256" w:lineRule="auto"/>
                                    <w:jc w:val="center"/>
                                    <w:rPr>
                                      <w:rFonts w:ascii="Calibri" w:hAnsi="Calibri"/>
                                      <w:color w:val="000000"/>
                                      <w:sz w:val="16"/>
                                      <w:szCs w:val="16"/>
                                    </w:rPr>
                                  </w:pPr>
                                  <w:del w:id="537" w:author="Carly Olig" w:date="2022-05-04T15:48:00Z">
                                    <w:r w:rsidDel="00D148D0">
                                      <w:rPr>
                                        <w:rFonts w:ascii="Calibri" w:hAnsi="Calibri"/>
                                        <w:color w:val="000000"/>
                                        <w:sz w:val="16"/>
                                        <w:szCs w:val="16"/>
                                      </w:rPr>
                                      <w:delText>5,116,954</w:delText>
                                    </w:r>
                                  </w:del>
                                  <w:ins w:id="538" w:author="Carly Olig" w:date="2022-05-04T15:48:00Z">
                                    <w:r>
                                      <w:rPr>
                                        <w:rFonts w:ascii="Calibri" w:hAnsi="Calibri"/>
                                        <w:color w:val="000000"/>
                                        <w:sz w:val="16"/>
                                        <w:szCs w:val="16"/>
                                      </w:rPr>
                                      <w:t>5,008,094</w:t>
                                    </w:r>
                                  </w:ins>
                                </w:p>
                              </w:tc>
                              <w:tc>
                                <w:tcPr>
                                  <w:tcW w:w="456" w:type="pct"/>
                                  <w:tcBorders>
                                    <w:top w:val="single" w:sz="4" w:space="0" w:color="auto"/>
                                    <w:left w:val="nil"/>
                                    <w:bottom w:val="single" w:sz="4" w:space="0" w:color="auto"/>
                                    <w:right w:val="single" w:sz="4" w:space="0" w:color="auto"/>
                                  </w:tcBorders>
                                  <w:noWrap/>
                                  <w:vAlign w:val="center"/>
                                  <w:hideMark/>
                                </w:tcPr>
                                <w:p w14:paraId="2797D00F" w14:textId="77777777" w:rsidR="009154B8" w:rsidRDefault="009154B8">
                                  <w:pPr>
                                    <w:spacing w:after="0" w:line="256" w:lineRule="auto"/>
                                    <w:jc w:val="center"/>
                                    <w:rPr>
                                      <w:rFonts w:ascii="Calibri" w:hAnsi="Calibri"/>
                                      <w:color w:val="000000"/>
                                      <w:sz w:val="16"/>
                                      <w:szCs w:val="16"/>
                                    </w:rPr>
                                  </w:pPr>
                                  <w:del w:id="539" w:author="Carly Olig" w:date="2022-05-04T15:50:00Z">
                                    <w:r w:rsidDel="00060304">
                                      <w:rPr>
                                        <w:rFonts w:ascii="Calibri" w:hAnsi="Calibri"/>
                                        <w:color w:val="000000"/>
                                        <w:sz w:val="16"/>
                                        <w:szCs w:val="16"/>
                                      </w:rPr>
                                      <w:delText>5,929,923</w:delText>
                                    </w:r>
                                  </w:del>
                                  <w:ins w:id="540" w:author="Carly Olig" w:date="2022-05-04T15:50:00Z">
                                    <w:r>
                                      <w:rPr>
                                        <w:rFonts w:ascii="Calibri" w:hAnsi="Calibri"/>
                                        <w:color w:val="000000"/>
                                        <w:sz w:val="16"/>
                                        <w:szCs w:val="16"/>
                                      </w:rPr>
                                      <w:t>6,156,543</w:t>
                                    </w:r>
                                  </w:ins>
                                </w:p>
                              </w:tc>
                              <w:tc>
                                <w:tcPr>
                                  <w:tcW w:w="455" w:type="pct"/>
                                  <w:tcBorders>
                                    <w:top w:val="single" w:sz="4" w:space="0" w:color="auto"/>
                                    <w:left w:val="nil"/>
                                    <w:bottom w:val="single" w:sz="4" w:space="0" w:color="auto"/>
                                    <w:right w:val="single" w:sz="4" w:space="0" w:color="auto"/>
                                  </w:tcBorders>
                                  <w:noWrap/>
                                  <w:vAlign w:val="center"/>
                                  <w:hideMark/>
                                </w:tcPr>
                                <w:p w14:paraId="0615A6E5" w14:textId="77777777" w:rsidR="009154B8" w:rsidRDefault="009154B8">
                                  <w:pPr>
                                    <w:spacing w:after="0" w:line="256" w:lineRule="auto"/>
                                    <w:jc w:val="center"/>
                                    <w:rPr>
                                      <w:rFonts w:ascii="Calibri" w:hAnsi="Calibri"/>
                                      <w:color w:val="000000"/>
                                      <w:sz w:val="16"/>
                                      <w:szCs w:val="16"/>
                                    </w:rPr>
                                  </w:pPr>
                                  <w:del w:id="541" w:author="Carly Olig" w:date="2022-05-04T15:50:00Z">
                                    <w:r w:rsidDel="00D6390D">
                                      <w:rPr>
                                        <w:rFonts w:ascii="Calibri" w:hAnsi="Calibri"/>
                                        <w:color w:val="000000"/>
                                        <w:sz w:val="16"/>
                                        <w:szCs w:val="16"/>
                                      </w:rPr>
                                      <w:delText>5,154,135</w:delText>
                                    </w:r>
                                  </w:del>
                                  <w:ins w:id="542" w:author="Carly Olig" w:date="2022-05-04T15:50:00Z">
                                    <w:r>
                                      <w:rPr>
                                        <w:rFonts w:ascii="Calibri" w:hAnsi="Calibri"/>
                                        <w:color w:val="000000"/>
                                        <w:sz w:val="16"/>
                                        <w:szCs w:val="16"/>
                                      </w:rPr>
                                      <w:t>5,133,627</w:t>
                                    </w:r>
                                  </w:ins>
                                </w:p>
                              </w:tc>
                              <w:tc>
                                <w:tcPr>
                                  <w:tcW w:w="453" w:type="pct"/>
                                  <w:tcBorders>
                                    <w:top w:val="single" w:sz="4" w:space="0" w:color="auto"/>
                                    <w:left w:val="nil"/>
                                    <w:bottom w:val="single" w:sz="4" w:space="0" w:color="auto"/>
                                    <w:right w:val="single" w:sz="4" w:space="0" w:color="auto"/>
                                  </w:tcBorders>
                                  <w:noWrap/>
                                  <w:vAlign w:val="center"/>
                                  <w:hideMark/>
                                </w:tcPr>
                                <w:p w14:paraId="07B051B2" w14:textId="77777777" w:rsidR="009154B8" w:rsidRDefault="009154B8">
                                  <w:pPr>
                                    <w:spacing w:after="0" w:line="256" w:lineRule="auto"/>
                                    <w:jc w:val="center"/>
                                    <w:rPr>
                                      <w:rFonts w:ascii="Calibri" w:hAnsi="Calibri"/>
                                      <w:color w:val="000000"/>
                                      <w:sz w:val="16"/>
                                      <w:szCs w:val="16"/>
                                    </w:rPr>
                                  </w:pPr>
                                  <w:del w:id="543" w:author="Carly Olig" w:date="2022-05-04T15:50:00Z">
                                    <w:r w:rsidDel="00D6390D">
                                      <w:rPr>
                                        <w:rFonts w:ascii="Calibri" w:hAnsi="Calibri"/>
                                        <w:color w:val="000000"/>
                                        <w:sz w:val="16"/>
                                        <w:szCs w:val="16"/>
                                      </w:rPr>
                                      <w:delText>6,259,330</w:delText>
                                    </w:r>
                                  </w:del>
                                  <w:ins w:id="544" w:author="Carly Olig" w:date="2022-05-04T15:50:00Z">
                                    <w:r>
                                      <w:rPr>
                                        <w:rFonts w:ascii="Calibri" w:hAnsi="Calibri"/>
                                        <w:color w:val="000000"/>
                                        <w:sz w:val="16"/>
                                        <w:szCs w:val="16"/>
                                      </w:rPr>
                                      <w:t>6,400,301</w:t>
                                    </w:r>
                                  </w:ins>
                                </w:p>
                              </w:tc>
                              <w:tc>
                                <w:tcPr>
                                  <w:tcW w:w="451" w:type="pct"/>
                                  <w:tcBorders>
                                    <w:top w:val="single" w:sz="4" w:space="0" w:color="auto"/>
                                    <w:left w:val="nil"/>
                                    <w:bottom w:val="single" w:sz="4" w:space="0" w:color="auto"/>
                                    <w:right w:val="single" w:sz="4" w:space="0" w:color="auto"/>
                                  </w:tcBorders>
                                  <w:vAlign w:val="center"/>
                                  <w:hideMark/>
                                </w:tcPr>
                                <w:p w14:paraId="123ADD7A" w14:textId="77777777" w:rsidR="009154B8" w:rsidRDefault="009154B8">
                                  <w:pPr>
                                    <w:spacing w:after="0" w:line="256" w:lineRule="auto"/>
                                    <w:jc w:val="center"/>
                                    <w:rPr>
                                      <w:rFonts w:ascii="Calibri" w:hAnsi="Calibri"/>
                                      <w:color w:val="000000"/>
                                      <w:sz w:val="16"/>
                                      <w:szCs w:val="16"/>
                                    </w:rPr>
                                  </w:pPr>
                                  <w:del w:id="545" w:author="Carly Olig" w:date="2022-05-04T15:50:00Z">
                                    <w:r w:rsidDel="00D6390D">
                                      <w:rPr>
                                        <w:rFonts w:ascii="Calibri" w:hAnsi="Calibri"/>
                                        <w:color w:val="000000"/>
                                        <w:sz w:val="16"/>
                                        <w:szCs w:val="16"/>
                                      </w:rPr>
                                      <w:delText>5,062,282</w:delText>
                                    </w:r>
                                  </w:del>
                                  <w:ins w:id="546" w:author="Carly Olig" w:date="2022-05-04T15:50:00Z">
                                    <w:r>
                                      <w:rPr>
                                        <w:rFonts w:ascii="Calibri" w:hAnsi="Calibri"/>
                                        <w:color w:val="000000"/>
                                        <w:sz w:val="16"/>
                                        <w:szCs w:val="16"/>
                                      </w:rPr>
                                      <w:t>5,579,188</w:t>
                                    </w:r>
                                  </w:ins>
                                </w:p>
                              </w:tc>
                            </w:tr>
                            <w:tr w:rsidR="009154B8" w14:paraId="353FA995" w14:textId="77777777" w:rsidTr="000A4C0C">
                              <w:trPr>
                                <w:trHeight w:val="243"/>
                              </w:trPr>
                              <w:tc>
                                <w:tcPr>
                                  <w:tcW w:w="5000" w:type="pct"/>
                                  <w:gridSpan w:val="8"/>
                                  <w:tcBorders>
                                    <w:top w:val="single" w:sz="4" w:space="0" w:color="auto"/>
                                    <w:left w:val="single" w:sz="4" w:space="0" w:color="auto"/>
                                    <w:bottom w:val="single" w:sz="4" w:space="0" w:color="auto"/>
                                    <w:right w:val="single" w:sz="4" w:space="0" w:color="auto"/>
                                  </w:tcBorders>
                                  <w:noWrap/>
                                  <w:vAlign w:val="center"/>
                                  <w:hideMark/>
                                </w:tcPr>
                                <w:p w14:paraId="39455E4E" w14:textId="77777777" w:rsidR="009154B8" w:rsidRDefault="009154B8">
                                  <w:pPr>
                                    <w:spacing w:after="0" w:line="256" w:lineRule="auto"/>
                                    <w:jc w:val="left"/>
                                    <w:rPr>
                                      <w:rFonts w:ascii="Calibri" w:hAnsi="Calibri"/>
                                      <w:color w:val="000000"/>
                                      <w:sz w:val="16"/>
                                      <w:szCs w:val="16"/>
                                    </w:rPr>
                                  </w:pPr>
                                  <w:r>
                                    <w:rPr>
                                      <w:rFonts w:ascii="Calibri" w:hAnsi="Calibri"/>
                                      <w:color w:val="000000"/>
                                      <w:sz w:val="16"/>
                                      <w:szCs w:val="16"/>
                                    </w:rPr>
                                    <w:t xml:space="preserve">  RR</w:t>
                                  </w:r>
                                  <w:del w:id="547" w:author="Carly Olig" w:date="2022-05-04T15:50:00Z">
                                    <w:r w:rsidDel="00C463FA">
                                      <w:rPr>
                                        <w:rFonts w:ascii="Calibri" w:hAnsi="Calibri"/>
                                        <w:color w:val="000000"/>
                                        <w:sz w:val="16"/>
                                        <w:szCs w:val="16"/>
                                        <w:vertAlign w:val="subscript"/>
                                      </w:rPr>
                                      <w:delText>U</w:delText>
                                    </w:r>
                                  </w:del>
                                  <w:del w:id="548" w:author="Carly Olig" w:date="2022-05-04T15:51:00Z">
                                    <w:r w:rsidDel="00C463FA">
                                      <w:rPr>
                                        <w:rFonts w:ascii="Calibri" w:hAnsi="Calibri"/>
                                        <w:color w:val="000000"/>
                                        <w:sz w:val="16"/>
                                        <w:szCs w:val="16"/>
                                        <w:vertAlign w:val="subscript"/>
                                      </w:rPr>
                                      <w:delText>tility</w:delText>
                                    </w:r>
                                  </w:del>
                                  <w:r>
                                    <w:rPr>
                                      <w:rFonts w:ascii="Calibri" w:hAnsi="Calibri"/>
                                      <w:color w:val="000000"/>
                                      <w:sz w:val="16"/>
                                      <w:szCs w:val="16"/>
                                      <w:vertAlign w:val="subscript"/>
                                    </w:rPr>
                                    <w:t xml:space="preserve"> </w:t>
                                  </w:r>
                                  <w:r>
                                    <w:rPr>
                                      <w:rFonts w:ascii="Calibri" w:hAnsi="Calibri"/>
                                      <w:color w:val="000000"/>
                                      <w:sz w:val="16"/>
                                      <w:szCs w:val="16"/>
                                    </w:rPr>
                                    <w:t>= 0.</w:t>
                                  </w:r>
                                  <w:del w:id="549" w:author="Carly Olig" w:date="2022-05-04T15:51:00Z">
                                    <w:r w:rsidDel="00C463FA">
                                      <w:rPr>
                                        <w:rFonts w:ascii="Calibri" w:hAnsi="Calibri"/>
                                        <w:color w:val="000000"/>
                                        <w:sz w:val="16"/>
                                        <w:szCs w:val="16"/>
                                      </w:rPr>
                                      <w:delText>88</w:delText>
                                    </w:r>
                                  </w:del>
                                  <w:ins w:id="550" w:author="Carly Olig" w:date="2022-05-04T15:51:00Z">
                                    <w:r>
                                      <w:rPr>
                                        <w:rFonts w:ascii="Calibri" w:hAnsi="Calibri"/>
                                        <w:color w:val="000000"/>
                                        <w:sz w:val="16"/>
                                        <w:szCs w:val="16"/>
                                      </w:rPr>
                                      <w:t>95</w:t>
                                    </w:r>
                                  </w:ins>
                                </w:p>
                              </w:tc>
                            </w:tr>
                          </w:tbl>
                          <w:p w14:paraId="66598B66" w14:textId="77777777" w:rsidR="009154B8" w:rsidRDefault="009154B8" w:rsidP="009154B8">
                            <w:pPr>
                              <w:spacing w:after="60"/>
                              <w:rPr>
                                <w:rFonts w:cstheme="minorHAnsi"/>
                                <w:b/>
                                <w:sz w:val="18"/>
                                <w:szCs w:val="18"/>
                              </w:rPr>
                            </w:pPr>
                          </w:p>
                          <w:p w14:paraId="1445B2D5" w14:textId="77777777" w:rsidR="009154B8" w:rsidRDefault="009154B8" w:rsidP="009154B8">
                            <w:pPr>
                              <w:spacing w:after="60"/>
                              <w:rPr>
                                <w:rFonts w:cstheme="minorHAnsi"/>
                                <w:b/>
                                <w:sz w:val="18"/>
                                <w:szCs w:val="18"/>
                                <w:u w:val="single"/>
                              </w:rPr>
                            </w:pPr>
                            <w:r>
                              <w:rPr>
                                <w:rFonts w:cstheme="minorHAnsi"/>
                                <w:b/>
                                <w:sz w:val="18"/>
                                <w:szCs w:val="18"/>
                                <w:u w:val="single"/>
                              </w:rPr>
                              <w:t>Inputs for calculating cost effectiveness in 2021:</w:t>
                            </w:r>
                          </w:p>
                          <w:p w14:paraId="50EA42A3" w14:textId="77777777" w:rsidR="009154B8" w:rsidRDefault="009154B8" w:rsidP="009154B8">
                            <w:pPr>
                              <w:spacing w:after="60"/>
                              <w:jc w:val="left"/>
                              <w:rPr>
                                <w:rFonts w:cstheme="minorHAnsi"/>
                                <w:sz w:val="18"/>
                                <w:szCs w:val="18"/>
                              </w:rPr>
                            </w:pPr>
                            <w:r>
                              <w:rPr>
                                <w:rFonts w:cstheme="minorHAnsi"/>
                                <w:sz w:val="18"/>
                                <w:szCs w:val="18"/>
                              </w:rPr>
                              <w:t>Cost-effectiveness benefit of 2021 savings in 2022 = ΔkWh</w:t>
                            </w:r>
                            <w:r>
                              <w:rPr>
                                <w:rFonts w:cstheme="minorHAnsi"/>
                                <w:sz w:val="18"/>
                                <w:szCs w:val="18"/>
                                <w:vertAlign w:val="subscript"/>
                              </w:rPr>
                              <w:t>2021 Adjusted</w:t>
                            </w:r>
                            <w:r>
                              <w:rPr>
                                <w:rFonts w:cstheme="minorHAnsi"/>
                                <w:sz w:val="18"/>
                                <w:szCs w:val="18"/>
                              </w:rPr>
                              <w:t xml:space="preserve"> * PFE</w:t>
                            </w:r>
                            <w:r>
                              <w:rPr>
                                <w:rFonts w:cstheme="minorHAnsi"/>
                                <w:sz w:val="18"/>
                                <w:szCs w:val="18"/>
                                <w:vertAlign w:val="subscript"/>
                              </w:rPr>
                              <w:t>1</w:t>
                            </w:r>
                            <w:r>
                              <w:rPr>
                                <w:rFonts w:cstheme="minorHAnsi"/>
                                <w:sz w:val="18"/>
                                <w:szCs w:val="18"/>
                              </w:rPr>
                              <w:t>*</w:t>
                            </w:r>
                            <w:r>
                              <w:rPr>
                                <w:rFonts w:ascii="Calibri" w:hAnsi="Calibri"/>
                                <w:color w:val="000000"/>
                                <w:sz w:val="16"/>
                                <w:szCs w:val="16"/>
                              </w:rPr>
                              <w:t xml:space="preserve"> RR</w:t>
                            </w:r>
                            <w:del w:id="551" w:author="Carly Olig" w:date="2022-05-04T15:51:00Z">
                              <w:r w:rsidDel="00C463FA">
                                <w:rPr>
                                  <w:rFonts w:ascii="Calibri" w:hAnsi="Calibri"/>
                                  <w:color w:val="000000"/>
                                  <w:sz w:val="16"/>
                                  <w:szCs w:val="16"/>
                                  <w:vertAlign w:val="subscript"/>
                                </w:rPr>
                                <w:delText>Utility</w:delText>
                              </w:r>
                            </w:del>
                            <w:r>
                              <w:rPr>
                                <w:rFonts w:cstheme="minorHAnsi"/>
                                <w:sz w:val="18"/>
                                <w:szCs w:val="18"/>
                              </w:rPr>
                              <w:t xml:space="preserve"> = 24,000,000 * 0.78 * 0.</w:t>
                            </w:r>
                            <w:del w:id="552" w:author="Carly Olig" w:date="2022-05-04T15:52:00Z">
                              <w:r w:rsidDel="00B7563A">
                                <w:rPr>
                                  <w:rFonts w:cstheme="minorHAnsi"/>
                                  <w:sz w:val="18"/>
                                  <w:szCs w:val="18"/>
                                </w:rPr>
                                <w:delText>88</w:delText>
                              </w:r>
                            </w:del>
                            <w:ins w:id="553" w:author="Carly Olig" w:date="2022-05-04T15:52:00Z">
                              <w:r>
                                <w:rPr>
                                  <w:rFonts w:cstheme="minorHAnsi"/>
                                  <w:sz w:val="18"/>
                                  <w:szCs w:val="18"/>
                                </w:rPr>
                                <w:t>95</w:t>
                              </w:r>
                            </w:ins>
                            <w:r>
                              <w:rPr>
                                <w:rFonts w:cstheme="minorHAnsi"/>
                                <w:sz w:val="18"/>
                                <w:szCs w:val="18"/>
                              </w:rPr>
                              <w:t xml:space="preserve"> =   </w:t>
                            </w:r>
                            <w:del w:id="554" w:author="Carly Olig" w:date="2022-05-05T15:05:00Z">
                              <w:r w:rsidDel="00B5279A">
                                <w:rPr>
                                  <w:rFonts w:cstheme="minorHAnsi"/>
                                  <w:sz w:val="18"/>
                                  <w:szCs w:val="18"/>
                                </w:rPr>
                                <w:delText>16,473,600</w:delText>
                              </w:r>
                            </w:del>
                            <w:ins w:id="555" w:author="Carly Olig" w:date="2022-05-05T15:05:00Z">
                              <w:r>
                                <w:rPr>
                                  <w:rFonts w:cstheme="minorHAnsi"/>
                                  <w:sz w:val="18"/>
                                  <w:szCs w:val="18"/>
                                </w:rPr>
                                <w:t>17,784,000</w:t>
                              </w:r>
                            </w:ins>
                            <w:r>
                              <w:rPr>
                                <w:rFonts w:cstheme="minorHAnsi"/>
                                <w:sz w:val="18"/>
                                <w:szCs w:val="18"/>
                              </w:rPr>
                              <w:t xml:space="preserve"> kWh</w:t>
                            </w:r>
                          </w:p>
                          <w:p w14:paraId="460B35F7" w14:textId="77777777" w:rsidR="009154B8" w:rsidRDefault="009154B8" w:rsidP="009154B8">
                            <w:pPr>
                              <w:spacing w:after="60"/>
                              <w:jc w:val="left"/>
                              <w:rPr>
                                <w:rFonts w:cstheme="minorHAnsi"/>
                                <w:sz w:val="18"/>
                                <w:szCs w:val="18"/>
                              </w:rPr>
                            </w:pPr>
                            <w:r>
                              <w:rPr>
                                <w:rFonts w:cstheme="minorHAnsi"/>
                                <w:sz w:val="18"/>
                                <w:szCs w:val="18"/>
                              </w:rPr>
                              <w:t>Cost-effectiveness benefit of 2021 savings in 2023 = ΔkWh</w:t>
                            </w:r>
                            <w:r>
                              <w:rPr>
                                <w:rFonts w:cstheme="minorHAnsi"/>
                                <w:sz w:val="18"/>
                                <w:szCs w:val="18"/>
                                <w:vertAlign w:val="subscript"/>
                              </w:rPr>
                              <w:t>2021 Adjusted</w:t>
                            </w:r>
                            <w:r>
                              <w:rPr>
                                <w:rFonts w:cstheme="minorHAnsi"/>
                                <w:sz w:val="18"/>
                                <w:szCs w:val="18"/>
                              </w:rPr>
                              <w:t xml:space="preserve"> * PFE</w:t>
                            </w:r>
                            <w:r>
                              <w:rPr>
                                <w:rFonts w:cstheme="minorHAnsi"/>
                                <w:sz w:val="18"/>
                                <w:szCs w:val="18"/>
                                <w:vertAlign w:val="subscript"/>
                              </w:rPr>
                              <w:t>2</w:t>
                            </w:r>
                            <w:r>
                              <w:rPr>
                                <w:rFonts w:cstheme="minorHAnsi"/>
                                <w:sz w:val="18"/>
                                <w:szCs w:val="18"/>
                              </w:rPr>
                              <w:t>*RR</w:t>
                            </w:r>
                            <w:del w:id="556" w:author="Carly Olig" w:date="2022-05-04T15:51:00Z">
                              <w:r w:rsidDel="00C463FA">
                                <w:rPr>
                                  <w:rFonts w:cstheme="minorHAnsi"/>
                                  <w:sz w:val="18"/>
                                  <w:szCs w:val="18"/>
                                  <w:vertAlign w:val="subscript"/>
                                </w:rPr>
                                <w:delText>Utility</w:delText>
                              </w:r>
                            </w:del>
                            <w:r>
                              <w:rPr>
                                <w:rFonts w:cstheme="minorHAnsi"/>
                                <w:sz w:val="18"/>
                                <w:szCs w:val="18"/>
                                <w:vertAlign w:val="superscript"/>
                              </w:rPr>
                              <w:t>2</w:t>
                            </w:r>
                            <w:r>
                              <w:rPr>
                                <w:rFonts w:cstheme="minorHAnsi"/>
                                <w:sz w:val="18"/>
                                <w:szCs w:val="18"/>
                              </w:rPr>
                              <w:t xml:space="preserve"> = 24,000,000 * 0.61 * 0.</w:t>
                            </w:r>
                            <w:ins w:id="557" w:author="Carly Olig" w:date="2022-05-04T15:52:00Z">
                              <w:r>
                                <w:rPr>
                                  <w:rFonts w:cstheme="minorHAnsi"/>
                                  <w:sz w:val="18"/>
                                  <w:szCs w:val="18"/>
                                </w:rPr>
                                <w:t>95</w:t>
                              </w:r>
                            </w:ins>
                            <w:del w:id="558" w:author="Carly Olig" w:date="2022-05-04T15:52:00Z">
                              <w:r w:rsidDel="00B7563A">
                                <w:rPr>
                                  <w:rFonts w:cstheme="minorHAnsi"/>
                                  <w:sz w:val="18"/>
                                  <w:szCs w:val="18"/>
                                </w:rPr>
                                <w:delText>88</w:delText>
                              </w:r>
                            </w:del>
                            <w:r>
                              <w:rPr>
                                <w:rFonts w:cstheme="minorHAnsi"/>
                                <w:sz w:val="18"/>
                                <w:szCs w:val="18"/>
                                <w:vertAlign w:val="superscript"/>
                              </w:rPr>
                              <w:t>2</w:t>
                            </w:r>
                            <w:r>
                              <w:rPr>
                                <w:rFonts w:cstheme="minorHAnsi"/>
                                <w:sz w:val="18"/>
                                <w:szCs w:val="18"/>
                              </w:rPr>
                              <w:t xml:space="preserve"> = </w:t>
                            </w:r>
                            <w:del w:id="559" w:author="Carly Olig" w:date="2022-05-05T15:05:00Z">
                              <w:r w:rsidDel="00B5279A">
                                <w:rPr>
                                  <w:rFonts w:cstheme="minorHAnsi"/>
                                  <w:sz w:val="18"/>
                                  <w:szCs w:val="18"/>
                                </w:rPr>
                                <w:delText>11,337,216</w:delText>
                              </w:r>
                            </w:del>
                            <w:ins w:id="560" w:author="Carly Olig" w:date="2022-05-05T15:07:00Z">
                              <w:r>
                                <w:rPr>
                                  <w:rFonts w:cstheme="minorHAnsi"/>
                                  <w:sz w:val="18"/>
                                  <w:szCs w:val="18"/>
                                </w:rPr>
                                <w:t xml:space="preserve"> 13,212,600</w:t>
                              </w:r>
                            </w:ins>
                            <w:r>
                              <w:rPr>
                                <w:rFonts w:cstheme="minorHAnsi"/>
                                <w:sz w:val="18"/>
                                <w:szCs w:val="18"/>
                              </w:rPr>
                              <w:t xml:space="preserve"> kWh</w:t>
                            </w:r>
                          </w:p>
                          <w:p w14:paraId="37221AE6" w14:textId="77777777" w:rsidR="009154B8" w:rsidRDefault="009154B8" w:rsidP="009154B8">
                            <w:pPr>
                              <w:spacing w:after="60"/>
                              <w:jc w:val="left"/>
                              <w:rPr>
                                <w:rFonts w:cstheme="minorHAnsi"/>
                                <w:sz w:val="18"/>
                                <w:szCs w:val="18"/>
                              </w:rPr>
                            </w:pPr>
                            <w:r>
                              <w:rPr>
                                <w:rFonts w:cstheme="minorHAnsi"/>
                                <w:sz w:val="18"/>
                                <w:szCs w:val="18"/>
                              </w:rPr>
                              <w:t>Cost-effectiveness benefit of 2021 savings in 2024 = ΔkWh</w:t>
                            </w:r>
                            <w:r>
                              <w:rPr>
                                <w:rFonts w:cstheme="minorHAnsi"/>
                                <w:sz w:val="18"/>
                                <w:szCs w:val="18"/>
                                <w:vertAlign w:val="subscript"/>
                              </w:rPr>
                              <w:t>2021 Adjusted</w:t>
                            </w:r>
                            <w:r>
                              <w:rPr>
                                <w:rFonts w:cstheme="minorHAnsi"/>
                                <w:sz w:val="18"/>
                                <w:szCs w:val="18"/>
                              </w:rPr>
                              <w:t xml:space="preserve"> * PFE</w:t>
                            </w:r>
                            <w:r>
                              <w:rPr>
                                <w:rFonts w:cstheme="minorHAnsi"/>
                                <w:sz w:val="18"/>
                                <w:szCs w:val="18"/>
                                <w:vertAlign w:val="subscript"/>
                              </w:rPr>
                              <w:t>3</w:t>
                            </w:r>
                            <w:r>
                              <w:rPr>
                                <w:rFonts w:cstheme="minorHAnsi"/>
                                <w:sz w:val="18"/>
                                <w:szCs w:val="18"/>
                              </w:rPr>
                              <w:t>*RR</w:t>
                            </w:r>
                            <w:del w:id="561" w:author="Carly Olig" w:date="2022-05-04T15:51:00Z">
                              <w:r w:rsidDel="00C463FA">
                                <w:rPr>
                                  <w:rFonts w:cstheme="minorHAnsi"/>
                                  <w:sz w:val="18"/>
                                  <w:szCs w:val="18"/>
                                  <w:vertAlign w:val="subscript"/>
                                </w:rPr>
                                <w:delText>Utility</w:delText>
                              </w:r>
                            </w:del>
                            <w:r>
                              <w:rPr>
                                <w:rFonts w:cstheme="minorHAnsi"/>
                                <w:sz w:val="18"/>
                                <w:szCs w:val="18"/>
                                <w:vertAlign w:val="superscript"/>
                              </w:rPr>
                              <w:t>3</w:t>
                            </w:r>
                            <w:r>
                              <w:rPr>
                                <w:rFonts w:cstheme="minorHAnsi"/>
                                <w:sz w:val="18"/>
                                <w:szCs w:val="18"/>
                              </w:rPr>
                              <w:t xml:space="preserve"> = 24,000,000 * 0.47 * 0.</w:t>
                            </w:r>
                            <w:ins w:id="562" w:author="Carly Olig" w:date="2022-05-04T15:52:00Z">
                              <w:r>
                                <w:rPr>
                                  <w:rFonts w:cstheme="minorHAnsi"/>
                                  <w:sz w:val="18"/>
                                  <w:szCs w:val="18"/>
                                </w:rPr>
                                <w:t>95</w:t>
                              </w:r>
                            </w:ins>
                            <w:del w:id="563" w:author="Carly Olig" w:date="2022-05-04T15:52:00Z">
                              <w:r w:rsidDel="00B7563A">
                                <w:rPr>
                                  <w:rFonts w:cstheme="minorHAnsi"/>
                                  <w:sz w:val="18"/>
                                  <w:szCs w:val="18"/>
                                </w:rPr>
                                <w:delText>88</w:delText>
                              </w:r>
                            </w:del>
                            <w:r>
                              <w:rPr>
                                <w:rFonts w:cstheme="minorHAnsi"/>
                                <w:sz w:val="18"/>
                                <w:szCs w:val="18"/>
                                <w:vertAlign w:val="superscript"/>
                              </w:rPr>
                              <w:t>3</w:t>
                            </w:r>
                            <w:r>
                              <w:rPr>
                                <w:rFonts w:cstheme="minorHAnsi"/>
                                <w:sz w:val="18"/>
                                <w:szCs w:val="18"/>
                              </w:rPr>
                              <w:t xml:space="preserve">  = </w:t>
                            </w:r>
                            <w:del w:id="564" w:author="Carly Olig" w:date="2022-05-05T15:06:00Z">
                              <w:r w:rsidDel="00B5279A">
                                <w:rPr>
                                  <w:rFonts w:cstheme="minorHAnsi"/>
                                  <w:sz w:val="18"/>
                                  <w:szCs w:val="18"/>
                                </w:rPr>
                                <w:delText>7,687,004</w:delText>
                              </w:r>
                            </w:del>
                            <w:r>
                              <w:rPr>
                                <w:rFonts w:cstheme="minorHAnsi"/>
                                <w:sz w:val="18"/>
                                <w:szCs w:val="18"/>
                              </w:rPr>
                              <w:t xml:space="preserve"> </w:t>
                            </w:r>
                            <w:ins w:id="565" w:author="Carly Olig" w:date="2022-05-05T15:07:00Z">
                              <w:r>
                                <w:rPr>
                                  <w:rFonts w:cstheme="minorHAnsi"/>
                                  <w:sz w:val="18"/>
                                  <w:szCs w:val="18"/>
                                </w:rPr>
                                <w:t>9,671,190</w:t>
                              </w:r>
                            </w:ins>
                            <w:ins w:id="566" w:author="Carly Olig" w:date="2022-05-05T15:06:00Z">
                              <w:r>
                                <w:rPr>
                                  <w:rFonts w:cstheme="minorHAnsi"/>
                                  <w:sz w:val="18"/>
                                  <w:szCs w:val="18"/>
                                </w:rPr>
                                <w:t xml:space="preserve"> </w:t>
                              </w:r>
                            </w:ins>
                            <w:r>
                              <w:rPr>
                                <w:rFonts w:cstheme="minorHAnsi"/>
                                <w:sz w:val="18"/>
                                <w:szCs w:val="18"/>
                              </w:rPr>
                              <w:t>kWh</w:t>
                            </w:r>
                          </w:p>
                          <w:p w14:paraId="326EBF0D" w14:textId="77777777" w:rsidR="009154B8" w:rsidRDefault="009154B8" w:rsidP="009154B8">
                            <w:pPr>
                              <w:spacing w:after="60"/>
                              <w:jc w:val="left"/>
                              <w:rPr>
                                <w:rFonts w:cstheme="minorHAnsi"/>
                                <w:sz w:val="18"/>
                                <w:szCs w:val="18"/>
                              </w:rPr>
                            </w:pPr>
                            <w:r>
                              <w:rPr>
                                <w:rFonts w:cstheme="minorHAnsi"/>
                                <w:sz w:val="18"/>
                                <w:szCs w:val="18"/>
                              </w:rPr>
                              <w:t>Cost-effectiveness benefit of 2021 savings in 2025 = ΔkWh</w:t>
                            </w:r>
                            <w:r>
                              <w:rPr>
                                <w:rFonts w:cstheme="minorHAnsi"/>
                                <w:sz w:val="18"/>
                                <w:szCs w:val="18"/>
                                <w:vertAlign w:val="subscript"/>
                              </w:rPr>
                              <w:t>2021 Adjusted</w:t>
                            </w:r>
                            <w:r>
                              <w:rPr>
                                <w:rFonts w:cstheme="minorHAnsi"/>
                                <w:sz w:val="18"/>
                                <w:szCs w:val="18"/>
                              </w:rPr>
                              <w:t xml:space="preserve"> * PFE</w:t>
                            </w:r>
                            <w:r>
                              <w:rPr>
                                <w:rFonts w:cstheme="minorHAnsi"/>
                                <w:sz w:val="18"/>
                                <w:szCs w:val="18"/>
                                <w:vertAlign w:val="subscript"/>
                              </w:rPr>
                              <w:t>4</w:t>
                            </w:r>
                            <w:r>
                              <w:rPr>
                                <w:rFonts w:cstheme="minorHAnsi"/>
                                <w:sz w:val="18"/>
                                <w:szCs w:val="18"/>
                              </w:rPr>
                              <w:t>*RR</w:t>
                            </w:r>
                            <w:del w:id="567" w:author="Carly Olig" w:date="2022-05-04T15:51:00Z">
                              <w:r w:rsidDel="00C463FA">
                                <w:rPr>
                                  <w:rFonts w:cstheme="minorHAnsi"/>
                                  <w:sz w:val="18"/>
                                  <w:szCs w:val="18"/>
                                  <w:vertAlign w:val="subscript"/>
                                </w:rPr>
                                <w:delText>Utility</w:delText>
                              </w:r>
                            </w:del>
                            <w:r>
                              <w:rPr>
                                <w:rFonts w:cstheme="minorHAnsi"/>
                                <w:sz w:val="18"/>
                                <w:szCs w:val="18"/>
                                <w:vertAlign w:val="superscript"/>
                              </w:rPr>
                              <w:t>4</w:t>
                            </w:r>
                            <w:r>
                              <w:rPr>
                                <w:rFonts w:cstheme="minorHAnsi"/>
                                <w:sz w:val="18"/>
                                <w:szCs w:val="18"/>
                              </w:rPr>
                              <w:t xml:space="preserve"> = 24,000,000 * 0.37 * 0.</w:t>
                            </w:r>
                            <w:ins w:id="568" w:author="Carly Olig" w:date="2022-05-04T15:52:00Z">
                              <w:r>
                                <w:rPr>
                                  <w:rFonts w:cstheme="minorHAnsi"/>
                                  <w:sz w:val="18"/>
                                  <w:szCs w:val="18"/>
                                </w:rPr>
                                <w:t>95</w:t>
                              </w:r>
                            </w:ins>
                            <w:del w:id="569" w:author="Carly Olig" w:date="2022-05-04T15:52:00Z">
                              <w:r w:rsidDel="00B7563A">
                                <w:rPr>
                                  <w:rFonts w:cstheme="minorHAnsi"/>
                                  <w:sz w:val="18"/>
                                  <w:szCs w:val="18"/>
                                </w:rPr>
                                <w:delText>88</w:delText>
                              </w:r>
                            </w:del>
                            <w:r>
                              <w:rPr>
                                <w:rFonts w:cstheme="minorHAnsi"/>
                                <w:sz w:val="18"/>
                                <w:szCs w:val="18"/>
                                <w:vertAlign w:val="superscript"/>
                              </w:rPr>
                              <w:t>4</w:t>
                            </w:r>
                            <w:r>
                              <w:rPr>
                                <w:rFonts w:cstheme="minorHAnsi"/>
                                <w:sz w:val="18"/>
                                <w:szCs w:val="18"/>
                              </w:rPr>
                              <w:t xml:space="preserve">  = </w:t>
                            </w:r>
                            <w:del w:id="570" w:author="Carly Olig" w:date="2022-05-05T15:06:00Z">
                              <w:r w:rsidDel="006B1073">
                                <w:rPr>
                                  <w:rFonts w:cstheme="minorHAnsi"/>
                                  <w:sz w:val="18"/>
                                  <w:szCs w:val="18"/>
                                </w:rPr>
                                <w:delText>5,325,295</w:delText>
                              </w:r>
                            </w:del>
                            <w:ins w:id="571" w:author="Carly Olig" w:date="2022-05-05T15:06:00Z">
                              <w:r>
                                <w:rPr>
                                  <w:rFonts w:cstheme="minorHAnsi"/>
                                  <w:sz w:val="18"/>
                                  <w:szCs w:val="18"/>
                                </w:rPr>
                                <w:t xml:space="preserve"> </w:t>
                              </w:r>
                            </w:ins>
                            <w:ins w:id="572" w:author="Carly Olig" w:date="2022-05-05T15:07:00Z">
                              <w:r>
                                <w:rPr>
                                  <w:rFonts w:cstheme="minorHAnsi"/>
                                  <w:sz w:val="18"/>
                                  <w:szCs w:val="18"/>
                                </w:rPr>
                                <w:t>7,232,816</w:t>
                              </w:r>
                            </w:ins>
                            <w:r>
                              <w:rPr>
                                <w:rFonts w:cstheme="minorHAnsi"/>
                                <w:sz w:val="18"/>
                                <w:szCs w:val="18"/>
                              </w:rPr>
                              <w:t xml:space="preserve"> kWh</w:t>
                            </w:r>
                          </w:p>
                          <w:p w14:paraId="5DA412DD" w14:textId="77777777" w:rsidR="009154B8" w:rsidRDefault="009154B8" w:rsidP="009154B8">
                            <w:pPr>
                              <w:spacing w:after="60"/>
                              <w:jc w:val="left"/>
                              <w:rPr>
                                <w:rFonts w:cstheme="minorHAnsi"/>
                                <w:sz w:val="18"/>
                                <w:szCs w:val="18"/>
                              </w:rPr>
                            </w:pPr>
                            <w:r>
                              <w:rPr>
                                <w:rFonts w:cstheme="minorHAnsi"/>
                                <w:sz w:val="18"/>
                                <w:szCs w:val="18"/>
                              </w:rPr>
                              <w:t>Cost-effectiveness benefit of 2021 savings in 2026 = ΔkWh</w:t>
                            </w:r>
                            <w:r>
                              <w:rPr>
                                <w:rFonts w:cstheme="minorHAnsi"/>
                                <w:sz w:val="18"/>
                                <w:szCs w:val="18"/>
                                <w:vertAlign w:val="subscript"/>
                              </w:rPr>
                              <w:t>2021 Adjusted</w:t>
                            </w:r>
                            <w:r>
                              <w:rPr>
                                <w:rFonts w:cstheme="minorHAnsi"/>
                                <w:sz w:val="18"/>
                                <w:szCs w:val="18"/>
                              </w:rPr>
                              <w:t xml:space="preserve"> * PFE</w:t>
                            </w:r>
                            <w:r>
                              <w:rPr>
                                <w:rFonts w:cstheme="minorHAnsi"/>
                                <w:sz w:val="18"/>
                                <w:szCs w:val="18"/>
                                <w:vertAlign w:val="subscript"/>
                              </w:rPr>
                              <w:t>5</w:t>
                            </w:r>
                            <w:r>
                              <w:rPr>
                                <w:rFonts w:cstheme="minorHAnsi"/>
                                <w:sz w:val="18"/>
                                <w:szCs w:val="18"/>
                              </w:rPr>
                              <w:t>*RR</w:t>
                            </w:r>
                            <w:del w:id="573" w:author="Carly Olig" w:date="2022-05-04T15:51:00Z">
                              <w:r w:rsidDel="00C463FA">
                                <w:rPr>
                                  <w:rFonts w:cstheme="minorHAnsi"/>
                                  <w:sz w:val="18"/>
                                  <w:szCs w:val="18"/>
                                  <w:vertAlign w:val="subscript"/>
                                </w:rPr>
                                <w:delText>Utility</w:delText>
                              </w:r>
                            </w:del>
                            <w:r>
                              <w:rPr>
                                <w:rFonts w:cstheme="minorHAnsi"/>
                                <w:sz w:val="18"/>
                                <w:szCs w:val="18"/>
                                <w:vertAlign w:val="superscript"/>
                              </w:rPr>
                              <w:t>5</w:t>
                            </w:r>
                            <w:r>
                              <w:rPr>
                                <w:rFonts w:cstheme="minorHAnsi"/>
                                <w:sz w:val="18"/>
                                <w:szCs w:val="18"/>
                              </w:rPr>
                              <w:t xml:space="preserve"> = 24,000,000 * 0.29 * 0.</w:t>
                            </w:r>
                            <w:ins w:id="574" w:author="Carly Olig" w:date="2022-05-04T15:52:00Z">
                              <w:r>
                                <w:rPr>
                                  <w:rFonts w:cstheme="minorHAnsi"/>
                                  <w:sz w:val="18"/>
                                  <w:szCs w:val="18"/>
                                </w:rPr>
                                <w:t>95</w:t>
                              </w:r>
                            </w:ins>
                            <w:del w:id="575" w:author="Carly Olig" w:date="2022-05-04T15:52:00Z">
                              <w:r w:rsidDel="00B7563A">
                                <w:rPr>
                                  <w:rFonts w:cstheme="minorHAnsi"/>
                                  <w:sz w:val="18"/>
                                  <w:szCs w:val="18"/>
                                </w:rPr>
                                <w:delText>88</w:delText>
                              </w:r>
                            </w:del>
                            <w:r>
                              <w:rPr>
                                <w:rFonts w:cstheme="minorHAnsi"/>
                                <w:sz w:val="18"/>
                                <w:szCs w:val="18"/>
                                <w:vertAlign w:val="superscript"/>
                              </w:rPr>
                              <w:t>5</w:t>
                            </w:r>
                            <w:r>
                              <w:rPr>
                                <w:rFonts w:cstheme="minorHAnsi"/>
                                <w:sz w:val="18"/>
                                <w:szCs w:val="18"/>
                              </w:rPr>
                              <w:t xml:space="preserve">  = </w:t>
                            </w:r>
                            <w:del w:id="576" w:author="Carly Olig" w:date="2022-05-05T15:08:00Z">
                              <w:r w:rsidDel="00B8489B">
                                <w:rPr>
                                  <w:rFonts w:cstheme="minorHAnsi"/>
                                  <w:sz w:val="18"/>
                                  <w:szCs w:val="18"/>
                                </w:rPr>
                                <w:delText>3,673,014</w:delText>
                              </w:r>
                            </w:del>
                            <w:ins w:id="577" w:author="Carly Olig" w:date="2022-05-05T15:08:00Z">
                              <w:r>
                                <w:rPr>
                                  <w:rFonts w:cstheme="minorHAnsi"/>
                                  <w:sz w:val="18"/>
                                  <w:szCs w:val="18"/>
                                </w:rPr>
                                <w:t xml:space="preserve"> 5,385,515</w:t>
                              </w:r>
                            </w:ins>
                            <w:r>
                              <w:rPr>
                                <w:rFonts w:cstheme="minorHAnsi"/>
                                <w:sz w:val="18"/>
                                <w:szCs w:val="18"/>
                              </w:rPr>
                              <w:t xml:space="preserve"> kWh</w:t>
                            </w:r>
                          </w:p>
                          <w:p w14:paraId="7A748A83" w14:textId="77777777" w:rsidR="009154B8" w:rsidRDefault="009154B8" w:rsidP="009154B8">
                            <w:pPr>
                              <w:spacing w:after="60"/>
                              <w:jc w:val="left"/>
                              <w:rPr>
                                <w:rFonts w:cstheme="minorHAnsi"/>
                                <w:sz w:val="18"/>
                                <w:szCs w:val="18"/>
                              </w:rPr>
                            </w:pPr>
                            <w:r>
                              <w:rPr>
                                <w:rFonts w:cstheme="minorHAnsi"/>
                                <w:sz w:val="18"/>
                                <w:szCs w:val="18"/>
                              </w:rPr>
                              <w:t>Cost-effectiveness benefit of 2021 savings in 2027 = ΔkWh</w:t>
                            </w:r>
                            <w:r>
                              <w:rPr>
                                <w:rFonts w:cstheme="minorHAnsi"/>
                                <w:sz w:val="18"/>
                                <w:szCs w:val="18"/>
                                <w:vertAlign w:val="subscript"/>
                              </w:rPr>
                              <w:t>2021 Adjusted</w:t>
                            </w:r>
                            <w:r>
                              <w:rPr>
                                <w:rFonts w:cstheme="minorHAnsi"/>
                                <w:sz w:val="18"/>
                                <w:szCs w:val="18"/>
                              </w:rPr>
                              <w:t xml:space="preserve"> * PFE</w:t>
                            </w:r>
                            <w:r>
                              <w:rPr>
                                <w:rFonts w:cstheme="minorHAnsi"/>
                                <w:sz w:val="18"/>
                                <w:szCs w:val="18"/>
                                <w:vertAlign w:val="subscript"/>
                              </w:rPr>
                              <w:t>6</w:t>
                            </w:r>
                            <w:r>
                              <w:rPr>
                                <w:rFonts w:cstheme="minorHAnsi"/>
                                <w:sz w:val="18"/>
                                <w:szCs w:val="18"/>
                              </w:rPr>
                              <w:t>*RR</w:t>
                            </w:r>
                            <w:del w:id="578" w:author="Carly Olig" w:date="2022-05-04T15:51:00Z">
                              <w:r w:rsidDel="00C463FA">
                                <w:rPr>
                                  <w:rFonts w:cstheme="minorHAnsi"/>
                                  <w:sz w:val="18"/>
                                  <w:szCs w:val="18"/>
                                  <w:vertAlign w:val="subscript"/>
                                </w:rPr>
                                <w:delText>Utility</w:delText>
                              </w:r>
                            </w:del>
                            <w:r>
                              <w:rPr>
                                <w:rFonts w:cstheme="minorHAnsi"/>
                                <w:sz w:val="18"/>
                                <w:szCs w:val="18"/>
                                <w:vertAlign w:val="superscript"/>
                              </w:rPr>
                              <w:t>6</w:t>
                            </w:r>
                            <w:r>
                              <w:rPr>
                                <w:rFonts w:cstheme="minorHAnsi"/>
                                <w:sz w:val="18"/>
                                <w:szCs w:val="18"/>
                              </w:rPr>
                              <w:t xml:space="preserve"> = 24,000,000 * 0.23 * 0.</w:t>
                            </w:r>
                            <w:ins w:id="579" w:author="Carly Olig" w:date="2022-05-04T15:52:00Z">
                              <w:r>
                                <w:rPr>
                                  <w:rFonts w:cstheme="minorHAnsi"/>
                                  <w:sz w:val="18"/>
                                  <w:szCs w:val="18"/>
                                </w:rPr>
                                <w:t>95</w:t>
                              </w:r>
                            </w:ins>
                            <w:del w:id="580" w:author="Carly Olig" w:date="2022-05-04T15:52:00Z">
                              <w:r w:rsidDel="00B7563A">
                                <w:rPr>
                                  <w:rFonts w:cstheme="minorHAnsi"/>
                                  <w:sz w:val="18"/>
                                  <w:szCs w:val="18"/>
                                </w:rPr>
                                <w:delText>88</w:delText>
                              </w:r>
                            </w:del>
                            <w:r>
                              <w:rPr>
                                <w:rFonts w:cstheme="minorHAnsi"/>
                                <w:sz w:val="18"/>
                                <w:szCs w:val="18"/>
                                <w:vertAlign w:val="superscript"/>
                              </w:rPr>
                              <w:t>6</w:t>
                            </w:r>
                            <w:r>
                              <w:rPr>
                                <w:rFonts w:cstheme="minorHAnsi"/>
                                <w:sz w:val="18"/>
                                <w:szCs w:val="18"/>
                              </w:rPr>
                              <w:t xml:space="preserve">  = </w:t>
                            </w:r>
                            <w:del w:id="581" w:author="Carly Olig" w:date="2022-05-05T15:08:00Z">
                              <w:r w:rsidDel="00B8489B">
                                <w:rPr>
                                  <w:rFonts w:cstheme="minorHAnsi"/>
                                  <w:sz w:val="18"/>
                                  <w:szCs w:val="18"/>
                                </w:rPr>
                                <w:delText>2,563,511</w:delText>
                              </w:r>
                            </w:del>
                            <w:ins w:id="582" w:author="Carly Olig" w:date="2022-05-05T15:08:00Z">
                              <w:r>
                                <w:rPr>
                                  <w:rFonts w:cstheme="minorHAnsi"/>
                                  <w:sz w:val="18"/>
                                  <w:szCs w:val="18"/>
                                </w:rPr>
                                <w:t>4,057,707</w:t>
                              </w:r>
                            </w:ins>
                            <w:r>
                              <w:rPr>
                                <w:rFonts w:cstheme="minorHAnsi"/>
                                <w:sz w:val="18"/>
                                <w:szCs w:val="18"/>
                              </w:rPr>
                              <w:t xml:space="preserve"> kWh</w:t>
                            </w:r>
                          </w:p>
                          <w:p w14:paraId="63F2C8CF" w14:textId="77777777" w:rsidR="009154B8" w:rsidRDefault="009154B8" w:rsidP="009154B8">
                            <w:pPr>
                              <w:spacing w:before="120" w:after="60"/>
                              <w:rPr>
                                <w:rFonts w:cstheme="minorHAnsi"/>
                                <w:b/>
                                <w:sz w:val="18"/>
                                <w:szCs w:val="18"/>
                                <w:u w:val="single"/>
                              </w:rPr>
                            </w:pPr>
                            <w:r>
                              <w:rPr>
                                <w:rFonts w:cstheme="minorHAnsi"/>
                                <w:b/>
                                <w:sz w:val="18"/>
                                <w:szCs w:val="18"/>
                                <w:u w:val="single"/>
                              </w:rPr>
                              <w:t>Inputs for calculating cost effectiveness in 2022:</w:t>
                            </w:r>
                          </w:p>
                          <w:p w14:paraId="740EABE6" w14:textId="77777777" w:rsidR="009154B8" w:rsidRDefault="009154B8" w:rsidP="009154B8">
                            <w:pPr>
                              <w:spacing w:after="60"/>
                              <w:jc w:val="left"/>
                              <w:rPr>
                                <w:rFonts w:cstheme="minorHAnsi"/>
                                <w:sz w:val="18"/>
                                <w:szCs w:val="18"/>
                              </w:rPr>
                            </w:pPr>
                            <w:r>
                              <w:rPr>
                                <w:rFonts w:cstheme="minorHAnsi"/>
                                <w:sz w:val="18"/>
                                <w:szCs w:val="18"/>
                              </w:rPr>
                              <w:t>Cost-effectiveness benefit of 2022 savings in 2023 = ΔkWh</w:t>
                            </w:r>
                            <w:r>
                              <w:rPr>
                                <w:rFonts w:cstheme="minorHAnsi"/>
                                <w:sz w:val="18"/>
                                <w:szCs w:val="18"/>
                                <w:vertAlign w:val="subscript"/>
                              </w:rPr>
                              <w:t>2022 Adjusted</w:t>
                            </w:r>
                            <w:r>
                              <w:rPr>
                                <w:rFonts w:cstheme="minorHAnsi"/>
                                <w:sz w:val="18"/>
                                <w:szCs w:val="18"/>
                              </w:rPr>
                              <w:t xml:space="preserve"> * PFE</w:t>
                            </w:r>
                            <w:r>
                              <w:rPr>
                                <w:rFonts w:cstheme="minorHAnsi"/>
                                <w:sz w:val="18"/>
                                <w:szCs w:val="18"/>
                                <w:vertAlign w:val="subscript"/>
                              </w:rPr>
                              <w:t>1</w:t>
                            </w:r>
                            <w:r>
                              <w:rPr>
                                <w:rFonts w:cstheme="minorHAnsi"/>
                                <w:sz w:val="18"/>
                                <w:szCs w:val="18"/>
                              </w:rPr>
                              <w:t>*RR</w:t>
                            </w:r>
                            <w:del w:id="583" w:author="Carly Olig" w:date="2022-05-04T15:51:00Z">
                              <w:r w:rsidDel="00C463FA">
                                <w:rPr>
                                  <w:rFonts w:cstheme="minorHAnsi"/>
                                  <w:sz w:val="18"/>
                                  <w:szCs w:val="18"/>
                                  <w:vertAlign w:val="subscript"/>
                                </w:rPr>
                                <w:delText>Utility</w:delText>
                              </w:r>
                            </w:del>
                            <w:r>
                              <w:rPr>
                                <w:rFonts w:cstheme="minorHAnsi"/>
                                <w:sz w:val="18"/>
                                <w:szCs w:val="18"/>
                              </w:rPr>
                              <w:t xml:space="preserve"> = </w:t>
                            </w:r>
                            <w:del w:id="584" w:author="Carly Olig" w:date="2022-05-05T15:10:00Z">
                              <w:r w:rsidDel="00422875">
                                <w:rPr>
                                  <w:rFonts w:ascii="Calibri" w:hAnsi="Calibri"/>
                                  <w:color w:val="000000"/>
                                  <w:sz w:val="18"/>
                                  <w:szCs w:val="18"/>
                                </w:rPr>
                                <w:delText>10,252,240</w:delText>
                              </w:r>
                            </w:del>
                            <w:ins w:id="585" w:author="Carly Olig" w:date="2022-05-05T15:10:00Z">
                              <w:r>
                                <w:rPr>
                                  <w:rFonts w:ascii="Calibri" w:hAnsi="Calibri"/>
                                  <w:color w:val="000000"/>
                                  <w:sz w:val="18"/>
                                  <w:szCs w:val="18"/>
                                </w:rPr>
                                <w:t>9,4</w:t>
                              </w:r>
                            </w:ins>
                            <w:ins w:id="586" w:author="Carly Olig" w:date="2022-05-05T15:11:00Z">
                              <w:r>
                                <w:rPr>
                                  <w:rFonts w:ascii="Calibri" w:hAnsi="Calibri"/>
                                  <w:color w:val="000000"/>
                                  <w:sz w:val="18"/>
                                  <w:szCs w:val="18"/>
                                </w:rPr>
                                <w:t>66,000</w:t>
                              </w:r>
                            </w:ins>
                            <w:r>
                              <w:rPr>
                                <w:rFonts w:ascii="Calibri" w:hAnsi="Calibri"/>
                                <w:color w:val="000000"/>
                                <w:sz w:val="16"/>
                                <w:szCs w:val="16"/>
                              </w:rPr>
                              <w:t xml:space="preserve"> </w:t>
                            </w:r>
                            <w:r>
                              <w:rPr>
                                <w:rFonts w:cstheme="minorHAnsi"/>
                                <w:sz w:val="18"/>
                                <w:szCs w:val="18"/>
                              </w:rPr>
                              <w:t>* 0.78 * 0.</w:t>
                            </w:r>
                            <w:del w:id="587" w:author="Carly Olig" w:date="2022-05-04T15:59:00Z">
                              <w:r w:rsidDel="00BA717D">
                                <w:rPr>
                                  <w:rFonts w:cstheme="minorHAnsi"/>
                                  <w:sz w:val="18"/>
                                  <w:szCs w:val="18"/>
                                </w:rPr>
                                <w:delText>88</w:delText>
                              </w:r>
                            </w:del>
                            <w:ins w:id="588" w:author="Carly Olig" w:date="2022-05-04T15:59:00Z">
                              <w:r>
                                <w:rPr>
                                  <w:rFonts w:cstheme="minorHAnsi"/>
                                  <w:sz w:val="18"/>
                                  <w:szCs w:val="18"/>
                                </w:rPr>
                                <w:t>95</w:t>
                              </w:r>
                            </w:ins>
                            <w:r>
                              <w:rPr>
                                <w:rFonts w:cstheme="minorHAnsi"/>
                                <w:sz w:val="18"/>
                                <w:szCs w:val="18"/>
                              </w:rPr>
                              <w:t xml:space="preserve"> = </w:t>
                            </w:r>
                            <w:del w:id="589" w:author="Carly Olig" w:date="2022-05-05T15:11:00Z">
                              <w:r w:rsidDel="00F55D51">
                                <w:rPr>
                                  <w:rFonts w:cstheme="minorHAnsi"/>
                                  <w:sz w:val="18"/>
                                  <w:szCs w:val="18"/>
                                </w:rPr>
                                <w:delText>7,037,138</w:delText>
                              </w:r>
                            </w:del>
                            <w:ins w:id="590" w:author="Carly Olig" w:date="2022-05-05T15:11:00Z">
                              <w:r>
                                <w:rPr>
                                  <w:rFonts w:cstheme="minorHAnsi"/>
                                  <w:sz w:val="18"/>
                                  <w:szCs w:val="18"/>
                                </w:rPr>
                                <w:t>7,014,306</w:t>
                              </w:r>
                            </w:ins>
                            <w:r>
                              <w:rPr>
                                <w:rFonts w:cstheme="minorHAnsi"/>
                                <w:sz w:val="18"/>
                                <w:szCs w:val="18"/>
                              </w:rPr>
                              <w:t xml:space="preserve"> kWh</w:t>
                            </w:r>
                          </w:p>
                          <w:p w14:paraId="71E59CAC" w14:textId="77777777" w:rsidR="009154B8" w:rsidRDefault="009154B8" w:rsidP="009154B8">
                            <w:pPr>
                              <w:spacing w:after="60"/>
                              <w:jc w:val="left"/>
                              <w:rPr>
                                <w:rFonts w:cstheme="minorHAnsi"/>
                                <w:sz w:val="18"/>
                                <w:szCs w:val="18"/>
                              </w:rPr>
                            </w:pPr>
                            <w:r>
                              <w:rPr>
                                <w:rFonts w:cstheme="minorHAnsi"/>
                                <w:sz w:val="18"/>
                                <w:szCs w:val="18"/>
                              </w:rPr>
                              <w:t>Cost-effectiveness benefit of 2022 savings in 2024 = ΔkWh</w:t>
                            </w:r>
                            <w:r>
                              <w:rPr>
                                <w:rFonts w:cstheme="minorHAnsi"/>
                                <w:sz w:val="18"/>
                                <w:szCs w:val="18"/>
                                <w:vertAlign w:val="subscript"/>
                              </w:rPr>
                              <w:t>2022 Adjusted</w:t>
                            </w:r>
                            <w:r>
                              <w:rPr>
                                <w:rFonts w:cstheme="minorHAnsi"/>
                                <w:sz w:val="18"/>
                                <w:szCs w:val="18"/>
                              </w:rPr>
                              <w:t xml:space="preserve"> * PFE</w:t>
                            </w:r>
                            <w:r>
                              <w:rPr>
                                <w:rFonts w:cstheme="minorHAnsi"/>
                                <w:sz w:val="18"/>
                                <w:szCs w:val="18"/>
                                <w:vertAlign w:val="subscript"/>
                              </w:rPr>
                              <w:t>2</w:t>
                            </w:r>
                            <w:r>
                              <w:rPr>
                                <w:rFonts w:cstheme="minorHAnsi"/>
                                <w:sz w:val="18"/>
                                <w:szCs w:val="18"/>
                              </w:rPr>
                              <w:t>*RR</w:t>
                            </w:r>
                            <w:del w:id="591" w:author="Carly Olig" w:date="2022-05-04T15:51:00Z">
                              <w:r w:rsidDel="00C463FA">
                                <w:rPr>
                                  <w:rFonts w:cstheme="minorHAnsi"/>
                                  <w:sz w:val="18"/>
                                  <w:szCs w:val="18"/>
                                  <w:vertAlign w:val="subscript"/>
                                </w:rPr>
                                <w:delText>Utility</w:delText>
                              </w:r>
                            </w:del>
                            <w:r>
                              <w:rPr>
                                <w:rFonts w:cstheme="minorHAnsi"/>
                                <w:sz w:val="18"/>
                                <w:szCs w:val="18"/>
                                <w:vertAlign w:val="superscript"/>
                              </w:rPr>
                              <w:t>2</w:t>
                            </w:r>
                            <w:r>
                              <w:rPr>
                                <w:rFonts w:cstheme="minorHAnsi"/>
                                <w:sz w:val="18"/>
                                <w:szCs w:val="18"/>
                              </w:rPr>
                              <w:t xml:space="preserve"> = </w:t>
                            </w:r>
                            <w:ins w:id="592" w:author="Carly Olig" w:date="2022-05-05T15:11:00Z">
                              <w:r>
                                <w:rPr>
                                  <w:rFonts w:ascii="Calibri" w:hAnsi="Calibri"/>
                                  <w:color w:val="000000"/>
                                  <w:sz w:val="18"/>
                                  <w:szCs w:val="18"/>
                                </w:rPr>
                                <w:t>9,466,000</w:t>
                              </w:r>
                              <w:r>
                                <w:rPr>
                                  <w:rFonts w:ascii="Calibri" w:hAnsi="Calibri"/>
                                  <w:color w:val="000000"/>
                                  <w:sz w:val="16"/>
                                  <w:szCs w:val="16"/>
                                </w:rPr>
                                <w:t xml:space="preserve"> </w:t>
                              </w:r>
                            </w:ins>
                            <w:del w:id="593" w:author="Carly Olig" w:date="2022-05-05T15:11:00Z">
                              <w:r w:rsidDel="00422875">
                                <w:rPr>
                                  <w:rFonts w:ascii="Calibri" w:hAnsi="Calibri"/>
                                  <w:color w:val="000000"/>
                                  <w:sz w:val="18"/>
                                  <w:szCs w:val="18"/>
                                </w:rPr>
                                <w:delText>10,252,240</w:delText>
                              </w:r>
                              <w:r w:rsidDel="00422875">
                                <w:rPr>
                                  <w:rFonts w:ascii="Calibri" w:hAnsi="Calibri"/>
                                  <w:color w:val="000000"/>
                                  <w:sz w:val="16"/>
                                  <w:szCs w:val="16"/>
                                </w:rPr>
                                <w:delText xml:space="preserve"> </w:delText>
                              </w:r>
                            </w:del>
                            <w:r>
                              <w:rPr>
                                <w:rFonts w:cstheme="minorHAnsi"/>
                                <w:sz w:val="18"/>
                                <w:szCs w:val="18"/>
                              </w:rPr>
                              <w:t>* 0.61 * 0.</w:t>
                            </w:r>
                            <w:ins w:id="594" w:author="Carly Olig" w:date="2022-05-04T15:59:00Z">
                              <w:r>
                                <w:rPr>
                                  <w:rFonts w:cstheme="minorHAnsi"/>
                                  <w:sz w:val="18"/>
                                  <w:szCs w:val="18"/>
                                </w:rPr>
                                <w:t>95</w:t>
                              </w:r>
                            </w:ins>
                            <w:del w:id="595" w:author="Carly Olig" w:date="2022-05-04T15:59:00Z">
                              <w:r w:rsidDel="00BA717D">
                                <w:rPr>
                                  <w:rFonts w:cstheme="minorHAnsi"/>
                                  <w:sz w:val="18"/>
                                  <w:szCs w:val="18"/>
                                </w:rPr>
                                <w:delText>88</w:delText>
                              </w:r>
                            </w:del>
                            <w:r>
                              <w:rPr>
                                <w:rFonts w:cstheme="minorHAnsi"/>
                                <w:sz w:val="18"/>
                                <w:szCs w:val="18"/>
                                <w:vertAlign w:val="superscript"/>
                              </w:rPr>
                              <w:t>2</w:t>
                            </w:r>
                            <w:r>
                              <w:rPr>
                                <w:rFonts w:cstheme="minorHAnsi"/>
                                <w:sz w:val="18"/>
                                <w:szCs w:val="18"/>
                              </w:rPr>
                              <w:t xml:space="preserve"> = </w:t>
                            </w:r>
                            <w:del w:id="596" w:author="Carly Olig" w:date="2022-05-05T15:11:00Z">
                              <w:r w:rsidDel="00F55D51">
                                <w:rPr>
                                  <w:rFonts w:cstheme="minorHAnsi"/>
                                  <w:sz w:val="18"/>
                                  <w:szCs w:val="18"/>
                                </w:rPr>
                                <w:delText>4,842,994</w:delText>
                              </w:r>
                            </w:del>
                            <w:ins w:id="597" w:author="Carly Olig" w:date="2022-05-05T15:11:00Z">
                              <w:r>
                                <w:rPr>
                                  <w:rFonts w:cstheme="minorHAnsi"/>
                                  <w:sz w:val="18"/>
                                  <w:szCs w:val="18"/>
                                </w:rPr>
                                <w:t>5,211,270</w:t>
                              </w:r>
                            </w:ins>
                            <w:r>
                              <w:rPr>
                                <w:rFonts w:cstheme="minorHAnsi"/>
                                <w:sz w:val="18"/>
                                <w:szCs w:val="18"/>
                              </w:rPr>
                              <w:t xml:space="preserve"> kWh</w:t>
                            </w:r>
                          </w:p>
                          <w:p w14:paraId="10B87816" w14:textId="77777777" w:rsidR="009154B8" w:rsidRDefault="009154B8" w:rsidP="009154B8">
                            <w:pPr>
                              <w:spacing w:after="60"/>
                              <w:jc w:val="left"/>
                              <w:rPr>
                                <w:rFonts w:cstheme="minorHAnsi"/>
                                <w:sz w:val="18"/>
                                <w:szCs w:val="18"/>
                              </w:rPr>
                            </w:pPr>
                            <w:r>
                              <w:rPr>
                                <w:rFonts w:cstheme="minorHAnsi"/>
                                <w:sz w:val="18"/>
                                <w:szCs w:val="18"/>
                              </w:rPr>
                              <w:t>Cost-effectiveness benefit of 2022 savings in 2025 = ΔkWh</w:t>
                            </w:r>
                            <w:r>
                              <w:rPr>
                                <w:rFonts w:cstheme="minorHAnsi"/>
                                <w:sz w:val="18"/>
                                <w:szCs w:val="18"/>
                                <w:vertAlign w:val="subscript"/>
                              </w:rPr>
                              <w:t>2022 Adjusted</w:t>
                            </w:r>
                            <w:r>
                              <w:rPr>
                                <w:rFonts w:cstheme="minorHAnsi"/>
                                <w:sz w:val="18"/>
                                <w:szCs w:val="18"/>
                              </w:rPr>
                              <w:t xml:space="preserve"> * PFE</w:t>
                            </w:r>
                            <w:r>
                              <w:rPr>
                                <w:rFonts w:cstheme="minorHAnsi"/>
                                <w:sz w:val="18"/>
                                <w:szCs w:val="18"/>
                                <w:vertAlign w:val="subscript"/>
                              </w:rPr>
                              <w:t>3</w:t>
                            </w:r>
                            <w:r>
                              <w:rPr>
                                <w:rFonts w:cstheme="minorHAnsi"/>
                                <w:sz w:val="18"/>
                                <w:szCs w:val="18"/>
                              </w:rPr>
                              <w:t>*RR</w:t>
                            </w:r>
                            <w:del w:id="598" w:author="Carly Olig" w:date="2022-05-04T15:51:00Z">
                              <w:r w:rsidDel="00C463FA">
                                <w:rPr>
                                  <w:rFonts w:cstheme="minorHAnsi"/>
                                  <w:sz w:val="18"/>
                                  <w:szCs w:val="18"/>
                                  <w:vertAlign w:val="subscript"/>
                                </w:rPr>
                                <w:delText>Utility</w:delText>
                              </w:r>
                            </w:del>
                            <w:r>
                              <w:rPr>
                                <w:rFonts w:cstheme="minorHAnsi"/>
                                <w:sz w:val="18"/>
                                <w:szCs w:val="18"/>
                                <w:vertAlign w:val="superscript"/>
                              </w:rPr>
                              <w:t>3</w:t>
                            </w:r>
                            <w:r>
                              <w:rPr>
                                <w:rFonts w:cstheme="minorHAnsi"/>
                                <w:sz w:val="18"/>
                                <w:szCs w:val="18"/>
                              </w:rPr>
                              <w:t xml:space="preserve"> = </w:t>
                            </w:r>
                            <w:ins w:id="599" w:author="Carly Olig" w:date="2022-05-05T15:11:00Z">
                              <w:r>
                                <w:rPr>
                                  <w:rFonts w:ascii="Calibri" w:hAnsi="Calibri"/>
                                  <w:color w:val="000000"/>
                                  <w:sz w:val="18"/>
                                  <w:szCs w:val="18"/>
                                </w:rPr>
                                <w:t>9,466,000</w:t>
                              </w:r>
                              <w:r>
                                <w:rPr>
                                  <w:rFonts w:ascii="Calibri" w:hAnsi="Calibri"/>
                                  <w:color w:val="000000"/>
                                  <w:sz w:val="16"/>
                                  <w:szCs w:val="16"/>
                                </w:rPr>
                                <w:t xml:space="preserve"> </w:t>
                              </w:r>
                            </w:ins>
                            <w:del w:id="600" w:author="Carly Olig" w:date="2022-05-05T15:11:00Z">
                              <w:r w:rsidDel="00422875">
                                <w:rPr>
                                  <w:rFonts w:ascii="Calibri" w:hAnsi="Calibri"/>
                                  <w:color w:val="000000"/>
                                  <w:sz w:val="18"/>
                                  <w:szCs w:val="18"/>
                                </w:rPr>
                                <w:delText>10,252,240</w:delText>
                              </w:r>
                              <w:r w:rsidDel="00422875">
                                <w:rPr>
                                  <w:rFonts w:ascii="Calibri" w:hAnsi="Calibri"/>
                                  <w:color w:val="000000"/>
                                  <w:sz w:val="16"/>
                                  <w:szCs w:val="16"/>
                                </w:rPr>
                                <w:delText xml:space="preserve"> </w:delText>
                              </w:r>
                            </w:del>
                            <w:r>
                              <w:rPr>
                                <w:rFonts w:cstheme="minorHAnsi"/>
                                <w:sz w:val="18"/>
                                <w:szCs w:val="18"/>
                              </w:rPr>
                              <w:t>* 0.47 * 0.</w:t>
                            </w:r>
                            <w:ins w:id="601" w:author="Carly Olig" w:date="2022-05-04T15:59:00Z">
                              <w:r>
                                <w:rPr>
                                  <w:rFonts w:cstheme="minorHAnsi"/>
                                  <w:sz w:val="18"/>
                                  <w:szCs w:val="18"/>
                                </w:rPr>
                                <w:t>95</w:t>
                              </w:r>
                            </w:ins>
                            <w:del w:id="602" w:author="Carly Olig" w:date="2022-05-04T15:59:00Z">
                              <w:r w:rsidDel="00BA717D">
                                <w:rPr>
                                  <w:rFonts w:cstheme="minorHAnsi"/>
                                  <w:sz w:val="18"/>
                                  <w:szCs w:val="18"/>
                                </w:rPr>
                                <w:delText>88</w:delText>
                              </w:r>
                            </w:del>
                            <w:r>
                              <w:rPr>
                                <w:rFonts w:cstheme="minorHAnsi"/>
                                <w:sz w:val="18"/>
                                <w:szCs w:val="18"/>
                                <w:vertAlign w:val="superscript"/>
                              </w:rPr>
                              <w:t>3</w:t>
                            </w:r>
                            <w:r>
                              <w:rPr>
                                <w:rFonts w:cstheme="minorHAnsi"/>
                                <w:sz w:val="18"/>
                                <w:szCs w:val="18"/>
                              </w:rPr>
                              <w:t xml:space="preserve">   = </w:t>
                            </w:r>
                            <w:del w:id="603" w:author="Carly Olig" w:date="2022-05-05T15:12:00Z">
                              <w:r w:rsidDel="0098675B">
                                <w:rPr>
                                  <w:rFonts w:cstheme="minorHAnsi"/>
                                  <w:sz w:val="18"/>
                                  <w:szCs w:val="18"/>
                                </w:rPr>
                                <w:delText>3,283,709</w:delText>
                              </w:r>
                            </w:del>
                            <w:ins w:id="604" w:author="Carly Olig" w:date="2022-05-05T15:12:00Z">
                              <w:r>
                                <w:rPr>
                                  <w:rFonts w:cstheme="minorHAnsi"/>
                                  <w:sz w:val="18"/>
                                  <w:szCs w:val="18"/>
                                </w:rPr>
                                <w:t>3,814,479</w:t>
                              </w:r>
                            </w:ins>
                            <w:r>
                              <w:rPr>
                                <w:rFonts w:cstheme="minorHAnsi"/>
                                <w:sz w:val="18"/>
                                <w:szCs w:val="18"/>
                              </w:rPr>
                              <w:t xml:space="preserve"> kWh</w:t>
                            </w:r>
                          </w:p>
                          <w:p w14:paraId="0FE39260" w14:textId="77777777" w:rsidR="009154B8" w:rsidRDefault="009154B8" w:rsidP="009154B8">
                            <w:pPr>
                              <w:spacing w:after="60"/>
                              <w:jc w:val="left"/>
                              <w:rPr>
                                <w:rFonts w:cstheme="minorHAnsi"/>
                                <w:sz w:val="18"/>
                                <w:szCs w:val="18"/>
                              </w:rPr>
                            </w:pPr>
                            <w:r>
                              <w:rPr>
                                <w:rFonts w:cstheme="minorHAnsi"/>
                                <w:sz w:val="18"/>
                                <w:szCs w:val="18"/>
                              </w:rPr>
                              <w:t>Cost-effectiveness benefit of 2022 savings in 2026 = ΔkWh</w:t>
                            </w:r>
                            <w:r>
                              <w:rPr>
                                <w:rFonts w:cstheme="minorHAnsi"/>
                                <w:sz w:val="18"/>
                                <w:szCs w:val="18"/>
                                <w:vertAlign w:val="subscript"/>
                              </w:rPr>
                              <w:t>2022 Adjusted</w:t>
                            </w:r>
                            <w:r>
                              <w:rPr>
                                <w:rFonts w:cstheme="minorHAnsi"/>
                                <w:sz w:val="18"/>
                                <w:szCs w:val="18"/>
                              </w:rPr>
                              <w:t xml:space="preserve"> * PFE</w:t>
                            </w:r>
                            <w:r>
                              <w:rPr>
                                <w:rFonts w:cstheme="minorHAnsi"/>
                                <w:sz w:val="18"/>
                                <w:szCs w:val="18"/>
                                <w:vertAlign w:val="subscript"/>
                              </w:rPr>
                              <w:t>4</w:t>
                            </w:r>
                            <w:r>
                              <w:rPr>
                                <w:rFonts w:cstheme="minorHAnsi"/>
                                <w:sz w:val="18"/>
                                <w:szCs w:val="18"/>
                              </w:rPr>
                              <w:t>*RR</w:t>
                            </w:r>
                            <w:del w:id="605" w:author="Carly Olig" w:date="2022-05-04T15:51:00Z">
                              <w:r w:rsidDel="00C463FA">
                                <w:rPr>
                                  <w:rFonts w:cstheme="minorHAnsi"/>
                                  <w:sz w:val="18"/>
                                  <w:szCs w:val="18"/>
                                  <w:vertAlign w:val="subscript"/>
                                </w:rPr>
                                <w:delText>Utility</w:delText>
                              </w:r>
                            </w:del>
                            <w:r>
                              <w:rPr>
                                <w:rFonts w:cstheme="minorHAnsi"/>
                                <w:sz w:val="18"/>
                                <w:szCs w:val="18"/>
                                <w:vertAlign w:val="superscript"/>
                              </w:rPr>
                              <w:t>4</w:t>
                            </w:r>
                            <w:r>
                              <w:rPr>
                                <w:rFonts w:cstheme="minorHAnsi"/>
                                <w:sz w:val="18"/>
                                <w:szCs w:val="18"/>
                              </w:rPr>
                              <w:t xml:space="preserve"> = </w:t>
                            </w:r>
                            <w:ins w:id="606" w:author="Carly Olig" w:date="2022-05-05T15:11:00Z">
                              <w:r>
                                <w:rPr>
                                  <w:rFonts w:ascii="Calibri" w:hAnsi="Calibri"/>
                                  <w:color w:val="000000"/>
                                  <w:sz w:val="18"/>
                                  <w:szCs w:val="18"/>
                                </w:rPr>
                                <w:t>9,466,000</w:t>
                              </w:r>
                              <w:r>
                                <w:rPr>
                                  <w:rFonts w:ascii="Calibri" w:hAnsi="Calibri"/>
                                  <w:color w:val="000000"/>
                                  <w:sz w:val="16"/>
                                  <w:szCs w:val="16"/>
                                </w:rPr>
                                <w:t xml:space="preserve"> </w:t>
                              </w:r>
                            </w:ins>
                            <w:del w:id="607" w:author="Carly Olig" w:date="2022-05-05T15:11:00Z">
                              <w:r w:rsidDel="00422875">
                                <w:rPr>
                                  <w:rFonts w:ascii="Calibri" w:hAnsi="Calibri"/>
                                  <w:color w:val="000000"/>
                                  <w:sz w:val="18"/>
                                  <w:szCs w:val="18"/>
                                </w:rPr>
                                <w:delText>10,252,240</w:delText>
                              </w:r>
                              <w:r w:rsidDel="00422875">
                                <w:rPr>
                                  <w:rFonts w:ascii="Calibri" w:hAnsi="Calibri"/>
                                  <w:color w:val="000000"/>
                                  <w:sz w:val="16"/>
                                  <w:szCs w:val="16"/>
                                </w:rPr>
                                <w:delText xml:space="preserve"> </w:delText>
                              </w:r>
                            </w:del>
                            <w:r>
                              <w:rPr>
                                <w:rFonts w:cstheme="minorHAnsi"/>
                                <w:sz w:val="18"/>
                                <w:szCs w:val="18"/>
                              </w:rPr>
                              <w:t>* 0.37 * 0.</w:t>
                            </w:r>
                            <w:ins w:id="608" w:author="Carly Olig" w:date="2022-05-04T15:59:00Z">
                              <w:r>
                                <w:rPr>
                                  <w:rFonts w:cstheme="minorHAnsi"/>
                                  <w:sz w:val="18"/>
                                  <w:szCs w:val="18"/>
                                </w:rPr>
                                <w:t>95</w:t>
                              </w:r>
                            </w:ins>
                            <w:del w:id="609" w:author="Carly Olig" w:date="2022-05-04T15:59:00Z">
                              <w:r w:rsidDel="00BA717D">
                                <w:rPr>
                                  <w:rFonts w:cstheme="minorHAnsi"/>
                                  <w:sz w:val="18"/>
                                  <w:szCs w:val="18"/>
                                </w:rPr>
                                <w:delText>88</w:delText>
                              </w:r>
                            </w:del>
                            <w:r>
                              <w:rPr>
                                <w:rFonts w:cstheme="minorHAnsi"/>
                                <w:sz w:val="18"/>
                                <w:szCs w:val="18"/>
                                <w:vertAlign w:val="superscript"/>
                              </w:rPr>
                              <w:t>4</w:t>
                            </w:r>
                            <w:r>
                              <w:rPr>
                                <w:rFonts w:cstheme="minorHAnsi"/>
                                <w:sz w:val="18"/>
                                <w:szCs w:val="18"/>
                              </w:rPr>
                              <w:t xml:space="preserve">  = </w:t>
                            </w:r>
                            <w:del w:id="610" w:author="Carly Olig" w:date="2022-05-05T15:12:00Z">
                              <w:r w:rsidDel="0098675B">
                                <w:rPr>
                                  <w:rFonts w:cstheme="minorHAnsi"/>
                                  <w:sz w:val="18"/>
                                  <w:szCs w:val="18"/>
                                </w:rPr>
                                <w:delText>2,274,842</w:delText>
                              </w:r>
                            </w:del>
                            <w:ins w:id="611" w:author="Carly Olig" w:date="2022-05-05T15:12:00Z">
                              <w:r>
                                <w:rPr>
                                  <w:rFonts w:cstheme="minorHAnsi"/>
                                  <w:sz w:val="18"/>
                                  <w:szCs w:val="18"/>
                                </w:rPr>
                                <w:t>2,852,743</w:t>
                              </w:r>
                            </w:ins>
                            <w:r>
                              <w:rPr>
                                <w:rFonts w:cstheme="minorHAnsi"/>
                                <w:sz w:val="18"/>
                                <w:szCs w:val="18"/>
                              </w:rPr>
                              <w:t xml:space="preserve"> kWh</w:t>
                            </w:r>
                          </w:p>
                          <w:p w14:paraId="28733110" w14:textId="77777777" w:rsidR="009154B8" w:rsidRDefault="009154B8" w:rsidP="009154B8">
                            <w:pPr>
                              <w:spacing w:after="60"/>
                              <w:jc w:val="left"/>
                              <w:rPr>
                                <w:rFonts w:cstheme="minorHAnsi"/>
                                <w:sz w:val="18"/>
                                <w:szCs w:val="18"/>
                              </w:rPr>
                            </w:pPr>
                            <w:r>
                              <w:rPr>
                                <w:rFonts w:cstheme="minorHAnsi"/>
                                <w:sz w:val="18"/>
                                <w:szCs w:val="18"/>
                              </w:rPr>
                              <w:t>Cost-effectiveness benefit of 2022 savings in 2027 = ΔkWh</w:t>
                            </w:r>
                            <w:r>
                              <w:rPr>
                                <w:rFonts w:cstheme="minorHAnsi"/>
                                <w:sz w:val="18"/>
                                <w:szCs w:val="18"/>
                                <w:vertAlign w:val="subscript"/>
                              </w:rPr>
                              <w:t>2022 Adjusted</w:t>
                            </w:r>
                            <w:r>
                              <w:rPr>
                                <w:rFonts w:cstheme="minorHAnsi"/>
                                <w:sz w:val="18"/>
                                <w:szCs w:val="18"/>
                              </w:rPr>
                              <w:t xml:space="preserve"> * PFE</w:t>
                            </w:r>
                            <w:r>
                              <w:rPr>
                                <w:rFonts w:cstheme="minorHAnsi"/>
                                <w:sz w:val="18"/>
                                <w:szCs w:val="18"/>
                                <w:vertAlign w:val="subscript"/>
                              </w:rPr>
                              <w:t>4</w:t>
                            </w:r>
                            <w:r>
                              <w:rPr>
                                <w:rFonts w:cstheme="minorHAnsi"/>
                                <w:sz w:val="18"/>
                                <w:szCs w:val="18"/>
                              </w:rPr>
                              <w:t>*RR</w:t>
                            </w:r>
                            <w:del w:id="612" w:author="Carly Olig" w:date="2022-05-04T15:51:00Z">
                              <w:r w:rsidDel="006F742F">
                                <w:rPr>
                                  <w:rFonts w:cstheme="minorHAnsi"/>
                                  <w:sz w:val="18"/>
                                  <w:szCs w:val="18"/>
                                  <w:vertAlign w:val="subscript"/>
                                </w:rPr>
                                <w:delText>Utility</w:delText>
                              </w:r>
                            </w:del>
                            <w:r>
                              <w:rPr>
                                <w:rFonts w:cstheme="minorHAnsi"/>
                                <w:sz w:val="18"/>
                                <w:szCs w:val="18"/>
                                <w:vertAlign w:val="superscript"/>
                              </w:rPr>
                              <w:t>5</w:t>
                            </w:r>
                            <w:r>
                              <w:rPr>
                                <w:rFonts w:cstheme="minorHAnsi"/>
                                <w:sz w:val="18"/>
                                <w:szCs w:val="18"/>
                              </w:rPr>
                              <w:t xml:space="preserve"> = </w:t>
                            </w:r>
                            <w:ins w:id="613" w:author="Carly Olig" w:date="2022-05-05T15:11:00Z">
                              <w:r>
                                <w:rPr>
                                  <w:rFonts w:ascii="Calibri" w:hAnsi="Calibri"/>
                                  <w:color w:val="000000"/>
                                  <w:sz w:val="18"/>
                                  <w:szCs w:val="18"/>
                                </w:rPr>
                                <w:t>9,466,000</w:t>
                              </w:r>
                              <w:r>
                                <w:rPr>
                                  <w:rFonts w:ascii="Calibri" w:hAnsi="Calibri"/>
                                  <w:color w:val="000000"/>
                                  <w:sz w:val="16"/>
                                  <w:szCs w:val="16"/>
                                </w:rPr>
                                <w:t xml:space="preserve"> </w:t>
                              </w:r>
                            </w:ins>
                            <w:del w:id="614" w:author="Carly Olig" w:date="2022-05-05T15:11:00Z">
                              <w:r w:rsidDel="00422875">
                                <w:rPr>
                                  <w:rFonts w:ascii="Calibri" w:hAnsi="Calibri"/>
                                  <w:color w:val="000000"/>
                                  <w:sz w:val="18"/>
                                  <w:szCs w:val="18"/>
                                </w:rPr>
                                <w:delText>10,252,240</w:delText>
                              </w:r>
                            </w:del>
                            <w:r>
                              <w:rPr>
                                <w:rFonts w:ascii="Calibri" w:hAnsi="Calibri"/>
                                <w:color w:val="000000"/>
                                <w:sz w:val="16"/>
                                <w:szCs w:val="16"/>
                              </w:rPr>
                              <w:t xml:space="preserve"> </w:t>
                            </w:r>
                            <w:r>
                              <w:rPr>
                                <w:rFonts w:cstheme="minorHAnsi"/>
                                <w:sz w:val="18"/>
                                <w:szCs w:val="18"/>
                              </w:rPr>
                              <w:t>* 0.29 * 0.</w:t>
                            </w:r>
                            <w:ins w:id="615" w:author="Carly Olig" w:date="2022-05-04T15:59:00Z">
                              <w:r>
                                <w:rPr>
                                  <w:rFonts w:cstheme="minorHAnsi"/>
                                  <w:sz w:val="18"/>
                                  <w:szCs w:val="18"/>
                                </w:rPr>
                                <w:t>95</w:t>
                              </w:r>
                            </w:ins>
                            <w:del w:id="616" w:author="Carly Olig" w:date="2022-05-04T15:59:00Z">
                              <w:r w:rsidDel="00BA717D">
                                <w:rPr>
                                  <w:rFonts w:cstheme="minorHAnsi"/>
                                  <w:sz w:val="18"/>
                                  <w:szCs w:val="18"/>
                                </w:rPr>
                                <w:delText>88</w:delText>
                              </w:r>
                            </w:del>
                            <w:r>
                              <w:rPr>
                                <w:rFonts w:cstheme="minorHAnsi"/>
                                <w:sz w:val="18"/>
                                <w:szCs w:val="18"/>
                                <w:vertAlign w:val="superscript"/>
                              </w:rPr>
                              <w:t>5</w:t>
                            </w:r>
                            <w:r>
                              <w:rPr>
                                <w:rFonts w:cstheme="minorHAnsi"/>
                                <w:sz w:val="18"/>
                                <w:szCs w:val="18"/>
                              </w:rPr>
                              <w:t xml:space="preserve">  = </w:t>
                            </w:r>
                            <w:del w:id="617" w:author="Carly Olig" w:date="2022-05-05T15:12:00Z">
                              <w:r w:rsidDel="0098675B">
                                <w:rPr>
                                  <w:rFonts w:cstheme="minorHAnsi"/>
                                  <w:sz w:val="18"/>
                                  <w:szCs w:val="18"/>
                                </w:rPr>
                                <w:delText>1,569,026</w:delText>
                              </w:r>
                            </w:del>
                            <w:ins w:id="618" w:author="Carly Olig" w:date="2022-05-05T15:12:00Z">
                              <w:r>
                                <w:rPr>
                                  <w:rFonts w:cstheme="minorHAnsi"/>
                                  <w:sz w:val="18"/>
                                  <w:szCs w:val="18"/>
                                </w:rPr>
                                <w:t>2,124,137</w:t>
                              </w:r>
                            </w:ins>
                            <w:r>
                              <w:rPr>
                                <w:rFonts w:cstheme="minorHAnsi"/>
                                <w:sz w:val="18"/>
                                <w:szCs w:val="18"/>
                              </w:rPr>
                              <w:t xml:space="preserve"> kWh</w:t>
                            </w:r>
                          </w:p>
                          <w:p w14:paraId="662DF187" w14:textId="77777777" w:rsidR="009154B8" w:rsidRDefault="009154B8" w:rsidP="009154B8">
                            <w:pPr>
                              <w:spacing w:after="60"/>
                              <w:jc w:val="left"/>
                              <w:rPr>
                                <w:rFonts w:cstheme="minorHAnsi"/>
                                <w:sz w:val="18"/>
                                <w:szCs w:val="18"/>
                              </w:rPr>
                            </w:pPr>
                            <w:r>
                              <w:rPr>
                                <w:rFonts w:cstheme="minorHAnsi"/>
                                <w:sz w:val="18"/>
                                <w:szCs w:val="18"/>
                              </w:rPr>
                              <w:t>Cost-effectiveness benefit of 2022 savings in 2028 = ΔkWh</w:t>
                            </w:r>
                            <w:r>
                              <w:rPr>
                                <w:rFonts w:cstheme="minorHAnsi"/>
                                <w:sz w:val="18"/>
                                <w:szCs w:val="18"/>
                                <w:vertAlign w:val="subscript"/>
                              </w:rPr>
                              <w:t>2022 Adjusted</w:t>
                            </w:r>
                            <w:r>
                              <w:rPr>
                                <w:rFonts w:cstheme="minorHAnsi"/>
                                <w:sz w:val="18"/>
                                <w:szCs w:val="18"/>
                              </w:rPr>
                              <w:t xml:space="preserve"> * PFE</w:t>
                            </w:r>
                            <w:r>
                              <w:rPr>
                                <w:rFonts w:cstheme="minorHAnsi"/>
                                <w:sz w:val="18"/>
                                <w:szCs w:val="18"/>
                                <w:vertAlign w:val="subscript"/>
                              </w:rPr>
                              <w:t>4</w:t>
                            </w:r>
                            <w:r>
                              <w:rPr>
                                <w:rFonts w:cstheme="minorHAnsi"/>
                                <w:sz w:val="18"/>
                                <w:szCs w:val="18"/>
                              </w:rPr>
                              <w:t>*RR</w:t>
                            </w:r>
                            <w:del w:id="619" w:author="Carly Olig" w:date="2022-05-04T15:51:00Z">
                              <w:r w:rsidDel="006F742F">
                                <w:rPr>
                                  <w:rFonts w:cstheme="minorHAnsi"/>
                                  <w:sz w:val="18"/>
                                  <w:szCs w:val="18"/>
                                  <w:vertAlign w:val="subscript"/>
                                </w:rPr>
                                <w:delText>Utility</w:delText>
                              </w:r>
                            </w:del>
                            <w:r>
                              <w:rPr>
                                <w:rFonts w:cstheme="minorHAnsi"/>
                                <w:sz w:val="18"/>
                                <w:szCs w:val="18"/>
                                <w:vertAlign w:val="superscript"/>
                              </w:rPr>
                              <w:t>6</w:t>
                            </w:r>
                            <w:r>
                              <w:rPr>
                                <w:rFonts w:cstheme="minorHAnsi"/>
                                <w:sz w:val="18"/>
                                <w:szCs w:val="18"/>
                              </w:rPr>
                              <w:t xml:space="preserve"> = </w:t>
                            </w:r>
                            <w:ins w:id="620" w:author="Carly Olig" w:date="2022-05-05T15:11:00Z">
                              <w:r>
                                <w:rPr>
                                  <w:rFonts w:ascii="Calibri" w:hAnsi="Calibri"/>
                                  <w:color w:val="000000"/>
                                  <w:sz w:val="18"/>
                                  <w:szCs w:val="18"/>
                                </w:rPr>
                                <w:t>9,466,000</w:t>
                              </w:r>
                              <w:r>
                                <w:rPr>
                                  <w:rFonts w:ascii="Calibri" w:hAnsi="Calibri"/>
                                  <w:color w:val="000000"/>
                                  <w:sz w:val="16"/>
                                  <w:szCs w:val="16"/>
                                </w:rPr>
                                <w:t xml:space="preserve"> </w:t>
                              </w:r>
                            </w:ins>
                            <w:del w:id="621" w:author="Carly Olig" w:date="2022-05-05T15:11:00Z">
                              <w:r w:rsidDel="00422875">
                                <w:rPr>
                                  <w:rFonts w:ascii="Calibri" w:hAnsi="Calibri"/>
                                  <w:color w:val="000000"/>
                                  <w:sz w:val="18"/>
                                  <w:szCs w:val="18"/>
                                </w:rPr>
                                <w:delText>10,252,240</w:delText>
                              </w:r>
                              <w:r w:rsidDel="00422875">
                                <w:rPr>
                                  <w:rFonts w:ascii="Calibri" w:hAnsi="Calibri"/>
                                  <w:color w:val="000000"/>
                                  <w:sz w:val="16"/>
                                  <w:szCs w:val="16"/>
                                </w:rPr>
                                <w:delText xml:space="preserve"> </w:delText>
                              </w:r>
                            </w:del>
                            <w:r>
                              <w:rPr>
                                <w:rFonts w:cstheme="minorHAnsi"/>
                                <w:sz w:val="18"/>
                                <w:szCs w:val="18"/>
                              </w:rPr>
                              <w:t>* 0.23 * 0.</w:t>
                            </w:r>
                            <w:ins w:id="622" w:author="Carly Olig" w:date="2022-05-04T15:59:00Z">
                              <w:r>
                                <w:rPr>
                                  <w:rFonts w:cstheme="minorHAnsi"/>
                                  <w:sz w:val="18"/>
                                  <w:szCs w:val="18"/>
                                </w:rPr>
                                <w:t>95</w:t>
                              </w:r>
                            </w:ins>
                            <w:del w:id="623" w:author="Carly Olig" w:date="2022-05-04T15:59:00Z">
                              <w:r w:rsidDel="00BA717D">
                                <w:rPr>
                                  <w:rFonts w:cstheme="minorHAnsi"/>
                                  <w:sz w:val="18"/>
                                  <w:szCs w:val="18"/>
                                </w:rPr>
                                <w:delText>88</w:delText>
                              </w:r>
                            </w:del>
                            <w:r>
                              <w:rPr>
                                <w:rFonts w:cstheme="minorHAnsi"/>
                                <w:sz w:val="18"/>
                                <w:szCs w:val="18"/>
                                <w:vertAlign w:val="superscript"/>
                              </w:rPr>
                              <w:t>6</w:t>
                            </w:r>
                            <w:r>
                              <w:rPr>
                                <w:rFonts w:cstheme="minorHAnsi"/>
                                <w:sz w:val="18"/>
                                <w:szCs w:val="18"/>
                              </w:rPr>
                              <w:t xml:space="preserve">  = </w:t>
                            </w:r>
                            <w:del w:id="624" w:author="Carly Olig" w:date="2022-05-05T15:12:00Z">
                              <w:r w:rsidDel="0098675B">
                                <w:rPr>
                                  <w:rFonts w:cstheme="minorHAnsi"/>
                                  <w:sz w:val="18"/>
                                  <w:szCs w:val="18"/>
                                </w:rPr>
                                <w:delText>1,095,072</w:delText>
                              </w:r>
                            </w:del>
                            <w:ins w:id="625" w:author="Carly Olig" w:date="2022-05-05T15:12:00Z">
                              <w:r>
                                <w:rPr>
                                  <w:rFonts w:cstheme="minorHAnsi"/>
                                  <w:sz w:val="18"/>
                                  <w:szCs w:val="18"/>
                                </w:rPr>
                                <w:t>1,600,427</w:t>
                              </w:r>
                            </w:ins>
                            <w:r>
                              <w:rPr>
                                <w:rFonts w:cstheme="minorHAnsi"/>
                                <w:sz w:val="18"/>
                                <w:szCs w:val="18"/>
                              </w:rPr>
                              <w:t xml:space="preserve"> kWh</w:t>
                            </w:r>
                          </w:p>
                          <w:p w14:paraId="0B97A329" w14:textId="77777777" w:rsidR="009154B8" w:rsidRDefault="009154B8" w:rsidP="009154B8">
                            <w:pPr>
                              <w:spacing w:before="120" w:after="60"/>
                              <w:rPr>
                                <w:rFonts w:cstheme="minorHAnsi"/>
                                <w:b/>
                                <w:sz w:val="18"/>
                                <w:szCs w:val="18"/>
                              </w:rPr>
                            </w:pPr>
                            <w:r>
                              <w:rPr>
                                <w:rFonts w:cstheme="minorHAnsi"/>
                                <w:b/>
                                <w:sz w:val="18"/>
                                <w:szCs w:val="18"/>
                              </w:rPr>
                              <w:t>Continue this approach for future years as appropriate.</w:t>
                            </w:r>
                          </w:p>
                          <w:p w14:paraId="535B0A93" w14:textId="77777777" w:rsidR="009154B8" w:rsidRDefault="009154B8" w:rsidP="009154B8">
                            <w:pPr>
                              <w:spacing w:after="60"/>
                              <w:rPr>
                                <w:rFonts w:cstheme="minorHAnsi"/>
                                <w:sz w:val="18"/>
                                <w:szCs w:val="18"/>
                              </w:rPr>
                            </w:pPr>
                            <w:r>
                              <w:rPr>
                                <w:rFonts w:cstheme="minorHAnsi"/>
                                <w:sz w:val="18"/>
                                <w:szCs w:val="18"/>
                              </w:rPr>
                              <w:t>Apply the same approach to calculate cost-effectiveness inputs for kW and for Therms, using appropriate factors and lifetimes.</w:t>
                            </w:r>
                          </w:p>
                        </w:txbxContent>
                      </wps:txbx>
                      <wps:bodyPr rot="0" vert="horz" wrap="square" lIns="91440" tIns="45720" rIns="91440" bIns="45720" anchor="t" anchorCtr="0" upright="1">
                        <a:noAutofit/>
                      </wps:bodyPr>
                    </wps:wsp>
                  </a:graphicData>
                </a:graphic>
              </wp:inline>
            </w:drawing>
          </mc:Choice>
          <mc:Fallback>
            <w:pict>
              <v:shape w14:anchorId="43F34876" id="Text Box 9" o:spid="_x0000_s1027" type="#_x0000_t202" style="width:459.95pt;height:503.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">
                <v:textbox>
                  <w:txbxContent>
                    <w:p w14:paraId="20C029D5" w14:textId="77777777" w:rsidR="009154B8" w:rsidRDefault="009154B8" w:rsidP="009154B8">
                      <w:pPr>
                        <w:spacing w:after="60"/>
                        <w:rPr>
                          <w:rFonts w:cstheme="minorHAnsi"/>
                          <w:b/>
                          <w:sz w:val="18"/>
                          <w:szCs w:val="18"/>
                        </w:rPr>
                      </w:pPr>
                      <w:r>
                        <w:rPr>
                          <w:rFonts w:cstheme="minorHAnsi"/>
                          <w:b/>
                          <w:sz w:val="18"/>
                          <w:szCs w:val="18"/>
                        </w:rPr>
                        <w:t xml:space="preserve">Example of Calculation of Cost-effectiveness Inputs: </w:t>
                      </w:r>
                    </w:p>
                    <w:p w14:paraId="07118655" w14:textId="77777777" w:rsidR="009154B8" w:rsidRDefault="009154B8" w:rsidP="009154B8">
                      <w:pPr>
                        <w:spacing w:after="60"/>
                        <w:rPr>
                          <w:rFonts w:cstheme="minorHAnsi"/>
                          <w:sz w:val="18"/>
                          <w:szCs w:val="18"/>
                        </w:rPr>
                      </w:pPr>
                      <w:r>
                        <w:rPr>
                          <w:rFonts w:cstheme="minorHAnsi"/>
                          <w:sz w:val="18"/>
                          <w:szCs w:val="18"/>
                        </w:rPr>
                        <w:t>Assume the same information for an electric program as was used in the Example of Adjusted Annual Savings Calculations</w:t>
                      </w:r>
                      <w:del w:id="626" w:author="Carly Olig" w:date="2022-05-05T15:22:00Z">
                        <w:r w:rsidDel="00AB6A8F">
                          <w:rPr>
                            <w:rFonts w:cstheme="minorHAnsi"/>
                            <w:sz w:val="18"/>
                            <w:szCs w:val="18"/>
                          </w:rPr>
                          <w:delText>, and the following estimated future program retention rate</w:delText>
                        </w:r>
                      </w:del>
                      <w:r>
                        <w:rPr>
                          <w:rFonts w:cstheme="minorHAnsi"/>
                          <w:sz w:val="18"/>
                          <w:szCs w:val="18"/>
                        </w:rPr>
                        <w:t xml:space="preserve">. </w:t>
                      </w:r>
                    </w:p>
                    <w:tbl>
                      <w:tblPr>
                        <w:tblW w:w="4899" w:type="pct"/>
                        <w:tblLayout w:type="fixed"/>
                        <w:tblCellMar>
                          <w:left w:w="58" w:type="dxa"/>
                          <w:right w:w="58" w:type="dxa"/>
                        </w:tblCellMar>
                        <w:tblLook w:val="04A0" w:firstRow="1" w:lastRow="0" w:firstColumn="1" w:lastColumn="0" w:noHBand="0" w:noVBand="1"/>
                      </w:tblPr>
                      <w:tblGrid>
                        <w:gridCol w:w="2789"/>
                        <w:gridCol w:w="1073"/>
                        <w:gridCol w:w="892"/>
                        <w:gridCol w:w="798"/>
                        <w:gridCol w:w="796"/>
                        <w:gridCol w:w="794"/>
                        <w:gridCol w:w="791"/>
                        <w:gridCol w:w="794"/>
                      </w:tblGrid>
                      <w:tr w:rsidR="009154B8" w14:paraId="06DF3D93" w14:textId="77777777" w:rsidTr="000A4C0C">
                        <w:trPr>
                          <w:trHeight w:val="18"/>
                        </w:trPr>
                        <w:tc>
                          <w:tcPr>
                            <w:tcW w:w="1598" w:type="pct"/>
                            <w:noWrap/>
                            <w:vAlign w:val="center"/>
                            <w:hideMark/>
                          </w:tcPr>
                          <w:p w14:paraId="465B15F6" w14:textId="77777777" w:rsidR="009154B8" w:rsidRDefault="009154B8">
                            <w:pPr>
                              <w:rPr>
                                <w:rFonts w:cstheme="minorHAnsi"/>
                                <w:sz w:val="18"/>
                                <w:szCs w:val="18"/>
                              </w:rPr>
                            </w:pPr>
                          </w:p>
                        </w:tc>
                        <w:tc>
                          <w:tcPr>
                            <w:tcW w:w="3402" w:type="pct"/>
                            <w:gridSpan w:val="7"/>
                            <w:tcBorders>
                              <w:top w:val="single" w:sz="4" w:space="0" w:color="auto"/>
                              <w:left w:val="single" w:sz="4" w:space="0" w:color="auto"/>
                              <w:bottom w:val="single" w:sz="4" w:space="0" w:color="auto"/>
                              <w:right w:val="single" w:sz="4" w:space="0" w:color="auto"/>
                            </w:tcBorders>
                            <w:shd w:val="clear" w:color="auto" w:fill="808080"/>
                            <w:noWrap/>
                            <w:vAlign w:val="center"/>
                            <w:hideMark/>
                          </w:tcPr>
                          <w:p w14:paraId="2F666937" w14:textId="77777777" w:rsidR="009154B8" w:rsidRDefault="009154B8">
                            <w:pPr>
                              <w:spacing w:after="0" w:line="256" w:lineRule="auto"/>
                              <w:jc w:val="center"/>
                              <w:rPr>
                                <w:rFonts w:ascii="Calibri" w:hAnsi="Calibri"/>
                                <w:b/>
                                <w:bCs/>
                                <w:color w:val="FFFFFF"/>
                                <w:sz w:val="16"/>
                                <w:szCs w:val="16"/>
                              </w:rPr>
                            </w:pPr>
                            <w:r>
                              <w:rPr>
                                <w:rFonts w:ascii="Calibri" w:hAnsi="Calibri"/>
                                <w:b/>
                                <w:bCs/>
                                <w:color w:val="FFFFFF"/>
                                <w:sz w:val="16"/>
                                <w:szCs w:val="16"/>
                              </w:rPr>
                              <w:t>Reporting Year T</w:t>
                            </w:r>
                          </w:p>
                        </w:tc>
                      </w:tr>
                      <w:tr w:rsidR="009154B8" w14:paraId="7EFB6B35" w14:textId="77777777" w:rsidTr="000A4C0C">
                        <w:trPr>
                          <w:trHeight w:val="18"/>
                        </w:trPr>
                        <w:tc>
                          <w:tcPr>
                            <w:tcW w:w="1598" w:type="pct"/>
                            <w:tcBorders>
                              <w:top w:val="nil"/>
                              <w:left w:val="nil"/>
                              <w:bottom w:val="single" w:sz="4" w:space="0" w:color="auto"/>
                              <w:right w:val="nil"/>
                            </w:tcBorders>
                            <w:noWrap/>
                            <w:vAlign w:val="center"/>
                            <w:hideMark/>
                          </w:tcPr>
                          <w:p w14:paraId="3D49D4AB" w14:textId="77777777" w:rsidR="009154B8" w:rsidRDefault="009154B8">
                            <w:pPr>
                              <w:rPr>
                                <w:rFonts w:ascii="Calibri" w:hAnsi="Calibri"/>
                                <w:b/>
                                <w:bCs/>
                                <w:color w:val="FFFFFF"/>
                                <w:sz w:val="16"/>
                                <w:szCs w:val="16"/>
                              </w:rPr>
                            </w:pPr>
                          </w:p>
                        </w:tc>
                        <w:tc>
                          <w:tcPr>
                            <w:tcW w:w="615" w:type="pct"/>
                            <w:tcBorders>
                              <w:top w:val="single" w:sz="4" w:space="0" w:color="auto"/>
                              <w:left w:val="single" w:sz="4" w:space="0" w:color="auto"/>
                              <w:bottom w:val="single" w:sz="4" w:space="0" w:color="auto"/>
                              <w:right w:val="single" w:sz="4" w:space="0" w:color="auto"/>
                            </w:tcBorders>
                            <w:shd w:val="clear" w:color="auto" w:fill="808080"/>
                            <w:noWrap/>
                            <w:vAlign w:val="center"/>
                            <w:hideMark/>
                          </w:tcPr>
                          <w:p w14:paraId="54707AAA" w14:textId="77777777" w:rsidR="009154B8" w:rsidRDefault="009154B8">
                            <w:pPr>
                              <w:spacing w:after="0" w:line="256" w:lineRule="auto"/>
                              <w:jc w:val="center"/>
                              <w:rPr>
                                <w:rFonts w:ascii="Calibri" w:hAnsi="Calibri"/>
                                <w:b/>
                                <w:bCs/>
                                <w:color w:val="FFFFFF"/>
                                <w:sz w:val="16"/>
                                <w:szCs w:val="16"/>
                              </w:rPr>
                            </w:pPr>
                            <w:r>
                              <w:rPr>
                                <w:rFonts w:ascii="Calibri" w:hAnsi="Calibri"/>
                                <w:b/>
                                <w:bCs/>
                                <w:color w:val="FFFFFF"/>
                                <w:sz w:val="16"/>
                                <w:szCs w:val="16"/>
                              </w:rPr>
                              <w:t>2021</w:t>
                            </w:r>
                          </w:p>
                        </w:tc>
                        <w:tc>
                          <w:tcPr>
                            <w:tcW w:w="511" w:type="pct"/>
                            <w:tcBorders>
                              <w:top w:val="single" w:sz="4" w:space="0" w:color="auto"/>
                              <w:left w:val="nil"/>
                              <w:bottom w:val="single" w:sz="4" w:space="0" w:color="auto"/>
                              <w:right w:val="single" w:sz="4" w:space="0" w:color="auto"/>
                            </w:tcBorders>
                            <w:shd w:val="clear" w:color="auto" w:fill="808080"/>
                            <w:noWrap/>
                            <w:vAlign w:val="center"/>
                            <w:hideMark/>
                          </w:tcPr>
                          <w:p w14:paraId="7A1E9DBA" w14:textId="77777777" w:rsidR="009154B8" w:rsidRDefault="009154B8">
                            <w:pPr>
                              <w:spacing w:after="0" w:line="256" w:lineRule="auto"/>
                              <w:jc w:val="center"/>
                              <w:rPr>
                                <w:rFonts w:ascii="Calibri" w:hAnsi="Calibri"/>
                                <w:b/>
                                <w:bCs/>
                                <w:color w:val="FFFFFF"/>
                                <w:sz w:val="16"/>
                                <w:szCs w:val="16"/>
                              </w:rPr>
                            </w:pPr>
                            <w:r>
                              <w:rPr>
                                <w:rFonts w:ascii="Calibri" w:hAnsi="Calibri"/>
                                <w:b/>
                                <w:bCs/>
                                <w:color w:val="FFFFFF"/>
                                <w:sz w:val="16"/>
                                <w:szCs w:val="16"/>
                              </w:rPr>
                              <w:t>2022</w:t>
                            </w:r>
                          </w:p>
                        </w:tc>
                        <w:tc>
                          <w:tcPr>
                            <w:tcW w:w="457" w:type="pct"/>
                            <w:tcBorders>
                              <w:top w:val="single" w:sz="4" w:space="0" w:color="auto"/>
                              <w:left w:val="nil"/>
                              <w:bottom w:val="single" w:sz="4" w:space="0" w:color="auto"/>
                              <w:right w:val="single" w:sz="4" w:space="0" w:color="auto"/>
                            </w:tcBorders>
                            <w:shd w:val="clear" w:color="auto" w:fill="808080"/>
                            <w:noWrap/>
                            <w:vAlign w:val="center"/>
                            <w:hideMark/>
                          </w:tcPr>
                          <w:p w14:paraId="0395DDD6" w14:textId="77777777" w:rsidR="009154B8" w:rsidRDefault="009154B8">
                            <w:pPr>
                              <w:spacing w:after="0" w:line="256" w:lineRule="auto"/>
                              <w:jc w:val="center"/>
                              <w:rPr>
                                <w:rFonts w:ascii="Calibri" w:hAnsi="Calibri"/>
                                <w:b/>
                                <w:bCs/>
                                <w:color w:val="FFFFFF"/>
                                <w:sz w:val="16"/>
                                <w:szCs w:val="16"/>
                              </w:rPr>
                            </w:pPr>
                            <w:r>
                              <w:rPr>
                                <w:rFonts w:ascii="Calibri" w:hAnsi="Calibri"/>
                                <w:b/>
                                <w:bCs/>
                                <w:color w:val="FFFFFF"/>
                                <w:sz w:val="16"/>
                                <w:szCs w:val="16"/>
                              </w:rPr>
                              <w:t>2023</w:t>
                            </w:r>
                          </w:p>
                        </w:tc>
                        <w:tc>
                          <w:tcPr>
                            <w:tcW w:w="456" w:type="pct"/>
                            <w:tcBorders>
                              <w:top w:val="single" w:sz="4" w:space="0" w:color="auto"/>
                              <w:left w:val="nil"/>
                              <w:bottom w:val="single" w:sz="4" w:space="0" w:color="auto"/>
                              <w:right w:val="single" w:sz="4" w:space="0" w:color="auto"/>
                            </w:tcBorders>
                            <w:shd w:val="clear" w:color="auto" w:fill="808080"/>
                            <w:noWrap/>
                            <w:vAlign w:val="center"/>
                            <w:hideMark/>
                          </w:tcPr>
                          <w:p w14:paraId="276C188F" w14:textId="77777777" w:rsidR="009154B8" w:rsidRDefault="009154B8">
                            <w:pPr>
                              <w:spacing w:after="0" w:line="256" w:lineRule="auto"/>
                              <w:jc w:val="center"/>
                              <w:rPr>
                                <w:rFonts w:ascii="Calibri" w:hAnsi="Calibri"/>
                                <w:b/>
                                <w:bCs/>
                                <w:color w:val="FFFFFF"/>
                                <w:sz w:val="16"/>
                                <w:szCs w:val="16"/>
                              </w:rPr>
                            </w:pPr>
                            <w:r>
                              <w:rPr>
                                <w:rFonts w:ascii="Calibri" w:hAnsi="Calibri"/>
                                <w:b/>
                                <w:bCs/>
                                <w:color w:val="FFFFFF"/>
                                <w:sz w:val="16"/>
                                <w:szCs w:val="16"/>
                              </w:rPr>
                              <w:t>2024</w:t>
                            </w:r>
                          </w:p>
                        </w:tc>
                        <w:tc>
                          <w:tcPr>
                            <w:tcW w:w="455" w:type="pct"/>
                            <w:tcBorders>
                              <w:top w:val="single" w:sz="4" w:space="0" w:color="auto"/>
                              <w:left w:val="nil"/>
                              <w:bottom w:val="single" w:sz="4" w:space="0" w:color="auto"/>
                              <w:right w:val="single" w:sz="4" w:space="0" w:color="auto"/>
                            </w:tcBorders>
                            <w:shd w:val="clear" w:color="auto" w:fill="808080"/>
                            <w:noWrap/>
                            <w:vAlign w:val="center"/>
                            <w:hideMark/>
                          </w:tcPr>
                          <w:p w14:paraId="78F6FA2A" w14:textId="77777777" w:rsidR="009154B8" w:rsidRDefault="009154B8">
                            <w:pPr>
                              <w:spacing w:after="0" w:line="256" w:lineRule="auto"/>
                              <w:jc w:val="center"/>
                              <w:rPr>
                                <w:rFonts w:ascii="Calibri" w:hAnsi="Calibri"/>
                                <w:b/>
                                <w:bCs/>
                                <w:color w:val="FFFFFF"/>
                                <w:sz w:val="16"/>
                                <w:szCs w:val="16"/>
                              </w:rPr>
                            </w:pPr>
                            <w:r>
                              <w:rPr>
                                <w:rFonts w:ascii="Calibri" w:hAnsi="Calibri"/>
                                <w:b/>
                                <w:bCs/>
                                <w:color w:val="FFFFFF"/>
                                <w:sz w:val="16"/>
                                <w:szCs w:val="16"/>
                              </w:rPr>
                              <w:t>2025</w:t>
                            </w:r>
                          </w:p>
                        </w:tc>
                        <w:tc>
                          <w:tcPr>
                            <w:tcW w:w="453" w:type="pct"/>
                            <w:tcBorders>
                              <w:top w:val="single" w:sz="4" w:space="0" w:color="auto"/>
                              <w:left w:val="nil"/>
                              <w:bottom w:val="single" w:sz="4" w:space="0" w:color="auto"/>
                              <w:right w:val="single" w:sz="4" w:space="0" w:color="auto"/>
                            </w:tcBorders>
                            <w:shd w:val="clear" w:color="auto" w:fill="808080"/>
                            <w:noWrap/>
                            <w:vAlign w:val="center"/>
                            <w:hideMark/>
                          </w:tcPr>
                          <w:p w14:paraId="35E823C1" w14:textId="77777777" w:rsidR="009154B8" w:rsidRDefault="009154B8">
                            <w:pPr>
                              <w:spacing w:after="0" w:line="256" w:lineRule="auto"/>
                              <w:jc w:val="center"/>
                              <w:rPr>
                                <w:rFonts w:ascii="Calibri" w:hAnsi="Calibri"/>
                                <w:b/>
                                <w:bCs/>
                                <w:color w:val="FFFFFF"/>
                                <w:sz w:val="16"/>
                                <w:szCs w:val="16"/>
                              </w:rPr>
                            </w:pPr>
                            <w:r>
                              <w:rPr>
                                <w:rFonts w:ascii="Calibri" w:hAnsi="Calibri"/>
                                <w:b/>
                                <w:bCs/>
                                <w:color w:val="FFFFFF"/>
                                <w:sz w:val="16"/>
                                <w:szCs w:val="16"/>
                              </w:rPr>
                              <w:t>2026</w:t>
                            </w:r>
                          </w:p>
                        </w:tc>
                        <w:tc>
                          <w:tcPr>
                            <w:tcW w:w="451" w:type="pct"/>
                            <w:tcBorders>
                              <w:top w:val="single" w:sz="4" w:space="0" w:color="auto"/>
                              <w:left w:val="nil"/>
                              <w:bottom w:val="single" w:sz="4" w:space="0" w:color="auto"/>
                              <w:right w:val="single" w:sz="4" w:space="0" w:color="auto"/>
                            </w:tcBorders>
                            <w:shd w:val="clear" w:color="auto" w:fill="808080"/>
                            <w:hideMark/>
                          </w:tcPr>
                          <w:p w14:paraId="25B07EC1" w14:textId="77777777" w:rsidR="009154B8" w:rsidRDefault="009154B8">
                            <w:pPr>
                              <w:spacing w:after="0" w:line="256" w:lineRule="auto"/>
                              <w:jc w:val="center"/>
                              <w:rPr>
                                <w:rFonts w:ascii="Calibri" w:hAnsi="Calibri"/>
                                <w:b/>
                                <w:bCs/>
                                <w:color w:val="FFFFFF"/>
                                <w:sz w:val="16"/>
                                <w:szCs w:val="16"/>
                              </w:rPr>
                            </w:pPr>
                            <w:r>
                              <w:rPr>
                                <w:rFonts w:ascii="Calibri" w:hAnsi="Calibri"/>
                                <w:b/>
                                <w:bCs/>
                                <w:color w:val="FFFFFF"/>
                                <w:sz w:val="16"/>
                                <w:szCs w:val="16"/>
                              </w:rPr>
                              <w:t>2027</w:t>
                            </w:r>
                          </w:p>
                        </w:tc>
                      </w:tr>
                      <w:tr w:rsidR="009154B8" w14:paraId="774F538E" w14:textId="77777777" w:rsidTr="000A4C0C">
                        <w:trPr>
                          <w:trHeight w:val="18"/>
                        </w:trPr>
                        <w:tc>
                          <w:tcPr>
                            <w:tcW w:w="1598" w:type="pct"/>
                            <w:tcBorders>
                              <w:top w:val="single" w:sz="4" w:space="0" w:color="auto"/>
                              <w:left w:val="single" w:sz="4" w:space="0" w:color="auto"/>
                              <w:bottom w:val="single" w:sz="4" w:space="0" w:color="auto"/>
                              <w:right w:val="single" w:sz="4" w:space="0" w:color="auto"/>
                            </w:tcBorders>
                            <w:noWrap/>
                            <w:vAlign w:val="center"/>
                            <w:hideMark/>
                          </w:tcPr>
                          <w:p w14:paraId="0E4CB9D5" w14:textId="77777777" w:rsidR="009154B8" w:rsidRDefault="009154B8">
                            <w:pPr>
                              <w:widowControl/>
                              <w:spacing w:after="0" w:line="256" w:lineRule="auto"/>
                              <w:jc w:val="center"/>
                              <w:rPr>
                                <w:rFonts w:ascii="Calibri" w:eastAsia="Calibri" w:hAnsi="Calibri"/>
                                <w:sz w:val="18"/>
                                <w:szCs w:val="18"/>
                              </w:rPr>
                            </w:pPr>
                            <w:r>
                              <w:rPr>
                                <w:rFonts w:ascii="Calibri" w:hAnsi="Calibri"/>
                                <w:b/>
                                <w:color w:val="000000"/>
                                <w:sz w:val="16"/>
                                <w:szCs w:val="16"/>
                              </w:rPr>
                              <w:t>Annual Energy Savings</w:t>
                            </w:r>
                            <w:r>
                              <w:rPr>
                                <w:rFonts w:ascii="Calibri" w:hAnsi="Calibri"/>
                                <w:color w:val="000000"/>
                                <w:sz w:val="16"/>
                                <w:szCs w:val="16"/>
                              </w:rPr>
                              <w:t xml:space="preserve"> = Adj. kWh savings (previously calculated) = </w:t>
                            </w:r>
                            <w:r>
                              <w:rPr>
                                <w:rFonts w:ascii="Calibri" w:eastAsia="Calibri" w:hAnsi="Calibri"/>
                                <w:sz w:val="18"/>
                                <w:szCs w:val="18"/>
                              </w:rPr>
                              <w:t>ΔkWh</w:t>
                            </w:r>
                            <w:r>
                              <w:rPr>
                                <w:rFonts w:ascii="Calibri" w:eastAsia="Calibri" w:hAnsi="Calibri"/>
                                <w:sz w:val="18"/>
                                <w:szCs w:val="18"/>
                                <w:vertAlign w:val="subscript"/>
                              </w:rPr>
                              <w:t>TAdjusted</w:t>
                            </w:r>
                          </w:p>
                        </w:tc>
                        <w:tc>
                          <w:tcPr>
                            <w:tcW w:w="615" w:type="pct"/>
                            <w:tcBorders>
                              <w:top w:val="single" w:sz="4" w:space="0" w:color="auto"/>
                              <w:left w:val="nil"/>
                              <w:bottom w:val="single" w:sz="4" w:space="0" w:color="auto"/>
                              <w:right w:val="single" w:sz="4" w:space="0" w:color="auto"/>
                            </w:tcBorders>
                            <w:noWrap/>
                            <w:vAlign w:val="center"/>
                            <w:hideMark/>
                          </w:tcPr>
                          <w:p w14:paraId="3081D14F" w14:textId="77777777" w:rsidR="009154B8" w:rsidRDefault="009154B8">
                            <w:pPr>
                              <w:spacing w:after="0" w:line="256" w:lineRule="auto"/>
                              <w:jc w:val="center"/>
                              <w:rPr>
                                <w:rFonts w:ascii="Calibri" w:hAnsi="Calibri"/>
                                <w:color w:val="000000"/>
                                <w:sz w:val="16"/>
                                <w:szCs w:val="16"/>
                              </w:rPr>
                            </w:pPr>
                            <w:r>
                              <w:rPr>
                                <w:rFonts w:ascii="Calibri" w:hAnsi="Calibri"/>
                                <w:color w:val="000000"/>
                                <w:sz w:val="16"/>
                                <w:szCs w:val="16"/>
                              </w:rPr>
                              <w:t>24,000,000</w:t>
                            </w:r>
                          </w:p>
                        </w:tc>
                        <w:tc>
                          <w:tcPr>
                            <w:tcW w:w="511" w:type="pct"/>
                            <w:tcBorders>
                              <w:top w:val="single" w:sz="4" w:space="0" w:color="auto"/>
                              <w:left w:val="nil"/>
                              <w:bottom w:val="single" w:sz="4" w:space="0" w:color="auto"/>
                              <w:right w:val="single" w:sz="4" w:space="0" w:color="auto"/>
                            </w:tcBorders>
                            <w:noWrap/>
                            <w:vAlign w:val="center"/>
                            <w:hideMark/>
                          </w:tcPr>
                          <w:p w14:paraId="7F478EA0" w14:textId="77777777" w:rsidR="009154B8" w:rsidRDefault="009154B8">
                            <w:pPr>
                              <w:spacing w:after="0" w:line="256" w:lineRule="auto"/>
                              <w:jc w:val="center"/>
                              <w:rPr>
                                <w:rFonts w:ascii="Calibri" w:hAnsi="Calibri"/>
                                <w:color w:val="000000"/>
                                <w:sz w:val="16"/>
                                <w:szCs w:val="16"/>
                              </w:rPr>
                            </w:pPr>
                            <w:del w:id="627" w:author="Carly Olig" w:date="2022-05-04T15:48:00Z">
                              <w:r w:rsidDel="00D148D0">
                                <w:rPr>
                                  <w:rFonts w:ascii="Calibri" w:hAnsi="Calibri"/>
                                  <w:color w:val="000000"/>
                                  <w:sz w:val="16"/>
                                  <w:szCs w:val="16"/>
                                </w:rPr>
                                <w:delText>10,252,240</w:delText>
                              </w:r>
                            </w:del>
                            <w:ins w:id="628" w:author="Carly Olig" w:date="2022-05-04T15:48:00Z">
                              <w:r>
                                <w:rPr>
                                  <w:rFonts w:ascii="Calibri" w:hAnsi="Calibri"/>
                                  <w:color w:val="000000"/>
                                  <w:sz w:val="16"/>
                                  <w:szCs w:val="16"/>
                                </w:rPr>
                                <w:t>9,466,000</w:t>
                              </w:r>
                            </w:ins>
                          </w:p>
                        </w:tc>
                        <w:tc>
                          <w:tcPr>
                            <w:tcW w:w="457" w:type="pct"/>
                            <w:tcBorders>
                              <w:top w:val="single" w:sz="4" w:space="0" w:color="auto"/>
                              <w:left w:val="nil"/>
                              <w:bottom w:val="single" w:sz="4" w:space="0" w:color="auto"/>
                              <w:right w:val="single" w:sz="4" w:space="0" w:color="auto"/>
                            </w:tcBorders>
                            <w:noWrap/>
                            <w:vAlign w:val="center"/>
                            <w:hideMark/>
                          </w:tcPr>
                          <w:p w14:paraId="7737828A" w14:textId="77777777" w:rsidR="009154B8" w:rsidRDefault="009154B8">
                            <w:pPr>
                              <w:spacing w:after="0" w:line="256" w:lineRule="auto"/>
                              <w:jc w:val="center"/>
                              <w:rPr>
                                <w:rFonts w:ascii="Calibri" w:hAnsi="Calibri"/>
                                <w:color w:val="000000"/>
                                <w:sz w:val="16"/>
                                <w:szCs w:val="16"/>
                              </w:rPr>
                            </w:pPr>
                            <w:del w:id="629" w:author="Carly Olig" w:date="2022-05-04T15:48:00Z">
                              <w:r w:rsidDel="00D148D0">
                                <w:rPr>
                                  <w:rFonts w:ascii="Calibri" w:hAnsi="Calibri"/>
                                  <w:color w:val="000000"/>
                                  <w:sz w:val="16"/>
                                  <w:szCs w:val="16"/>
                                </w:rPr>
                                <w:delText>5,116,954</w:delText>
                              </w:r>
                            </w:del>
                            <w:ins w:id="630" w:author="Carly Olig" w:date="2022-05-04T15:48:00Z">
                              <w:r>
                                <w:rPr>
                                  <w:rFonts w:ascii="Calibri" w:hAnsi="Calibri"/>
                                  <w:color w:val="000000"/>
                                  <w:sz w:val="16"/>
                                  <w:szCs w:val="16"/>
                                </w:rPr>
                                <w:t>5,008,094</w:t>
                              </w:r>
                            </w:ins>
                          </w:p>
                        </w:tc>
                        <w:tc>
                          <w:tcPr>
                            <w:tcW w:w="456" w:type="pct"/>
                            <w:tcBorders>
                              <w:top w:val="single" w:sz="4" w:space="0" w:color="auto"/>
                              <w:left w:val="nil"/>
                              <w:bottom w:val="single" w:sz="4" w:space="0" w:color="auto"/>
                              <w:right w:val="single" w:sz="4" w:space="0" w:color="auto"/>
                            </w:tcBorders>
                            <w:noWrap/>
                            <w:vAlign w:val="center"/>
                            <w:hideMark/>
                          </w:tcPr>
                          <w:p w14:paraId="2797D00F" w14:textId="77777777" w:rsidR="009154B8" w:rsidRDefault="009154B8">
                            <w:pPr>
                              <w:spacing w:after="0" w:line="256" w:lineRule="auto"/>
                              <w:jc w:val="center"/>
                              <w:rPr>
                                <w:rFonts w:ascii="Calibri" w:hAnsi="Calibri"/>
                                <w:color w:val="000000"/>
                                <w:sz w:val="16"/>
                                <w:szCs w:val="16"/>
                              </w:rPr>
                            </w:pPr>
                            <w:del w:id="631" w:author="Carly Olig" w:date="2022-05-04T15:50:00Z">
                              <w:r w:rsidDel="00060304">
                                <w:rPr>
                                  <w:rFonts w:ascii="Calibri" w:hAnsi="Calibri"/>
                                  <w:color w:val="000000"/>
                                  <w:sz w:val="16"/>
                                  <w:szCs w:val="16"/>
                                </w:rPr>
                                <w:delText>5,929,923</w:delText>
                              </w:r>
                            </w:del>
                            <w:ins w:id="632" w:author="Carly Olig" w:date="2022-05-04T15:50:00Z">
                              <w:r>
                                <w:rPr>
                                  <w:rFonts w:ascii="Calibri" w:hAnsi="Calibri"/>
                                  <w:color w:val="000000"/>
                                  <w:sz w:val="16"/>
                                  <w:szCs w:val="16"/>
                                </w:rPr>
                                <w:t>6,156,543</w:t>
                              </w:r>
                            </w:ins>
                          </w:p>
                        </w:tc>
                        <w:tc>
                          <w:tcPr>
                            <w:tcW w:w="455" w:type="pct"/>
                            <w:tcBorders>
                              <w:top w:val="single" w:sz="4" w:space="0" w:color="auto"/>
                              <w:left w:val="nil"/>
                              <w:bottom w:val="single" w:sz="4" w:space="0" w:color="auto"/>
                              <w:right w:val="single" w:sz="4" w:space="0" w:color="auto"/>
                            </w:tcBorders>
                            <w:noWrap/>
                            <w:vAlign w:val="center"/>
                            <w:hideMark/>
                          </w:tcPr>
                          <w:p w14:paraId="0615A6E5" w14:textId="77777777" w:rsidR="009154B8" w:rsidRDefault="009154B8">
                            <w:pPr>
                              <w:spacing w:after="0" w:line="256" w:lineRule="auto"/>
                              <w:jc w:val="center"/>
                              <w:rPr>
                                <w:rFonts w:ascii="Calibri" w:hAnsi="Calibri"/>
                                <w:color w:val="000000"/>
                                <w:sz w:val="16"/>
                                <w:szCs w:val="16"/>
                              </w:rPr>
                            </w:pPr>
                            <w:del w:id="633" w:author="Carly Olig" w:date="2022-05-04T15:50:00Z">
                              <w:r w:rsidDel="00D6390D">
                                <w:rPr>
                                  <w:rFonts w:ascii="Calibri" w:hAnsi="Calibri"/>
                                  <w:color w:val="000000"/>
                                  <w:sz w:val="16"/>
                                  <w:szCs w:val="16"/>
                                </w:rPr>
                                <w:delText>5,154,135</w:delText>
                              </w:r>
                            </w:del>
                            <w:ins w:id="634" w:author="Carly Olig" w:date="2022-05-04T15:50:00Z">
                              <w:r>
                                <w:rPr>
                                  <w:rFonts w:ascii="Calibri" w:hAnsi="Calibri"/>
                                  <w:color w:val="000000"/>
                                  <w:sz w:val="16"/>
                                  <w:szCs w:val="16"/>
                                </w:rPr>
                                <w:t>5,133,627</w:t>
                              </w:r>
                            </w:ins>
                          </w:p>
                        </w:tc>
                        <w:tc>
                          <w:tcPr>
                            <w:tcW w:w="453" w:type="pct"/>
                            <w:tcBorders>
                              <w:top w:val="single" w:sz="4" w:space="0" w:color="auto"/>
                              <w:left w:val="nil"/>
                              <w:bottom w:val="single" w:sz="4" w:space="0" w:color="auto"/>
                              <w:right w:val="single" w:sz="4" w:space="0" w:color="auto"/>
                            </w:tcBorders>
                            <w:noWrap/>
                            <w:vAlign w:val="center"/>
                            <w:hideMark/>
                          </w:tcPr>
                          <w:p w14:paraId="07B051B2" w14:textId="77777777" w:rsidR="009154B8" w:rsidRDefault="009154B8">
                            <w:pPr>
                              <w:spacing w:after="0" w:line="256" w:lineRule="auto"/>
                              <w:jc w:val="center"/>
                              <w:rPr>
                                <w:rFonts w:ascii="Calibri" w:hAnsi="Calibri"/>
                                <w:color w:val="000000"/>
                                <w:sz w:val="16"/>
                                <w:szCs w:val="16"/>
                              </w:rPr>
                            </w:pPr>
                            <w:del w:id="635" w:author="Carly Olig" w:date="2022-05-04T15:50:00Z">
                              <w:r w:rsidDel="00D6390D">
                                <w:rPr>
                                  <w:rFonts w:ascii="Calibri" w:hAnsi="Calibri"/>
                                  <w:color w:val="000000"/>
                                  <w:sz w:val="16"/>
                                  <w:szCs w:val="16"/>
                                </w:rPr>
                                <w:delText>6,259,330</w:delText>
                              </w:r>
                            </w:del>
                            <w:ins w:id="636" w:author="Carly Olig" w:date="2022-05-04T15:50:00Z">
                              <w:r>
                                <w:rPr>
                                  <w:rFonts w:ascii="Calibri" w:hAnsi="Calibri"/>
                                  <w:color w:val="000000"/>
                                  <w:sz w:val="16"/>
                                  <w:szCs w:val="16"/>
                                </w:rPr>
                                <w:t>6,400,301</w:t>
                              </w:r>
                            </w:ins>
                          </w:p>
                        </w:tc>
                        <w:tc>
                          <w:tcPr>
                            <w:tcW w:w="451" w:type="pct"/>
                            <w:tcBorders>
                              <w:top w:val="single" w:sz="4" w:space="0" w:color="auto"/>
                              <w:left w:val="nil"/>
                              <w:bottom w:val="single" w:sz="4" w:space="0" w:color="auto"/>
                              <w:right w:val="single" w:sz="4" w:space="0" w:color="auto"/>
                            </w:tcBorders>
                            <w:vAlign w:val="center"/>
                            <w:hideMark/>
                          </w:tcPr>
                          <w:p w14:paraId="123ADD7A" w14:textId="77777777" w:rsidR="009154B8" w:rsidRDefault="009154B8">
                            <w:pPr>
                              <w:spacing w:after="0" w:line="256" w:lineRule="auto"/>
                              <w:jc w:val="center"/>
                              <w:rPr>
                                <w:rFonts w:ascii="Calibri" w:hAnsi="Calibri"/>
                                <w:color w:val="000000"/>
                                <w:sz w:val="16"/>
                                <w:szCs w:val="16"/>
                              </w:rPr>
                            </w:pPr>
                            <w:del w:id="637" w:author="Carly Olig" w:date="2022-05-04T15:50:00Z">
                              <w:r w:rsidDel="00D6390D">
                                <w:rPr>
                                  <w:rFonts w:ascii="Calibri" w:hAnsi="Calibri"/>
                                  <w:color w:val="000000"/>
                                  <w:sz w:val="16"/>
                                  <w:szCs w:val="16"/>
                                </w:rPr>
                                <w:delText>5,062,282</w:delText>
                              </w:r>
                            </w:del>
                            <w:ins w:id="638" w:author="Carly Olig" w:date="2022-05-04T15:50:00Z">
                              <w:r>
                                <w:rPr>
                                  <w:rFonts w:ascii="Calibri" w:hAnsi="Calibri"/>
                                  <w:color w:val="000000"/>
                                  <w:sz w:val="16"/>
                                  <w:szCs w:val="16"/>
                                </w:rPr>
                                <w:t>5,579,188</w:t>
                              </w:r>
                            </w:ins>
                          </w:p>
                        </w:tc>
                      </w:tr>
                      <w:tr w:rsidR="009154B8" w14:paraId="353FA995" w14:textId="77777777" w:rsidTr="000A4C0C">
                        <w:trPr>
                          <w:trHeight w:val="243"/>
                        </w:trPr>
                        <w:tc>
                          <w:tcPr>
                            <w:tcW w:w="5000" w:type="pct"/>
                            <w:gridSpan w:val="8"/>
                            <w:tcBorders>
                              <w:top w:val="single" w:sz="4" w:space="0" w:color="auto"/>
                              <w:left w:val="single" w:sz="4" w:space="0" w:color="auto"/>
                              <w:bottom w:val="single" w:sz="4" w:space="0" w:color="auto"/>
                              <w:right w:val="single" w:sz="4" w:space="0" w:color="auto"/>
                            </w:tcBorders>
                            <w:noWrap/>
                            <w:vAlign w:val="center"/>
                            <w:hideMark/>
                          </w:tcPr>
                          <w:p w14:paraId="39455E4E" w14:textId="77777777" w:rsidR="009154B8" w:rsidRDefault="009154B8">
                            <w:pPr>
                              <w:spacing w:after="0" w:line="256" w:lineRule="auto"/>
                              <w:jc w:val="left"/>
                              <w:rPr>
                                <w:rFonts w:ascii="Calibri" w:hAnsi="Calibri"/>
                                <w:color w:val="000000"/>
                                <w:sz w:val="16"/>
                                <w:szCs w:val="16"/>
                              </w:rPr>
                            </w:pPr>
                            <w:r>
                              <w:rPr>
                                <w:rFonts w:ascii="Calibri" w:hAnsi="Calibri"/>
                                <w:color w:val="000000"/>
                                <w:sz w:val="16"/>
                                <w:szCs w:val="16"/>
                              </w:rPr>
                              <w:t xml:space="preserve">  RR</w:t>
                            </w:r>
                            <w:del w:id="639" w:author="Carly Olig" w:date="2022-05-04T15:50:00Z">
                              <w:r w:rsidDel="00C463FA">
                                <w:rPr>
                                  <w:rFonts w:ascii="Calibri" w:hAnsi="Calibri"/>
                                  <w:color w:val="000000"/>
                                  <w:sz w:val="16"/>
                                  <w:szCs w:val="16"/>
                                  <w:vertAlign w:val="subscript"/>
                                </w:rPr>
                                <w:delText>U</w:delText>
                              </w:r>
                            </w:del>
                            <w:del w:id="640" w:author="Carly Olig" w:date="2022-05-04T15:51:00Z">
                              <w:r w:rsidDel="00C463FA">
                                <w:rPr>
                                  <w:rFonts w:ascii="Calibri" w:hAnsi="Calibri"/>
                                  <w:color w:val="000000"/>
                                  <w:sz w:val="16"/>
                                  <w:szCs w:val="16"/>
                                  <w:vertAlign w:val="subscript"/>
                                </w:rPr>
                                <w:delText>tility</w:delText>
                              </w:r>
                            </w:del>
                            <w:r>
                              <w:rPr>
                                <w:rFonts w:ascii="Calibri" w:hAnsi="Calibri"/>
                                <w:color w:val="000000"/>
                                <w:sz w:val="16"/>
                                <w:szCs w:val="16"/>
                                <w:vertAlign w:val="subscript"/>
                              </w:rPr>
                              <w:t xml:space="preserve"> </w:t>
                            </w:r>
                            <w:r>
                              <w:rPr>
                                <w:rFonts w:ascii="Calibri" w:hAnsi="Calibri"/>
                                <w:color w:val="000000"/>
                                <w:sz w:val="16"/>
                                <w:szCs w:val="16"/>
                              </w:rPr>
                              <w:t>= 0.</w:t>
                            </w:r>
                            <w:del w:id="641" w:author="Carly Olig" w:date="2022-05-04T15:51:00Z">
                              <w:r w:rsidDel="00C463FA">
                                <w:rPr>
                                  <w:rFonts w:ascii="Calibri" w:hAnsi="Calibri"/>
                                  <w:color w:val="000000"/>
                                  <w:sz w:val="16"/>
                                  <w:szCs w:val="16"/>
                                </w:rPr>
                                <w:delText>88</w:delText>
                              </w:r>
                            </w:del>
                            <w:ins w:id="642" w:author="Carly Olig" w:date="2022-05-04T15:51:00Z">
                              <w:r>
                                <w:rPr>
                                  <w:rFonts w:ascii="Calibri" w:hAnsi="Calibri"/>
                                  <w:color w:val="000000"/>
                                  <w:sz w:val="16"/>
                                  <w:szCs w:val="16"/>
                                </w:rPr>
                                <w:t>95</w:t>
                              </w:r>
                            </w:ins>
                          </w:p>
                        </w:tc>
                      </w:tr>
                    </w:tbl>
                    <w:p w14:paraId="66598B66" w14:textId="77777777" w:rsidR="009154B8" w:rsidRDefault="009154B8" w:rsidP="009154B8">
                      <w:pPr>
                        <w:spacing w:after="60"/>
                        <w:rPr>
                          <w:rFonts w:cstheme="minorHAnsi"/>
                          <w:b/>
                          <w:sz w:val="18"/>
                          <w:szCs w:val="18"/>
                        </w:rPr>
                      </w:pPr>
                    </w:p>
                    <w:p w14:paraId="1445B2D5" w14:textId="77777777" w:rsidR="009154B8" w:rsidRDefault="009154B8" w:rsidP="009154B8">
                      <w:pPr>
                        <w:spacing w:after="60"/>
                        <w:rPr>
                          <w:rFonts w:cstheme="minorHAnsi"/>
                          <w:b/>
                          <w:sz w:val="18"/>
                          <w:szCs w:val="18"/>
                          <w:u w:val="single"/>
                        </w:rPr>
                      </w:pPr>
                      <w:r>
                        <w:rPr>
                          <w:rFonts w:cstheme="minorHAnsi"/>
                          <w:b/>
                          <w:sz w:val="18"/>
                          <w:szCs w:val="18"/>
                          <w:u w:val="single"/>
                        </w:rPr>
                        <w:t>Inputs for calculating cost effectiveness in 2021:</w:t>
                      </w:r>
                    </w:p>
                    <w:p w14:paraId="50EA42A3" w14:textId="77777777" w:rsidR="009154B8" w:rsidRDefault="009154B8" w:rsidP="009154B8">
                      <w:pPr>
                        <w:spacing w:after="60"/>
                        <w:jc w:val="left"/>
                        <w:rPr>
                          <w:rFonts w:cstheme="minorHAnsi"/>
                          <w:sz w:val="18"/>
                          <w:szCs w:val="18"/>
                        </w:rPr>
                      </w:pPr>
                      <w:r>
                        <w:rPr>
                          <w:rFonts w:cstheme="minorHAnsi"/>
                          <w:sz w:val="18"/>
                          <w:szCs w:val="18"/>
                        </w:rPr>
                        <w:t>Cost-effectiveness benefit of 2021 savings in 2022 = ΔkWh</w:t>
                      </w:r>
                      <w:r>
                        <w:rPr>
                          <w:rFonts w:cstheme="minorHAnsi"/>
                          <w:sz w:val="18"/>
                          <w:szCs w:val="18"/>
                          <w:vertAlign w:val="subscript"/>
                        </w:rPr>
                        <w:t>2021 Adjusted</w:t>
                      </w:r>
                      <w:r>
                        <w:rPr>
                          <w:rFonts w:cstheme="minorHAnsi"/>
                          <w:sz w:val="18"/>
                          <w:szCs w:val="18"/>
                        </w:rPr>
                        <w:t xml:space="preserve"> * PFE</w:t>
                      </w:r>
                      <w:r>
                        <w:rPr>
                          <w:rFonts w:cstheme="minorHAnsi"/>
                          <w:sz w:val="18"/>
                          <w:szCs w:val="18"/>
                          <w:vertAlign w:val="subscript"/>
                        </w:rPr>
                        <w:t>1</w:t>
                      </w:r>
                      <w:r>
                        <w:rPr>
                          <w:rFonts w:cstheme="minorHAnsi"/>
                          <w:sz w:val="18"/>
                          <w:szCs w:val="18"/>
                        </w:rPr>
                        <w:t>*</w:t>
                      </w:r>
                      <w:r>
                        <w:rPr>
                          <w:rFonts w:ascii="Calibri" w:hAnsi="Calibri"/>
                          <w:color w:val="000000"/>
                          <w:sz w:val="16"/>
                          <w:szCs w:val="16"/>
                        </w:rPr>
                        <w:t xml:space="preserve"> RR</w:t>
                      </w:r>
                      <w:del w:id="643" w:author="Carly Olig" w:date="2022-05-04T15:51:00Z">
                        <w:r w:rsidDel="00C463FA">
                          <w:rPr>
                            <w:rFonts w:ascii="Calibri" w:hAnsi="Calibri"/>
                            <w:color w:val="000000"/>
                            <w:sz w:val="16"/>
                            <w:szCs w:val="16"/>
                            <w:vertAlign w:val="subscript"/>
                          </w:rPr>
                          <w:delText>Utility</w:delText>
                        </w:r>
                      </w:del>
                      <w:r>
                        <w:rPr>
                          <w:rFonts w:cstheme="minorHAnsi"/>
                          <w:sz w:val="18"/>
                          <w:szCs w:val="18"/>
                        </w:rPr>
                        <w:t xml:space="preserve"> = 24,000,000 * 0.78 * 0.</w:t>
                      </w:r>
                      <w:del w:id="644" w:author="Carly Olig" w:date="2022-05-04T15:52:00Z">
                        <w:r w:rsidDel="00B7563A">
                          <w:rPr>
                            <w:rFonts w:cstheme="minorHAnsi"/>
                            <w:sz w:val="18"/>
                            <w:szCs w:val="18"/>
                          </w:rPr>
                          <w:delText>88</w:delText>
                        </w:r>
                      </w:del>
                      <w:ins w:id="645" w:author="Carly Olig" w:date="2022-05-04T15:52:00Z">
                        <w:r>
                          <w:rPr>
                            <w:rFonts w:cstheme="minorHAnsi"/>
                            <w:sz w:val="18"/>
                            <w:szCs w:val="18"/>
                          </w:rPr>
                          <w:t>95</w:t>
                        </w:r>
                      </w:ins>
                      <w:r>
                        <w:rPr>
                          <w:rFonts w:cstheme="minorHAnsi"/>
                          <w:sz w:val="18"/>
                          <w:szCs w:val="18"/>
                        </w:rPr>
                        <w:t xml:space="preserve"> =   </w:t>
                      </w:r>
                      <w:del w:id="646" w:author="Carly Olig" w:date="2022-05-05T15:05:00Z">
                        <w:r w:rsidDel="00B5279A">
                          <w:rPr>
                            <w:rFonts w:cstheme="minorHAnsi"/>
                            <w:sz w:val="18"/>
                            <w:szCs w:val="18"/>
                          </w:rPr>
                          <w:delText>16,473,600</w:delText>
                        </w:r>
                      </w:del>
                      <w:ins w:id="647" w:author="Carly Olig" w:date="2022-05-05T15:05:00Z">
                        <w:r>
                          <w:rPr>
                            <w:rFonts w:cstheme="minorHAnsi"/>
                            <w:sz w:val="18"/>
                            <w:szCs w:val="18"/>
                          </w:rPr>
                          <w:t>17,784,000</w:t>
                        </w:r>
                      </w:ins>
                      <w:r>
                        <w:rPr>
                          <w:rFonts w:cstheme="minorHAnsi"/>
                          <w:sz w:val="18"/>
                          <w:szCs w:val="18"/>
                        </w:rPr>
                        <w:t xml:space="preserve"> kWh</w:t>
                      </w:r>
                    </w:p>
                    <w:p w14:paraId="460B35F7" w14:textId="77777777" w:rsidR="009154B8" w:rsidRDefault="009154B8" w:rsidP="009154B8">
                      <w:pPr>
                        <w:spacing w:after="60"/>
                        <w:jc w:val="left"/>
                        <w:rPr>
                          <w:rFonts w:cstheme="minorHAnsi"/>
                          <w:sz w:val="18"/>
                          <w:szCs w:val="18"/>
                        </w:rPr>
                      </w:pPr>
                      <w:r>
                        <w:rPr>
                          <w:rFonts w:cstheme="minorHAnsi"/>
                          <w:sz w:val="18"/>
                          <w:szCs w:val="18"/>
                        </w:rPr>
                        <w:t>Cost-effectiveness benefit of 2021 savings in 2023 = ΔkWh</w:t>
                      </w:r>
                      <w:r>
                        <w:rPr>
                          <w:rFonts w:cstheme="minorHAnsi"/>
                          <w:sz w:val="18"/>
                          <w:szCs w:val="18"/>
                          <w:vertAlign w:val="subscript"/>
                        </w:rPr>
                        <w:t>2021 Adjusted</w:t>
                      </w:r>
                      <w:r>
                        <w:rPr>
                          <w:rFonts w:cstheme="minorHAnsi"/>
                          <w:sz w:val="18"/>
                          <w:szCs w:val="18"/>
                        </w:rPr>
                        <w:t xml:space="preserve"> * PFE</w:t>
                      </w:r>
                      <w:r>
                        <w:rPr>
                          <w:rFonts w:cstheme="minorHAnsi"/>
                          <w:sz w:val="18"/>
                          <w:szCs w:val="18"/>
                          <w:vertAlign w:val="subscript"/>
                        </w:rPr>
                        <w:t>2</w:t>
                      </w:r>
                      <w:r>
                        <w:rPr>
                          <w:rFonts w:cstheme="minorHAnsi"/>
                          <w:sz w:val="18"/>
                          <w:szCs w:val="18"/>
                        </w:rPr>
                        <w:t>*RR</w:t>
                      </w:r>
                      <w:del w:id="648" w:author="Carly Olig" w:date="2022-05-04T15:51:00Z">
                        <w:r w:rsidDel="00C463FA">
                          <w:rPr>
                            <w:rFonts w:cstheme="minorHAnsi"/>
                            <w:sz w:val="18"/>
                            <w:szCs w:val="18"/>
                            <w:vertAlign w:val="subscript"/>
                          </w:rPr>
                          <w:delText>Utility</w:delText>
                        </w:r>
                      </w:del>
                      <w:r>
                        <w:rPr>
                          <w:rFonts w:cstheme="minorHAnsi"/>
                          <w:sz w:val="18"/>
                          <w:szCs w:val="18"/>
                          <w:vertAlign w:val="superscript"/>
                        </w:rPr>
                        <w:t>2</w:t>
                      </w:r>
                      <w:r>
                        <w:rPr>
                          <w:rFonts w:cstheme="minorHAnsi"/>
                          <w:sz w:val="18"/>
                          <w:szCs w:val="18"/>
                        </w:rPr>
                        <w:t xml:space="preserve"> = 24,000,000 * 0.61 * 0.</w:t>
                      </w:r>
                      <w:ins w:id="649" w:author="Carly Olig" w:date="2022-05-04T15:52:00Z">
                        <w:r>
                          <w:rPr>
                            <w:rFonts w:cstheme="minorHAnsi"/>
                            <w:sz w:val="18"/>
                            <w:szCs w:val="18"/>
                          </w:rPr>
                          <w:t>95</w:t>
                        </w:r>
                      </w:ins>
                      <w:del w:id="650" w:author="Carly Olig" w:date="2022-05-04T15:52:00Z">
                        <w:r w:rsidDel="00B7563A">
                          <w:rPr>
                            <w:rFonts w:cstheme="minorHAnsi"/>
                            <w:sz w:val="18"/>
                            <w:szCs w:val="18"/>
                          </w:rPr>
                          <w:delText>88</w:delText>
                        </w:r>
                      </w:del>
                      <w:r>
                        <w:rPr>
                          <w:rFonts w:cstheme="minorHAnsi"/>
                          <w:sz w:val="18"/>
                          <w:szCs w:val="18"/>
                          <w:vertAlign w:val="superscript"/>
                        </w:rPr>
                        <w:t>2</w:t>
                      </w:r>
                      <w:r>
                        <w:rPr>
                          <w:rFonts w:cstheme="minorHAnsi"/>
                          <w:sz w:val="18"/>
                          <w:szCs w:val="18"/>
                        </w:rPr>
                        <w:t xml:space="preserve"> = </w:t>
                      </w:r>
                      <w:del w:id="651" w:author="Carly Olig" w:date="2022-05-05T15:05:00Z">
                        <w:r w:rsidDel="00B5279A">
                          <w:rPr>
                            <w:rFonts w:cstheme="minorHAnsi"/>
                            <w:sz w:val="18"/>
                            <w:szCs w:val="18"/>
                          </w:rPr>
                          <w:delText>11,337,216</w:delText>
                        </w:r>
                      </w:del>
                      <w:ins w:id="652" w:author="Carly Olig" w:date="2022-05-05T15:07:00Z">
                        <w:r>
                          <w:rPr>
                            <w:rFonts w:cstheme="minorHAnsi"/>
                            <w:sz w:val="18"/>
                            <w:szCs w:val="18"/>
                          </w:rPr>
                          <w:t xml:space="preserve"> 13,212,600</w:t>
                        </w:r>
                      </w:ins>
                      <w:r>
                        <w:rPr>
                          <w:rFonts w:cstheme="minorHAnsi"/>
                          <w:sz w:val="18"/>
                          <w:szCs w:val="18"/>
                        </w:rPr>
                        <w:t xml:space="preserve"> kWh</w:t>
                      </w:r>
                    </w:p>
                    <w:p w14:paraId="37221AE6" w14:textId="77777777" w:rsidR="009154B8" w:rsidRDefault="009154B8" w:rsidP="009154B8">
                      <w:pPr>
                        <w:spacing w:after="60"/>
                        <w:jc w:val="left"/>
                        <w:rPr>
                          <w:rFonts w:cstheme="minorHAnsi"/>
                          <w:sz w:val="18"/>
                          <w:szCs w:val="18"/>
                        </w:rPr>
                      </w:pPr>
                      <w:r>
                        <w:rPr>
                          <w:rFonts w:cstheme="minorHAnsi"/>
                          <w:sz w:val="18"/>
                          <w:szCs w:val="18"/>
                        </w:rPr>
                        <w:t>Cost-effectiveness benefit of 2021 savings in 2024 = ΔkWh</w:t>
                      </w:r>
                      <w:r>
                        <w:rPr>
                          <w:rFonts w:cstheme="minorHAnsi"/>
                          <w:sz w:val="18"/>
                          <w:szCs w:val="18"/>
                          <w:vertAlign w:val="subscript"/>
                        </w:rPr>
                        <w:t>2021 Adjusted</w:t>
                      </w:r>
                      <w:r>
                        <w:rPr>
                          <w:rFonts w:cstheme="minorHAnsi"/>
                          <w:sz w:val="18"/>
                          <w:szCs w:val="18"/>
                        </w:rPr>
                        <w:t xml:space="preserve"> * PFE</w:t>
                      </w:r>
                      <w:r>
                        <w:rPr>
                          <w:rFonts w:cstheme="minorHAnsi"/>
                          <w:sz w:val="18"/>
                          <w:szCs w:val="18"/>
                          <w:vertAlign w:val="subscript"/>
                        </w:rPr>
                        <w:t>3</w:t>
                      </w:r>
                      <w:r>
                        <w:rPr>
                          <w:rFonts w:cstheme="minorHAnsi"/>
                          <w:sz w:val="18"/>
                          <w:szCs w:val="18"/>
                        </w:rPr>
                        <w:t>*RR</w:t>
                      </w:r>
                      <w:del w:id="653" w:author="Carly Olig" w:date="2022-05-04T15:51:00Z">
                        <w:r w:rsidDel="00C463FA">
                          <w:rPr>
                            <w:rFonts w:cstheme="minorHAnsi"/>
                            <w:sz w:val="18"/>
                            <w:szCs w:val="18"/>
                            <w:vertAlign w:val="subscript"/>
                          </w:rPr>
                          <w:delText>Utility</w:delText>
                        </w:r>
                      </w:del>
                      <w:r>
                        <w:rPr>
                          <w:rFonts w:cstheme="minorHAnsi"/>
                          <w:sz w:val="18"/>
                          <w:szCs w:val="18"/>
                          <w:vertAlign w:val="superscript"/>
                        </w:rPr>
                        <w:t>3</w:t>
                      </w:r>
                      <w:r>
                        <w:rPr>
                          <w:rFonts w:cstheme="minorHAnsi"/>
                          <w:sz w:val="18"/>
                          <w:szCs w:val="18"/>
                        </w:rPr>
                        <w:t xml:space="preserve"> = 24,000,000 * 0.47 * 0.</w:t>
                      </w:r>
                      <w:ins w:id="654" w:author="Carly Olig" w:date="2022-05-04T15:52:00Z">
                        <w:r>
                          <w:rPr>
                            <w:rFonts w:cstheme="minorHAnsi"/>
                            <w:sz w:val="18"/>
                            <w:szCs w:val="18"/>
                          </w:rPr>
                          <w:t>95</w:t>
                        </w:r>
                      </w:ins>
                      <w:del w:id="655" w:author="Carly Olig" w:date="2022-05-04T15:52:00Z">
                        <w:r w:rsidDel="00B7563A">
                          <w:rPr>
                            <w:rFonts w:cstheme="minorHAnsi"/>
                            <w:sz w:val="18"/>
                            <w:szCs w:val="18"/>
                          </w:rPr>
                          <w:delText>88</w:delText>
                        </w:r>
                      </w:del>
                      <w:r>
                        <w:rPr>
                          <w:rFonts w:cstheme="minorHAnsi"/>
                          <w:sz w:val="18"/>
                          <w:szCs w:val="18"/>
                          <w:vertAlign w:val="superscript"/>
                        </w:rPr>
                        <w:t>3</w:t>
                      </w:r>
                      <w:r>
                        <w:rPr>
                          <w:rFonts w:cstheme="minorHAnsi"/>
                          <w:sz w:val="18"/>
                          <w:szCs w:val="18"/>
                        </w:rPr>
                        <w:t xml:space="preserve">  = </w:t>
                      </w:r>
                      <w:del w:id="656" w:author="Carly Olig" w:date="2022-05-05T15:06:00Z">
                        <w:r w:rsidDel="00B5279A">
                          <w:rPr>
                            <w:rFonts w:cstheme="minorHAnsi"/>
                            <w:sz w:val="18"/>
                            <w:szCs w:val="18"/>
                          </w:rPr>
                          <w:delText>7,687,004</w:delText>
                        </w:r>
                      </w:del>
                      <w:r>
                        <w:rPr>
                          <w:rFonts w:cstheme="minorHAnsi"/>
                          <w:sz w:val="18"/>
                          <w:szCs w:val="18"/>
                        </w:rPr>
                        <w:t xml:space="preserve"> </w:t>
                      </w:r>
                      <w:ins w:id="657" w:author="Carly Olig" w:date="2022-05-05T15:07:00Z">
                        <w:r>
                          <w:rPr>
                            <w:rFonts w:cstheme="minorHAnsi"/>
                            <w:sz w:val="18"/>
                            <w:szCs w:val="18"/>
                          </w:rPr>
                          <w:t>9,671,190</w:t>
                        </w:r>
                      </w:ins>
                      <w:ins w:id="658" w:author="Carly Olig" w:date="2022-05-05T15:06:00Z">
                        <w:r>
                          <w:rPr>
                            <w:rFonts w:cstheme="minorHAnsi"/>
                            <w:sz w:val="18"/>
                            <w:szCs w:val="18"/>
                          </w:rPr>
                          <w:t xml:space="preserve"> </w:t>
                        </w:r>
                      </w:ins>
                      <w:r>
                        <w:rPr>
                          <w:rFonts w:cstheme="minorHAnsi"/>
                          <w:sz w:val="18"/>
                          <w:szCs w:val="18"/>
                        </w:rPr>
                        <w:t>kWh</w:t>
                      </w:r>
                    </w:p>
                    <w:p w14:paraId="326EBF0D" w14:textId="77777777" w:rsidR="009154B8" w:rsidRDefault="009154B8" w:rsidP="009154B8">
                      <w:pPr>
                        <w:spacing w:after="60"/>
                        <w:jc w:val="left"/>
                        <w:rPr>
                          <w:rFonts w:cstheme="minorHAnsi"/>
                          <w:sz w:val="18"/>
                          <w:szCs w:val="18"/>
                        </w:rPr>
                      </w:pPr>
                      <w:r>
                        <w:rPr>
                          <w:rFonts w:cstheme="minorHAnsi"/>
                          <w:sz w:val="18"/>
                          <w:szCs w:val="18"/>
                        </w:rPr>
                        <w:t>Cost-effectiveness benefit of 2021 savings in 2025 = ΔkWh</w:t>
                      </w:r>
                      <w:r>
                        <w:rPr>
                          <w:rFonts w:cstheme="minorHAnsi"/>
                          <w:sz w:val="18"/>
                          <w:szCs w:val="18"/>
                          <w:vertAlign w:val="subscript"/>
                        </w:rPr>
                        <w:t>2021 Adjusted</w:t>
                      </w:r>
                      <w:r>
                        <w:rPr>
                          <w:rFonts w:cstheme="minorHAnsi"/>
                          <w:sz w:val="18"/>
                          <w:szCs w:val="18"/>
                        </w:rPr>
                        <w:t xml:space="preserve"> * PFE</w:t>
                      </w:r>
                      <w:r>
                        <w:rPr>
                          <w:rFonts w:cstheme="minorHAnsi"/>
                          <w:sz w:val="18"/>
                          <w:szCs w:val="18"/>
                          <w:vertAlign w:val="subscript"/>
                        </w:rPr>
                        <w:t>4</w:t>
                      </w:r>
                      <w:r>
                        <w:rPr>
                          <w:rFonts w:cstheme="minorHAnsi"/>
                          <w:sz w:val="18"/>
                          <w:szCs w:val="18"/>
                        </w:rPr>
                        <w:t>*RR</w:t>
                      </w:r>
                      <w:del w:id="659" w:author="Carly Olig" w:date="2022-05-04T15:51:00Z">
                        <w:r w:rsidDel="00C463FA">
                          <w:rPr>
                            <w:rFonts w:cstheme="minorHAnsi"/>
                            <w:sz w:val="18"/>
                            <w:szCs w:val="18"/>
                            <w:vertAlign w:val="subscript"/>
                          </w:rPr>
                          <w:delText>Utility</w:delText>
                        </w:r>
                      </w:del>
                      <w:r>
                        <w:rPr>
                          <w:rFonts w:cstheme="minorHAnsi"/>
                          <w:sz w:val="18"/>
                          <w:szCs w:val="18"/>
                          <w:vertAlign w:val="superscript"/>
                        </w:rPr>
                        <w:t>4</w:t>
                      </w:r>
                      <w:r>
                        <w:rPr>
                          <w:rFonts w:cstheme="minorHAnsi"/>
                          <w:sz w:val="18"/>
                          <w:szCs w:val="18"/>
                        </w:rPr>
                        <w:t xml:space="preserve"> = 24,000,000 * 0.37 * 0.</w:t>
                      </w:r>
                      <w:ins w:id="660" w:author="Carly Olig" w:date="2022-05-04T15:52:00Z">
                        <w:r>
                          <w:rPr>
                            <w:rFonts w:cstheme="minorHAnsi"/>
                            <w:sz w:val="18"/>
                            <w:szCs w:val="18"/>
                          </w:rPr>
                          <w:t>95</w:t>
                        </w:r>
                      </w:ins>
                      <w:del w:id="661" w:author="Carly Olig" w:date="2022-05-04T15:52:00Z">
                        <w:r w:rsidDel="00B7563A">
                          <w:rPr>
                            <w:rFonts w:cstheme="minorHAnsi"/>
                            <w:sz w:val="18"/>
                            <w:szCs w:val="18"/>
                          </w:rPr>
                          <w:delText>88</w:delText>
                        </w:r>
                      </w:del>
                      <w:r>
                        <w:rPr>
                          <w:rFonts w:cstheme="minorHAnsi"/>
                          <w:sz w:val="18"/>
                          <w:szCs w:val="18"/>
                          <w:vertAlign w:val="superscript"/>
                        </w:rPr>
                        <w:t>4</w:t>
                      </w:r>
                      <w:r>
                        <w:rPr>
                          <w:rFonts w:cstheme="minorHAnsi"/>
                          <w:sz w:val="18"/>
                          <w:szCs w:val="18"/>
                        </w:rPr>
                        <w:t xml:space="preserve">  = </w:t>
                      </w:r>
                      <w:del w:id="662" w:author="Carly Olig" w:date="2022-05-05T15:06:00Z">
                        <w:r w:rsidDel="006B1073">
                          <w:rPr>
                            <w:rFonts w:cstheme="minorHAnsi"/>
                            <w:sz w:val="18"/>
                            <w:szCs w:val="18"/>
                          </w:rPr>
                          <w:delText>5,325,295</w:delText>
                        </w:r>
                      </w:del>
                      <w:ins w:id="663" w:author="Carly Olig" w:date="2022-05-05T15:06:00Z">
                        <w:r>
                          <w:rPr>
                            <w:rFonts w:cstheme="minorHAnsi"/>
                            <w:sz w:val="18"/>
                            <w:szCs w:val="18"/>
                          </w:rPr>
                          <w:t xml:space="preserve"> </w:t>
                        </w:r>
                      </w:ins>
                      <w:ins w:id="664" w:author="Carly Olig" w:date="2022-05-05T15:07:00Z">
                        <w:r>
                          <w:rPr>
                            <w:rFonts w:cstheme="minorHAnsi"/>
                            <w:sz w:val="18"/>
                            <w:szCs w:val="18"/>
                          </w:rPr>
                          <w:t>7,232,816</w:t>
                        </w:r>
                      </w:ins>
                      <w:r>
                        <w:rPr>
                          <w:rFonts w:cstheme="minorHAnsi"/>
                          <w:sz w:val="18"/>
                          <w:szCs w:val="18"/>
                        </w:rPr>
                        <w:t xml:space="preserve"> kWh</w:t>
                      </w:r>
                    </w:p>
                    <w:p w14:paraId="5DA412DD" w14:textId="77777777" w:rsidR="009154B8" w:rsidRDefault="009154B8" w:rsidP="009154B8">
                      <w:pPr>
                        <w:spacing w:after="60"/>
                        <w:jc w:val="left"/>
                        <w:rPr>
                          <w:rFonts w:cstheme="minorHAnsi"/>
                          <w:sz w:val="18"/>
                          <w:szCs w:val="18"/>
                        </w:rPr>
                      </w:pPr>
                      <w:r>
                        <w:rPr>
                          <w:rFonts w:cstheme="minorHAnsi"/>
                          <w:sz w:val="18"/>
                          <w:szCs w:val="18"/>
                        </w:rPr>
                        <w:t>Cost-effectiveness benefit of 2021 savings in 2026 = ΔkWh</w:t>
                      </w:r>
                      <w:r>
                        <w:rPr>
                          <w:rFonts w:cstheme="minorHAnsi"/>
                          <w:sz w:val="18"/>
                          <w:szCs w:val="18"/>
                          <w:vertAlign w:val="subscript"/>
                        </w:rPr>
                        <w:t>2021 Adjusted</w:t>
                      </w:r>
                      <w:r>
                        <w:rPr>
                          <w:rFonts w:cstheme="minorHAnsi"/>
                          <w:sz w:val="18"/>
                          <w:szCs w:val="18"/>
                        </w:rPr>
                        <w:t xml:space="preserve"> * PFE</w:t>
                      </w:r>
                      <w:r>
                        <w:rPr>
                          <w:rFonts w:cstheme="minorHAnsi"/>
                          <w:sz w:val="18"/>
                          <w:szCs w:val="18"/>
                          <w:vertAlign w:val="subscript"/>
                        </w:rPr>
                        <w:t>5</w:t>
                      </w:r>
                      <w:r>
                        <w:rPr>
                          <w:rFonts w:cstheme="minorHAnsi"/>
                          <w:sz w:val="18"/>
                          <w:szCs w:val="18"/>
                        </w:rPr>
                        <w:t>*RR</w:t>
                      </w:r>
                      <w:del w:id="665" w:author="Carly Olig" w:date="2022-05-04T15:51:00Z">
                        <w:r w:rsidDel="00C463FA">
                          <w:rPr>
                            <w:rFonts w:cstheme="minorHAnsi"/>
                            <w:sz w:val="18"/>
                            <w:szCs w:val="18"/>
                            <w:vertAlign w:val="subscript"/>
                          </w:rPr>
                          <w:delText>Utility</w:delText>
                        </w:r>
                      </w:del>
                      <w:r>
                        <w:rPr>
                          <w:rFonts w:cstheme="minorHAnsi"/>
                          <w:sz w:val="18"/>
                          <w:szCs w:val="18"/>
                          <w:vertAlign w:val="superscript"/>
                        </w:rPr>
                        <w:t>5</w:t>
                      </w:r>
                      <w:r>
                        <w:rPr>
                          <w:rFonts w:cstheme="minorHAnsi"/>
                          <w:sz w:val="18"/>
                          <w:szCs w:val="18"/>
                        </w:rPr>
                        <w:t xml:space="preserve"> = 24,000,000 * 0.29 * 0.</w:t>
                      </w:r>
                      <w:ins w:id="666" w:author="Carly Olig" w:date="2022-05-04T15:52:00Z">
                        <w:r>
                          <w:rPr>
                            <w:rFonts w:cstheme="minorHAnsi"/>
                            <w:sz w:val="18"/>
                            <w:szCs w:val="18"/>
                          </w:rPr>
                          <w:t>95</w:t>
                        </w:r>
                      </w:ins>
                      <w:del w:id="667" w:author="Carly Olig" w:date="2022-05-04T15:52:00Z">
                        <w:r w:rsidDel="00B7563A">
                          <w:rPr>
                            <w:rFonts w:cstheme="minorHAnsi"/>
                            <w:sz w:val="18"/>
                            <w:szCs w:val="18"/>
                          </w:rPr>
                          <w:delText>88</w:delText>
                        </w:r>
                      </w:del>
                      <w:r>
                        <w:rPr>
                          <w:rFonts w:cstheme="minorHAnsi"/>
                          <w:sz w:val="18"/>
                          <w:szCs w:val="18"/>
                          <w:vertAlign w:val="superscript"/>
                        </w:rPr>
                        <w:t>5</w:t>
                      </w:r>
                      <w:r>
                        <w:rPr>
                          <w:rFonts w:cstheme="minorHAnsi"/>
                          <w:sz w:val="18"/>
                          <w:szCs w:val="18"/>
                        </w:rPr>
                        <w:t xml:space="preserve">  = </w:t>
                      </w:r>
                      <w:del w:id="668" w:author="Carly Olig" w:date="2022-05-05T15:08:00Z">
                        <w:r w:rsidDel="00B8489B">
                          <w:rPr>
                            <w:rFonts w:cstheme="minorHAnsi"/>
                            <w:sz w:val="18"/>
                            <w:szCs w:val="18"/>
                          </w:rPr>
                          <w:delText>3,673,014</w:delText>
                        </w:r>
                      </w:del>
                      <w:ins w:id="669" w:author="Carly Olig" w:date="2022-05-05T15:08:00Z">
                        <w:r>
                          <w:rPr>
                            <w:rFonts w:cstheme="minorHAnsi"/>
                            <w:sz w:val="18"/>
                            <w:szCs w:val="18"/>
                          </w:rPr>
                          <w:t xml:space="preserve"> 5,385,515</w:t>
                        </w:r>
                      </w:ins>
                      <w:r>
                        <w:rPr>
                          <w:rFonts w:cstheme="minorHAnsi"/>
                          <w:sz w:val="18"/>
                          <w:szCs w:val="18"/>
                        </w:rPr>
                        <w:t xml:space="preserve"> kWh</w:t>
                      </w:r>
                    </w:p>
                    <w:p w14:paraId="7A748A83" w14:textId="77777777" w:rsidR="009154B8" w:rsidRDefault="009154B8" w:rsidP="009154B8">
                      <w:pPr>
                        <w:spacing w:after="60"/>
                        <w:jc w:val="left"/>
                        <w:rPr>
                          <w:rFonts w:cstheme="minorHAnsi"/>
                          <w:sz w:val="18"/>
                          <w:szCs w:val="18"/>
                        </w:rPr>
                      </w:pPr>
                      <w:r>
                        <w:rPr>
                          <w:rFonts w:cstheme="minorHAnsi"/>
                          <w:sz w:val="18"/>
                          <w:szCs w:val="18"/>
                        </w:rPr>
                        <w:t>Cost-effectiveness benefit of 2021 savings in 2027 = ΔkWh</w:t>
                      </w:r>
                      <w:r>
                        <w:rPr>
                          <w:rFonts w:cstheme="minorHAnsi"/>
                          <w:sz w:val="18"/>
                          <w:szCs w:val="18"/>
                          <w:vertAlign w:val="subscript"/>
                        </w:rPr>
                        <w:t>2021 Adjusted</w:t>
                      </w:r>
                      <w:r>
                        <w:rPr>
                          <w:rFonts w:cstheme="minorHAnsi"/>
                          <w:sz w:val="18"/>
                          <w:szCs w:val="18"/>
                        </w:rPr>
                        <w:t xml:space="preserve"> * PFE</w:t>
                      </w:r>
                      <w:r>
                        <w:rPr>
                          <w:rFonts w:cstheme="minorHAnsi"/>
                          <w:sz w:val="18"/>
                          <w:szCs w:val="18"/>
                          <w:vertAlign w:val="subscript"/>
                        </w:rPr>
                        <w:t>6</w:t>
                      </w:r>
                      <w:r>
                        <w:rPr>
                          <w:rFonts w:cstheme="minorHAnsi"/>
                          <w:sz w:val="18"/>
                          <w:szCs w:val="18"/>
                        </w:rPr>
                        <w:t>*RR</w:t>
                      </w:r>
                      <w:del w:id="670" w:author="Carly Olig" w:date="2022-05-04T15:51:00Z">
                        <w:r w:rsidDel="00C463FA">
                          <w:rPr>
                            <w:rFonts w:cstheme="minorHAnsi"/>
                            <w:sz w:val="18"/>
                            <w:szCs w:val="18"/>
                            <w:vertAlign w:val="subscript"/>
                          </w:rPr>
                          <w:delText>Utility</w:delText>
                        </w:r>
                      </w:del>
                      <w:r>
                        <w:rPr>
                          <w:rFonts w:cstheme="minorHAnsi"/>
                          <w:sz w:val="18"/>
                          <w:szCs w:val="18"/>
                          <w:vertAlign w:val="superscript"/>
                        </w:rPr>
                        <w:t>6</w:t>
                      </w:r>
                      <w:r>
                        <w:rPr>
                          <w:rFonts w:cstheme="minorHAnsi"/>
                          <w:sz w:val="18"/>
                          <w:szCs w:val="18"/>
                        </w:rPr>
                        <w:t xml:space="preserve"> = 24,000,000 * 0.23 * 0.</w:t>
                      </w:r>
                      <w:ins w:id="671" w:author="Carly Olig" w:date="2022-05-04T15:52:00Z">
                        <w:r>
                          <w:rPr>
                            <w:rFonts w:cstheme="minorHAnsi"/>
                            <w:sz w:val="18"/>
                            <w:szCs w:val="18"/>
                          </w:rPr>
                          <w:t>95</w:t>
                        </w:r>
                      </w:ins>
                      <w:del w:id="672" w:author="Carly Olig" w:date="2022-05-04T15:52:00Z">
                        <w:r w:rsidDel="00B7563A">
                          <w:rPr>
                            <w:rFonts w:cstheme="minorHAnsi"/>
                            <w:sz w:val="18"/>
                            <w:szCs w:val="18"/>
                          </w:rPr>
                          <w:delText>88</w:delText>
                        </w:r>
                      </w:del>
                      <w:r>
                        <w:rPr>
                          <w:rFonts w:cstheme="minorHAnsi"/>
                          <w:sz w:val="18"/>
                          <w:szCs w:val="18"/>
                          <w:vertAlign w:val="superscript"/>
                        </w:rPr>
                        <w:t>6</w:t>
                      </w:r>
                      <w:r>
                        <w:rPr>
                          <w:rFonts w:cstheme="minorHAnsi"/>
                          <w:sz w:val="18"/>
                          <w:szCs w:val="18"/>
                        </w:rPr>
                        <w:t xml:space="preserve">  = </w:t>
                      </w:r>
                      <w:del w:id="673" w:author="Carly Olig" w:date="2022-05-05T15:08:00Z">
                        <w:r w:rsidDel="00B8489B">
                          <w:rPr>
                            <w:rFonts w:cstheme="minorHAnsi"/>
                            <w:sz w:val="18"/>
                            <w:szCs w:val="18"/>
                          </w:rPr>
                          <w:delText>2,563,511</w:delText>
                        </w:r>
                      </w:del>
                      <w:ins w:id="674" w:author="Carly Olig" w:date="2022-05-05T15:08:00Z">
                        <w:r>
                          <w:rPr>
                            <w:rFonts w:cstheme="minorHAnsi"/>
                            <w:sz w:val="18"/>
                            <w:szCs w:val="18"/>
                          </w:rPr>
                          <w:t>4,057,707</w:t>
                        </w:r>
                      </w:ins>
                      <w:r>
                        <w:rPr>
                          <w:rFonts w:cstheme="minorHAnsi"/>
                          <w:sz w:val="18"/>
                          <w:szCs w:val="18"/>
                        </w:rPr>
                        <w:t xml:space="preserve"> kWh</w:t>
                      </w:r>
                    </w:p>
                    <w:p w14:paraId="63F2C8CF" w14:textId="77777777" w:rsidR="009154B8" w:rsidRDefault="009154B8" w:rsidP="009154B8">
                      <w:pPr>
                        <w:spacing w:before="120" w:after="60"/>
                        <w:rPr>
                          <w:rFonts w:cstheme="minorHAnsi"/>
                          <w:b/>
                          <w:sz w:val="18"/>
                          <w:szCs w:val="18"/>
                          <w:u w:val="single"/>
                        </w:rPr>
                      </w:pPr>
                      <w:r>
                        <w:rPr>
                          <w:rFonts w:cstheme="minorHAnsi"/>
                          <w:b/>
                          <w:sz w:val="18"/>
                          <w:szCs w:val="18"/>
                          <w:u w:val="single"/>
                        </w:rPr>
                        <w:t>Inputs for calculating cost effectiveness in 2022:</w:t>
                      </w:r>
                    </w:p>
                    <w:p w14:paraId="740EABE6" w14:textId="77777777" w:rsidR="009154B8" w:rsidRDefault="009154B8" w:rsidP="009154B8">
                      <w:pPr>
                        <w:spacing w:after="60"/>
                        <w:jc w:val="left"/>
                        <w:rPr>
                          <w:rFonts w:cstheme="minorHAnsi"/>
                          <w:sz w:val="18"/>
                          <w:szCs w:val="18"/>
                        </w:rPr>
                      </w:pPr>
                      <w:r>
                        <w:rPr>
                          <w:rFonts w:cstheme="minorHAnsi"/>
                          <w:sz w:val="18"/>
                          <w:szCs w:val="18"/>
                        </w:rPr>
                        <w:t>Cost-effectiveness benefit of 2022 savings in 2023 = ΔkWh</w:t>
                      </w:r>
                      <w:r>
                        <w:rPr>
                          <w:rFonts w:cstheme="minorHAnsi"/>
                          <w:sz w:val="18"/>
                          <w:szCs w:val="18"/>
                          <w:vertAlign w:val="subscript"/>
                        </w:rPr>
                        <w:t>2022 Adjusted</w:t>
                      </w:r>
                      <w:r>
                        <w:rPr>
                          <w:rFonts w:cstheme="minorHAnsi"/>
                          <w:sz w:val="18"/>
                          <w:szCs w:val="18"/>
                        </w:rPr>
                        <w:t xml:space="preserve"> * PFE</w:t>
                      </w:r>
                      <w:r>
                        <w:rPr>
                          <w:rFonts w:cstheme="minorHAnsi"/>
                          <w:sz w:val="18"/>
                          <w:szCs w:val="18"/>
                          <w:vertAlign w:val="subscript"/>
                        </w:rPr>
                        <w:t>1</w:t>
                      </w:r>
                      <w:r>
                        <w:rPr>
                          <w:rFonts w:cstheme="minorHAnsi"/>
                          <w:sz w:val="18"/>
                          <w:szCs w:val="18"/>
                        </w:rPr>
                        <w:t>*RR</w:t>
                      </w:r>
                      <w:del w:id="675" w:author="Carly Olig" w:date="2022-05-04T15:51:00Z">
                        <w:r w:rsidDel="00C463FA">
                          <w:rPr>
                            <w:rFonts w:cstheme="minorHAnsi"/>
                            <w:sz w:val="18"/>
                            <w:szCs w:val="18"/>
                            <w:vertAlign w:val="subscript"/>
                          </w:rPr>
                          <w:delText>Utility</w:delText>
                        </w:r>
                      </w:del>
                      <w:r>
                        <w:rPr>
                          <w:rFonts w:cstheme="minorHAnsi"/>
                          <w:sz w:val="18"/>
                          <w:szCs w:val="18"/>
                        </w:rPr>
                        <w:t xml:space="preserve"> = </w:t>
                      </w:r>
                      <w:del w:id="676" w:author="Carly Olig" w:date="2022-05-05T15:10:00Z">
                        <w:r w:rsidDel="00422875">
                          <w:rPr>
                            <w:rFonts w:ascii="Calibri" w:hAnsi="Calibri"/>
                            <w:color w:val="000000"/>
                            <w:sz w:val="18"/>
                            <w:szCs w:val="18"/>
                          </w:rPr>
                          <w:delText>10,252,240</w:delText>
                        </w:r>
                      </w:del>
                      <w:ins w:id="677" w:author="Carly Olig" w:date="2022-05-05T15:10:00Z">
                        <w:r>
                          <w:rPr>
                            <w:rFonts w:ascii="Calibri" w:hAnsi="Calibri"/>
                            <w:color w:val="000000"/>
                            <w:sz w:val="18"/>
                            <w:szCs w:val="18"/>
                          </w:rPr>
                          <w:t>9,4</w:t>
                        </w:r>
                      </w:ins>
                      <w:ins w:id="678" w:author="Carly Olig" w:date="2022-05-05T15:11:00Z">
                        <w:r>
                          <w:rPr>
                            <w:rFonts w:ascii="Calibri" w:hAnsi="Calibri"/>
                            <w:color w:val="000000"/>
                            <w:sz w:val="18"/>
                            <w:szCs w:val="18"/>
                          </w:rPr>
                          <w:t>66,000</w:t>
                        </w:r>
                      </w:ins>
                      <w:r>
                        <w:rPr>
                          <w:rFonts w:ascii="Calibri" w:hAnsi="Calibri"/>
                          <w:color w:val="000000"/>
                          <w:sz w:val="16"/>
                          <w:szCs w:val="16"/>
                        </w:rPr>
                        <w:t xml:space="preserve"> </w:t>
                      </w:r>
                      <w:r>
                        <w:rPr>
                          <w:rFonts w:cstheme="minorHAnsi"/>
                          <w:sz w:val="18"/>
                          <w:szCs w:val="18"/>
                        </w:rPr>
                        <w:t>* 0.78 * 0.</w:t>
                      </w:r>
                      <w:del w:id="679" w:author="Carly Olig" w:date="2022-05-04T15:59:00Z">
                        <w:r w:rsidDel="00BA717D">
                          <w:rPr>
                            <w:rFonts w:cstheme="minorHAnsi"/>
                            <w:sz w:val="18"/>
                            <w:szCs w:val="18"/>
                          </w:rPr>
                          <w:delText>88</w:delText>
                        </w:r>
                      </w:del>
                      <w:ins w:id="680" w:author="Carly Olig" w:date="2022-05-04T15:59:00Z">
                        <w:r>
                          <w:rPr>
                            <w:rFonts w:cstheme="minorHAnsi"/>
                            <w:sz w:val="18"/>
                            <w:szCs w:val="18"/>
                          </w:rPr>
                          <w:t>95</w:t>
                        </w:r>
                      </w:ins>
                      <w:r>
                        <w:rPr>
                          <w:rFonts w:cstheme="minorHAnsi"/>
                          <w:sz w:val="18"/>
                          <w:szCs w:val="18"/>
                        </w:rPr>
                        <w:t xml:space="preserve"> = </w:t>
                      </w:r>
                      <w:del w:id="681" w:author="Carly Olig" w:date="2022-05-05T15:11:00Z">
                        <w:r w:rsidDel="00F55D51">
                          <w:rPr>
                            <w:rFonts w:cstheme="minorHAnsi"/>
                            <w:sz w:val="18"/>
                            <w:szCs w:val="18"/>
                          </w:rPr>
                          <w:delText>7,037,138</w:delText>
                        </w:r>
                      </w:del>
                      <w:ins w:id="682" w:author="Carly Olig" w:date="2022-05-05T15:11:00Z">
                        <w:r>
                          <w:rPr>
                            <w:rFonts w:cstheme="minorHAnsi"/>
                            <w:sz w:val="18"/>
                            <w:szCs w:val="18"/>
                          </w:rPr>
                          <w:t>7,014,306</w:t>
                        </w:r>
                      </w:ins>
                      <w:r>
                        <w:rPr>
                          <w:rFonts w:cstheme="minorHAnsi"/>
                          <w:sz w:val="18"/>
                          <w:szCs w:val="18"/>
                        </w:rPr>
                        <w:t xml:space="preserve"> kWh</w:t>
                      </w:r>
                    </w:p>
                    <w:p w14:paraId="71E59CAC" w14:textId="77777777" w:rsidR="009154B8" w:rsidRDefault="009154B8" w:rsidP="009154B8">
                      <w:pPr>
                        <w:spacing w:after="60"/>
                        <w:jc w:val="left"/>
                        <w:rPr>
                          <w:rFonts w:cstheme="minorHAnsi"/>
                          <w:sz w:val="18"/>
                          <w:szCs w:val="18"/>
                        </w:rPr>
                      </w:pPr>
                      <w:r>
                        <w:rPr>
                          <w:rFonts w:cstheme="minorHAnsi"/>
                          <w:sz w:val="18"/>
                          <w:szCs w:val="18"/>
                        </w:rPr>
                        <w:t>Cost-effectiveness benefit of 2022 savings in 2024 = ΔkWh</w:t>
                      </w:r>
                      <w:r>
                        <w:rPr>
                          <w:rFonts w:cstheme="minorHAnsi"/>
                          <w:sz w:val="18"/>
                          <w:szCs w:val="18"/>
                          <w:vertAlign w:val="subscript"/>
                        </w:rPr>
                        <w:t>2022 Adjusted</w:t>
                      </w:r>
                      <w:r>
                        <w:rPr>
                          <w:rFonts w:cstheme="minorHAnsi"/>
                          <w:sz w:val="18"/>
                          <w:szCs w:val="18"/>
                        </w:rPr>
                        <w:t xml:space="preserve"> * PFE</w:t>
                      </w:r>
                      <w:r>
                        <w:rPr>
                          <w:rFonts w:cstheme="minorHAnsi"/>
                          <w:sz w:val="18"/>
                          <w:szCs w:val="18"/>
                          <w:vertAlign w:val="subscript"/>
                        </w:rPr>
                        <w:t>2</w:t>
                      </w:r>
                      <w:r>
                        <w:rPr>
                          <w:rFonts w:cstheme="minorHAnsi"/>
                          <w:sz w:val="18"/>
                          <w:szCs w:val="18"/>
                        </w:rPr>
                        <w:t>*RR</w:t>
                      </w:r>
                      <w:del w:id="683" w:author="Carly Olig" w:date="2022-05-04T15:51:00Z">
                        <w:r w:rsidDel="00C463FA">
                          <w:rPr>
                            <w:rFonts w:cstheme="minorHAnsi"/>
                            <w:sz w:val="18"/>
                            <w:szCs w:val="18"/>
                            <w:vertAlign w:val="subscript"/>
                          </w:rPr>
                          <w:delText>Utility</w:delText>
                        </w:r>
                      </w:del>
                      <w:r>
                        <w:rPr>
                          <w:rFonts w:cstheme="minorHAnsi"/>
                          <w:sz w:val="18"/>
                          <w:szCs w:val="18"/>
                          <w:vertAlign w:val="superscript"/>
                        </w:rPr>
                        <w:t>2</w:t>
                      </w:r>
                      <w:r>
                        <w:rPr>
                          <w:rFonts w:cstheme="minorHAnsi"/>
                          <w:sz w:val="18"/>
                          <w:szCs w:val="18"/>
                        </w:rPr>
                        <w:t xml:space="preserve"> = </w:t>
                      </w:r>
                      <w:ins w:id="684" w:author="Carly Olig" w:date="2022-05-05T15:11:00Z">
                        <w:r>
                          <w:rPr>
                            <w:rFonts w:ascii="Calibri" w:hAnsi="Calibri"/>
                            <w:color w:val="000000"/>
                            <w:sz w:val="18"/>
                            <w:szCs w:val="18"/>
                          </w:rPr>
                          <w:t>9,466,000</w:t>
                        </w:r>
                        <w:r>
                          <w:rPr>
                            <w:rFonts w:ascii="Calibri" w:hAnsi="Calibri"/>
                            <w:color w:val="000000"/>
                            <w:sz w:val="16"/>
                            <w:szCs w:val="16"/>
                          </w:rPr>
                          <w:t xml:space="preserve"> </w:t>
                        </w:r>
                      </w:ins>
                      <w:del w:id="685" w:author="Carly Olig" w:date="2022-05-05T15:11:00Z">
                        <w:r w:rsidDel="00422875">
                          <w:rPr>
                            <w:rFonts w:ascii="Calibri" w:hAnsi="Calibri"/>
                            <w:color w:val="000000"/>
                            <w:sz w:val="18"/>
                            <w:szCs w:val="18"/>
                          </w:rPr>
                          <w:delText>10,252,240</w:delText>
                        </w:r>
                        <w:r w:rsidDel="00422875">
                          <w:rPr>
                            <w:rFonts w:ascii="Calibri" w:hAnsi="Calibri"/>
                            <w:color w:val="000000"/>
                            <w:sz w:val="16"/>
                            <w:szCs w:val="16"/>
                          </w:rPr>
                          <w:delText xml:space="preserve"> </w:delText>
                        </w:r>
                      </w:del>
                      <w:r>
                        <w:rPr>
                          <w:rFonts w:cstheme="minorHAnsi"/>
                          <w:sz w:val="18"/>
                          <w:szCs w:val="18"/>
                        </w:rPr>
                        <w:t>* 0.61 * 0.</w:t>
                      </w:r>
                      <w:ins w:id="686" w:author="Carly Olig" w:date="2022-05-04T15:59:00Z">
                        <w:r>
                          <w:rPr>
                            <w:rFonts w:cstheme="minorHAnsi"/>
                            <w:sz w:val="18"/>
                            <w:szCs w:val="18"/>
                          </w:rPr>
                          <w:t>95</w:t>
                        </w:r>
                      </w:ins>
                      <w:del w:id="687" w:author="Carly Olig" w:date="2022-05-04T15:59:00Z">
                        <w:r w:rsidDel="00BA717D">
                          <w:rPr>
                            <w:rFonts w:cstheme="minorHAnsi"/>
                            <w:sz w:val="18"/>
                            <w:szCs w:val="18"/>
                          </w:rPr>
                          <w:delText>88</w:delText>
                        </w:r>
                      </w:del>
                      <w:r>
                        <w:rPr>
                          <w:rFonts w:cstheme="minorHAnsi"/>
                          <w:sz w:val="18"/>
                          <w:szCs w:val="18"/>
                          <w:vertAlign w:val="superscript"/>
                        </w:rPr>
                        <w:t>2</w:t>
                      </w:r>
                      <w:r>
                        <w:rPr>
                          <w:rFonts w:cstheme="minorHAnsi"/>
                          <w:sz w:val="18"/>
                          <w:szCs w:val="18"/>
                        </w:rPr>
                        <w:t xml:space="preserve"> = </w:t>
                      </w:r>
                      <w:del w:id="688" w:author="Carly Olig" w:date="2022-05-05T15:11:00Z">
                        <w:r w:rsidDel="00F55D51">
                          <w:rPr>
                            <w:rFonts w:cstheme="minorHAnsi"/>
                            <w:sz w:val="18"/>
                            <w:szCs w:val="18"/>
                          </w:rPr>
                          <w:delText>4,842,994</w:delText>
                        </w:r>
                      </w:del>
                      <w:ins w:id="689" w:author="Carly Olig" w:date="2022-05-05T15:11:00Z">
                        <w:r>
                          <w:rPr>
                            <w:rFonts w:cstheme="minorHAnsi"/>
                            <w:sz w:val="18"/>
                            <w:szCs w:val="18"/>
                          </w:rPr>
                          <w:t>5,211,270</w:t>
                        </w:r>
                      </w:ins>
                      <w:r>
                        <w:rPr>
                          <w:rFonts w:cstheme="minorHAnsi"/>
                          <w:sz w:val="18"/>
                          <w:szCs w:val="18"/>
                        </w:rPr>
                        <w:t xml:space="preserve"> kWh</w:t>
                      </w:r>
                    </w:p>
                    <w:p w14:paraId="10B87816" w14:textId="77777777" w:rsidR="009154B8" w:rsidRDefault="009154B8" w:rsidP="009154B8">
                      <w:pPr>
                        <w:spacing w:after="60"/>
                        <w:jc w:val="left"/>
                        <w:rPr>
                          <w:rFonts w:cstheme="minorHAnsi"/>
                          <w:sz w:val="18"/>
                          <w:szCs w:val="18"/>
                        </w:rPr>
                      </w:pPr>
                      <w:r>
                        <w:rPr>
                          <w:rFonts w:cstheme="minorHAnsi"/>
                          <w:sz w:val="18"/>
                          <w:szCs w:val="18"/>
                        </w:rPr>
                        <w:t>Cost-effectiveness benefit of 2022 savings in 2025 = ΔkWh</w:t>
                      </w:r>
                      <w:r>
                        <w:rPr>
                          <w:rFonts w:cstheme="minorHAnsi"/>
                          <w:sz w:val="18"/>
                          <w:szCs w:val="18"/>
                          <w:vertAlign w:val="subscript"/>
                        </w:rPr>
                        <w:t>2022 Adjusted</w:t>
                      </w:r>
                      <w:r>
                        <w:rPr>
                          <w:rFonts w:cstheme="minorHAnsi"/>
                          <w:sz w:val="18"/>
                          <w:szCs w:val="18"/>
                        </w:rPr>
                        <w:t xml:space="preserve"> * PFE</w:t>
                      </w:r>
                      <w:r>
                        <w:rPr>
                          <w:rFonts w:cstheme="minorHAnsi"/>
                          <w:sz w:val="18"/>
                          <w:szCs w:val="18"/>
                          <w:vertAlign w:val="subscript"/>
                        </w:rPr>
                        <w:t>3</w:t>
                      </w:r>
                      <w:r>
                        <w:rPr>
                          <w:rFonts w:cstheme="minorHAnsi"/>
                          <w:sz w:val="18"/>
                          <w:szCs w:val="18"/>
                        </w:rPr>
                        <w:t>*RR</w:t>
                      </w:r>
                      <w:del w:id="690" w:author="Carly Olig" w:date="2022-05-04T15:51:00Z">
                        <w:r w:rsidDel="00C463FA">
                          <w:rPr>
                            <w:rFonts w:cstheme="minorHAnsi"/>
                            <w:sz w:val="18"/>
                            <w:szCs w:val="18"/>
                            <w:vertAlign w:val="subscript"/>
                          </w:rPr>
                          <w:delText>Utility</w:delText>
                        </w:r>
                      </w:del>
                      <w:r>
                        <w:rPr>
                          <w:rFonts w:cstheme="minorHAnsi"/>
                          <w:sz w:val="18"/>
                          <w:szCs w:val="18"/>
                          <w:vertAlign w:val="superscript"/>
                        </w:rPr>
                        <w:t>3</w:t>
                      </w:r>
                      <w:r>
                        <w:rPr>
                          <w:rFonts w:cstheme="minorHAnsi"/>
                          <w:sz w:val="18"/>
                          <w:szCs w:val="18"/>
                        </w:rPr>
                        <w:t xml:space="preserve"> = </w:t>
                      </w:r>
                      <w:ins w:id="691" w:author="Carly Olig" w:date="2022-05-05T15:11:00Z">
                        <w:r>
                          <w:rPr>
                            <w:rFonts w:ascii="Calibri" w:hAnsi="Calibri"/>
                            <w:color w:val="000000"/>
                            <w:sz w:val="18"/>
                            <w:szCs w:val="18"/>
                          </w:rPr>
                          <w:t>9,466,000</w:t>
                        </w:r>
                        <w:r>
                          <w:rPr>
                            <w:rFonts w:ascii="Calibri" w:hAnsi="Calibri"/>
                            <w:color w:val="000000"/>
                            <w:sz w:val="16"/>
                            <w:szCs w:val="16"/>
                          </w:rPr>
                          <w:t xml:space="preserve"> </w:t>
                        </w:r>
                      </w:ins>
                      <w:del w:id="692" w:author="Carly Olig" w:date="2022-05-05T15:11:00Z">
                        <w:r w:rsidDel="00422875">
                          <w:rPr>
                            <w:rFonts w:ascii="Calibri" w:hAnsi="Calibri"/>
                            <w:color w:val="000000"/>
                            <w:sz w:val="18"/>
                            <w:szCs w:val="18"/>
                          </w:rPr>
                          <w:delText>10,252,240</w:delText>
                        </w:r>
                        <w:r w:rsidDel="00422875">
                          <w:rPr>
                            <w:rFonts w:ascii="Calibri" w:hAnsi="Calibri"/>
                            <w:color w:val="000000"/>
                            <w:sz w:val="16"/>
                            <w:szCs w:val="16"/>
                          </w:rPr>
                          <w:delText xml:space="preserve"> </w:delText>
                        </w:r>
                      </w:del>
                      <w:r>
                        <w:rPr>
                          <w:rFonts w:cstheme="minorHAnsi"/>
                          <w:sz w:val="18"/>
                          <w:szCs w:val="18"/>
                        </w:rPr>
                        <w:t>* 0.47 * 0.</w:t>
                      </w:r>
                      <w:ins w:id="693" w:author="Carly Olig" w:date="2022-05-04T15:59:00Z">
                        <w:r>
                          <w:rPr>
                            <w:rFonts w:cstheme="minorHAnsi"/>
                            <w:sz w:val="18"/>
                            <w:szCs w:val="18"/>
                          </w:rPr>
                          <w:t>95</w:t>
                        </w:r>
                      </w:ins>
                      <w:del w:id="694" w:author="Carly Olig" w:date="2022-05-04T15:59:00Z">
                        <w:r w:rsidDel="00BA717D">
                          <w:rPr>
                            <w:rFonts w:cstheme="minorHAnsi"/>
                            <w:sz w:val="18"/>
                            <w:szCs w:val="18"/>
                          </w:rPr>
                          <w:delText>88</w:delText>
                        </w:r>
                      </w:del>
                      <w:r>
                        <w:rPr>
                          <w:rFonts w:cstheme="minorHAnsi"/>
                          <w:sz w:val="18"/>
                          <w:szCs w:val="18"/>
                          <w:vertAlign w:val="superscript"/>
                        </w:rPr>
                        <w:t>3</w:t>
                      </w:r>
                      <w:r>
                        <w:rPr>
                          <w:rFonts w:cstheme="minorHAnsi"/>
                          <w:sz w:val="18"/>
                          <w:szCs w:val="18"/>
                        </w:rPr>
                        <w:t xml:space="preserve">   = </w:t>
                      </w:r>
                      <w:del w:id="695" w:author="Carly Olig" w:date="2022-05-05T15:12:00Z">
                        <w:r w:rsidDel="0098675B">
                          <w:rPr>
                            <w:rFonts w:cstheme="minorHAnsi"/>
                            <w:sz w:val="18"/>
                            <w:szCs w:val="18"/>
                          </w:rPr>
                          <w:delText>3,283,709</w:delText>
                        </w:r>
                      </w:del>
                      <w:ins w:id="696" w:author="Carly Olig" w:date="2022-05-05T15:12:00Z">
                        <w:r>
                          <w:rPr>
                            <w:rFonts w:cstheme="minorHAnsi"/>
                            <w:sz w:val="18"/>
                            <w:szCs w:val="18"/>
                          </w:rPr>
                          <w:t>3,814,479</w:t>
                        </w:r>
                      </w:ins>
                      <w:r>
                        <w:rPr>
                          <w:rFonts w:cstheme="minorHAnsi"/>
                          <w:sz w:val="18"/>
                          <w:szCs w:val="18"/>
                        </w:rPr>
                        <w:t xml:space="preserve"> kWh</w:t>
                      </w:r>
                    </w:p>
                    <w:p w14:paraId="0FE39260" w14:textId="77777777" w:rsidR="009154B8" w:rsidRDefault="009154B8" w:rsidP="009154B8">
                      <w:pPr>
                        <w:spacing w:after="60"/>
                        <w:jc w:val="left"/>
                        <w:rPr>
                          <w:rFonts w:cstheme="minorHAnsi"/>
                          <w:sz w:val="18"/>
                          <w:szCs w:val="18"/>
                        </w:rPr>
                      </w:pPr>
                      <w:r>
                        <w:rPr>
                          <w:rFonts w:cstheme="minorHAnsi"/>
                          <w:sz w:val="18"/>
                          <w:szCs w:val="18"/>
                        </w:rPr>
                        <w:t>Cost-effectiveness benefit of 2022 savings in 2026 = ΔkWh</w:t>
                      </w:r>
                      <w:r>
                        <w:rPr>
                          <w:rFonts w:cstheme="minorHAnsi"/>
                          <w:sz w:val="18"/>
                          <w:szCs w:val="18"/>
                          <w:vertAlign w:val="subscript"/>
                        </w:rPr>
                        <w:t>2022 Adjusted</w:t>
                      </w:r>
                      <w:r>
                        <w:rPr>
                          <w:rFonts w:cstheme="minorHAnsi"/>
                          <w:sz w:val="18"/>
                          <w:szCs w:val="18"/>
                        </w:rPr>
                        <w:t xml:space="preserve"> * PFE</w:t>
                      </w:r>
                      <w:r>
                        <w:rPr>
                          <w:rFonts w:cstheme="minorHAnsi"/>
                          <w:sz w:val="18"/>
                          <w:szCs w:val="18"/>
                          <w:vertAlign w:val="subscript"/>
                        </w:rPr>
                        <w:t>4</w:t>
                      </w:r>
                      <w:r>
                        <w:rPr>
                          <w:rFonts w:cstheme="minorHAnsi"/>
                          <w:sz w:val="18"/>
                          <w:szCs w:val="18"/>
                        </w:rPr>
                        <w:t>*RR</w:t>
                      </w:r>
                      <w:del w:id="697" w:author="Carly Olig" w:date="2022-05-04T15:51:00Z">
                        <w:r w:rsidDel="00C463FA">
                          <w:rPr>
                            <w:rFonts w:cstheme="minorHAnsi"/>
                            <w:sz w:val="18"/>
                            <w:szCs w:val="18"/>
                            <w:vertAlign w:val="subscript"/>
                          </w:rPr>
                          <w:delText>Utility</w:delText>
                        </w:r>
                      </w:del>
                      <w:r>
                        <w:rPr>
                          <w:rFonts w:cstheme="minorHAnsi"/>
                          <w:sz w:val="18"/>
                          <w:szCs w:val="18"/>
                          <w:vertAlign w:val="superscript"/>
                        </w:rPr>
                        <w:t>4</w:t>
                      </w:r>
                      <w:r>
                        <w:rPr>
                          <w:rFonts w:cstheme="minorHAnsi"/>
                          <w:sz w:val="18"/>
                          <w:szCs w:val="18"/>
                        </w:rPr>
                        <w:t xml:space="preserve"> = </w:t>
                      </w:r>
                      <w:ins w:id="698" w:author="Carly Olig" w:date="2022-05-05T15:11:00Z">
                        <w:r>
                          <w:rPr>
                            <w:rFonts w:ascii="Calibri" w:hAnsi="Calibri"/>
                            <w:color w:val="000000"/>
                            <w:sz w:val="18"/>
                            <w:szCs w:val="18"/>
                          </w:rPr>
                          <w:t>9,466,000</w:t>
                        </w:r>
                        <w:r>
                          <w:rPr>
                            <w:rFonts w:ascii="Calibri" w:hAnsi="Calibri"/>
                            <w:color w:val="000000"/>
                            <w:sz w:val="16"/>
                            <w:szCs w:val="16"/>
                          </w:rPr>
                          <w:t xml:space="preserve"> </w:t>
                        </w:r>
                      </w:ins>
                      <w:del w:id="699" w:author="Carly Olig" w:date="2022-05-05T15:11:00Z">
                        <w:r w:rsidDel="00422875">
                          <w:rPr>
                            <w:rFonts w:ascii="Calibri" w:hAnsi="Calibri"/>
                            <w:color w:val="000000"/>
                            <w:sz w:val="18"/>
                            <w:szCs w:val="18"/>
                          </w:rPr>
                          <w:delText>10,252,240</w:delText>
                        </w:r>
                        <w:r w:rsidDel="00422875">
                          <w:rPr>
                            <w:rFonts w:ascii="Calibri" w:hAnsi="Calibri"/>
                            <w:color w:val="000000"/>
                            <w:sz w:val="16"/>
                            <w:szCs w:val="16"/>
                          </w:rPr>
                          <w:delText xml:space="preserve"> </w:delText>
                        </w:r>
                      </w:del>
                      <w:r>
                        <w:rPr>
                          <w:rFonts w:cstheme="minorHAnsi"/>
                          <w:sz w:val="18"/>
                          <w:szCs w:val="18"/>
                        </w:rPr>
                        <w:t>* 0.37 * 0.</w:t>
                      </w:r>
                      <w:ins w:id="700" w:author="Carly Olig" w:date="2022-05-04T15:59:00Z">
                        <w:r>
                          <w:rPr>
                            <w:rFonts w:cstheme="minorHAnsi"/>
                            <w:sz w:val="18"/>
                            <w:szCs w:val="18"/>
                          </w:rPr>
                          <w:t>95</w:t>
                        </w:r>
                      </w:ins>
                      <w:del w:id="701" w:author="Carly Olig" w:date="2022-05-04T15:59:00Z">
                        <w:r w:rsidDel="00BA717D">
                          <w:rPr>
                            <w:rFonts w:cstheme="minorHAnsi"/>
                            <w:sz w:val="18"/>
                            <w:szCs w:val="18"/>
                          </w:rPr>
                          <w:delText>88</w:delText>
                        </w:r>
                      </w:del>
                      <w:r>
                        <w:rPr>
                          <w:rFonts w:cstheme="minorHAnsi"/>
                          <w:sz w:val="18"/>
                          <w:szCs w:val="18"/>
                          <w:vertAlign w:val="superscript"/>
                        </w:rPr>
                        <w:t>4</w:t>
                      </w:r>
                      <w:r>
                        <w:rPr>
                          <w:rFonts w:cstheme="minorHAnsi"/>
                          <w:sz w:val="18"/>
                          <w:szCs w:val="18"/>
                        </w:rPr>
                        <w:t xml:space="preserve">  = </w:t>
                      </w:r>
                      <w:del w:id="702" w:author="Carly Olig" w:date="2022-05-05T15:12:00Z">
                        <w:r w:rsidDel="0098675B">
                          <w:rPr>
                            <w:rFonts w:cstheme="minorHAnsi"/>
                            <w:sz w:val="18"/>
                            <w:szCs w:val="18"/>
                          </w:rPr>
                          <w:delText>2,274,842</w:delText>
                        </w:r>
                      </w:del>
                      <w:ins w:id="703" w:author="Carly Olig" w:date="2022-05-05T15:12:00Z">
                        <w:r>
                          <w:rPr>
                            <w:rFonts w:cstheme="minorHAnsi"/>
                            <w:sz w:val="18"/>
                            <w:szCs w:val="18"/>
                          </w:rPr>
                          <w:t>2,852,743</w:t>
                        </w:r>
                      </w:ins>
                      <w:r>
                        <w:rPr>
                          <w:rFonts w:cstheme="minorHAnsi"/>
                          <w:sz w:val="18"/>
                          <w:szCs w:val="18"/>
                        </w:rPr>
                        <w:t xml:space="preserve"> kWh</w:t>
                      </w:r>
                    </w:p>
                    <w:p w14:paraId="28733110" w14:textId="77777777" w:rsidR="009154B8" w:rsidRDefault="009154B8" w:rsidP="009154B8">
                      <w:pPr>
                        <w:spacing w:after="60"/>
                        <w:jc w:val="left"/>
                        <w:rPr>
                          <w:rFonts w:cstheme="minorHAnsi"/>
                          <w:sz w:val="18"/>
                          <w:szCs w:val="18"/>
                        </w:rPr>
                      </w:pPr>
                      <w:r>
                        <w:rPr>
                          <w:rFonts w:cstheme="minorHAnsi"/>
                          <w:sz w:val="18"/>
                          <w:szCs w:val="18"/>
                        </w:rPr>
                        <w:t>Cost-effectiveness benefit of 2022 savings in 2027 = ΔkWh</w:t>
                      </w:r>
                      <w:r>
                        <w:rPr>
                          <w:rFonts w:cstheme="minorHAnsi"/>
                          <w:sz w:val="18"/>
                          <w:szCs w:val="18"/>
                          <w:vertAlign w:val="subscript"/>
                        </w:rPr>
                        <w:t>2022 Adjusted</w:t>
                      </w:r>
                      <w:r>
                        <w:rPr>
                          <w:rFonts w:cstheme="minorHAnsi"/>
                          <w:sz w:val="18"/>
                          <w:szCs w:val="18"/>
                        </w:rPr>
                        <w:t xml:space="preserve"> * PFE</w:t>
                      </w:r>
                      <w:r>
                        <w:rPr>
                          <w:rFonts w:cstheme="minorHAnsi"/>
                          <w:sz w:val="18"/>
                          <w:szCs w:val="18"/>
                          <w:vertAlign w:val="subscript"/>
                        </w:rPr>
                        <w:t>4</w:t>
                      </w:r>
                      <w:r>
                        <w:rPr>
                          <w:rFonts w:cstheme="minorHAnsi"/>
                          <w:sz w:val="18"/>
                          <w:szCs w:val="18"/>
                        </w:rPr>
                        <w:t>*RR</w:t>
                      </w:r>
                      <w:del w:id="704" w:author="Carly Olig" w:date="2022-05-04T15:51:00Z">
                        <w:r w:rsidDel="006F742F">
                          <w:rPr>
                            <w:rFonts w:cstheme="minorHAnsi"/>
                            <w:sz w:val="18"/>
                            <w:szCs w:val="18"/>
                            <w:vertAlign w:val="subscript"/>
                          </w:rPr>
                          <w:delText>Utility</w:delText>
                        </w:r>
                      </w:del>
                      <w:r>
                        <w:rPr>
                          <w:rFonts w:cstheme="minorHAnsi"/>
                          <w:sz w:val="18"/>
                          <w:szCs w:val="18"/>
                          <w:vertAlign w:val="superscript"/>
                        </w:rPr>
                        <w:t>5</w:t>
                      </w:r>
                      <w:r>
                        <w:rPr>
                          <w:rFonts w:cstheme="minorHAnsi"/>
                          <w:sz w:val="18"/>
                          <w:szCs w:val="18"/>
                        </w:rPr>
                        <w:t xml:space="preserve"> = </w:t>
                      </w:r>
                      <w:ins w:id="705" w:author="Carly Olig" w:date="2022-05-05T15:11:00Z">
                        <w:r>
                          <w:rPr>
                            <w:rFonts w:ascii="Calibri" w:hAnsi="Calibri"/>
                            <w:color w:val="000000"/>
                            <w:sz w:val="18"/>
                            <w:szCs w:val="18"/>
                          </w:rPr>
                          <w:t>9,466,000</w:t>
                        </w:r>
                        <w:r>
                          <w:rPr>
                            <w:rFonts w:ascii="Calibri" w:hAnsi="Calibri"/>
                            <w:color w:val="000000"/>
                            <w:sz w:val="16"/>
                            <w:szCs w:val="16"/>
                          </w:rPr>
                          <w:t xml:space="preserve"> </w:t>
                        </w:r>
                      </w:ins>
                      <w:del w:id="706" w:author="Carly Olig" w:date="2022-05-05T15:11:00Z">
                        <w:r w:rsidDel="00422875">
                          <w:rPr>
                            <w:rFonts w:ascii="Calibri" w:hAnsi="Calibri"/>
                            <w:color w:val="000000"/>
                            <w:sz w:val="18"/>
                            <w:szCs w:val="18"/>
                          </w:rPr>
                          <w:delText>10,252,240</w:delText>
                        </w:r>
                      </w:del>
                      <w:r>
                        <w:rPr>
                          <w:rFonts w:ascii="Calibri" w:hAnsi="Calibri"/>
                          <w:color w:val="000000"/>
                          <w:sz w:val="16"/>
                          <w:szCs w:val="16"/>
                        </w:rPr>
                        <w:t xml:space="preserve"> </w:t>
                      </w:r>
                      <w:r>
                        <w:rPr>
                          <w:rFonts w:cstheme="minorHAnsi"/>
                          <w:sz w:val="18"/>
                          <w:szCs w:val="18"/>
                        </w:rPr>
                        <w:t>* 0.29 * 0.</w:t>
                      </w:r>
                      <w:ins w:id="707" w:author="Carly Olig" w:date="2022-05-04T15:59:00Z">
                        <w:r>
                          <w:rPr>
                            <w:rFonts w:cstheme="minorHAnsi"/>
                            <w:sz w:val="18"/>
                            <w:szCs w:val="18"/>
                          </w:rPr>
                          <w:t>95</w:t>
                        </w:r>
                      </w:ins>
                      <w:del w:id="708" w:author="Carly Olig" w:date="2022-05-04T15:59:00Z">
                        <w:r w:rsidDel="00BA717D">
                          <w:rPr>
                            <w:rFonts w:cstheme="minorHAnsi"/>
                            <w:sz w:val="18"/>
                            <w:szCs w:val="18"/>
                          </w:rPr>
                          <w:delText>88</w:delText>
                        </w:r>
                      </w:del>
                      <w:r>
                        <w:rPr>
                          <w:rFonts w:cstheme="minorHAnsi"/>
                          <w:sz w:val="18"/>
                          <w:szCs w:val="18"/>
                          <w:vertAlign w:val="superscript"/>
                        </w:rPr>
                        <w:t>5</w:t>
                      </w:r>
                      <w:r>
                        <w:rPr>
                          <w:rFonts w:cstheme="minorHAnsi"/>
                          <w:sz w:val="18"/>
                          <w:szCs w:val="18"/>
                        </w:rPr>
                        <w:t xml:space="preserve">  = </w:t>
                      </w:r>
                      <w:del w:id="709" w:author="Carly Olig" w:date="2022-05-05T15:12:00Z">
                        <w:r w:rsidDel="0098675B">
                          <w:rPr>
                            <w:rFonts w:cstheme="minorHAnsi"/>
                            <w:sz w:val="18"/>
                            <w:szCs w:val="18"/>
                          </w:rPr>
                          <w:delText>1,569,026</w:delText>
                        </w:r>
                      </w:del>
                      <w:ins w:id="710" w:author="Carly Olig" w:date="2022-05-05T15:12:00Z">
                        <w:r>
                          <w:rPr>
                            <w:rFonts w:cstheme="minorHAnsi"/>
                            <w:sz w:val="18"/>
                            <w:szCs w:val="18"/>
                          </w:rPr>
                          <w:t>2,124,137</w:t>
                        </w:r>
                      </w:ins>
                      <w:r>
                        <w:rPr>
                          <w:rFonts w:cstheme="minorHAnsi"/>
                          <w:sz w:val="18"/>
                          <w:szCs w:val="18"/>
                        </w:rPr>
                        <w:t xml:space="preserve"> kWh</w:t>
                      </w:r>
                    </w:p>
                    <w:p w14:paraId="662DF187" w14:textId="77777777" w:rsidR="009154B8" w:rsidRDefault="009154B8" w:rsidP="009154B8">
                      <w:pPr>
                        <w:spacing w:after="60"/>
                        <w:jc w:val="left"/>
                        <w:rPr>
                          <w:rFonts w:cstheme="minorHAnsi"/>
                          <w:sz w:val="18"/>
                          <w:szCs w:val="18"/>
                        </w:rPr>
                      </w:pPr>
                      <w:r>
                        <w:rPr>
                          <w:rFonts w:cstheme="minorHAnsi"/>
                          <w:sz w:val="18"/>
                          <w:szCs w:val="18"/>
                        </w:rPr>
                        <w:t>Cost-effectiveness benefit of 2022 savings in 2028 = ΔkWh</w:t>
                      </w:r>
                      <w:r>
                        <w:rPr>
                          <w:rFonts w:cstheme="minorHAnsi"/>
                          <w:sz w:val="18"/>
                          <w:szCs w:val="18"/>
                          <w:vertAlign w:val="subscript"/>
                        </w:rPr>
                        <w:t>2022 Adjusted</w:t>
                      </w:r>
                      <w:r>
                        <w:rPr>
                          <w:rFonts w:cstheme="minorHAnsi"/>
                          <w:sz w:val="18"/>
                          <w:szCs w:val="18"/>
                        </w:rPr>
                        <w:t xml:space="preserve"> * PFE</w:t>
                      </w:r>
                      <w:r>
                        <w:rPr>
                          <w:rFonts w:cstheme="minorHAnsi"/>
                          <w:sz w:val="18"/>
                          <w:szCs w:val="18"/>
                          <w:vertAlign w:val="subscript"/>
                        </w:rPr>
                        <w:t>4</w:t>
                      </w:r>
                      <w:r>
                        <w:rPr>
                          <w:rFonts w:cstheme="minorHAnsi"/>
                          <w:sz w:val="18"/>
                          <w:szCs w:val="18"/>
                        </w:rPr>
                        <w:t>*RR</w:t>
                      </w:r>
                      <w:del w:id="711" w:author="Carly Olig" w:date="2022-05-04T15:51:00Z">
                        <w:r w:rsidDel="006F742F">
                          <w:rPr>
                            <w:rFonts w:cstheme="minorHAnsi"/>
                            <w:sz w:val="18"/>
                            <w:szCs w:val="18"/>
                            <w:vertAlign w:val="subscript"/>
                          </w:rPr>
                          <w:delText>Utility</w:delText>
                        </w:r>
                      </w:del>
                      <w:r>
                        <w:rPr>
                          <w:rFonts w:cstheme="minorHAnsi"/>
                          <w:sz w:val="18"/>
                          <w:szCs w:val="18"/>
                          <w:vertAlign w:val="superscript"/>
                        </w:rPr>
                        <w:t>6</w:t>
                      </w:r>
                      <w:r>
                        <w:rPr>
                          <w:rFonts w:cstheme="minorHAnsi"/>
                          <w:sz w:val="18"/>
                          <w:szCs w:val="18"/>
                        </w:rPr>
                        <w:t xml:space="preserve"> = </w:t>
                      </w:r>
                      <w:ins w:id="712" w:author="Carly Olig" w:date="2022-05-05T15:11:00Z">
                        <w:r>
                          <w:rPr>
                            <w:rFonts w:ascii="Calibri" w:hAnsi="Calibri"/>
                            <w:color w:val="000000"/>
                            <w:sz w:val="18"/>
                            <w:szCs w:val="18"/>
                          </w:rPr>
                          <w:t>9,466,000</w:t>
                        </w:r>
                        <w:r>
                          <w:rPr>
                            <w:rFonts w:ascii="Calibri" w:hAnsi="Calibri"/>
                            <w:color w:val="000000"/>
                            <w:sz w:val="16"/>
                            <w:szCs w:val="16"/>
                          </w:rPr>
                          <w:t xml:space="preserve"> </w:t>
                        </w:r>
                      </w:ins>
                      <w:del w:id="713" w:author="Carly Olig" w:date="2022-05-05T15:11:00Z">
                        <w:r w:rsidDel="00422875">
                          <w:rPr>
                            <w:rFonts w:ascii="Calibri" w:hAnsi="Calibri"/>
                            <w:color w:val="000000"/>
                            <w:sz w:val="18"/>
                            <w:szCs w:val="18"/>
                          </w:rPr>
                          <w:delText>10,252,240</w:delText>
                        </w:r>
                        <w:r w:rsidDel="00422875">
                          <w:rPr>
                            <w:rFonts w:ascii="Calibri" w:hAnsi="Calibri"/>
                            <w:color w:val="000000"/>
                            <w:sz w:val="16"/>
                            <w:szCs w:val="16"/>
                          </w:rPr>
                          <w:delText xml:space="preserve"> </w:delText>
                        </w:r>
                      </w:del>
                      <w:r>
                        <w:rPr>
                          <w:rFonts w:cstheme="minorHAnsi"/>
                          <w:sz w:val="18"/>
                          <w:szCs w:val="18"/>
                        </w:rPr>
                        <w:t>* 0.23 * 0.</w:t>
                      </w:r>
                      <w:ins w:id="714" w:author="Carly Olig" w:date="2022-05-04T15:59:00Z">
                        <w:r>
                          <w:rPr>
                            <w:rFonts w:cstheme="minorHAnsi"/>
                            <w:sz w:val="18"/>
                            <w:szCs w:val="18"/>
                          </w:rPr>
                          <w:t>95</w:t>
                        </w:r>
                      </w:ins>
                      <w:del w:id="715" w:author="Carly Olig" w:date="2022-05-04T15:59:00Z">
                        <w:r w:rsidDel="00BA717D">
                          <w:rPr>
                            <w:rFonts w:cstheme="minorHAnsi"/>
                            <w:sz w:val="18"/>
                            <w:szCs w:val="18"/>
                          </w:rPr>
                          <w:delText>88</w:delText>
                        </w:r>
                      </w:del>
                      <w:r>
                        <w:rPr>
                          <w:rFonts w:cstheme="minorHAnsi"/>
                          <w:sz w:val="18"/>
                          <w:szCs w:val="18"/>
                          <w:vertAlign w:val="superscript"/>
                        </w:rPr>
                        <w:t>6</w:t>
                      </w:r>
                      <w:r>
                        <w:rPr>
                          <w:rFonts w:cstheme="minorHAnsi"/>
                          <w:sz w:val="18"/>
                          <w:szCs w:val="18"/>
                        </w:rPr>
                        <w:t xml:space="preserve">  = </w:t>
                      </w:r>
                      <w:del w:id="716" w:author="Carly Olig" w:date="2022-05-05T15:12:00Z">
                        <w:r w:rsidDel="0098675B">
                          <w:rPr>
                            <w:rFonts w:cstheme="minorHAnsi"/>
                            <w:sz w:val="18"/>
                            <w:szCs w:val="18"/>
                          </w:rPr>
                          <w:delText>1,095,072</w:delText>
                        </w:r>
                      </w:del>
                      <w:ins w:id="717" w:author="Carly Olig" w:date="2022-05-05T15:12:00Z">
                        <w:r>
                          <w:rPr>
                            <w:rFonts w:cstheme="minorHAnsi"/>
                            <w:sz w:val="18"/>
                            <w:szCs w:val="18"/>
                          </w:rPr>
                          <w:t>1,600,427</w:t>
                        </w:r>
                      </w:ins>
                      <w:r>
                        <w:rPr>
                          <w:rFonts w:cstheme="minorHAnsi"/>
                          <w:sz w:val="18"/>
                          <w:szCs w:val="18"/>
                        </w:rPr>
                        <w:t xml:space="preserve"> kWh</w:t>
                      </w:r>
                    </w:p>
                    <w:p w14:paraId="0B97A329" w14:textId="77777777" w:rsidR="009154B8" w:rsidRDefault="009154B8" w:rsidP="009154B8">
                      <w:pPr>
                        <w:spacing w:before="120" w:after="60"/>
                        <w:rPr>
                          <w:rFonts w:cstheme="minorHAnsi"/>
                          <w:b/>
                          <w:sz w:val="18"/>
                          <w:szCs w:val="18"/>
                        </w:rPr>
                      </w:pPr>
                      <w:r>
                        <w:rPr>
                          <w:rFonts w:cstheme="minorHAnsi"/>
                          <w:b/>
                          <w:sz w:val="18"/>
                          <w:szCs w:val="18"/>
                        </w:rPr>
                        <w:t>Continue this approach for future years as appropriate.</w:t>
                      </w:r>
                    </w:p>
                    <w:p w14:paraId="535B0A93" w14:textId="77777777" w:rsidR="009154B8" w:rsidRDefault="009154B8" w:rsidP="009154B8">
                      <w:pPr>
                        <w:spacing w:after="60"/>
                        <w:rPr>
                          <w:rFonts w:cstheme="minorHAnsi"/>
                          <w:sz w:val="18"/>
                          <w:szCs w:val="18"/>
                        </w:rPr>
                      </w:pPr>
                      <w:r>
                        <w:rPr>
                          <w:rFonts w:cstheme="minorHAnsi"/>
                          <w:sz w:val="18"/>
                          <w:szCs w:val="18"/>
                        </w:rPr>
                        <w:t>Apply the same approach to calculate cost-effectiveness inputs for kW and for Therms, using appropriate factors and lifetimes.</w:t>
                      </w:r>
                    </w:p>
                  </w:txbxContent>
                </v:textbox>
                <w10:anchorlock/>
              </v:shape>
            </w:pict>
          </mc:Fallback>
        </mc:AlternateContent>
      </w:r>
    </w:p>
    <w:p w14:paraId="04F9315B" w14:textId="77777777" w:rsidR="000702C6" w:rsidRPr="0071201B" w:rsidDel="001F1EB1" w:rsidRDefault="000702C6" w:rsidP="0071201B">
      <w:pPr>
        <w:widowControl/>
        <w:jc w:val="left"/>
        <w:rPr>
          <w:del w:id="718" w:author="Carly Olig" w:date="2022-05-04T15:43:00Z"/>
          <w:rFonts w:ascii="Calibri" w:hAnsi="Calibri"/>
          <w:szCs w:val="20"/>
        </w:rPr>
      </w:pPr>
      <w:del w:id="719" w:author="Carly Olig" w:date="2022-05-04T15:43:00Z">
        <w:r w:rsidRPr="0071201B" w:rsidDel="001F1EB1">
          <w:rPr>
            <w:rFonts w:ascii="Calibri" w:hAnsi="Calibri"/>
            <w:szCs w:val="20"/>
          </w:rPr>
          <w:delText xml:space="preserve">RRUtility </w:delText>
        </w:r>
        <w:r w:rsidRPr="0071201B" w:rsidDel="001F1EB1">
          <w:rPr>
            <w:rFonts w:ascii="Calibri" w:hAnsi="Calibri"/>
            <w:szCs w:val="20"/>
          </w:rPr>
          <w:tab/>
          <w:delText>= a utility-specific estimated future retention rate for the program</w:delText>
        </w:r>
        <w:r w:rsidRPr="0071201B" w:rsidDel="001F1EB1">
          <w:rPr>
            <w:rFonts w:ascii="Calibri" w:hAnsi="Calibri"/>
            <w:szCs w:val="20"/>
          </w:rPr>
          <w:footnoteReference w:id="29"/>
        </w:r>
        <w:r w:rsidRPr="0071201B" w:rsidDel="001F1EB1">
          <w:rPr>
            <w:rFonts w:ascii="Calibri" w:hAnsi="Calibri"/>
            <w:szCs w:val="20"/>
          </w:rPr>
          <w:delText>,</w:delText>
        </w:r>
        <w:r w:rsidRPr="0071201B" w:rsidDel="001F1EB1">
          <w:rPr>
            <w:rFonts w:ascii="Calibri" w:hAnsi="Calibri"/>
            <w:szCs w:val="20"/>
          </w:rPr>
          <w:footnoteReference w:id="30"/>
        </w:r>
      </w:del>
    </w:p>
    <w:p w14:paraId="66E72D46" w14:textId="77777777" w:rsidR="000702C6" w:rsidRPr="0071201B" w:rsidDel="00DF1E35" w:rsidRDefault="000702C6" w:rsidP="0071201B">
      <w:pPr>
        <w:widowControl/>
        <w:jc w:val="left"/>
        <w:rPr>
          <w:del w:id="724" w:author="Carly Olig" w:date="2022-05-04T15:43:00Z"/>
          <w:rFonts w:ascii="Calibri" w:hAnsi="Calibri"/>
          <w:szCs w:val="20"/>
        </w:rPr>
      </w:pPr>
      <w:del w:id="725" w:author="Carly Olig" w:date="2022-05-04T15:43:00Z">
        <w:r w:rsidRPr="0071201B" w:rsidDel="001F1EB1">
          <w:rPr>
            <w:rFonts w:ascii="Calibri" w:hAnsi="Calibri"/>
            <w:szCs w:val="20"/>
          </w:rPr>
          <w:lastRenderedPageBreak/>
          <w:delText>Other</w:delText>
        </w:r>
        <w:r w:rsidRPr="0071201B" w:rsidDel="00DF1E35">
          <w:rPr>
            <w:rFonts w:ascii="Calibri" w:hAnsi="Calibri"/>
            <w:szCs w:val="20"/>
          </w:rPr>
          <w:delText xml:space="preserve"> variables as defined above</w:delText>
        </w:r>
      </w:del>
    </w:p>
    <w:p w14:paraId="52736B37" w14:textId="77777777" w:rsidR="000702C6" w:rsidRPr="0071201B" w:rsidRDefault="000702C6" w:rsidP="0071201B">
      <w:pPr>
        <w:widowControl/>
        <w:jc w:val="left"/>
        <w:rPr>
          <w:rFonts w:ascii="Calibri" w:hAnsi="Calibri"/>
          <w:szCs w:val="20"/>
        </w:rPr>
      </w:pPr>
    </w:p>
    <w:p w14:paraId="65FED1A3" w14:textId="67C02C61" w:rsidR="00830CF8" w:rsidRPr="0012602C" w:rsidRDefault="00830CF8" w:rsidP="00830CF8">
      <w:pPr>
        <w:pStyle w:val="Heading6"/>
      </w:pPr>
      <w:r w:rsidRPr="000B7BB6">
        <w:t xml:space="preserve">Water Impact Descriptions and Calculation  </w:t>
      </w:r>
    </w:p>
    <w:p w14:paraId="7BBD5445" w14:textId="77777777" w:rsidR="00830CF8" w:rsidRPr="000B7BB6" w:rsidRDefault="00830CF8" w:rsidP="00830CF8">
      <w:pPr>
        <w:rPr>
          <w:rFonts w:cstheme="minorHAnsi"/>
        </w:rPr>
      </w:pPr>
      <w:r w:rsidRPr="000B7BB6">
        <w:rPr>
          <w:rFonts w:cstheme="minorHAnsi"/>
        </w:rPr>
        <w:t>N/A</w:t>
      </w:r>
    </w:p>
    <w:p w14:paraId="2956D726" w14:textId="77777777" w:rsidR="00830CF8" w:rsidRPr="000B7BB6" w:rsidRDefault="00830CF8" w:rsidP="00830CF8">
      <w:pPr>
        <w:pStyle w:val="Heading6"/>
      </w:pPr>
      <w:r w:rsidRPr="000B7BB6">
        <w:t>Deemed O&amp;M Cost Adjustment Calculation</w:t>
      </w:r>
    </w:p>
    <w:p w14:paraId="03889EDB" w14:textId="7C1799E5" w:rsidR="00830CF8" w:rsidRDefault="00830CF8" w:rsidP="00830CF8">
      <w:pPr>
        <w:rPr>
          <w:rFonts w:cstheme="minorHAnsi"/>
        </w:rPr>
      </w:pPr>
      <w:r w:rsidRPr="000B7BB6">
        <w:rPr>
          <w:rFonts w:cstheme="minorHAnsi"/>
        </w:rPr>
        <w:t>N/A</w:t>
      </w:r>
    </w:p>
    <w:p w14:paraId="003E9BE6" w14:textId="77777777" w:rsidR="00B70715" w:rsidRDefault="00B70715" w:rsidP="00830CF8">
      <w:pPr>
        <w:rPr>
          <w:rFonts w:cstheme="minorHAnsi"/>
        </w:rPr>
        <w:sectPr w:rsidR="00B70715" w:rsidSect="00154D84">
          <w:headerReference w:type="default" r:id="rId14"/>
          <w:pgSz w:w="12240" w:h="15840"/>
          <w:pgMar w:top="1440" w:right="1440" w:bottom="1440" w:left="1440" w:header="720" w:footer="720" w:gutter="0"/>
          <w:cols w:space="720"/>
          <w:docGrid w:linePitch="360"/>
        </w:sectPr>
      </w:pPr>
    </w:p>
    <w:p w14:paraId="2B42E711" w14:textId="77777777" w:rsidR="00830CF8" w:rsidRDefault="00830CF8" w:rsidP="00830CF8">
      <w:pPr>
        <w:pStyle w:val="Heading6"/>
      </w:pPr>
      <w:r>
        <w:lastRenderedPageBreak/>
        <w:t>Reference Tables</w:t>
      </w:r>
    </w:p>
    <w:p w14:paraId="522B1A5C" w14:textId="187F5EDB" w:rsidR="002C0679" w:rsidRPr="002C0679" w:rsidRDefault="00830CF8" w:rsidP="002C0679">
      <w:pPr>
        <w:rPr>
          <w:iCs/>
        </w:rPr>
      </w:pPr>
      <w:r>
        <w:t>P</w:t>
      </w:r>
      <w:r w:rsidRPr="00BF1743">
        <w:t xml:space="preserve">ersistence studies done to date </w:t>
      </w:r>
      <w:r>
        <w:t xml:space="preserve">for HERs-type programs </w:t>
      </w:r>
      <w:r w:rsidRPr="00BF1743">
        <w:t xml:space="preserve">capture effects through a </w:t>
      </w:r>
      <w:r w:rsidR="008530E2">
        <w:t>specific</w:t>
      </w:r>
      <w:r w:rsidR="008530E2" w:rsidRPr="00BF1743">
        <w:t xml:space="preserve"> </w:t>
      </w:r>
      <w:r w:rsidRPr="00BF1743">
        <w:t xml:space="preserve">time frame and only for the specific program characteristics of the programs studied. </w:t>
      </w:r>
      <w:r w:rsidR="008530E2">
        <w:t>While any individual study</w:t>
      </w:r>
      <w:r w:rsidRPr="00BF1743">
        <w:t xml:space="preserve"> may not accurately represent conditions in Illinois or those for all Illinois programs</w:t>
      </w:r>
      <w:r w:rsidR="008530E2">
        <w:t>, t</w:t>
      </w:r>
      <w:r w:rsidRPr="00BF1743">
        <w:t>he Illinois TAC has determined that an average</w:t>
      </w:r>
      <w:r w:rsidR="006409C2">
        <w:t xml:space="preserve"> of the</w:t>
      </w:r>
      <w:r w:rsidRPr="00BF1743">
        <w:t xml:space="preserve"> </w:t>
      </w:r>
      <w:r w:rsidR="009E3979">
        <w:t xml:space="preserve">implied </w:t>
      </w:r>
      <w:r w:rsidRPr="00BF1743">
        <w:t xml:space="preserve">annual </w:t>
      </w:r>
      <w:r w:rsidR="00991BA0">
        <w:t>decay</w:t>
      </w:r>
      <w:r w:rsidR="00991BA0" w:rsidRPr="00BF1743">
        <w:t xml:space="preserve"> </w:t>
      </w:r>
      <w:r w:rsidRPr="00BF1743">
        <w:t>rate</w:t>
      </w:r>
      <w:r w:rsidR="006409C2">
        <w:t>s</w:t>
      </w:r>
      <w:r w:rsidRPr="00BF1743">
        <w:t xml:space="preserve"> across the </w:t>
      </w:r>
      <w:r w:rsidR="0095460F">
        <w:t xml:space="preserve">electric- or gas-specific </w:t>
      </w:r>
      <w:r w:rsidRPr="00BF1743">
        <w:t>studies done to date</w:t>
      </w:r>
      <w:r>
        <w:t xml:space="preserve"> (Table</w:t>
      </w:r>
      <w:r w:rsidR="00F0730F">
        <w:t>s</w:t>
      </w:r>
      <w:r>
        <w:t xml:space="preserve"> 1 </w:t>
      </w:r>
      <w:r w:rsidR="00F0730F">
        <w:t xml:space="preserve">and 2 </w:t>
      </w:r>
      <w:r>
        <w:t>below)</w:t>
      </w:r>
      <w:r w:rsidRPr="00BF1743">
        <w:t xml:space="preserve"> is </w:t>
      </w:r>
      <w:r>
        <w:t>the best currently available data</w:t>
      </w:r>
      <w:r w:rsidRPr="00BF1743">
        <w:t xml:space="preserve"> to approximate persistence for </w:t>
      </w:r>
      <w:r>
        <w:t xml:space="preserve">the </w:t>
      </w:r>
      <w:r w:rsidRPr="00BF1743">
        <w:t xml:space="preserve">general class of residential HERs-type programs. </w:t>
      </w:r>
      <w:r w:rsidR="00991BA0">
        <w:t>T</w:t>
      </w:r>
      <w:r>
        <w:t xml:space="preserve">his protocol assumes a </w:t>
      </w:r>
      <w:r w:rsidR="002D2B92">
        <w:t xml:space="preserve">standard decay function with a </w:t>
      </w:r>
      <w:r w:rsidR="002D2B92" w:rsidRPr="002D2B92">
        <w:t>constant annual savings decay rate</w:t>
      </w:r>
      <w:r w:rsidR="009753FD">
        <w:t xml:space="preserve">, where </w:t>
      </w:r>
      <w:r w:rsidR="002C0679" w:rsidRPr="002C0679">
        <w:t xml:space="preserve">Persistence in year </w:t>
      </w:r>
      <w:r w:rsidR="002C0679" w:rsidRPr="002C0679">
        <w:rPr>
          <w:i/>
        </w:rPr>
        <w:t>t</w:t>
      </w:r>
      <w:r w:rsidR="002C0679" w:rsidRPr="002C0679">
        <w:t xml:space="preserve"> = (1 – </w:t>
      </w:r>
      <w:r w:rsidR="008E2DB0">
        <w:t>A</w:t>
      </w:r>
      <w:r w:rsidR="002C0679" w:rsidRPr="002C0679">
        <w:t xml:space="preserve">nnual </w:t>
      </w:r>
      <w:r w:rsidR="008E2DB0">
        <w:t>D</w:t>
      </w:r>
      <w:r w:rsidR="002C0679" w:rsidRPr="002C0679">
        <w:t xml:space="preserve">ecay </w:t>
      </w:r>
      <w:proofErr w:type="gramStart"/>
      <w:r w:rsidR="008E2DB0">
        <w:t>R</w:t>
      </w:r>
      <w:r w:rsidR="002C0679" w:rsidRPr="002C0679">
        <w:t>ate)</w:t>
      </w:r>
      <w:r w:rsidR="002C0679" w:rsidRPr="002C0679">
        <w:rPr>
          <w:i/>
          <w:vertAlign w:val="superscript"/>
        </w:rPr>
        <w:t>t</w:t>
      </w:r>
      <w:r w:rsidR="002C0679">
        <w:rPr>
          <w:iCs/>
        </w:rPr>
        <w:t>.</w:t>
      </w:r>
      <w:proofErr w:type="gramEnd"/>
    </w:p>
    <w:p w14:paraId="6BB94007" w14:textId="7EAC43BA" w:rsidR="00830CF8" w:rsidRDefault="00830CF8" w:rsidP="00830CF8">
      <w:r w:rsidRPr="00BF1743">
        <w:t xml:space="preserve">It is recommended that </w:t>
      </w:r>
      <w:r>
        <w:t xml:space="preserve">the persistence values and the </w:t>
      </w:r>
      <w:r w:rsidR="009450F3">
        <w:t>length of persistence application</w:t>
      </w:r>
      <w:r>
        <w:t xml:space="preserve"> </w:t>
      </w:r>
      <w:r w:rsidR="009450F3">
        <w:t xml:space="preserve">as </w:t>
      </w:r>
      <w:r>
        <w:t xml:space="preserve">used in </w:t>
      </w:r>
      <w:r w:rsidRPr="00BF1743">
        <w:t xml:space="preserve">this protocol continue to be </w:t>
      </w:r>
      <w:r w:rsidR="00BF4897">
        <w:t xml:space="preserve">reviewed for </w:t>
      </w:r>
      <w:r w:rsidRPr="00BF1743">
        <w:t>update</w:t>
      </w:r>
      <w:r w:rsidR="00BF4897">
        <w:t xml:space="preserve"> once every plan cycle</w:t>
      </w:r>
      <w:r>
        <w:t xml:space="preserve"> </w:t>
      </w:r>
      <w:r w:rsidRPr="00BF1743">
        <w:t>as further longer term and Illinois-specific evaluations are undertaken.</w:t>
      </w:r>
    </w:p>
    <w:p w14:paraId="4CEA72A3" w14:textId="77777777" w:rsidR="00E65745" w:rsidRDefault="00E65745" w:rsidP="00830CF8"/>
    <w:p w14:paraId="7CD3EA93" w14:textId="1D1D2759" w:rsidR="00F67E0A" w:rsidRDefault="00F67E0A" w:rsidP="00830CF8">
      <w:pPr>
        <w:spacing w:after="0"/>
        <w:rPr>
          <w:rFonts w:cstheme="minorHAnsi"/>
          <w:sz w:val="18"/>
          <w:szCs w:val="18"/>
        </w:rPr>
      </w:pPr>
    </w:p>
    <w:tbl>
      <w:tblPr>
        <w:tblStyle w:val="TableGrid36"/>
        <w:tblW w:w="13948" w:type="dxa"/>
        <w:jc w:val="center"/>
        <w:tblLook w:val="04A0" w:firstRow="1" w:lastRow="0" w:firstColumn="1" w:lastColumn="0" w:noHBand="0" w:noVBand="1"/>
      </w:tblPr>
      <w:tblGrid>
        <w:gridCol w:w="718"/>
        <w:gridCol w:w="1448"/>
        <w:gridCol w:w="1264"/>
        <w:gridCol w:w="1202"/>
        <w:gridCol w:w="1053"/>
        <w:gridCol w:w="1058"/>
        <w:gridCol w:w="1058"/>
        <w:gridCol w:w="1058"/>
        <w:gridCol w:w="1058"/>
        <w:gridCol w:w="1058"/>
        <w:gridCol w:w="1058"/>
        <w:gridCol w:w="1058"/>
        <w:gridCol w:w="857"/>
      </w:tblGrid>
      <w:tr w:rsidR="00155939" w14:paraId="6E325CB3" w14:textId="77777777" w:rsidTr="00205B3E">
        <w:trPr>
          <w:tblHeader/>
          <w:jc w:val="center"/>
        </w:trPr>
        <w:tc>
          <w:tcPr>
            <w:tcW w:w="13948" w:type="dxa"/>
            <w:gridSpan w:val="13"/>
            <w:shd w:val="clear" w:color="auto" w:fill="808080" w:themeFill="background1" w:themeFillShade="80"/>
            <w:vAlign w:val="bottom"/>
          </w:tcPr>
          <w:p w14:paraId="7D09709E" w14:textId="77777777" w:rsidR="00155939" w:rsidRPr="00D9384E" w:rsidRDefault="00155939" w:rsidP="00220F29">
            <w:pPr>
              <w:spacing w:after="0"/>
              <w:jc w:val="center"/>
              <w:rPr>
                <w:rFonts w:ascii="Calibri" w:hAnsi="Calibri" w:cs="Calibri"/>
                <w:b/>
                <w:iCs/>
                <w:sz w:val="18"/>
                <w:szCs w:val="18"/>
              </w:rPr>
            </w:pPr>
            <w:r>
              <w:rPr>
                <w:rFonts w:ascii="Calibri" w:hAnsi="Calibri"/>
                <w:b/>
                <w:bCs/>
                <w:color w:val="FFFFFF"/>
              </w:rPr>
              <w:t>Table 1: Annual Decay Rate for Residential</w:t>
            </w:r>
            <w:r w:rsidRPr="00374156">
              <w:rPr>
                <w:rFonts w:ascii="Calibri" w:hAnsi="Calibri"/>
                <w:b/>
                <w:bCs/>
                <w:color w:val="FFFFFF"/>
              </w:rPr>
              <w:t xml:space="preserve"> HERs-type (RCT)</w:t>
            </w:r>
            <w:r>
              <w:rPr>
                <w:rFonts w:ascii="Calibri" w:hAnsi="Calibri"/>
                <w:b/>
                <w:bCs/>
                <w:color w:val="FFFFFF"/>
              </w:rPr>
              <w:t xml:space="preserve"> Programs</w:t>
            </w:r>
            <w:r w:rsidRPr="00CD4C6E">
              <w:rPr>
                <w:rFonts w:ascii="Calibri" w:hAnsi="Calibri"/>
                <w:b/>
                <w:bCs/>
                <w:color w:val="FFFFFF"/>
              </w:rPr>
              <w:t>: Reference Studies</w:t>
            </w:r>
            <w:r>
              <w:rPr>
                <w:rFonts w:ascii="Calibri" w:hAnsi="Calibri"/>
                <w:b/>
                <w:bCs/>
                <w:color w:val="FFFFFF"/>
              </w:rPr>
              <w:t xml:space="preserve"> – Electric Programs</w:t>
            </w:r>
          </w:p>
        </w:tc>
      </w:tr>
      <w:tr w:rsidR="00155939" w14:paraId="12FC92C9" w14:textId="77777777" w:rsidTr="00205B3E">
        <w:trPr>
          <w:tblHeader/>
          <w:jc w:val="center"/>
        </w:trPr>
        <w:tc>
          <w:tcPr>
            <w:tcW w:w="0" w:type="auto"/>
            <w:vMerge w:val="restart"/>
            <w:vAlign w:val="bottom"/>
          </w:tcPr>
          <w:p w14:paraId="1D1B303F" w14:textId="77777777" w:rsidR="00155939" w:rsidRDefault="00155939" w:rsidP="00220F29">
            <w:pPr>
              <w:spacing w:after="0"/>
              <w:jc w:val="left"/>
              <w:rPr>
                <w:rFonts w:ascii="Calibri" w:hAnsi="Calibri" w:cs="Calibri"/>
                <w:color w:val="000000"/>
                <w:sz w:val="18"/>
                <w:szCs w:val="18"/>
              </w:rPr>
            </w:pPr>
            <w:r>
              <w:rPr>
                <w:rFonts w:ascii="Calibri" w:hAnsi="Calibri" w:cs="Calibri"/>
                <w:color w:val="000000"/>
                <w:sz w:val="18"/>
                <w:szCs w:val="18"/>
              </w:rPr>
              <w:t>Source</w:t>
            </w:r>
          </w:p>
        </w:tc>
        <w:tc>
          <w:tcPr>
            <w:tcW w:w="0" w:type="auto"/>
            <w:vMerge w:val="restart"/>
            <w:vAlign w:val="bottom"/>
          </w:tcPr>
          <w:p w14:paraId="3716A60C" w14:textId="77777777" w:rsidR="00155939" w:rsidRPr="004F69A2" w:rsidRDefault="00155939" w:rsidP="00220F29">
            <w:pPr>
              <w:spacing w:after="0"/>
              <w:jc w:val="left"/>
              <w:rPr>
                <w:rFonts w:ascii="Calibri" w:hAnsi="Calibri" w:cs="Calibri"/>
                <w:color w:val="000000"/>
                <w:sz w:val="18"/>
                <w:szCs w:val="18"/>
              </w:rPr>
            </w:pPr>
            <w:r w:rsidRPr="004F69A2">
              <w:rPr>
                <w:rFonts w:ascii="Calibri" w:hAnsi="Calibri" w:cs="Calibri"/>
                <w:color w:val="000000"/>
                <w:sz w:val="18"/>
                <w:szCs w:val="18"/>
              </w:rPr>
              <w:t>Utility/Location</w:t>
            </w:r>
          </w:p>
        </w:tc>
        <w:tc>
          <w:tcPr>
            <w:tcW w:w="0" w:type="auto"/>
            <w:vMerge w:val="restart"/>
            <w:vAlign w:val="bottom"/>
          </w:tcPr>
          <w:p w14:paraId="7AECE6EF" w14:textId="77777777" w:rsidR="00155939" w:rsidRPr="00CD4C6E" w:rsidRDefault="00155939" w:rsidP="00220F29">
            <w:pPr>
              <w:spacing w:after="0"/>
              <w:jc w:val="center"/>
              <w:rPr>
                <w:rFonts w:ascii="Calibri" w:hAnsi="Calibri"/>
                <w:color w:val="000000"/>
                <w:sz w:val="18"/>
                <w:szCs w:val="18"/>
              </w:rPr>
            </w:pPr>
            <w:r w:rsidRPr="00CD4C6E">
              <w:rPr>
                <w:rFonts w:ascii="Calibri" w:hAnsi="Calibri"/>
                <w:color w:val="000000"/>
                <w:sz w:val="18"/>
                <w:szCs w:val="18"/>
              </w:rPr>
              <w:t>Number of Months in Program Before Terminated</w:t>
            </w:r>
          </w:p>
        </w:tc>
        <w:tc>
          <w:tcPr>
            <w:tcW w:w="0" w:type="auto"/>
            <w:vMerge w:val="restart"/>
            <w:vAlign w:val="bottom"/>
          </w:tcPr>
          <w:p w14:paraId="6D645116" w14:textId="77777777" w:rsidR="00155939" w:rsidRPr="004F69A2" w:rsidRDefault="00155939" w:rsidP="00220F29">
            <w:pPr>
              <w:spacing w:after="0"/>
              <w:jc w:val="center"/>
              <w:rPr>
                <w:rFonts w:ascii="Calibri" w:hAnsi="Calibri" w:cs="Calibri"/>
                <w:color w:val="000000"/>
                <w:sz w:val="18"/>
                <w:szCs w:val="18"/>
              </w:rPr>
            </w:pPr>
            <w:r w:rsidRPr="004F69A2">
              <w:rPr>
                <w:rFonts w:ascii="Calibri" w:hAnsi="Calibri" w:cs="Calibri"/>
                <w:color w:val="000000"/>
                <w:sz w:val="18"/>
                <w:szCs w:val="18"/>
              </w:rPr>
              <w:t>Number of Post-Treatment Savings Analysis Months</w:t>
            </w:r>
          </w:p>
        </w:tc>
        <w:tc>
          <w:tcPr>
            <w:tcW w:w="8459" w:type="dxa"/>
            <w:gridSpan w:val="8"/>
            <w:vAlign w:val="bottom"/>
          </w:tcPr>
          <w:p w14:paraId="3C87B958" w14:textId="77777777" w:rsidR="00155939" w:rsidRDefault="00155939" w:rsidP="00220F29">
            <w:pPr>
              <w:spacing w:after="0"/>
              <w:jc w:val="center"/>
              <w:rPr>
                <w:rFonts w:ascii="Calibri" w:hAnsi="Calibri" w:cs="Calibri"/>
                <w:sz w:val="18"/>
                <w:szCs w:val="18"/>
              </w:rPr>
            </w:pPr>
            <w:r>
              <w:rPr>
                <w:rFonts w:ascii="Calibri" w:hAnsi="Calibri" w:cs="Calibri"/>
                <w:sz w:val="18"/>
                <w:szCs w:val="18"/>
              </w:rPr>
              <w:t>Persistence:</w:t>
            </w:r>
          </w:p>
        </w:tc>
        <w:tc>
          <w:tcPr>
            <w:tcW w:w="857" w:type="dxa"/>
            <w:vAlign w:val="bottom"/>
          </w:tcPr>
          <w:p w14:paraId="3DDE44A7" w14:textId="77777777" w:rsidR="00155939" w:rsidRPr="00D9384E" w:rsidRDefault="00155939" w:rsidP="00220F29">
            <w:pPr>
              <w:spacing w:after="0"/>
              <w:jc w:val="center"/>
              <w:rPr>
                <w:rFonts w:ascii="Calibri" w:hAnsi="Calibri" w:cs="Calibri"/>
                <w:b/>
                <w:iCs/>
                <w:sz w:val="18"/>
                <w:szCs w:val="18"/>
              </w:rPr>
            </w:pPr>
          </w:p>
        </w:tc>
      </w:tr>
      <w:tr w:rsidR="00155939" w14:paraId="3394DCD3" w14:textId="77777777" w:rsidTr="00205B3E">
        <w:trPr>
          <w:tblHeader/>
          <w:jc w:val="center"/>
        </w:trPr>
        <w:tc>
          <w:tcPr>
            <w:tcW w:w="0" w:type="auto"/>
            <w:vMerge/>
            <w:vAlign w:val="bottom"/>
          </w:tcPr>
          <w:p w14:paraId="7E97F3DF" w14:textId="77777777" w:rsidR="00155939" w:rsidRPr="004F69A2" w:rsidRDefault="00155939" w:rsidP="00220F29">
            <w:pPr>
              <w:spacing w:after="0"/>
              <w:jc w:val="left"/>
              <w:rPr>
                <w:rFonts w:ascii="Calibri" w:hAnsi="Calibri" w:cs="Calibri"/>
                <w:color w:val="000000"/>
                <w:sz w:val="18"/>
                <w:szCs w:val="18"/>
              </w:rPr>
            </w:pPr>
          </w:p>
        </w:tc>
        <w:tc>
          <w:tcPr>
            <w:tcW w:w="0" w:type="auto"/>
            <w:vMerge/>
            <w:vAlign w:val="bottom"/>
          </w:tcPr>
          <w:p w14:paraId="26739D76" w14:textId="77777777" w:rsidR="00155939" w:rsidRPr="004F69A2" w:rsidRDefault="00155939" w:rsidP="00220F29">
            <w:pPr>
              <w:spacing w:after="0"/>
              <w:jc w:val="left"/>
              <w:rPr>
                <w:rFonts w:ascii="Calibri" w:hAnsi="Calibri" w:cs="Calibri"/>
                <w:sz w:val="18"/>
                <w:szCs w:val="18"/>
              </w:rPr>
            </w:pPr>
          </w:p>
        </w:tc>
        <w:tc>
          <w:tcPr>
            <w:tcW w:w="0" w:type="auto"/>
            <w:vMerge/>
            <w:vAlign w:val="bottom"/>
          </w:tcPr>
          <w:p w14:paraId="3C6C7DA0" w14:textId="77777777" w:rsidR="00155939" w:rsidRPr="004F69A2" w:rsidRDefault="00155939" w:rsidP="00220F29">
            <w:pPr>
              <w:spacing w:after="0"/>
              <w:jc w:val="center"/>
              <w:rPr>
                <w:rFonts w:ascii="Calibri" w:hAnsi="Calibri" w:cs="Calibri"/>
                <w:color w:val="000000"/>
                <w:sz w:val="18"/>
                <w:szCs w:val="18"/>
              </w:rPr>
            </w:pPr>
          </w:p>
        </w:tc>
        <w:tc>
          <w:tcPr>
            <w:tcW w:w="0" w:type="auto"/>
            <w:vMerge/>
            <w:vAlign w:val="bottom"/>
          </w:tcPr>
          <w:p w14:paraId="291C4116" w14:textId="77777777" w:rsidR="00155939" w:rsidRPr="004F69A2" w:rsidRDefault="00155939" w:rsidP="00220F29">
            <w:pPr>
              <w:spacing w:after="0"/>
              <w:jc w:val="center"/>
              <w:rPr>
                <w:rFonts w:ascii="Calibri" w:hAnsi="Calibri" w:cs="Calibri"/>
                <w:sz w:val="18"/>
                <w:szCs w:val="18"/>
              </w:rPr>
            </w:pPr>
          </w:p>
        </w:tc>
        <w:tc>
          <w:tcPr>
            <w:tcW w:w="0" w:type="auto"/>
            <w:vAlign w:val="bottom"/>
          </w:tcPr>
          <w:p w14:paraId="3BF9BA4A" w14:textId="77777777" w:rsidR="00155939" w:rsidRPr="004F69A2" w:rsidRDefault="00155939" w:rsidP="00220F29">
            <w:pPr>
              <w:spacing w:after="0"/>
              <w:jc w:val="center"/>
              <w:rPr>
                <w:rFonts w:ascii="Calibri" w:hAnsi="Calibri" w:cs="Calibri"/>
                <w:sz w:val="18"/>
                <w:szCs w:val="18"/>
              </w:rPr>
            </w:pPr>
            <w:r>
              <w:rPr>
                <w:rFonts w:ascii="Calibri" w:hAnsi="Calibri" w:cs="Calibri"/>
                <w:sz w:val="18"/>
                <w:szCs w:val="18"/>
              </w:rPr>
              <w:t>1 Year after Treatment</w:t>
            </w:r>
          </w:p>
        </w:tc>
        <w:tc>
          <w:tcPr>
            <w:tcW w:w="0" w:type="auto"/>
            <w:vAlign w:val="bottom"/>
          </w:tcPr>
          <w:p w14:paraId="766C85CA" w14:textId="77777777" w:rsidR="00155939" w:rsidRPr="004F69A2" w:rsidRDefault="00155939" w:rsidP="00220F29">
            <w:pPr>
              <w:spacing w:after="0"/>
              <w:jc w:val="center"/>
              <w:rPr>
                <w:rFonts w:ascii="Calibri" w:hAnsi="Calibri" w:cs="Calibri"/>
                <w:sz w:val="18"/>
                <w:szCs w:val="18"/>
              </w:rPr>
            </w:pPr>
            <w:r>
              <w:rPr>
                <w:rFonts w:ascii="Calibri" w:hAnsi="Calibri" w:cs="Calibri"/>
                <w:sz w:val="18"/>
                <w:szCs w:val="18"/>
              </w:rPr>
              <w:t>2 Years after Treatment</w:t>
            </w:r>
          </w:p>
        </w:tc>
        <w:tc>
          <w:tcPr>
            <w:tcW w:w="0" w:type="auto"/>
            <w:vAlign w:val="bottom"/>
          </w:tcPr>
          <w:p w14:paraId="3C559F94" w14:textId="77777777" w:rsidR="00155939" w:rsidRPr="004F69A2" w:rsidRDefault="00155939" w:rsidP="00220F29">
            <w:pPr>
              <w:spacing w:after="0"/>
              <w:jc w:val="center"/>
              <w:rPr>
                <w:rFonts w:ascii="Calibri" w:hAnsi="Calibri" w:cs="Calibri"/>
                <w:sz w:val="18"/>
                <w:szCs w:val="18"/>
              </w:rPr>
            </w:pPr>
            <w:r>
              <w:rPr>
                <w:rFonts w:ascii="Calibri" w:hAnsi="Calibri" w:cs="Calibri"/>
                <w:sz w:val="18"/>
                <w:szCs w:val="18"/>
              </w:rPr>
              <w:t>3 Years after Treatment</w:t>
            </w:r>
          </w:p>
        </w:tc>
        <w:tc>
          <w:tcPr>
            <w:tcW w:w="0" w:type="auto"/>
            <w:vAlign w:val="bottom"/>
          </w:tcPr>
          <w:p w14:paraId="3BD7BAB8" w14:textId="77777777" w:rsidR="00155939" w:rsidRPr="004F69A2" w:rsidRDefault="00155939" w:rsidP="00220F29">
            <w:pPr>
              <w:spacing w:after="0"/>
              <w:jc w:val="center"/>
              <w:rPr>
                <w:rFonts w:ascii="Calibri" w:hAnsi="Calibri" w:cs="Calibri"/>
                <w:sz w:val="18"/>
                <w:szCs w:val="18"/>
              </w:rPr>
            </w:pPr>
            <w:r>
              <w:rPr>
                <w:rFonts w:ascii="Calibri" w:hAnsi="Calibri" w:cs="Calibri"/>
                <w:sz w:val="18"/>
                <w:szCs w:val="18"/>
              </w:rPr>
              <w:t>4 Years after Treatment</w:t>
            </w:r>
          </w:p>
        </w:tc>
        <w:tc>
          <w:tcPr>
            <w:tcW w:w="0" w:type="auto"/>
            <w:vAlign w:val="bottom"/>
          </w:tcPr>
          <w:p w14:paraId="5E230965" w14:textId="77777777" w:rsidR="00155939" w:rsidRPr="004F69A2" w:rsidRDefault="00155939" w:rsidP="00220F29">
            <w:pPr>
              <w:spacing w:after="0"/>
              <w:jc w:val="center"/>
              <w:rPr>
                <w:rFonts w:ascii="Calibri" w:hAnsi="Calibri" w:cs="Calibri"/>
                <w:sz w:val="18"/>
                <w:szCs w:val="18"/>
              </w:rPr>
            </w:pPr>
            <w:r>
              <w:rPr>
                <w:rFonts w:ascii="Calibri" w:hAnsi="Calibri" w:cs="Calibri"/>
                <w:sz w:val="18"/>
                <w:szCs w:val="18"/>
              </w:rPr>
              <w:t>5 Years after Treatment</w:t>
            </w:r>
          </w:p>
        </w:tc>
        <w:tc>
          <w:tcPr>
            <w:tcW w:w="0" w:type="auto"/>
            <w:vAlign w:val="bottom"/>
          </w:tcPr>
          <w:p w14:paraId="012C5EC2" w14:textId="77777777" w:rsidR="00155939" w:rsidRPr="004F69A2" w:rsidRDefault="00155939" w:rsidP="00220F29">
            <w:pPr>
              <w:spacing w:after="0"/>
              <w:jc w:val="center"/>
              <w:rPr>
                <w:rFonts w:ascii="Calibri" w:hAnsi="Calibri" w:cs="Calibri"/>
                <w:sz w:val="18"/>
                <w:szCs w:val="18"/>
              </w:rPr>
            </w:pPr>
            <w:r>
              <w:rPr>
                <w:rFonts w:ascii="Calibri" w:hAnsi="Calibri" w:cs="Calibri"/>
                <w:sz w:val="18"/>
                <w:szCs w:val="18"/>
              </w:rPr>
              <w:t>6 Years after Treatment</w:t>
            </w:r>
          </w:p>
        </w:tc>
        <w:tc>
          <w:tcPr>
            <w:tcW w:w="0" w:type="auto"/>
            <w:vAlign w:val="bottom"/>
          </w:tcPr>
          <w:p w14:paraId="1E3BDDA5" w14:textId="77777777" w:rsidR="00155939" w:rsidRPr="004F69A2" w:rsidRDefault="00155939" w:rsidP="00220F29">
            <w:pPr>
              <w:spacing w:after="0"/>
              <w:jc w:val="center"/>
              <w:rPr>
                <w:rFonts w:ascii="Calibri" w:hAnsi="Calibri" w:cs="Calibri"/>
                <w:sz w:val="18"/>
                <w:szCs w:val="18"/>
              </w:rPr>
            </w:pPr>
            <w:r>
              <w:rPr>
                <w:rFonts w:ascii="Calibri" w:hAnsi="Calibri" w:cs="Calibri"/>
                <w:sz w:val="18"/>
                <w:szCs w:val="18"/>
              </w:rPr>
              <w:t>7 Years after Treatment</w:t>
            </w:r>
          </w:p>
        </w:tc>
        <w:tc>
          <w:tcPr>
            <w:tcW w:w="1058" w:type="dxa"/>
            <w:vAlign w:val="bottom"/>
          </w:tcPr>
          <w:p w14:paraId="79B2BA03" w14:textId="77777777" w:rsidR="00155939" w:rsidRPr="004F69A2" w:rsidRDefault="00155939" w:rsidP="00220F29">
            <w:pPr>
              <w:spacing w:after="0"/>
              <w:jc w:val="center"/>
              <w:rPr>
                <w:rFonts w:ascii="Calibri" w:hAnsi="Calibri" w:cs="Calibri"/>
                <w:sz w:val="18"/>
                <w:szCs w:val="18"/>
              </w:rPr>
            </w:pPr>
            <w:r>
              <w:rPr>
                <w:rFonts w:ascii="Calibri" w:hAnsi="Calibri" w:cs="Calibri"/>
                <w:sz w:val="18"/>
                <w:szCs w:val="18"/>
              </w:rPr>
              <w:t>8 Years after Treatment</w:t>
            </w:r>
          </w:p>
        </w:tc>
        <w:tc>
          <w:tcPr>
            <w:tcW w:w="857" w:type="dxa"/>
            <w:vAlign w:val="bottom"/>
          </w:tcPr>
          <w:p w14:paraId="5896FDD6" w14:textId="77777777" w:rsidR="00155939" w:rsidRPr="00D9384E" w:rsidRDefault="00155939" w:rsidP="00220F29">
            <w:pPr>
              <w:spacing w:after="0"/>
              <w:jc w:val="center"/>
              <w:rPr>
                <w:rFonts w:ascii="Calibri" w:hAnsi="Calibri" w:cs="Calibri"/>
                <w:b/>
                <w:iCs/>
                <w:sz w:val="18"/>
                <w:szCs w:val="18"/>
              </w:rPr>
            </w:pPr>
            <w:r w:rsidRPr="00D9384E">
              <w:rPr>
                <w:rFonts w:ascii="Calibri" w:hAnsi="Calibri" w:cs="Calibri"/>
                <w:b/>
                <w:iCs/>
                <w:sz w:val="18"/>
                <w:szCs w:val="18"/>
              </w:rPr>
              <w:t>Implied Annual Decay</w:t>
            </w:r>
            <w:r>
              <w:rPr>
                <w:rFonts w:ascii="Calibri" w:hAnsi="Calibri" w:cs="Calibri"/>
                <w:b/>
                <w:iCs/>
                <w:sz w:val="18"/>
                <w:szCs w:val="18"/>
              </w:rPr>
              <w:t xml:space="preserve"> Rate</w:t>
            </w:r>
          </w:p>
        </w:tc>
      </w:tr>
      <w:tr w:rsidR="00155939" w14:paraId="7091E1E5" w14:textId="77777777" w:rsidTr="00205B3E">
        <w:trPr>
          <w:trHeight w:val="288"/>
          <w:jc w:val="center"/>
        </w:trPr>
        <w:tc>
          <w:tcPr>
            <w:tcW w:w="0" w:type="auto"/>
            <w:vAlign w:val="center"/>
          </w:tcPr>
          <w:p w14:paraId="70E85B92" w14:textId="77777777" w:rsidR="00155939" w:rsidRPr="004F69A2" w:rsidRDefault="00155939" w:rsidP="00220F29">
            <w:pPr>
              <w:spacing w:after="0"/>
              <w:jc w:val="center"/>
              <w:rPr>
                <w:rFonts w:ascii="Calibri" w:hAnsi="Calibri" w:cs="Calibri"/>
                <w:color w:val="000000"/>
                <w:sz w:val="18"/>
                <w:szCs w:val="18"/>
              </w:rPr>
            </w:pPr>
            <w:r>
              <w:rPr>
                <w:rFonts w:ascii="Calibri" w:hAnsi="Calibri" w:cs="Calibri"/>
                <w:color w:val="000000"/>
                <w:sz w:val="18"/>
                <w:szCs w:val="18"/>
              </w:rPr>
              <w:t>1 &amp; 2</w:t>
            </w:r>
          </w:p>
        </w:tc>
        <w:tc>
          <w:tcPr>
            <w:tcW w:w="0" w:type="auto"/>
            <w:vAlign w:val="center"/>
          </w:tcPr>
          <w:p w14:paraId="1D0DF6D6" w14:textId="77777777" w:rsidR="00155939" w:rsidRPr="00A06D20" w:rsidRDefault="00155939" w:rsidP="00220F29">
            <w:pPr>
              <w:spacing w:after="0"/>
              <w:jc w:val="left"/>
              <w:rPr>
                <w:rFonts w:ascii="Calibri" w:hAnsi="Calibri" w:cs="Calibri"/>
                <w:sz w:val="18"/>
                <w:szCs w:val="18"/>
              </w:rPr>
            </w:pPr>
            <w:r w:rsidRPr="00A06D20">
              <w:rPr>
                <w:rFonts w:ascii="Calibri" w:hAnsi="Calibri" w:cs="Calibri"/>
                <w:color w:val="000000"/>
                <w:sz w:val="18"/>
                <w:szCs w:val="18"/>
              </w:rPr>
              <w:t>Upper Midwest</w:t>
            </w:r>
          </w:p>
        </w:tc>
        <w:tc>
          <w:tcPr>
            <w:tcW w:w="0" w:type="auto"/>
            <w:vAlign w:val="center"/>
          </w:tcPr>
          <w:p w14:paraId="3BC340E4" w14:textId="77777777" w:rsidR="00155939" w:rsidRPr="00A06D20" w:rsidRDefault="00155939" w:rsidP="00220F29">
            <w:pPr>
              <w:spacing w:after="0"/>
              <w:jc w:val="center"/>
              <w:rPr>
                <w:rFonts w:ascii="Calibri" w:hAnsi="Calibri" w:cs="Calibri"/>
                <w:color w:val="000000"/>
                <w:sz w:val="18"/>
                <w:szCs w:val="18"/>
              </w:rPr>
            </w:pPr>
            <w:r w:rsidRPr="00A06D20">
              <w:rPr>
                <w:rFonts w:ascii="Calibri" w:hAnsi="Calibri" w:cs="Calibri"/>
                <w:color w:val="000000"/>
                <w:sz w:val="18"/>
                <w:szCs w:val="18"/>
              </w:rPr>
              <w:t>24-45</w:t>
            </w:r>
          </w:p>
        </w:tc>
        <w:tc>
          <w:tcPr>
            <w:tcW w:w="0" w:type="auto"/>
            <w:vAlign w:val="center"/>
          </w:tcPr>
          <w:p w14:paraId="4C9D39CD" w14:textId="77777777" w:rsidR="00155939" w:rsidRPr="00A06D20" w:rsidRDefault="00155939" w:rsidP="00220F29">
            <w:pPr>
              <w:spacing w:after="0"/>
              <w:jc w:val="center"/>
              <w:rPr>
                <w:rFonts w:ascii="Calibri" w:hAnsi="Calibri" w:cs="Calibri"/>
                <w:sz w:val="18"/>
                <w:szCs w:val="18"/>
              </w:rPr>
            </w:pPr>
            <w:r w:rsidRPr="00A06D20">
              <w:rPr>
                <w:rFonts w:ascii="Calibri" w:hAnsi="Calibri" w:cs="Calibri"/>
                <w:color w:val="000000"/>
                <w:sz w:val="18"/>
                <w:szCs w:val="18"/>
              </w:rPr>
              <w:t>26</w:t>
            </w:r>
          </w:p>
        </w:tc>
        <w:tc>
          <w:tcPr>
            <w:tcW w:w="0" w:type="auto"/>
            <w:vAlign w:val="center"/>
          </w:tcPr>
          <w:p w14:paraId="46BF588C" w14:textId="77777777" w:rsidR="00155939" w:rsidRPr="00A06D20" w:rsidRDefault="00155939" w:rsidP="00220F29">
            <w:pPr>
              <w:spacing w:after="0"/>
              <w:jc w:val="center"/>
              <w:rPr>
                <w:rFonts w:ascii="Calibri" w:hAnsi="Calibri" w:cs="Calibri"/>
                <w:sz w:val="18"/>
                <w:szCs w:val="18"/>
              </w:rPr>
            </w:pPr>
          </w:p>
        </w:tc>
        <w:tc>
          <w:tcPr>
            <w:tcW w:w="0" w:type="auto"/>
            <w:vAlign w:val="center"/>
          </w:tcPr>
          <w:p w14:paraId="35B4BBFE" w14:textId="77777777" w:rsidR="00155939" w:rsidRPr="00A06D20" w:rsidRDefault="00155939" w:rsidP="00220F29">
            <w:pPr>
              <w:spacing w:after="0"/>
              <w:jc w:val="center"/>
              <w:rPr>
                <w:rFonts w:ascii="Calibri" w:hAnsi="Calibri" w:cs="Calibri"/>
                <w:sz w:val="18"/>
                <w:szCs w:val="18"/>
              </w:rPr>
            </w:pPr>
            <w:r w:rsidRPr="00A06D20">
              <w:rPr>
                <w:rFonts w:ascii="Calibri" w:hAnsi="Calibri" w:cs="Calibri"/>
                <w:sz w:val="18"/>
                <w:szCs w:val="18"/>
              </w:rPr>
              <w:t>62%</w:t>
            </w:r>
          </w:p>
        </w:tc>
        <w:tc>
          <w:tcPr>
            <w:tcW w:w="0" w:type="auto"/>
            <w:vAlign w:val="center"/>
          </w:tcPr>
          <w:p w14:paraId="719CBD89" w14:textId="77777777" w:rsidR="00155939" w:rsidRPr="004F69A2" w:rsidRDefault="00155939" w:rsidP="00220F29">
            <w:pPr>
              <w:spacing w:after="0"/>
              <w:jc w:val="center"/>
              <w:rPr>
                <w:rFonts w:ascii="Calibri" w:hAnsi="Calibri" w:cs="Calibri"/>
                <w:sz w:val="18"/>
                <w:szCs w:val="18"/>
              </w:rPr>
            </w:pPr>
          </w:p>
        </w:tc>
        <w:tc>
          <w:tcPr>
            <w:tcW w:w="0" w:type="auto"/>
            <w:vAlign w:val="center"/>
          </w:tcPr>
          <w:p w14:paraId="25202ECD" w14:textId="77777777" w:rsidR="00155939" w:rsidRPr="004F69A2" w:rsidRDefault="00155939" w:rsidP="00220F29">
            <w:pPr>
              <w:spacing w:after="0"/>
              <w:jc w:val="center"/>
              <w:rPr>
                <w:rFonts w:ascii="Calibri" w:hAnsi="Calibri" w:cs="Calibri"/>
                <w:sz w:val="18"/>
                <w:szCs w:val="18"/>
              </w:rPr>
            </w:pPr>
          </w:p>
        </w:tc>
        <w:tc>
          <w:tcPr>
            <w:tcW w:w="0" w:type="auto"/>
            <w:vAlign w:val="center"/>
          </w:tcPr>
          <w:p w14:paraId="5EB03607" w14:textId="77777777" w:rsidR="00155939" w:rsidRPr="004F69A2" w:rsidRDefault="00155939" w:rsidP="00220F29">
            <w:pPr>
              <w:spacing w:after="0"/>
              <w:jc w:val="center"/>
              <w:rPr>
                <w:rFonts w:ascii="Calibri" w:hAnsi="Calibri" w:cs="Calibri"/>
                <w:sz w:val="18"/>
                <w:szCs w:val="18"/>
              </w:rPr>
            </w:pPr>
          </w:p>
        </w:tc>
        <w:tc>
          <w:tcPr>
            <w:tcW w:w="0" w:type="auto"/>
            <w:vAlign w:val="center"/>
          </w:tcPr>
          <w:p w14:paraId="2915964B" w14:textId="77777777" w:rsidR="00155939" w:rsidRPr="004F69A2" w:rsidRDefault="00155939" w:rsidP="00220F29">
            <w:pPr>
              <w:spacing w:after="0"/>
              <w:jc w:val="center"/>
              <w:rPr>
                <w:rFonts w:ascii="Calibri" w:hAnsi="Calibri" w:cs="Calibri"/>
                <w:sz w:val="18"/>
                <w:szCs w:val="18"/>
              </w:rPr>
            </w:pPr>
          </w:p>
        </w:tc>
        <w:tc>
          <w:tcPr>
            <w:tcW w:w="0" w:type="auto"/>
            <w:vAlign w:val="center"/>
          </w:tcPr>
          <w:p w14:paraId="3C33765D" w14:textId="77777777" w:rsidR="00155939" w:rsidRPr="004F69A2" w:rsidRDefault="00155939" w:rsidP="00220F29">
            <w:pPr>
              <w:spacing w:after="0"/>
              <w:jc w:val="center"/>
              <w:rPr>
                <w:rFonts w:ascii="Calibri" w:hAnsi="Calibri" w:cs="Calibri"/>
                <w:sz w:val="18"/>
                <w:szCs w:val="18"/>
              </w:rPr>
            </w:pPr>
          </w:p>
        </w:tc>
        <w:tc>
          <w:tcPr>
            <w:tcW w:w="1058" w:type="dxa"/>
            <w:vAlign w:val="center"/>
          </w:tcPr>
          <w:p w14:paraId="1D50B3B1" w14:textId="77777777" w:rsidR="00155939" w:rsidRPr="004F69A2" w:rsidRDefault="00155939" w:rsidP="00220F29">
            <w:pPr>
              <w:spacing w:after="0"/>
              <w:jc w:val="center"/>
              <w:rPr>
                <w:rFonts w:ascii="Calibri" w:hAnsi="Calibri" w:cs="Calibri"/>
                <w:sz w:val="18"/>
                <w:szCs w:val="18"/>
              </w:rPr>
            </w:pPr>
          </w:p>
        </w:tc>
        <w:tc>
          <w:tcPr>
            <w:tcW w:w="857" w:type="dxa"/>
            <w:vAlign w:val="center"/>
          </w:tcPr>
          <w:p w14:paraId="3C0A41FA" w14:textId="77777777" w:rsidR="00155939" w:rsidRPr="00D9384E" w:rsidRDefault="00155939" w:rsidP="00220F29">
            <w:pPr>
              <w:spacing w:after="0"/>
              <w:jc w:val="center"/>
              <w:rPr>
                <w:rFonts w:ascii="Calibri" w:hAnsi="Calibri" w:cs="Calibri"/>
                <w:b/>
                <w:iCs/>
                <w:sz w:val="18"/>
                <w:szCs w:val="18"/>
              </w:rPr>
            </w:pPr>
            <w:r w:rsidRPr="00D9384E">
              <w:rPr>
                <w:rFonts w:ascii="Calibri" w:hAnsi="Calibri" w:cs="Calibri"/>
                <w:b/>
                <w:iCs/>
                <w:sz w:val="18"/>
                <w:szCs w:val="18"/>
              </w:rPr>
              <w:t>21%</w:t>
            </w:r>
          </w:p>
        </w:tc>
      </w:tr>
      <w:tr w:rsidR="00155939" w14:paraId="56ECAA6A" w14:textId="77777777" w:rsidTr="00205B3E">
        <w:trPr>
          <w:trHeight w:val="288"/>
          <w:jc w:val="center"/>
        </w:trPr>
        <w:tc>
          <w:tcPr>
            <w:tcW w:w="0" w:type="auto"/>
            <w:vAlign w:val="center"/>
          </w:tcPr>
          <w:p w14:paraId="2793F25F" w14:textId="77777777" w:rsidR="00155939" w:rsidRPr="004F69A2" w:rsidRDefault="00155939" w:rsidP="00220F29">
            <w:pPr>
              <w:spacing w:after="0"/>
              <w:jc w:val="center"/>
              <w:rPr>
                <w:rFonts w:ascii="Calibri" w:hAnsi="Calibri" w:cs="Calibri"/>
                <w:color w:val="000000"/>
                <w:sz w:val="18"/>
                <w:szCs w:val="18"/>
              </w:rPr>
            </w:pPr>
            <w:r>
              <w:rPr>
                <w:rFonts w:ascii="Calibri" w:hAnsi="Calibri" w:cs="Calibri"/>
                <w:color w:val="000000"/>
                <w:sz w:val="18"/>
                <w:szCs w:val="18"/>
              </w:rPr>
              <w:t>1 &amp; 2</w:t>
            </w:r>
          </w:p>
        </w:tc>
        <w:tc>
          <w:tcPr>
            <w:tcW w:w="0" w:type="auto"/>
            <w:vAlign w:val="center"/>
          </w:tcPr>
          <w:p w14:paraId="71C5FACE" w14:textId="77777777" w:rsidR="00155939" w:rsidRPr="00A06D20" w:rsidRDefault="00155939" w:rsidP="00220F29">
            <w:pPr>
              <w:spacing w:after="0"/>
              <w:jc w:val="left"/>
              <w:rPr>
                <w:rFonts w:ascii="Calibri" w:hAnsi="Calibri" w:cs="Calibri"/>
                <w:sz w:val="18"/>
                <w:szCs w:val="18"/>
              </w:rPr>
            </w:pPr>
            <w:r w:rsidRPr="00A06D20">
              <w:rPr>
                <w:rFonts w:ascii="Calibri" w:hAnsi="Calibri" w:cs="Calibri"/>
                <w:color w:val="000000"/>
                <w:sz w:val="18"/>
                <w:szCs w:val="18"/>
              </w:rPr>
              <w:t>West Coast</w:t>
            </w:r>
          </w:p>
        </w:tc>
        <w:tc>
          <w:tcPr>
            <w:tcW w:w="0" w:type="auto"/>
            <w:vAlign w:val="center"/>
          </w:tcPr>
          <w:p w14:paraId="533397F0" w14:textId="77777777" w:rsidR="00155939" w:rsidRPr="00A06D20" w:rsidRDefault="00155939" w:rsidP="00220F29">
            <w:pPr>
              <w:spacing w:after="0"/>
              <w:jc w:val="center"/>
              <w:rPr>
                <w:rFonts w:ascii="Calibri" w:hAnsi="Calibri" w:cs="Calibri"/>
                <w:color w:val="000000"/>
                <w:sz w:val="18"/>
                <w:szCs w:val="18"/>
              </w:rPr>
            </w:pPr>
            <w:r w:rsidRPr="00A06D20">
              <w:rPr>
                <w:rFonts w:ascii="Calibri" w:hAnsi="Calibri" w:cs="Calibri"/>
                <w:color w:val="000000"/>
                <w:sz w:val="18"/>
                <w:szCs w:val="18"/>
              </w:rPr>
              <w:t>24</w:t>
            </w:r>
          </w:p>
        </w:tc>
        <w:tc>
          <w:tcPr>
            <w:tcW w:w="0" w:type="auto"/>
            <w:vAlign w:val="center"/>
          </w:tcPr>
          <w:p w14:paraId="7D58A9A0" w14:textId="77777777" w:rsidR="00155939" w:rsidRPr="00A06D20" w:rsidRDefault="00155939" w:rsidP="00220F29">
            <w:pPr>
              <w:spacing w:after="0"/>
              <w:jc w:val="center"/>
              <w:rPr>
                <w:rFonts w:ascii="Calibri" w:hAnsi="Calibri" w:cs="Calibri"/>
                <w:sz w:val="18"/>
                <w:szCs w:val="18"/>
              </w:rPr>
            </w:pPr>
            <w:r w:rsidRPr="00A06D20">
              <w:rPr>
                <w:rFonts w:ascii="Calibri" w:hAnsi="Calibri" w:cs="Calibri"/>
                <w:color w:val="000000"/>
                <w:sz w:val="18"/>
                <w:szCs w:val="18"/>
              </w:rPr>
              <w:t>29</w:t>
            </w:r>
          </w:p>
        </w:tc>
        <w:tc>
          <w:tcPr>
            <w:tcW w:w="0" w:type="auto"/>
            <w:vAlign w:val="center"/>
          </w:tcPr>
          <w:p w14:paraId="4D705E5A" w14:textId="77777777" w:rsidR="00155939" w:rsidRPr="00A06D20" w:rsidRDefault="00155939" w:rsidP="00220F29">
            <w:pPr>
              <w:spacing w:after="0"/>
              <w:jc w:val="center"/>
              <w:rPr>
                <w:rFonts w:ascii="Calibri" w:hAnsi="Calibri" w:cs="Calibri"/>
                <w:sz w:val="18"/>
                <w:szCs w:val="18"/>
              </w:rPr>
            </w:pPr>
          </w:p>
        </w:tc>
        <w:tc>
          <w:tcPr>
            <w:tcW w:w="0" w:type="auto"/>
            <w:vAlign w:val="center"/>
          </w:tcPr>
          <w:p w14:paraId="6AE08D04" w14:textId="77777777" w:rsidR="00155939" w:rsidRPr="00A06D20" w:rsidRDefault="00155939" w:rsidP="00220F29">
            <w:pPr>
              <w:spacing w:after="0"/>
              <w:jc w:val="center"/>
              <w:rPr>
                <w:rFonts w:ascii="Calibri" w:hAnsi="Calibri" w:cs="Calibri"/>
                <w:sz w:val="18"/>
                <w:szCs w:val="18"/>
              </w:rPr>
            </w:pPr>
            <w:r w:rsidRPr="00A06D20">
              <w:rPr>
                <w:rFonts w:ascii="Calibri" w:hAnsi="Calibri" w:cs="Calibri"/>
                <w:sz w:val="18"/>
                <w:szCs w:val="18"/>
              </w:rPr>
              <w:t>67%</w:t>
            </w:r>
          </w:p>
        </w:tc>
        <w:tc>
          <w:tcPr>
            <w:tcW w:w="0" w:type="auto"/>
            <w:vAlign w:val="center"/>
          </w:tcPr>
          <w:p w14:paraId="438EC8FD" w14:textId="77777777" w:rsidR="00155939" w:rsidRPr="004F69A2" w:rsidRDefault="00155939" w:rsidP="00220F29">
            <w:pPr>
              <w:spacing w:after="0"/>
              <w:jc w:val="center"/>
              <w:rPr>
                <w:rFonts w:ascii="Calibri" w:hAnsi="Calibri" w:cs="Calibri"/>
                <w:sz w:val="18"/>
                <w:szCs w:val="18"/>
              </w:rPr>
            </w:pPr>
          </w:p>
        </w:tc>
        <w:tc>
          <w:tcPr>
            <w:tcW w:w="0" w:type="auto"/>
            <w:vAlign w:val="center"/>
          </w:tcPr>
          <w:p w14:paraId="57C17989" w14:textId="77777777" w:rsidR="00155939" w:rsidRPr="004F69A2" w:rsidRDefault="00155939" w:rsidP="00220F29">
            <w:pPr>
              <w:spacing w:after="0"/>
              <w:jc w:val="center"/>
              <w:rPr>
                <w:rFonts w:ascii="Calibri" w:hAnsi="Calibri" w:cs="Calibri"/>
                <w:sz w:val="18"/>
                <w:szCs w:val="18"/>
              </w:rPr>
            </w:pPr>
          </w:p>
        </w:tc>
        <w:tc>
          <w:tcPr>
            <w:tcW w:w="0" w:type="auto"/>
            <w:vAlign w:val="center"/>
          </w:tcPr>
          <w:p w14:paraId="34605EA0" w14:textId="77777777" w:rsidR="00155939" w:rsidRPr="004F69A2" w:rsidRDefault="00155939" w:rsidP="00220F29">
            <w:pPr>
              <w:spacing w:after="0"/>
              <w:jc w:val="center"/>
              <w:rPr>
                <w:rFonts w:ascii="Calibri" w:hAnsi="Calibri" w:cs="Calibri"/>
                <w:sz w:val="18"/>
                <w:szCs w:val="18"/>
              </w:rPr>
            </w:pPr>
          </w:p>
        </w:tc>
        <w:tc>
          <w:tcPr>
            <w:tcW w:w="0" w:type="auto"/>
            <w:vAlign w:val="center"/>
          </w:tcPr>
          <w:p w14:paraId="701B0281" w14:textId="77777777" w:rsidR="00155939" w:rsidRPr="004F69A2" w:rsidRDefault="00155939" w:rsidP="00220F29">
            <w:pPr>
              <w:spacing w:after="0"/>
              <w:jc w:val="center"/>
              <w:rPr>
                <w:rFonts w:ascii="Calibri" w:hAnsi="Calibri" w:cs="Calibri"/>
                <w:sz w:val="18"/>
                <w:szCs w:val="18"/>
              </w:rPr>
            </w:pPr>
          </w:p>
        </w:tc>
        <w:tc>
          <w:tcPr>
            <w:tcW w:w="0" w:type="auto"/>
            <w:vAlign w:val="center"/>
          </w:tcPr>
          <w:p w14:paraId="573BFBA8" w14:textId="77777777" w:rsidR="00155939" w:rsidRPr="004F69A2" w:rsidRDefault="00155939" w:rsidP="00220F29">
            <w:pPr>
              <w:spacing w:after="0"/>
              <w:jc w:val="center"/>
              <w:rPr>
                <w:rFonts w:ascii="Calibri" w:hAnsi="Calibri" w:cs="Calibri"/>
                <w:sz w:val="18"/>
                <w:szCs w:val="18"/>
              </w:rPr>
            </w:pPr>
          </w:p>
        </w:tc>
        <w:tc>
          <w:tcPr>
            <w:tcW w:w="1058" w:type="dxa"/>
            <w:vAlign w:val="center"/>
          </w:tcPr>
          <w:p w14:paraId="33325258" w14:textId="77777777" w:rsidR="00155939" w:rsidRPr="004F69A2" w:rsidRDefault="00155939" w:rsidP="00220F29">
            <w:pPr>
              <w:spacing w:after="0"/>
              <w:jc w:val="center"/>
              <w:rPr>
                <w:rFonts w:ascii="Calibri" w:hAnsi="Calibri" w:cs="Calibri"/>
                <w:sz w:val="18"/>
                <w:szCs w:val="18"/>
              </w:rPr>
            </w:pPr>
          </w:p>
        </w:tc>
        <w:tc>
          <w:tcPr>
            <w:tcW w:w="857" w:type="dxa"/>
            <w:vAlign w:val="center"/>
          </w:tcPr>
          <w:p w14:paraId="2C8DCC8B" w14:textId="77777777" w:rsidR="00155939" w:rsidRPr="00D9384E" w:rsidRDefault="00155939" w:rsidP="00220F29">
            <w:pPr>
              <w:spacing w:after="0"/>
              <w:jc w:val="center"/>
              <w:rPr>
                <w:rFonts w:ascii="Calibri" w:hAnsi="Calibri" w:cs="Calibri"/>
                <w:b/>
                <w:iCs/>
                <w:sz w:val="18"/>
                <w:szCs w:val="18"/>
              </w:rPr>
            </w:pPr>
            <w:r w:rsidRPr="00D9384E">
              <w:rPr>
                <w:rFonts w:ascii="Calibri" w:hAnsi="Calibri" w:cs="Calibri"/>
                <w:b/>
                <w:iCs/>
                <w:sz w:val="18"/>
                <w:szCs w:val="18"/>
              </w:rPr>
              <w:t>18%</w:t>
            </w:r>
          </w:p>
        </w:tc>
      </w:tr>
      <w:tr w:rsidR="00155939" w14:paraId="7F458095" w14:textId="77777777" w:rsidTr="00205B3E">
        <w:trPr>
          <w:trHeight w:val="288"/>
          <w:jc w:val="center"/>
        </w:trPr>
        <w:tc>
          <w:tcPr>
            <w:tcW w:w="0" w:type="auto"/>
            <w:vAlign w:val="center"/>
          </w:tcPr>
          <w:p w14:paraId="50528E02" w14:textId="77777777" w:rsidR="00155939" w:rsidRPr="004F69A2" w:rsidRDefault="00155939" w:rsidP="00220F29">
            <w:pPr>
              <w:spacing w:after="0"/>
              <w:jc w:val="center"/>
              <w:rPr>
                <w:rFonts w:ascii="Calibri" w:hAnsi="Calibri" w:cs="Calibri"/>
                <w:color w:val="000000"/>
                <w:sz w:val="18"/>
                <w:szCs w:val="18"/>
              </w:rPr>
            </w:pPr>
            <w:r>
              <w:rPr>
                <w:rFonts w:ascii="Calibri" w:hAnsi="Calibri" w:cs="Calibri"/>
                <w:color w:val="000000"/>
                <w:sz w:val="18"/>
                <w:szCs w:val="18"/>
              </w:rPr>
              <w:t>1 &amp; 2</w:t>
            </w:r>
          </w:p>
        </w:tc>
        <w:tc>
          <w:tcPr>
            <w:tcW w:w="0" w:type="auto"/>
            <w:vAlign w:val="center"/>
          </w:tcPr>
          <w:p w14:paraId="0A1EB2FA" w14:textId="77777777" w:rsidR="00155939" w:rsidRPr="00A06D20" w:rsidRDefault="00155939" w:rsidP="00220F29">
            <w:pPr>
              <w:spacing w:after="0"/>
              <w:jc w:val="left"/>
              <w:rPr>
                <w:rFonts w:ascii="Calibri" w:hAnsi="Calibri" w:cs="Calibri"/>
                <w:sz w:val="18"/>
                <w:szCs w:val="18"/>
              </w:rPr>
            </w:pPr>
            <w:r w:rsidRPr="00A06D20">
              <w:rPr>
                <w:rFonts w:ascii="Calibri" w:hAnsi="Calibri" w:cs="Calibri"/>
                <w:color w:val="000000"/>
                <w:sz w:val="18"/>
                <w:szCs w:val="18"/>
              </w:rPr>
              <w:t>West Coast</w:t>
            </w:r>
          </w:p>
        </w:tc>
        <w:tc>
          <w:tcPr>
            <w:tcW w:w="0" w:type="auto"/>
            <w:vAlign w:val="center"/>
          </w:tcPr>
          <w:p w14:paraId="56C4E8E6" w14:textId="77777777" w:rsidR="00155939" w:rsidRPr="00A06D20" w:rsidRDefault="00155939" w:rsidP="00220F29">
            <w:pPr>
              <w:spacing w:after="0"/>
              <w:jc w:val="center"/>
              <w:rPr>
                <w:rFonts w:ascii="Calibri" w:hAnsi="Calibri" w:cs="Calibri"/>
                <w:color w:val="000000"/>
                <w:sz w:val="18"/>
                <w:szCs w:val="18"/>
              </w:rPr>
            </w:pPr>
            <w:r w:rsidRPr="00A06D20">
              <w:rPr>
                <w:rFonts w:ascii="Calibri" w:hAnsi="Calibri" w:cs="Calibri"/>
                <w:color w:val="000000"/>
                <w:sz w:val="18"/>
                <w:szCs w:val="18"/>
              </w:rPr>
              <w:t>25-28</w:t>
            </w:r>
          </w:p>
        </w:tc>
        <w:tc>
          <w:tcPr>
            <w:tcW w:w="0" w:type="auto"/>
            <w:vAlign w:val="center"/>
          </w:tcPr>
          <w:p w14:paraId="5B27B5B7" w14:textId="77777777" w:rsidR="00155939" w:rsidRPr="00A06D20" w:rsidRDefault="00155939" w:rsidP="00220F29">
            <w:pPr>
              <w:spacing w:after="0"/>
              <w:jc w:val="center"/>
              <w:rPr>
                <w:rFonts w:ascii="Calibri" w:hAnsi="Calibri" w:cs="Calibri"/>
                <w:sz w:val="18"/>
                <w:szCs w:val="18"/>
              </w:rPr>
            </w:pPr>
            <w:r w:rsidRPr="00A06D20">
              <w:rPr>
                <w:rFonts w:ascii="Calibri" w:hAnsi="Calibri" w:cs="Calibri"/>
                <w:color w:val="000000"/>
                <w:sz w:val="18"/>
                <w:szCs w:val="18"/>
              </w:rPr>
              <w:t>34</w:t>
            </w:r>
          </w:p>
        </w:tc>
        <w:tc>
          <w:tcPr>
            <w:tcW w:w="0" w:type="auto"/>
            <w:vAlign w:val="center"/>
          </w:tcPr>
          <w:p w14:paraId="1D73187B" w14:textId="77777777" w:rsidR="00155939" w:rsidRPr="00A06D20" w:rsidRDefault="00155939" w:rsidP="00220F29">
            <w:pPr>
              <w:spacing w:after="0"/>
              <w:jc w:val="center"/>
              <w:rPr>
                <w:rFonts w:ascii="Calibri" w:hAnsi="Calibri" w:cs="Calibri"/>
                <w:sz w:val="18"/>
                <w:szCs w:val="18"/>
              </w:rPr>
            </w:pPr>
          </w:p>
        </w:tc>
        <w:tc>
          <w:tcPr>
            <w:tcW w:w="0" w:type="auto"/>
            <w:vAlign w:val="center"/>
          </w:tcPr>
          <w:p w14:paraId="637EE8D8" w14:textId="77777777" w:rsidR="00155939" w:rsidRPr="00A06D20" w:rsidRDefault="00155939" w:rsidP="00220F29">
            <w:pPr>
              <w:spacing w:after="0"/>
              <w:jc w:val="center"/>
              <w:rPr>
                <w:rFonts w:ascii="Calibri" w:hAnsi="Calibri" w:cs="Calibri"/>
                <w:sz w:val="18"/>
                <w:szCs w:val="18"/>
              </w:rPr>
            </w:pPr>
            <w:r w:rsidRPr="00A06D20">
              <w:rPr>
                <w:rFonts w:ascii="Calibri" w:hAnsi="Calibri" w:cs="Calibri"/>
                <w:sz w:val="18"/>
                <w:szCs w:val="18"/>
              </w:rPr>
              <w:t>72%</w:t>
            </w:r>
          </w:p>
        </w:tc>
        <w:tc>
          <w:tcPr>
            <w:tcW w:w="0" w:type="auto"/>
            <w:vAlign w:val="center"/>
          </w:tcPr>
          <w:p w14:paraId="16B78F39" w14:textId="77777777" w:rsidR="00155939" w:rsidRPr="004F69A2" w:rsidRDefault="00155939" w:rsidP="00220F29">
            <w:pPr>
              <w:spacing w:after="0"/>
              <w:jc w:val="center"/>
              <w:rPr>
                <w:rFonts w:ascii="Calibri" w:hAnsi="Calibri" w:cs="Calibri"/>
                <w:sz w:val="18"/>
                <w:szCs w:val="18"/>
              </w:rPr>
            </w:pPr>
          </w:p>
        </w:tc>
        <w:tc>
          <w:tcPr>
            <w:tcW w:w="0" w:type="auto"/>
            <w:vAlign w:val="center"/>
          </w:tcPr>
          <w:p w14:paraId="1AFE2EA3" w14:textId="77777777" w:rsidR="00155939" w:rsidRPr="004F69A2" w:rsidRDefault="00155939" w:rsidP="00220F29">
            <w:pPr>
              <w:spacing w:after="0"/>
              <w:jc w:val="center"/>
              <w:rPr>
                <w:rFonts w:ascii="Calibri" w:hAnsi="Calibri" w:cs="Calibri"/>
                <w:sz w:val="18"/>
                <w:szCs w:val="18"/>
              </w:rPr>
            </w:pPr>
          </w:p>
        </w:tc>
        <w:tc>
          <w:tcPr>
            <w:tcW w:w="0" w:type="auto"/>
            <w:vAlign w:val="center"/>
          </w:tcPr>
          <w:p w14:paraId="244FEE25" w14:textId="77777777" w:rsidR="00155939" w:rsidRPr="004F69A2" w:rsidRDefault="00155939" w:rsidP="00220F29">
            <w:pPr>
              <w:spacing w:after="0"/>
              <w:jc w:val="center"/>
              <w:rPr>
                <w:rFonts w:ascii="Calibri" w:hAnsi="Calibri" w:cs="Calibri"/>
                <w:sz w:val="18"/>
                <w:szCs w:val="18"/>
              </w:rPr>
            </w:pPr>
          </w:p>
        </w:tc>
        <w:tc>
          <w:tcPr>
            <w:tcW w:w="0" w:type="auto"/>
            <w:vAlign w:val="center"/>
          </w:tcPr>
          <w:p w14:paraId="296FCD7F" w14:textId="77777777" w:rsidR="00155939" w:rsidRPr="004F69A2" w:rsidRDefault="00155939" w:rsidP="00220F29">
            <w:pPr>
              <w:spacing w:after="0"/>
              <w:jc w:val="center"/>
              <w:rPr>
                <w:rFonts w:ascii="Calibri" w:hAnsi="Calibri" w:cs="Calibri"/>
                <w:sz w:val="18"/>
                <w:szCs w:val="18"/>
              </w:rPr>
            </w:pPr>
          </w:p>
        </w:tc>
        <w:tc>
          <w:tcPr>
            <w:tcW w:w="0" w:type="auto"/>
            <w:vAlign w:val="center"/>
          </w:tcPr>
          <w:p w14:paraId="412B42A0" w14:textId="77777777" w:rsidR="00155939" w:rsidRPr="004F69A2" w:rsidRDefault="00155939" w:rsidP="00220F29">
            <w:pPr>
              <w:spacing w:after="0"/>
              <w:jc w:val="center"/>
              <w:rPr>
                <w:rFonts w:ascii="Calibri" w:hAnsi="Calibri" w:cs="Calibri"/>
                <w:sz w:val="18"/>
                <w:szCs w:val="18"/>
              </w:rPr>
            </w:pPr>
          </w:p>
        </w:tc>
        <w:tc>
          <w:tcPr>
            <w:tcW w:w="1058" w:type="dxa"/>
            <w:vAlign w:val="center"/>
          </w:tcPr>
          <w:p w14:paraId="33A7C486" w14:textId="77777777" w:rsidR="00155939" w:rsidRPr="004F69A2" w:rsidRDefault="00155939" w:rsidP="00220F29">
            <w:pPr>
              <w:spacing w:after="0"/>
              <w:jc w:val="center"/>
              <w:rPr>
                <w:rFonts w:ascii="Calibri" w:hAnsi="Calibri" w:cs="Calibri"/>
                <w:sz w:val="18"/>
                <w:szCs w:val="18"/>
              </w:rPr>
            </w:pPr>
          </w:p>
        </w:tc>
        <w:tc>
          <w:tcPr>
            <w:tcW w:w="857" w:type="dxa"/>
            <w:vAlign w:val="center"/>
          </w:tcPr>
          <w:p w14:paraId="462B1EB3" w14:textId="77777777" w:rsidR="00155939" w:rsidRPr="00D9384E" w:rsidRDefault="00155939" w:rsidP="00220F29">
            <w:pPr>
              <w:spacing w:after="0"/>
              <w:jc w:val="center"/>
              <w:rPr>
                <w:rFonts w:ascii="Calibri" w:hAnsi="Calibri" w:cs="Calibri"/>
                <w:b/>
                <w:iCs/>
                <w:sz w:val="18"/>
                <w:szCs w:val="18"/>
              </w:rPr>
            </w:pPr>
            <w:r w:rsidRPr="00D9384E">
              <w:rPr>
                <w:rFonts w:ascii="Calibri" w:hAnsi="Calibri" w:cs="Calibri"/>
                <w:b/>
                <w:iCs/>
                <w:sz w:val="18"/>
                <w:szCs w:val="18"/>
              </w:rPr>
              <w:t>15%</w:t>
            </w:r>
          </w:p>
        </w:tc>
      </w:tr>
      <w:tr w:rsidR="00155939" w14:paraId="2AD22D30" w14:textId="77777777" w:rsidTr="00205B3E">
        <w:trPr>
          <w:trHeight w:val="288"/>
          <w:jc w:val="center"/>
        </w:trPr>
        <w:tc>
          <w:tcPr>
            <w:tcW w:w="0" w:type="auto"/>
            <w:vAlign w:val="center"/>
          </w:tcPr>
          <w:p w14:paraId="2862BFE1" w14:textId="77777777" w:rsidR="00155939" w:rsidRDefault="00155939" w:rsidP="00220F29">
            <w:pPr>
              <w:spacing w:after="0"/>
              <w:jc w:val="center"/>
              <w:rPr>
                <w:rFonts w:ascii="Calibri" w:hAnsi="Calibri" w:cs="Calibri"/>
                <w:sz w:val="18"/>
                <w:szCs w:val="18"/>
              </w:rPr>
            </w:pPr>
            <w:r>
              <w:rPr>
                <w:rFonts w:ascii="Calibri" w:hAnsi="Calibri" w:cs="Calibri"/>
                <w:sz w:val="18"/>
                <w:szCs w:val="18"/>
              </w:rPr>
              <w:t>1 &amp; 3</w:t>
            </w:r>
          </w:p>
        </w:tc>
        <w:tc>
          <w:tcPr>
            <w:tcW w:w="0" w:type="auto"/>
            <w:vAlign w:val="center"/>
          </w:tcPr>
          <w:p w14:paraId="6F67D601" w14:textId="77777777" w:rsidR="00155939" w:rsidRPr="00A06D20" w:rsidRDefault="00155939" w:rsidP="00220F29">
            <w:pPr>
              <w:spacing w:after="0"/>
              <w:jc w:val="left"/>
              <w:rPr>
                <w:rFonts w:ascii="Calibri" w:hAnsi="Calibri" w:cs="Calibri"/>
                <w:sz w:val="18"/>
                <w:szCs w:val="18"/>
              </w:rPr>
            </w:pPr>
            <w:r w:rsidRPr="00A06D20">
              <w:rPr>
                <w:rFonts w:ascii="Calibri" w:hAnsi="Calibri" w:cs="Calibri"/>
                <w:sz w:val="18"/>
                <w:szCs w:val="18"/>
              </w:rPr>
              <w:t>SMUD</w:t>
            </w:r>
          </w:p>
        </w:tc>
        <w:tc>
          <w:tcPr>
            <w:tcW w:w="0" w:type="auto"/>
            <w:vAlign w:val="center"/>
          </w:tcPr>
          <w:p w14:paraId="7D89D833" w14:textId="77777777" w:rsidR="00155939" w:rsidRPr="00A06D20" w:rsidRDefault="00155939" w:rsidP="00220F29">
            <w:pPr>
              <w:spacing w:after="0"/>
              <w:jc w:val="center"/>
              <w:rPr>
                <w:rFonts w:ascii="Calibri" w:hAnsi="Calibri" w:cs="Calibri"/>
                <w:sz w:val="18"/>
                <w:szCs w:val="18"/>
              </w:rPr>
            </w:pPr>
            <w:r w:rsidRPr="00A06D20">
              <w:rPr>
                <w:rFonts w:ascii="Calibri" w:hAnsi="Calibri" w:cs="Calibri"/>
                <w:sz w:val="18"/>
                <w:szCs w:val="18"/>
              </w:rPr>
              <w:t>27</w:t>
            </w:r>
          </w:p>
        </w:tc>
        <w:tc>
          <w:tcPr>
            <w:tcW w:w="0" w:type="auto"/>
            <w:vAlign w:val="center"/>
          </w:tcPr>
          <w:p w14:paraId="2C3815D6" w14:textId="77777777" w:rsidR="00155939" w:rsidRPr="00A06D20" w:rsidRDefault="00155939" w:rsidP="00220F29">
            <w:pPr>
              <w:spacing w:after="0"/>
              <w:jc w:val="center"/>
              <w:rPr>
                <w:rFonts w:ascii="Calibri" w:hAnsi="Calibri" w:cs="Calibri"/>
                <w:sz w:val="18"/>
                <w:szCs w:val="18"/>
              </w:rPr>
            </w:pPr>
            <w:r w:rsidRPr="00A06D20">
              <w:rPr>
                <w:rFonts w:ascii="Calibri" w:hAnsi="Calibri" w:cs="Calibri"/>
                <w:sz w:val="18"/>
                <w:szCs w:val="18"/>
              </w:rPr>
              <w:t>12</w:t>
            </w:r>
          </w:p>
        </w:tc>
        <w:tc>
          <w:tcPr>
            <w:tcW w:w="0" w:type="auto"/>
            <w:vAlign w:val="center"/>
          </w:tcPr>
          <w:p w14:paraId="7EAA8F93" w14:textId="77777777" w:rsidR="00155939" w:rsidRPr="00A06D20" w:rsidRDefault="00155939" w:rsidP="00220F29">
            <w:pPr>
              <w:spacing w:after="0"/>
              <w:jc w:val="center"/>
              <w:rPr>
                <w:rFonts w:ascii="Calibri" w:hAnsi="Calibri" w:cs="Calibri"/>
                <w:sz w:val="18"/>
                <w:szCs w:val="18"/>
              </w:rPr>
            </w:pPr>
            <w:r w:rsidRPr="00A06D20">
              <w:rPr>
                <w:rFonts w:ascii="Calibri" w:hAnsi="Calibri" w:cs="Calibri"/>
                <w:sz w:val="18"/>
                <w:szCs w:val="18"/>
              </w:rPr>
              <w:t>68%</w:t>
            </w:r>
          </w:p>
        </w:tc>
        <w:tc>
          <w:tcPr>
            <w:tcW w:w="0" w:type="auto"/>
            <w:vAlign w:val="center"/>
          </w:tcPr>
          <w:p w14:paraId="7052FCA0" w14:textId="77777777" w:rsidR="00155939" w:rsidRPr="00A06D20" w:rsidRDefault="00155939" w:rsidP="00220F29">
            <w:pPr>
              <w:spacing w:after="0"/>
              <w:jc w:val="center"/>
              <w:rPr>
                <w:rFonts w:ascii="Calibri" w:hAnsi="Calibri" w:cs="Calibri"/>
                <w:sz w:val="18"/>
                <w:szCs w:val="18"/>
              </w:rPr>
            </w:pPr>
          </w:p>
        </w:tc>
        <w:tc>
          <w:tcPr>
            <w:tcW w:w="0" w:type="auto"/>
            <w:vAlign w:val="center"/>
          </w:tcPr>
          <w:p w14:paraId="3AB27AA4" w14:textId="77777777" w:rsidR="00155939" w:rsidRPr="004F69A2" w:rsidRDefault="00155939" w:rsidP="00220F29">
            <w:pPr>
              <w:spacing w:after="0"/>
              <w:jc w:val="center"/>
              <w:rPr>
                <w:rFonts w:ascii="Calibri" w:hAnsi="Calibri" w:cs="Calibri"/>
                <w:sz w:val="18"/>
                <w:szCs w:val="18"/>
              </w:rPr>
            </w:pPr>
          </w:p>
        </w:tc>
        <w:tc>
          <w:tcPr>
            <w:tcW w:w="0" w:type="auto"/>
            <w:vAlign w:val="center"/>
          </w:tcPr>
          <w:p w14:paraId="6C17AA6F" w14:textId="77777777" w:rsidR="00155939" w:rsidRPr="004F69A2" w:rsidRDefault="00155939" w:rsidP="00220F29">
            <w:pPr>
              <w:spacing w:after="0"/>
              <w:jc w:val="center"/>
              <w:rPr>
                <w:rFonts w:ascii="Calibri" w:hAnsi="Calibri" w:cs="Calibri"/>
                <w:sz w:val="18"/>
                <w:szCs w:val="18"/>
              </w:rPr>
            </w:pPr>
          </w:p>
        </w:tc>
        <w:tc>
          <w:tcPr>
            <w:tcW w:w="0" w:type="auto"/>
            <w:vAlign w:val="center"/>
          </w:tcPr>
          <w:p w14:paraId="62F261C1" w14:textId="77777777" w:rsidR="00155939" w:rsidRPr="004F69A2" w:rsidRDefault="00155939" w:rsidP="00220F29">
            <w:pPr>
              <w:spacing w:after="0"/>
              <w:jc w:val="center"/>
              <w:rPr>
                <w:rFonts w:ascii="Calibri" w:hAnsi="Calibri" w:cs="Calibri"/>
                <w:sz w:val="18"/>
                <w:szCs w:val="18"/>
              </w:rPr>
            </w:pPr>
          </w:p>
        </w:tc>
        <w:tc>
          <w:tcPr>
            <w:tcW w:w="0" w:type="auto"/>
            <w:vAlign w:val="center"/>
          </w:tcPr>
          <w:p w14:paraId="079D05A7" w14:textId="77777777" w:rsidR="00155939" w:rsidRPr="004F69A2" w:rsidRDefault="00155939" w:rsidP="00220F29">
            <w:pPr>
              <w:spacing w:after="0"/>
              <w:jc w:val="center"/>
              <w:rPr>
                <w:rFonts w:ascii="Calibri" w:hAnsi="Calibri" w:cs="Calibri"/>
                <w:sz w:val="18"/>
                <w:szCs w:val="18"/>
              </w:rPr>
            </w:pPr>
          </w:p>
        </w:tc>
        <w:tc>
          <w:tcPr>
            <w:tcW w:w="0" w:type="auto"/>
            <w:vAlign w:val="center"/>
          </w:tcPr>
          <w:p w14:paraId="2DEE97A8" w14:textId="77777777" w:rsidR="00155939" w:rsidRPr="004F69A2" w:rsidRDefault="00155939" w:rsidP="00220F29">
            <w:pPr>
              <w:spacing w:after="0"/>
              <w:jc w:val="center"/>
              <w:rPr>
                <w:rFonts w:ascii="Calibri" w:hAnsi="Calibri" w:cs="Calibri"/>
                <w:sz w:val="18"/>
                <w:szCs w:val="18"/>
              </w:rPr>
            </w:pPr>
          </w:p>
        </w:tc>
        <w:tc>
          <w:tcPr>
            <w:tcW w:w="1058" w:type="dxa"/>
            <w:vAlign w:val="center"/>
          </w:tcPr>
          <w:p w14:paraId="353CE684" w14:textId="77777777" w:rsidR="00155939" w:rsidRPr="004F69A2" w:rsidRDefault="00155939" w:rsidP="00220F29">
            <w:pPr>
              <w:spacing w:after="0"/>
              <w:jc w:val="center"/>
              <w:rPr>
                <w:rFonts w:ascii="Calibri" w:hAnsi="Calibri" w:cs="Calibri"/>
                <w:sz w:val="18"/>
                <w:szCs w:val="18"/>
              </w:rPr>
            </w:pPr>
          </w:p>
        </w:tc>
        <w:tc>
          <w:tcPr>
            <w:tcW w:w="857" w:type="dxa"/>
            <w:vAlign w:val="center"/>
          </w:tcPr>
          <w:p w14:paraId="7C6431A9" w14:textId="77777777" w:rsidR="00155939" w:rsidRPr="00D9384E" w:rsidRDefault="00155939" w:rsidP="00220F29">
            <w:pPr>
              <w:spacing w:after="0"/>
              <w:jc w:val="center"/>
              <w:rPr>
                <w:rFonts w:ascii="Calibri" w:hAnsi="Calibri" w:cs="Calibri"/>
                <w:b/>
                <w:iCs/>
                <w:sz w:val="18"/>
                <w:szCs w:val="18"/>
              </w:rPr>
            </w:pPr>
            <w:r w:rsidRPr="00D9384E">
              <w:rPr>
                <w:rFonts w:ascii="Calibri" w:hAnsi="Calibri" w:cs="Calibri"/>
                <w:b/>
                <w:iCs/>
                <w:sz w:val="18"/>
                <w:szCs w:val="18"/>
              </w:rPr>
              <w:t>32%</w:t>
            </w:r>
          </w:p>
        </w:tc>
      </w:tr>
      <w:tr w:rsidR="00155939" w14:paraId="7FCDF1F4" w14:textId="77777777" w:rsidTr="00205B3E">
        <w:trPr>
          <w:trHeight w:val="288"/>
          <w:jc w:val="center"/>
        </w:trPr>
        <w:tc>
          <w:tcPr>
            <w:tcW w:w="0" w:type="auto"/>
            <w:vAlign w:val="center"/>
          </w:tcPr>
          <w:p w14:paraId="5C1C499A" w14:textId="77777777" w:rsidR="00155939" w:rsidRDefault="00155939" w:rsidP="00220F29">
            <w:pPr>
              <w:spacing w:after="0"/>
              <w:jc w:val="center"/>
              <w:rPr>
                <w:rFonts w:ascii="Calibri" w:hAnsi="Calibri" w:cs="Calibri"/>
                <w:sz w:val="18"/>
                <w:szCs w:val="18"/>
              </w:rPr>
            </w:pPr>
            <w:r>
              <w:rPr>
                <w:rFonts w:ascii="Calibri" w:hAnsi="Calibri" w:cs="Calibri"/>
                <w:sz w:val="18"/>
                <w:szCs w:val="18"/>
              </w:rPr>
              <w:t>4</w:t>
            </w:r>
          </w:p>
        </w:tc>
        <w:tc>
          <w:tcPr>
            <w:tcW w:w="0" w:type="auto"/>
            <w:vAlign w:val="center"/>
          </w:tcPr>
          <w:p w14:paraId="44407781" w14:textId="77777777" w:rsidR="00155939" w:rsidRPr="00A06D20" w:rsidRDefault="00155939" w:rsidP="00220F29">
            <w:pPr>
              <w:spacing w:after="0"/>
              <w:jc w:val="left"/>
              <w:rPr>
                <w:rFonts w:ascii="Calibri" w:hAnsi="Calibri" w:cs="Calibri"/>
                <w:sz w:val="18"/>
                <w:szCs w:val="18"/>
              </w:rPr>
            </w:pPr>
            <w:r w:rsidRPr="00A06D20">
              <w:rPr>
                <w:rFonts w:ascii="Calibri" w:hAnsi="Calibri" w:cs="Calibri"/>
                <w:sz w:val="18"/>
                <w:szCs w:val="18"/>
              </w:rPr>
              <w:t>MASS</w:t>
            </w:r>
          </w:p>
        </w:tc>
        <w:tc>
          <w:tcPr>
            <w:tcW w:w="0" w:type="auto"/>
            <w:vAlign w:val="center"/>
          </w:tcPr>
          <w:p w14:paraId="7835728A" w14:textId="77777777" w:rsidR="00155939" w:rsidRPr="00A06D20" w:rsidRDefault="00155939" w:rsidP="00220F29">
            <w:pPr>
              <w:spacing w:after="0"/>
              <w:jc w:val="center"/>
              <w:rPr>
                <w:rFonts w:ascii="Calibri" w:hAnsi="Calibri" w:cs="Calibri"/>
                <w:sz w:val="18"/>
                <w:szCs w:val="18"/>
              </w:rPr>
            </w:pPr>
            <w:r w:rsidRPr="00A06D20">
              <w:rPr>
                <w:rFonts w:ascii="Calibri" w:hAnsi="Calibri" w:cs="Calibri"/>
                <w:sz w:val="18"/>
                <w:szCs w:val="18"/>
              </w:rPr>
              <w:t>26</w:t>
            </w:r>
          </w:p>
        </w:tc>
        <w:tc>
          <w:tcPr>
            <w:tcW w:w="0" w:type="auto"/>
            <w:vAlign w:val="center"/>
          </w:tcPr>
          <w:p w14:paraId="357820CE" w14:textId="77777777" w:rsidR="00155939" w:rsidRPr="00A06D20" w:rsidRDefault="00155939" w:rsidP="00220F29">
            <w:pPr>
              <w:spacing w:after="0"/>
              <w:jc w:val="center"/>
              <w:rPr>
                <w:rFonts w:ascii="Calibri" w:hAnsi="Calibri" w:cs="Calibri"/>
                <w:sz w:val="18"/>
                <w:szCs w:val="18"/>
              </w:rPr>
            </w:pPr>
            <w:r w:rsidRPr="00A06D20">
              <w:rPr>
                <w:rFonts w:ascii="Calibri" w:hAnsi="Calibri" w:cs="Calibri"/>
                <w:sz w:val="18"/>
                <w:szCs w:val="18"/>
              </w:rPr>
              <w:t>15</w:t>
            </w:r>
          </w:p>
        </w:tc>
        <w:tc>
          <w:tcPr>
            <w:tcW w:w="0" w:type="auto"/>
            <w:vAlign w:val="center"/>
          </w:tcPr>
          <w:p w14:paraId="5C8F3E4C" w14:textId="77777777" w:rsidR="00155939" w:rsidRPr="00A06D20" w:rsidRDefault="00155939" w:rsidP="00220F29">
            <w:pPr>
              <w:spacing w:after="0"/>
              <w:jc w:val="center"/>
              <w:rPr>
                <w:rFonts w:ascii="Calibri" w:hAnsi="Calibri" w:cs="Calibri"/>
                <w:sz w:val="18"/>
                <w:szCs w:val="18"/>
              </w:rPr>
            </w:pPr>
            <w:r w:rsidRPr="00A06D20">
              <w:rPr>
                <w:rFonts w:ascii="Calibri" w:hAnsi="Calibri" w:cs="Calibri"/>
                <w:sz w:val="18"/>
                <w:szCs w:val="18"/>
              </w:rPr>
              <w:t>67%</w:t>
            </w:r>
          </w:p>
        </w:tc>
        <w:tc>
          <w:tcPr>
            <w:tcW w:w="0" w:type="auto"/>
            <w:vAlign w:val="center"/>
          </w:tcPr>
          <w:p w14:paraId="7E55E40A" w14:textId="77777777" w:rsidR="00155939" w:rsidRPr="00A06D20" w:rsidRDefault="00155939" w:rsidP="00220F29">
            <w:pPr>
              <w:spacing w:after="0"/>
              <w:jc w:val="center"/>
              <w:rPr>
                <w:rFonts w:ascii="Calibri" w:hAnsi="Calibri" w:cs="Calibri"/>
                <w:sz w:val="18"/>
                <w:szCs w:val="18"/>
              </w:rPr>
            </w:pPr>
          </w:p>
        </w:tc>
        <w:tc>
          <w:tcPr>
            <w:tcW w:w="0" w:type="auto"/>
            <w:vAlign w:val="center"/>
          </w:tcPr>
          <w:p w14:paraId="401A4C31" w14:textId="77777777" w:rsidR="00155939" w:rsidRPr="004F69A2" w:rsidRDefault="00155939" w:rsidP="00220F29">
            <w:pPr>
              <w:spacing w:after="0"/>
              <w:jc w:val="center"/>
              <w:rPr>
                <w:rFonts w:ascii="Calibri" w:hAnsi="Calibri" w:cs="Calibri"/>
                <w:sz w:val="18"/>
                <w:szCs w:val="18"/>
              </w:rPr>
            </w:pPr>
          </w:p>
        </w:tc>
        <w:tc>
          <w:tcPr>
            <w:tcW w:w="0" w:type="auto"/>
            <w:vAlign w:val="center"/>
          </w:tcPr>
          <w:p w14:paraId="4BE9D7AE" w14:textId="77777777" w:rsidR="00155939" w:rsidRPr="004F69A2" w:rsidRDefault="00155939" w:rsidP="00220F29">
            <w:pPr>
              <w:spacing w:after="0"/>
              <w:jc w:val="center"/>
              <w:rPr>
                <w:rFonts w:ascii="Calibri" w:hAnsi="Calibri" w:cs="Calibri"/>
                <w:sz w:val="18"/>
                <w:szCs w:val="18"/>
              </w:rPr>
            </w:pPr>
          </w:p>
        </w:tc>
        <w:tc>
          <w:tcPr>
            <w:tcW w:w="0" w:type="auto"/>
            <w:vAlign w:val="center"/>
          </w:tcPr>
          <w:p w14:paraId="65040CEB" w14:textId="77777777" w:rsidR="00155939" w:rsidRPr="004F69A2" w:rsidRDefault="00155939" w:rsidP="00220F29">
            <w:pPr>
              <w:spacing w:after="0"/>
              <w:jc w:val="center"/>
              <w:rPr>
                <w:rFonts w:ascii="Calibri" w:hAnsi="Calibri" w:cs="Calibri"/>
                <w:sz w:val="18"/>
                <w:szCs w:val="18"/>
              </w:rPr>
            </w:pPr>
          </w:p>
        </w:tc>
        <w:tc>
          <w:tcPr>
            <w:tcW w:w="0" w:type="auto"/>
            <w:vAlign w:val="center"/>
          </w:tcPr>
          <w:p w14:paraId="677083FC" w14:textId="77777777" w:rsidR="00155939" w:rsidRPr="004F69A2" w:rsidRDefault="00155939" w:rsidP="00220F29">
            <w:pPr>
              <w:spacing w:after="0"/>
              <w:jc w:val="center"/>
              <w:rPr>
                <w:rFonts w:ascii="Calibri" w:hAnsi="Calibri" w:cs="Calibri"/>
                <w:sz w:val="18"/>
                <w:szCs w:val="18"/>
              </w:rPr>
            </w:pPr>
          </w:p>
        </w:tc>
        <w:tc>
          <w:tcPr>
            <w:tcW w:w="0" w:type="auto"/>
            <w:vAlign w:val="center"/>
          </w:tcPr>
          <w:p w14:paraId="62845AF9" w14:textId="77777777" w:rsidR="00155939" w:rsidRPr="004F69A2" w:rsidRDefault="00155939" w:rsidP="00220F29">
            <w:pPr>
              <w:spacing w:after="0"/>
              <w:jc w:val="center"/>
              <w:rPr>
                <w:rFonts w:ascii="Calibri" w:hAnsi="Calibri" w:cs="Calibri"/>
                <w:sz w:val="18"/>
                <w:szCs w:val="18"/>
              </w:rPr>
            </w:pPr>
          </w:p>
        </w:tc>
        <w:tc>
          <w:tcPr>
            <w:tcW w:w="1058" w:type="dxa"/>
            <w:vAlign w:val="center"/>
          </w:tcPr>
          <w:p w14:paraId="0AA2E90A" w14:textId="77777777" w:rsidR="00155939" w:rsidRPr="004F69A2" w:rsidRDefault="00155939" w:rsidP="00220F29">
            <w:pPr>
              <w:spacing w:after="0"/>
              <w:jc w:val="center"/>
              <w:rPr>
                <w:rFonts w:ascii="Calibri" w:hAnsi="Calibri" w:cs="Calibri"/>
                <w:sz w:val="18"/>
                <w:szCs w:val="18"/>
              </w:rPr>
            </w:pPr>
          </w:p>
        </w:tc>
        <w:tc>
          <w:tcPr>
            <w:tcW w:w="857" w:type="dxa"/>
            <w:vAlign w:val="center"/>
          </w:tcPr>
          <w:p w14:paraId="26D2CB4C" w14:textId="77777777" w:rsidR="00155939" w:rsidRPr="00D9384E" w:rsidRDefault="00155939" w:rsidP="00220F29">
            <w:pPr>
              <w:spacing w:after="0"/>
              <w:jc w:val="center"/>
              <w:rPr>
                <w:rFonts w:ascii="Calibri" w:hAnsi="Calibri" w:cs="Calibri"/>
                <w:b/>
                <w:iCs/>
                <w:sz w:val="18"/>
                <w:szCs w:val="18"/>
              </w:rPr>
            </w:pPr>
            <w:r w:rsidRPr="00D9384E">
              <w:rPr>
                <w:rFonts w:ascii="Calibri" w:hAnsi="Calibri" w:cs="Calibri"/>
                <w:b/>
                <w:iCs/>
                <w:sz w:val="18"/>
                <w:szCs w:val="18"/>
              </w:rPr>
              <w:t>33%</w:t>
            </w:r>
          </w:p>
        </w:tc>
      </w:tr>
      <w:tr w:rsidR="00155939" w14:paraId="227D6AD4" w14:textId="77777777" w:rsidTr="00205B3E">
        <w:trPr>
          <w:trHeight w:val="288"/>
          <w:jc w:val="center"/>
        </w:trPr>
        <w:tc>
          <w:tcPr>
            <w:tcW w:w="0" w:type="auto"/>
            <w:vAlign w:val="center"/>
          </w:tcPr>
          <w:p w14:paraId="1AC82B8F" w14:textId="77777777" w:rsidR="00155939" w:rsidRDefault="00155939" w:rsidP="00220F29">
            <w:pPr>
              <w:spacing w:after="0"/>
              <w:jc w:val="center"/>
              <w:rPr>
                <w:rFonts w:ascii="Calibri" w:hAnsi="Calibri" w:cs="Calibri"/>
                <w:sz w:val="18"/>
                <w:szCs w:val="18"/>
              </w:rPr>
            </w:pPr>
            <w:r>
              <w:rPr>
                <w:rFonts w:ascii="Calibri" w:hAnsi="Calibri" w:cs="Calibri"/>
                <w:sz w:val="18"/>
                <w:szCs w:val="18"/>
              </w:rPr>
              <w:t>5</w:t>
            </w:r>
          </w:p>
        </w:tc>
        <w:tc>
          <w:tcPr>
            <w:tcW w:w="0" w:type="auto"/>
            <w:vAlign w:val="center"/>
          </w:tcPr>
          <w:p w14:paraId="0C3BC1A1" w14:textId="77777777" w:rsidR="00155939" w:rsidRPr="00A06D20" w:rsidRDefault="00155939" w:rsidP="00220F29">
            <w:pPr>
              <w:spacing w:after="0"/>
              <w:jc w:val="left"/>
              <w:rPr>
                <w:rFonts w:ascii="Calibri" w:hAnsi="Calibri" w:cs="Calibri"/>
                <w:sz w:val="18"/>
                <w:szCs w:val="18"/>
              </w:rPr>
            </w:pPr>
            <w:r w:rsidRPr="00A06D20">
              <w:rPr>
                <w:rFonts w:ascii="Calibri" w:hAnsi="Calibri" w:cs="Calibri"/>
                <w:sz w:val="18"/>
                <w:szCs w:val="18"/>
              </w:rPr>
              <w:t>Duke Energy Progress</w:t>
            </w:r>
          </w:p>
        </w:tc>
        <w:tc>
          <w:tcPr>
            <w:tcW w:w="0" w:type="auto"/>
            <w:vAlign w:val="center"/>
          </w:tcPr>
          <w:p w14:paraId="6B7FE533" w14:textId="77777777" w:rsidR="00155939" w:rsidRPr="00A06D20" w:rsidRDefault="00155939" w:rsidP="00220F29">
            <w:pPr>
              <w:spacing w:after="0"/>
              <w:jc w:val="center"/>
              <w:rPr>
                <w:rFonts w:ascii="Calibri" w:hAnsi="Calibri" w:cs="Calibri"/>
                <w:sz w:val="18"/>
                <w:szCs w:val="18"/>
              </w:rPr>
            </w:pPr>
            <w:r w:rsidRPr="00A06D20">
              <w:rPr>
                <w:rFonts w:ascii="Calibri" w:hAnsi="Calibri" w:cs="Calibri"/>
                <w:sz w:val="18"/>
                <w:szCs w:val="18"/>
              </w:rPr>
              <w:t>22</w:t>
            </w:r>
          </w:p>
        </w:tc>
        <w:tc>
          <w:tcPr>
            <w:tcW w:w="0" w:type="auto"/>
            <w:vAlign w:val="center"/>
          </w:tcPr>
          <w:p w14:paraId="2488B9B5" w14:textId="77777777" w:rsidR="00155939" w:rsidRPr="00A06D20" w:rsidRDefault="00155939" w:rsidP="00220F29">
            <w:pPr>
              <w:spacing w:after="0"/>
              <w:jc w:val="center"/>
              <w:rPr>
                <w:rFonts w:ascii="Calibri" w:hAnsi="Calibri" w:cs="Calibri"/>
                <w:sz w:val="18"/>
                <w:szCs w:val="18"/>
              </w:rPr>
            </w:pPr>
            <w:r w:rsidRPr="00A06D20">
              <w:rPr>
                <w:rFonts w:ascii="Calibri" w:hAnsi="Calibri" w:cs="Calibri"/>
                <w:sz w:val="18"/>
                <w:szCs w:val="18"/>
              </w:rPr>
              <w:t>12</w:t>
            </w:r>
          </w:p>
        </w:tc>
        <w:tc>
          <w:tcPr>
            <w:tcW w:w="0" w:type="auto"/>
            <w:vAlign w:val="center"/>
          </w:tcPr>
          <w:p w14:paraId="2C49290D" w14:textId="77777777" w:rsidR="00155939" w:rsidRPr="00A06D20" w:rsidRDefault="00155939" w:rsidP="00220F29">
            <w:pPr>
              <w:spacing w:after="0"/>
              <w:jc w:val="center"/>
              <w:rPr>
                <w:rFonts w:ascii="Calibri" w:hAnsi="Calibri" w:cs="Calibri"/>
                <w:sz w:val="18"/>
                <w:szCs w:val="18"/>
              </w:rPr>
            </w:pPr>
            <w:r w:rsidRPr="00A06D20">
              <w:rPr>
                <w:rFonts w:ascii="Calibri" w:hAnsi="Calibri" w:cs="Calibri"/>
                <w:sz w:val="18"/>
                <w:szCs w:val="18"/>
              </w:rPr>
              <w:t>54%</w:t>
            </w:r>
          </w:p>
        </w:tc>
        <w:tc>
          <w:tcPr>
            <w:tcW w:w="0" w:type="auto"/>
            <w:vAlign w:val="center"/>
          </w:tcPr>
          <w:p w14:paraId="0DB89877" w14:textId="77777777" w:rsidR="00155939" w:rsidRPr="00A06D20" w:rsidRDefault="00155939" w:rsidP="00220F29">
            <w:pPr>
              <w:spacing w:after="0"/>
              <w:jc w:val="center"/>
              <w:rPr>
                <w:rFonts w:ascii="Calibri" w:hAnsi="Calibri" w:cs="Calibri"/>
                <w:sz w:val="18"/>
                <w:szCs w:val="18"/>
              </w:rPr>
            </w:pPr>
          </w:p>
        </w:tc>
        <w:tc>
          <w:tcPr>
            <w:tcW w:w="0" w:type="auto"/>
            <w:vAlign w:val="center"/>
          </w:tcPr>
          <w:p w14:paraId="7DBDBE4E" w14:textId="77777777" w:rsidR="00155939" w:rsidRPr="004F69A2" w:rsidRDefault="00155939" w:rsidP="00220F29">
            <w:pPr>
              <w:spacing w:after="0"/>
              <w:jc w:val="center"/>
              <w:rPr>
                <w:rFonts w:ascii="Calibri" w:hAnsi="Calibri" w:cs="Calibri"/>
                <w:sz w:val="18"/>
                <w:szCs w:val="18"/>
              </w:rPr>
            </w:pPr>
          </w:p>
        </w:tc>
        <w:tc>
          <w:tcPr>
            <w:tcW w:w="0" w:type="auto"/>
            <w:vAlign w:val="center"/>
          </w:tcPr>
          <w:p w14:paraId="733AB590" w14:textId="77777777" w:rsidR="00155939" w:rsidRPr="004F69A2" w:rsidRDefault="00155939" w:rsidP="00220F29">
            <w:pPr>
              <w:spacing w:after="0"/>
              <w:jc w:val="center"/>
              <w:rPr>
                <w:rFonts w:ascii="Calibri" w:hAnsi="Calibri" w:cs="Calibri"/>
                <w:sz w:val="18"/>
                <w:szCs w:val="18"/>
              </w:rPr>
            </w:pPr>
          </w:p>
        </w:tc>
        <w:tc>
          <w:tcPr>
            <w:tcW w:w="0" w:type="auto"/>
            <w:vAlign w:val="center"/>
          </w:tcPr>
          <w:p w14:paraId="2E543FA3" w14:textId="77777777" w:rsidR="00155939" w:rsidRPr="004F69A2" w:rsidRDefault="00155939" w:rsidP="00220F29">
            <w:pPr>
              <w:spacing w:after="0"/>
              <w:jc w:val="center"/>
              <w:rPr>
                <w:rFonts w:ascii="Calibri" w:hAnsi="Calibri" w:cs="Calibri"/>
                <w:sz w:val="18"/>
                <w:szCs w:val="18"/>
              </w:rPr>
            </w:pPr>
          </w:p>
        </w:tc>
        <w:tc>
          <w:tcPr>
            <w:tcW w:w="0" w:type="auto"/>
            <w:vAlign w:val="center"/>
          </w:tcPr>
          <w:p w14:paraId="711A2076" w14:textId="77777777" w:rsidR="00155939" w:rsidRPr="004F69A2" w:rsidRDefault="00155939" w:rsidP="00220F29">
            <w:pPr>
              <w:spacing w:after="0"/>
              <w:jc w:val="center"/>
              <w:rPr>
                <w:rFonts w:ascii="Calibri" w:hAnsi="Calibri" w:cs="Calibri"/>
                <w:sz w:val="18"/>
                <w:szCs w:val="18"/>
              </w:rPr>
            </w:pPr>
          </w:p>
        </w:tc>
        <w:tc>
          <w:tcPr>
            <w:tcW w:w="0" w:type="auto"/>
            <w:vAlign w:val="center"/>
          </w:tcPr>
          <w:p w14:paraId="125C3D51" w14:textId="77777777" w:rsidR="00155939" w:rsidRPr="004F69A2" w:rsidRDefault="00155939" w:rsidP="00220F29">
            <w:pPr>
              <w:spacing w:after="0"/>
              <w:jc w:val="center"/>
              <w:rPr>
                <w:rFonts w:ascii="Calibri" w:hAnsi="Calibri" w:cs="Calibri"/>
                <w:sz w:val="18"/>
                <w:szCs w:val="18"/>
              </w:rPr>
            </w:pPr>
          </w:p>
        </w:tc>
        <w:tc>
          <w:tcPr>
            <w:tcW w:w="1058" w:type="dxa"/>
            <w:vAlign w:val="center"/>
          </w:tcPr>
          <w:p w14:paraId="77A8F602" w14:textId="77777777" w:rsidR="00155939" w:rsidRPr="004F69A2" w:rsidRDefault="00155939" w:rsidP="00220F29">
            <w:pPr>
              <w:spacing w:after="0"/>
              <w:jc w:val="center"/>
              <w:rPr>
                <w:rFonts w:ascii="Calibri" w:hAnsi="Calibri" w:cs="Calibri"/>
                <w:sz w:val="18"/>
                <w:szCs w:val="18"/>
              </w:rPr>
            </w:pPr>
          </w:p>
        </w:tc>
        <w:tc>
          <w:tcPr>
            <w:tcW w:w="857" w:type="dxa"/>
            <w:vAlign w:val="center"/>
          </w:tcPr>
          <w:p w14:paraId="27F2A3AA" w14:textId="77777777" w:rsidR="00155939" w:rsidRPr="00D9384E" w:rsidRDefault="00155939" w:rsidP="00220F29">
            <w:pPr>
              <w:spacing w:after="0"/>
              <w:jc w:val="center"/>
              <w:rPr>
                <w:rFonts w:ascii="Calibri" w:hAnsi="Calibri" w:cs="Calibri"/>
                <w:b/>
                <w:iCs/>
                <w:sz w:val="18"/>
                <w:szCs w:val="18"/>
              </w:rPr>
            </w:pPr>
            <w:r w:rsidRPr="00D9384E">
              <w:rPr>
                <w:rFonts w:ascii="Calibri" w:hAnsi="Calibri" w:cs="Calibri"/>
                <w:b/>
                <w:iCs/>
                <w:sz w:val="18"/>
                <w:szCs w:val="18"/>
              </w:rPr>
              <w:t>46%</w:t>
            </w:r>
          </w:p>
        </w:tc>
      </w:tr>
      <w:tr w:rsidR="00155939" w14:paraId="6750AE53" w14:textId="77777777" w:rsidTr="00205B3E">
        <w:trPr>
          <w:trHeight w:val="288"/>
          <w:jc w:val="center"/>
        </w:trPr>
        <w:tc>
          <w:tcPr>
            <w:tcW w:w="0" w:type="auto"/>
            <w:vAlign w:val="center"/>
          </w:tcPr>
          <w:p w14:paraId="40781817" w14:textId="77777777" w:rsidR="00155939" w:rsidRDefault="00155939" w:rsidP="00220F29">
            <w:pPr>
              <w:spacing w:after="0"/>
              <w:jc w:val="center"/>
              <w:rPr>
                <w:rFonts w:ascii="Calibri" w:hAnsi="Calibri" w:cs="Calibri"/>
                <w:sz w:val="18"/>
                <w:szCs w:val="18"/>
              </w:rPr>
            </w:pPr>
            <w:r>
              <w:rPr>
                <w:rFonts w:ascii="Calibri" w:hAnsi="Calibri" w:cs="Calibri"/>
                <w:sz w:val="18"/>
                <w:szCs w:val="18"/>
              </w:rPr>
              <w:t>6 &amp; 7</w:t>
            </w:r>
          </w:p>
        </w:tc>
        <w:tc>
          <w:tcPr>
            <w:tcW w:w="0" w:type="auto"/>
            <w:vAlign w:val="center"/>
          </w:tcPr>
          <w:p w14:paraId="5A40F25C" w14:textId="77777777" w:rsidR="00155939" w:rsidRDefault="00155939" w:rsidP="00220F29">
            <w:pPr>
              <w:spacing w:after="0"/>
              <w:jc w:val="left"/>
              <w:rPr>
                <w:rFonts w:ascii="Calibri" w:hAnsi="Calibri" w:cs="Calibri"/>
                <w:sz w:val="18"/>
                <w:szCs w:val="18"/>
              </w:rPr>
            </w:pPr>
            <w:r>
              <w:rPr>
                <w:rFonts w:ascii="Calibri" w:hAnsi="Calibri" w:cs="Calibri"/>
                <w:sz w:val="18"/>
                <w:szCs w:val="18"/>
              </w:rPr>
              <w:t>Southern California Edison</w:t>
            </w:r>
          </w:p>
        </w:tc>
        <w:tc>
          <w:tcPr>
            <w:tcW w:w="0" w:type="auto"/>
            <w:vAlign w:val="center"/>
          </w:tcPr>
          <w:p w14:paraId="089EA29F" w14:textId="77777777" w:rsidR="00155939" w:rsidRDefault="00155939" w:rsidP="00220F29">
            <w:pPr>
              <w:spacing w:after="0"/>
              <w:jc w:val="center"/>
              <w:rPr>
                <w:rFonts w:ascii="Calibri" w:hAnsi="Calibri" w:cs="Calibri"/>
                <w:sz w:val="18"/>
                <w:szCs w:val="18"/>
              </w:rPr>
            </w:pPr>
            <w:r>
              <w:rPr>
                <w:rFonts w:ascii="Calibri" w:hAnsi="Calibri" w:cs="Calibri"/>
                <w:sz w:val="18"/>
                <w:szCs w:val="18"/>
              </w:rPr>
              <w:t>12</w:t>
            </w:r>
          </w:p>
        </w:tc>
        <w:tc>
          <w:tcPr>
            <w:tcW w:w="0" w:type="auto"/>
            <w:vAlign w:val="center"/>
          </w:tcPr>
          <w:p w14:paraId="48D15027" w14:textId="77777777" w:rsidR="00155939" w:rsidRDefault="00155939" w:rsidP="00220F29">
            <w:pPr>
              <w:spacing w:after="0"/>
              <w:jc w:val="center"/>
              <w:rPr>
                <w:rFonts w:ascii="Calibri" w:hAnsi="Calibri" w:cs="Calibri"/>
                <w:sz w:val="18"/>
                <w:szCs w:val="18"/>
              </w:rPr>
            </w:pPr>
            <w:r>
              <w:rPr>
                <w:rFonts w:ascii="Calibri" w:hAnsi="Calibri" w:cs="Calibri"/>
                <w:sz w:val="18"/>
                <w:szCs w:val="18"/>
              </w:rPr>
              <w:t>24</w:t>
            </w:r>
          </w:p>
        </w:tc>
        <w:tc>
          <w:tcPr>
            <w:tcW w:w="0" w:type="auto"/>
            <w:vAlign w:val="center"/>
          </w:tcPr>
          <w:p w14:paraId="20FCD052" w14:textId="77777777" w:rsidR="00155939" w:rsidRDefault="00155939" w:rsidP="00220F29">
            <w:pPr>
              <w:spacing w:after="0"/>
              <w:jc w:val="center"/>
              <w:rPr>
                <w:rFonts w:ascii="Calibri" w:hAnsi="Calibri" w:cs="Calibri"/>
                <w:sz w:val="18"/>
                <w:szCs w:val="18"/>
              </w:rPr>
            </w:pPr>
            <w:r>
              <w:rPr>
                <w:rFonts w:ascii="Calibri" w:hAnsi="Calibri" w:cs="Calibri"/>
                <w:sz w:val="18"/>
                <w:szCs w:val="18"/>
              </w:rPr>
              <w:t>97%</w:t>
            </w:r>
          </w:p>
        </w:tc>
        <w:tc>
          <w:tcPr>
            <w:tcW w:w="0" w:type="auto"/>
            <w:vAlign w:val="center"/>
          </w:tcPr>
          <w:p w14:paraId="1DD09FB3" w14:textId="77777777" w:rsidR="00155939" w:rsidRPr="004F69A2" w:rsidRDefault="00155939" w:rsidP="00220F29">
            <w:pPr>
              <w:spacing w:after="0"/>
              <w:jc w:val="center"/>
              <w:rPr>
                <w:rFonts w:ascii="Calibri" w:hAnsi="Calibri" w:cs="Calibri"/>
                <w:sz w:val="18"/>
                <w:szCs w:val="18"/>
              </w:rPr>
            </w:pPr>
            <w:r>
              <w:rPr>
                <w:rFonts w:ascii="Calibri" w:hAnsi="Calibri" w:cs="Calibri"/>
                <w:sz w:val="18"/>
                <w:szCs w:val="18"/>
              </w:rPr>
              <w:t>75%</w:t>
            </w:r>
          </w:p>
        </w:tc>
        <w:tc>
          <w:tcPr>
            <w:tcW w:w="0" w:type="auto"/>
            <w:vAlign w:val="center"/>
          </w:tcPr>
          <w:p w14:paraId="678B5B8F" w14:textId="77777777" w:rsidR="00155939" w:rsidRPr="004F69A2" w:rsidRDefault="00155939" w:rsidP="00220F29">
            <w:pPr>
              <w:spacing w:after="0"/>
              <w:jc w:val="center"/>
              <w:rPr>
                <w:rFonts w:ascii="Calibri" w:hAnsi="Calibri" w:cs="Calibri"/>
                <w:sz w:val="18"/>
                <w:szCs w:val="18"/>
              </w:rPr>
            </w:pPr>
          </w:p>
        </w:tc>
        <w:tc>
          <w:tcPr>
            <w:tcW w:w="0" w:type="auto"/>
            <w:vAlign w:val="center"/>
          </w:tcPr>
          <w:p w14:paraId="68446C5E" w14:textId="77777777" w:rsidR="00155939" w:rsidRPr="004F69A2" w:rsidRDefault="00155939" w:rsidP="00220F29">
            <w:pPr>
              <w:spacing w:after="0"/>
              <w:jc w:val="center"/>
              <w:rPr>
                <w:rFonts w:ascii="Calibri" w:hAnsi="Calibri" w:cs="Calibri"/>
                <w:sz w:val="18"/>
                <w:szCs w:val="18"/>
              </w:rPr>
            </w:pPr>
          </w:p>
        </w:tc>
        <w:tc>
          <w:tcPr>
            <w:tcW w:w="0" w:type="auto"/>
            <w:vAlign w:val="center"/>
          </w:tcPr>
          <w:p w14:paraId="23FE2FD0" w14:textId="77777777" w:rsidR="00155939" w:rsidRPr="004F69A2" w:rsidRDefault="00155939" w:rsidP="00220F29">
            <w:pPr>
              <w:spacing w:after="0"/>
              <w:jc w:val="center"/>
              <w:rPr>
                <w:rFonts w:ascii="Calibri" w:hAnsi="Calibri" w:cs="Calibri"/>
                <w:sz w:val="18"/>
                <w:szCs w:val="18"/>
              </w:rPr>
            </w:pPr>
          </w:p>
        </w:tc>
        <w:tc>
          <w:tcPr>
            <w:tcW w:w="0" w:type="auto"/>
            <w:vAlign w:val="center"/>
          </w:tcPr>
          <w:p w14:paraId="697CF3FC" w14:textId="77777777" w:rsidR="00155939" w:rsidRPr="004F69A2" w:rsidRDefault="00155939" w:rsidP="00220F29">
            <w:pPr>
              <w:spacing w:after="0"/>
              <w:jc w:val="center"/>
              <w:rPr>
                <w:rFonts w:ascii="Calibri" w:hAnsi="Calibri" w:cs="Calibri"/>
                <w:sz w:val="18"/>
                <w:szCs w:val="18"/>
              </w:rPr>
            </w:pPr>
          </w:p>
        </w:tc>
        <w:tc>
          <w:tcPr>
            <w:tcW w:w="0" w:type="auto"/>
            <w:vAlign w:val="center"/>
          </w:tcPr>
          <w:p w14:paraId="79A8F7F0" w14:textId="77777777" w:rsidR="00155939" w:rsidRPr="004F69A2" w:rsidRDefault="00155939" w:rsidP="00220F29">
            <w:pPr>
              <w:spacing w:after="0"/>
              <w:jc w:val="center"/>
              <w:rPr>
                <w:rFonts w:ascii="Calibri" w:hAnsi="Calibri" w:cs="Calibri"/>
                <w:sz w:val="18"/>
                <w:szCs w:val="18"/>
              </w:rPr>
            </w:pPr>
          </w:p>
        </w:tc>
        <w:tc>
          <w:tcPr>
            <w:tcW w:w="1058" w:type="dxa"/>
            <w:vAlign w:val="center"/>
          </w:tcPr>
          <w:p w14:paraId="623CB9E2" w14:textId="77777777" w:rsidR="00155939" w:rsidRPr="004F69A2" w:rsidRDefault="00155939" w:rsidP="00220F29">
            <w:pPr>
              <w:spacing w:after="0"/>
              <w:jc w:val="center"/>
              <w:rPr>
                <w:rFonts w:ascii="Calibri" w:hAnsi="Calibri" w:cs="Calibri"/>
                <w:sz w:val="18"/>
                <w:szCs w:val="18"/>
              </w:rPr>
            </w:pPr>
          </w:p>
        </w:tc>
        <w:tc>
          <w:tcPr>
            <w:tcW w:w="857" w:type="dxa"/>
            <w:shd w:val="clear" w:color="auto" w:fill="auto"/>
            <w:vAlign w:val="center"/>
          </w:tcPr>
          <w:p w14:paraId="4EB3EB24" w14:textId="77777777" w:rsidR="00155939" w:rsidRPr="00D9384E" w:rsidRDefault="00155939" w:rsidP="00220F29">
            <w:pPr>
              <w:spacing w:after="0"/>
              <w:jc w:val="center"/>
              <w:rPr>
                <w:rFonts w:ascii="Calibri" w:hAnsi="Calibri" w:cs="Calibri"/>
                <w:b/>
                <w:iCs/>
                <w:sz w:val="18"/>
                <w:szCs w:val="18"/>
              </w:rPr>
            </w:pPr>
            <w:r w:rsidRPr="00D9384E">
              <w:rPr>
                <w:rFonts w:ascii="Calibri" w:hAnsi="Calibri" w:cs="Calibri"/>
                <w:b/>
                <w:iCs/>
                <w:sz w:val="18"/>
                <w:szCs w:val="18"/>
              </w:rPr>
              <w:t>13%</w:t>
            </w:r>
          </w:p>
        </w:tc>
      </w:tr>
      <w:tr w:rsidR="00155939" w14:paraId="2F864EF0" w14:textId="77777777" w:rsidTr="00205B3E">
        <w:trPr>
          <w:trHeight w:val="288"/>
          <w:jc w:val="center"/>
        </w:trPr>
        <w:tc>
          <w:tcPr>
            <w:tcW w:w="0" w:type="auto"/>
            <w:vAlign w:val="center"/>
          </w:tcPr>
          <w:p w14:paraId="1D3C95B9" w14:textId="77777777" w:rsidR="00155939" w:rsidRDefault="00155939" w:rsidP="00220F29">
            <w:pPr>
              <w:spacing w:after="0"/>
              <w:jc w:val="center"/>
              <w:rPr>
                <w:rFonts w:ascii="Calibri" w:hAnsi="Calibri" w:cs="Calibri"/>
                <w:sz w:val="18"/>
                <w:szCs w:val="18"/>
              </w:rPr>
            </w:pPr>
            <w:r>
              <w:rPr>
                <w:rFonts w:ascii="Calibri" w:hAnsi="Calibri" w:cs="Calibri"/>
                <w:sz w:val="18"/>
                <w:szCs w:val="18"/>
              </w:rPr>
              <w:t>7 &amp; 8</w:t>
            </w:r>
          </w:p>
        </w:tc>
        <w:tc>
          <w:tcPr>
            <w:tcW w:w="0" w:type="auto"/>
            <w:vAlign w:val="center"/>
          </w:tcPr>
          <w:p w14:paraId="38489F71" w14:textId="77777777" w:rsidR="00155939" w:rsidRDefault="00155939" w:rsidP="00220F29">
            <w:pPr>
              <w:spacing w:after="0"/>
              <w:jc w:val="left"/>
              <w:rPr>
                <w:rFonts w:ascii="Calibri" w:hAnsi="Calibri" w:cs="Calibri"/>
                <w:sz w:val="18"/>
                <w:szCs w:val="18"/>
              </w:rPr>
            </w:pPr>
            <w:r>
              <w:rPr>
                <w:rFonts w:ascii="Calibri" w:hAnsi="Calibri" w:cs="Calibri"/>
                <w:sz w:val="18"/>
                <w:szCs w:val="18"/>
              </w:rPr>
              <w:t>Pennsylvania (PPL &amp; Duquesne)</w:t>
            </w:r>
          </w:p>
        </w:tc>
        <w:tc>
          <w:tcPr>
            <w:tcW w:w="0" w:type="auto"/>
            <w:vAlign w:val="center"/>
          </w:tcPr>
          <w:p w14:paraId="55198598" w14:textId="77777777" w:rsidR="00155939" w:rsidRDefault="00155939" w:rsidP="00220F29">
            <w:pPr>
              <w:spacing w:after="0"/>
              <w:jc w:val="center"/>
              <w:rPr>
                <w:rFonts w:ascii="Calibri" w:hAnsi="Calibri" w:cs="Calibri"/>
                <w:sz w:val="18"/>
                <w:szCs w:val="18"/>
              </w:rPr>
            </w:pPr>
            <w:r>
              <w:rPr>
                <w:rFonts w:ascii="Calibri" w:hAnsi="Calibri"/>
                <w:sz w:val="18"/>
                <w:szCs w:val="18"/>
              </w:rPr>
              <w:t>10-38</w:t>
            </w:r>
          </w:p>
        </w:tc>
        <w:tc>
          <w:tcPr>
            <w:tcW w:w="0" w:type="auto"/>
            <w:vAlign w:val="center"/>
          </w:tcPr>
          <w:p w14:paraId="4F27065D" w14:textId="77777777" w:rsidR="00155939" w:rsidRDefault="00155939" w:rsidP="00220F29">
            <w:pPr>
              <w:spacing w:after="0"/>
              <w:jc w:val="center"/>
              <w:rPr>
                <w:rFonts w:ascii="Calibri" w:hAnsi="Calibri" w:cs="Calibri"/>
                <w:sz w:val="18"/>
                <w:szCs w:val="18"/>
              </w:rPr>
            </w:pPr>
            <w:r>
              <w:rPr>
                <w:rFonts w:ascii="Calibri" w:hAnsi="Calibri" w:cs="Calibri"/>
                <w:sz w:val="18"/>
                <w:szCs w:val="18"/>
              </w:rPr>
              <w:t>16-21</w:t>
            </w:r>
          </w:p>
        </w:tc>
        <w:tc>
          <w:tcPr>
            <w:tcW w:w="0" w:type="auto"/>
            <w:vAlign w:val="center"/>
          </w:tcPr>
          <w:p w14:paraId="272BF813" w14:textId="77777777" w:rsidR="00155939" w:rsidRDefault="00155939" w:rsidP="00220F29">
            <w:pPr>
              <w:spacing w:after="0"/>
              <w:jc w:val="center"/>
              <w:rPr>
                <w:rFonts w:ascii="Calibri" w:hAnsi="Calibri" w:cs="Calibri"/>
                <w:sz w:val="18"/>
                <w:szCs w:val="18"/>
              </w:rPr>
            </w:pPr>
          </w:p>
        </w:tc>
        <w:tc>
          <w:tcPr>
            <w:tcW w:w="0" w:type="auto"/>
            <w:vAlign w:val="center"/>
          </w:tcPr>
          <w:p w14:paraId="5CD8C605" w14:textId="77777777" w:rsidR="00155939" w:rsidRDefault="00155939" w:rsidP="00220F29">
            <w:pPr>
              <w:spacing w:after="0"/>
              <w:jc w:val="center"/>
              <w:rPr>
                <w:rFonts w:ascii="Calibri" w:hAnsi="Calibri" w:cs="Calibri"/>
                <w:sz w:val="18"/>
                <w:szCs w:val="18"/>
              </w:rPr>
            </w:pPr>
            <w:r>
              <w:rPr>
                <w:rFonts w:ascii="Calibri" w:hAnsi="Calibri" w:cs="Calibri"/>
                <w:sz w:val="18"/>
                <w:szCs w:val="18"/>
              </w:rPr>
              <w:t>69%</w:t>
            </w:r>
          </w:p>
        </w:tc>
        <w:tc>
          <w:tcPr>
            <w:tcW w:w="0" w:type="auto"/>
            <w:vAlign w:val="center"/>
          </w:tcPr>
          <w:p w14:paraId="033194D9" w14:textId="77777777" w:rsidR="00155939" w:rsidRPr="004F69A2" w:rsidRDefault="00155939" w:rsidP="00220F29">
            <w:pPr>
              <w:spacing w:after="0"/>
              <w:jc w:val="center"/>
              <w:rPr>
                <w:rFonts w:ascii="Calibri" w:hAnsi="Calibri" w:cs="Calibri"/>
                <w:sz w:val="18"/>
                <w:szCs w:val="18"/>
              </w:rPr>
            </w:pPr>
          </w:p>
        </w:tc>
        <w:tc>
          <w:tcPr>
            <w:tcW w:w="0" w:type="auto"/>
            <w:vAlign w:val="center"/>
          </w:tcPr>
          <w:p w14:paraId="2027F2F2" w14:textId="77777777" w:rsidR="00155939" w:rsidRPr="004F69A2" w:rsidRDefault="00155939" w:rsidP="00220F29">
            <w:pPr>
              <w:spacing w:after="0"/>
              <w:jc w:val="center"/>
              <w:rPr>
                <w:rFonts w:ascii="Calibri" w:hAnsi="Calibri" w:cs="Calibri"/>
                <w:sz w:val="18"/>
                <w:szCs w:val="18"/>
              </w:rPr>
            </w:pPr>
          </w:p>
        </w:tc>
        <w:tc>
          <w:tcPr>
            <w:tcW w:w="0" w:type="auto"/>
            <w:vAlign w:val="center"/>
          </w:tcPr>
          <w:p w14:paraId="379FE48A" w14:textId="77777777" w:rsidR="00155939" w:rsidRPr="004F69A2" w:rsidRDefault="00155939" w:rsidP="00220F29">
            <w:pPr>
              <w:spacing w:after="0"/>
              <w:jc w:val="center"/>
              <w:rPr>
                <w:rFonts w:ascii="Calibri" w:hAnsi="Calibri" w:cs="Calibri"/>
                <w:sz w:val="18"/>
                <w:szCs w:val="18"/>
              </w:rPr>
            </w:pPr>
          </w:p>
        </w:tc>
        <w:tc>
          <w:tcPr>
            <w:tcW w:w="0" w:type="auto"/>
            <w:vAlign w:val="center"/>
          </w:tcPr>
          <w:p w14:paraId="0C0F5C93" w14:textId="77777777" w:rsidR="00155939" w:rsidRPr="004F69A2" w:rsidRDefault="00155939" w:rsidP="00220F29">
            <w:pPr>
              <w:spacing w:after="0"/>
              <w:jc w:val="center"/>
              <w:rPr>
                <w:rFonts w:ascii="Calibri" w:hAnsi="Calibri" w:cs="Calibri"/>
                <w:sz w:val="18"/>
                <w:szCs w:val="18"/>
              </w:rPr>
            </w:pPr>
          </w:p>
        </w:tc>
        <w:tc>
          <w:tcPr>
            <w:tcW w:w="0" w:type="auto"/>
            <w:vAlign w:val="center"/>
          </w:tcPr>
          <w:p w14:paraId="445F3018" w14:textId="77777777" w:rsidR="00155939" w:rsidRPr="004F69A2" w:rsidRDefault="00155939" w:rsidP="00220F29">
            <w:pPr>
              <w:spacing w:after="0"/>
              <w:jc w:val="center"/>
              <w:rPr>
                <w:rFonts w:ascii="Calibri" w:hAnsi="Calibri" w:cs="Calibri"/>
                <w:sz w:val="18"/>
                <w:szCs w:val="18"/>
              </w:rPr>
            </w:pPr>
          </w:p>
        </w:tc>
        <w:tc>
          <w:tcPr>
            <w:tcW w:w="1058" w:type="dxa"/>
            <w:vAlign w:val="center"/>
          </w:tcPr>
          <w:p w14:paraId="12C4E782" w14:textId="77777777" w:rsidR="00155939" w:rsidRPr="004F69A2" w:rsidRDefault="00155939" w:rsidP="00220F29">
            <w:pPr>
              <w:spacing w:after="0"/>
              <w:jc w:val="center"/>
              <w:rPr>
                <w:rFonts w:ascii="Calibri" w:hAnsi="Calibri" w:cs="Calibri"/>
                <w:sz w:val="18"/>
                <w:szCs w:val="18"/>
              </w:rPr>
            </w:pPr>
          </w:p>
        </w:tc>
        <w:tc>
          <w:tcPr>
            <w:tcW w:w="857" w:type="dxa"/>
            <w:vAlign w:val="center"/>
          </w:tcPr>
          <w:p w14:paraId="26F21116" w14:textId="77777777" w:rsidR="00155939" w:rsidRPr="00D9384E" w:rsidRDefault="00155939" w:rsidP="00220F29">
            <w:pPr>
              <w:spacing w:after="0"/>
              <w:jc w:val="center"/>
              <w:rPr>
                <w:rFonts w:ascii="Calibri" w:hAnsi="Calibri" w:cs="Calibri"/>
                <w:b/>
                <w:iCs/>
                <w:sz w:val="18"/>
                <w:szCs w:val="18"/>
              </w:rPr>
            </w:pPr>
            <w:r w:rsidRPr="00D9384E">
              <w:rPr>
                <w:rFonts w:ascii="Calibri" w:hAnsi="Calibri" w:cs="Calibri"/>
                <w:b/>
                <w:iCs/>
                <w:sz w:val="18"/>
                <w:szCs w:val="18"/>
              </w:rPr>
              <w:t>17%</w:t>
            </w:r>
          </w:p>
        </w:tc>
      </w:tr>
      <w:tr w:rsidR="00155939" w14:paraId="24510D4D" w14:textId="77777777" w:rsidTr="00205B3E">
        <w:trPr>
          <w:trHeight w:val="288"/>
          <w:jc w:val="center"/>
        </w:trPr>
        <w:tc>
          <w:tcPr>
            <w:tcW w:w="0" w:type="auto"/>
            <w:vAlign w:val="center"/>
          </w:tcPr>
          <w:p w14:paraId="4E8F0DC6" w14:textId="77777777" w:rsidR="00155939" w:rsidRDefault="00155939" w:rsidP="00220F29">
            <w:pPr>
              <w:spacing w:after="0"/>
              <w:jc w:val="center"/>
              <w:rPr>
                <w:rFonts w:ascii="Calibri" w:hAnsi="Calibri" w:cs="Calibri"/>
                <w:sz w:val="18"/>
                <w:szCs w:val="18"/>
              </w:rPr>
            </w:pPr>
            <w:r>
              <w:rPr>
                <w:rFonts w:ascii="Calibri" w:hAnsi="Calibri" w:cs="Calibri"/>
                <w:sz w:val="18"/>
                <w:szCs w:val="18"/>
              </w:rPr>
              <w:t>7 &amp; 9</w:t>
            </w:r>
          </w:p>
        </w:tc>
        <w:tc>
          <w:tcPr>
            <w:tcW w:w="0" w:type="auto"/>
            <w:vAlign w:val="center"/>
          </w:tcPr>
          <w:p w14:paraId="611054CC" w14:textId="77777777" w:rsidR="00155939" w:rsidRDefault="00155939" w:rsidP="00220F29">
            <w:pPr>
              <w:spacing w:after="0"/>
              <w:jc w:val="left"/>
              <w:rPr>
                <w:rFonts w:ascii="Calibri" w:hAnsi="Calibri" w:cs="Calibri"/>
                <w:sz w:val="18"/>
                <w:szCs w:val="18"/>
              </w:rPr>
            </w:pPr>
            <w:r>
              <w:rPr>
                <w:rFonts w:ascii="Calibri" w:hAnsi="Calibri" w:cs="Calibri"/>
                <w:sz w:val="18"/>
                <w:szCs w:val="18"/>
              </w:rPr>
              <w:t>Connecticut</w:t>
            </w:r>
          </w:p>
        </w:tc>
        <w:tc>
          <w:tcPr>
            <w:tcW w:w="0" w:type="auto"/>
            <w:vAlign w:val="center"/>
          </w:tcPr>
          <w:p w14:paraId="4A91F737" w14:textId="77777777" w:rsidR="00155939" w:rsidRDefault="00155939" w:rsidP="00220F29">
            <w:pPr>
              <w:spacing w:after="0"/>
              <w:jc w:val="center"/>
              <w:rPr>
                <w:rFonts w:ascii="Calibri" w:hAnsi="Calibri" w:cs="Calibri"/>
                <w:sz w:val="18"/>
                <w:szCs w:val="18"/>
              </w:rPr>
            </w:pPr>
            <w:r>
              <w:rPr>
                <w:rFonts w:ascii="Calibri" w:hAnsi="Calibri" w:cs="Calibri"/>
                <w:sz w:val="18"/>
                <w:szCs w:val="18"/>
              </w:rPr>
              <w:t>8-14</w:t>
            </w:r>
          </w:p>
        </w:tc>
        <w:tc>
          <w:tcPr>
            <w:tcW w:w="0" w:type="auto"/>
            <w:vAlign w:val="center"/>
          </w:tcPr>
          <w:p w14:paraId="5CC5E267" w14:textId="77777777" w:rsidR="00155939" w:rsidRDefault="00155939" w:rsidP="00220F29">
            <w:pPr>
              <w:spacing w:after="0"/>
              <w:jc w:val="center"/>
              <w:rPr>
                <w:rFonts w:ascii="Calibri" w:hAnsi="Calibri" w:cs="Calibri"/>
                <w:sz w:val="18"/>
                <w:szCs w:val="18"/>
              </w:rPr>
            </w:pPr>
            <w:r>
              <w:rPr>
                <w:rFonts w:ascii="Calibri" w:hAnsi="Calibri" w:cs="Calibri"/>
                <w:sz w:val="18"/>
                <w:szCs w:val="18"/>
              </w:rPr>
              <w:t>48</w:t>
            </w:r>
          </w:p>
        </w:tc>
        <w:tc>
          <w:tcPr>
            <w:tcW w:w="0" w:type="auto"/>
            <w:vAlign w:val="center"/>
          </w:tcPr>
          <w:p w14:paraId="2E8B7910" w14:textId="77777777" w:rsidR="00155939" w:rsidRDefault="00155939" w:rsidP="00220F29">
            <w:pPr>
              <w:spacing w:after="0"/>
              <w:jc w:val="center"/>
              <w:rPr>
                <w:rFonts w:ascii="Calibri" w:hAnsi="Calibri" w:cs="Calibri"/>
                <w:sz w:val="18"/>
                <w:szCs w:val="18"/>
              </w:rPr>
            </w:pPr>
            <w:r>
              <w:rPr>
                <w:rFonts w:ascii="Calibri" w:hAnsi="Calibri" w:cs="Calibri"/>
                <w:sz w:val="18"/>
                <w:szCs w:val="18"/>
              </w:rPr>
              <w:t>71%</w:t>
            </w:r>
          </w:p>
        </w:tc>
        <w:tc>
          <w:tcPr>
            <w:tcW w:w="0" w:type="auto"/>
            <w:vAlign w:val="center"/>
          </w:tcPr>
          <w:p w14:paraId="37B02704" w14:textId="77777777" w:rsidR="00155939" w:rsidRDefault="00155939" w:rsidP="00220F29">
            <w:pPr>
              <w:spacing w:after="0"/>
              <w:jc w:val="center"/>
              <w:rPr>
                <w:rFonts w:ascii="Calibri" w:hAnsi="Calibri" w:cs="Calibri"/>
                <w:sz w:val="18"/>
                <w:szCs w:val="18"/>
              </w:rPr>
            </w:pPr>
            <w:r>
              <w:rPr>
                <w:rFonts w:ascii="Calibri" w:hAnsi="Calibri" w:cs="Calibri"/>
                <w:sz w:val="18"/>
                <w:szCs w:val="18"/>
              </w:rPr>
              <w:t>61%</w:t>
            </w:r>
          </w:p>
        </w:tc>
        <w:tc>
          <w:tcPr>
            <w:tcW w:w="0" w:type="auto"/>
            <w:vAlign w:val="center"/>
          </w:tcPr>
          <w:p w14:paraId="7BD593E0" w14:textId="77777777" w:rsidR="00155939" w:rsidRPr="004F69A2" w:rsidRDefault="00155939" w:rsidP="00220F29">
            <w:pPr>
              <w:spacing w:after="0"/>
              <w:jc w:val="center"/>
              <w:rPr>
                <w:rFonts w:ascii="Calibri" w:hAnsi="Calibri" w:cs="Calibri"/>
                <w:sz w:val="18"/>
                <w:szCs w:val="18"/>
              </w:rPr>
            </w:pPr>
            <w:r>
              <w:rPr>
                <w:rFonts w:ascii="Calibri" w:hAnsi="Calibri" w:cs="Calibri"/>
                <w:sz w:val="18"/>
                <w:szCs w:val="18"/>
              </w:rPr>
              <w:t>26%</w:t>
            </w:r>
          </w:p>
        </w:tc>
        <w:tc>
          <w:tcPr>
            <w:tcW w:w="0" w:type="auto"/>
            <w:vAlign w:val="center"/>
          </w:tcPr>
          <w:p w14:paraId="4B96E6E5" w14:textId="77777777" w:rsidR="00155939" w:rsidRPr="004F69A2" w:rsidRDefault="00155939" w:rsidP="00220F29">
            <w:pPr>
              <w:spacing w:after="0"/>
              <w:jc w:val="center"/>
              <w:rPr>
                <w:rFonts w:ascii="Calibri" w:hAnsi="Calibri" w:cs="Calibri"/>
                <w:sz w:val="18"/>
                <w:szCs w:val="18"/>
              </w:rPr>
            </w:pPr>
            <w:r>
              <w:rPr>
                <w:rFonts w:ascii="Calibri" w:hAnsi="Calibri" w:cs="Calibri"/>
                <w:sz w:val="18"/>
                <w:szCs w:val="18"/>
              </w:rPr>
              <w:t>27%</w:t>
            </w:r>
          </w:p>
        </w:tc>
        <w:tc>
          <w:tcPr>
            <w:tcW w:w="0" w:type="auto"/>
            <w:vAlign w:val="center"/>
          </w:tcPr>
          <w:p w14:paraId="7724B608" w14:textId="77777777" w:rsidR="00155939" w:rsidRPr="004F69A2" w:rsidRDefault="00155939" w:rsidP="00220F29">
            <w:pPr>
              <w:spacing w:after="0"/>
              <w:jc w:val="center"/>
              <w:rPr>
                <w:rFonts w:ascii="Calibri" w:hAnsi="Calibri" w:cs="Calibri"/>
                <w:sz w:val="18"/>
                <w:szCs w:val="18"/>
              </w:rPr>
            </w:pPr>
          </w:p>
        </w:tc>
        <w:tc>
          <w:tcPr>
            <w:tcW w:w="0" w:type="auto"/>
            <w:vAlign w:val="center"/>
          </w:tcPr>
          <w:p w14:paraId="56683EC0" w14:textId="77777777" w:rsidR="00155939" w:rsidRPr="004F69A2" w:rsidRDefault="00155939" w:rsidP="00220F29">
            <w:pPr>
              <w:spacing w:after="0"/>
              <w:jc w:val="center"/>
              <w:rPr>
                <w:rFonts w:ascii="Calibri" w:hAnsi="Calibri" w:cs="Calibri"/>
                <w:sz w:val="18"/>
                <w:szCs w:val="18"/>
              </w:rPr>
            </w:pPr>
          </w:p>
        </w:tc>
        <w:tc>
          <w:tcPr>
            <w:tcW w:w="0" w:type="auto"/>
            <w:vAlign w:val="center"/>
          </w:tcPr>
          <w:p w14:paraId="783C30AD" w14:textId="77777777" w:rsidR="00155939" w:rsidRPr="004F69A2" w:rsidRDefault="00155939" w:rsidP="00220F29">
            <w:pPr>
              <w:spacing w:after="0"/>
              <w:jc w:val="center"/>
              <w:rPr>
                <w:rFonts w:ascii="Calibri" w:hAnsi="Calibri" w:cs="Calibri"/>
                <w:sz w:val="18"/>
                <w:szCs w:val="18"/>
              </w:rPr>
            </w:pPr>
          </w:p>
        </w:tc>
        <w:tc>
          <w:tcPr>
            <w:tcW w:w="1058" w:type="dxa"/>
            <w:vAlign w:val="center"/>
          </w:tcPr>
          <w:p w14:paraId="38245063" w14:textId="77777777" w:rsidR="00155939" w:rsidRPr="004F69A2" w:rsidRDefault="00155939" w:rsidP="00220F29">
            <w:pPr>
              <w:spacing w:after="0"/>
              <w:jc w:val="center"/>
              <w:rPr>
                <w:rFonts w:ascii="Calibri" w:hAnsi="Calibri" w:cs="Calibri"/>
                <w:sz w:val="18"/>
                <w:szCs w:val="18"/>
              </w:rPr>
            </w:pPr>
          </w:p>
        </w:tc>
        <w:tc>
          <w:tcPr>
            <w:tcW w:w="857" w:type="dxa"/>
            <w:shd w:val="clear" w:color="auto" w:fill="auto"/>
            <w:vAlign w:val="center"/>
          </w:tcPr>
          <w:p w14:paraId="642CC366" w14:textId="77777777" w:rsidR="00155939" w:rsidRPr="00D9384E" w:rsidRDefault="00155939" w:rsidP="00220F29">
            <w:pPr>
              <w:spacing w:after="0"/>
              <w:jc w:val="center"/>
              <w:rPr>
                <w:rFonts w:ascii="Calibri" w:hAnsi="Calibri" w:cs="Calibri"/>
                <w:b/>
                <w:iCs/>
                <w:sz w:val="18"/>
                <w:szCs w:val="18"/>
              </w:rPr>
            </w:pPr>
            <w:r w:rsidRPr="00D9384E">
              <w:rPr>
                <w:rFonts w:ascii="Calibri" w:hAnsi="Calibri" w:cs="Calibri"/>
                <w:b/>
                <w:iCs/>
                <w:sz w:val="18"/>
                <w:szCs w:val="18"/>
              </w:rPr>
              <w:t>28%</w:t>
            </w:r>
          </w:p>
        </w:tc>
      </w:tr>
      <w:tr w:rsidR="00155939" w14:paraId="46091F65" w14:textId="77777777" w:rsidTr="00205B3E">
        <w:trPr>
          <w:trHeight w:val="288"/>
          <w:jc w:val="center"/>
        </w:trPr>
        <w:tc>
          <w:tcPr>
            <w:tcW w:w="0" w:type="auto"/>
            <w:vAlign w:val="center"/>
          </w:tcPr>
          <w:p w14:paraId="5478165E" w14:textId="77777777" w:rsidR="00155939" w:rsidRDefault="00155939" w:rsidP="00220F29">
            <w:pPr>
              <w:spacing w:after="0"/>
              <w:jc w:val="center"/>
              <w:rPr>
                <w:rFonts w:ascii="Calibri" w:hAnsi="Calibri" w:cs="Calibri"/>
                <w:sz w:val="18"/>
                <w:szCs w:val="18"/>
              </w:rPr>
            </w:pPr>
            <w:r>
              <w:rPr>
                <w:rFonts w:ascii="Calibri" w:hAnsi="Calibri" w:cs="Calibri"/>
                <w:sz w:val="18"/>
                <w:szCs w:val="18"/>
              </w:rPr>
              <w:t>10</w:t>
            </w:r>
          </w:p>
        </w:tc>
        <w:tc>
          <w:tcPr>
            <w:tcW w:w="0" w:type="auto"/>
            <w:vAlign w:val="center"/>
          </w:tcPr>
          <w:p w14:paraId="1DFEF45C" w14:textId="77777777" w:rsidR="00155939" w:rsidRDefault="00155939" w:rsidP="00220F29">
            <w:pPr>
              <w:spacing w:after="0"/>
              <w:jc w:val="left"/>
              <w:rPr>
                <w:rFonts w:ascii="Calibri" w:hAnsi="Calibri" w:cs="Calibri"/>
                <w:sz w:val="18"/>
                <w:szCs w:val="18"/>
              </w:rPr>
            </w:pPr>
            <w:r>
              <w:rPr>
                <w:rFonts w:ascii="Calibri" w:hAnsi="Calibri" w:cs="Calibri"/>
                <w:sz w:val="18"/>
                <w:szCs w:val="18"/>
              </w:rPr>
              <w:t>Pacific Gas and Electric</w:t>
            </w:r>
          </w:p>
        </w:tc>
        <w:tc>
          <w:tcPr>
            <w:tcW w:w="0" w:type="auto"/>
            <w:vAlign w:val="center"/>
          </w:tcPr>
          <w:p w14:paraId="58F12997" w14:textId="77777777" w:rsidR="00155939" w:rsidRDefault="00155939" w:rsidP="00220F29">
            <w:pPr>
              <w:spacing w:after="0"/>
              <w:jc w:val="center"/>
              <w:rPr>
                <w:rFonts w:ascii="Calibri" w:hAnsi="Calibri" w:cs="Calibri"/>
                <w:sz w:val="18"/>
                <w:szCs w:val="18"/>
              </w:rPr>
            </w:pPr>
            <w:r>
              <w:rPr>
                <w:rFonts w:ascii="Calibri" w:hAnsi="Calibri" w:cs="Calibri"/>
                <w:sz w:val="18"/>
                <w:szCs w:val="18"/>
              </w:rPr>
              <w:t>30</w:t>
            </w:r>
          </w:p>
        </w:tc>
        <w:tc>
          <w:tcPr>
            <w:tcW w:w="0" w:type="auto"/>
            <w:shd w:val="clear" w:color="auto" w:fill="auto"/>
            <w:vAlign w:val="center"/>
          </w:tcPr>
          <w:p w14:paraId="36D55A3A" w14:textId="77777777" w:rsidR="00155939" w:rsidRDefault="00155939" w:rsidP="00220F29">
            <w:pPr>
              <w:spacing w:after="0"/>
              <w:jc w:val="center"/>
              <w:rPr>
                <w:rFonts w:ascii="Calibri" w:hAnsi="Calibri" w:cs="Calibri"/>
                <w:sz w:val="18"/>
                <w:szCs w:val="18"/>
              </w:rPr>
            </w:pPr>
            <w:r>
              <w:rPr>
                <w:rFonts w:ascii="Calibri" w:hAnsi="Calibri" w:cs="Calibri"/>
                <w:sz w:val="18"/>
                <w:szCs w:val="18"/>
              </w:rPr>
              <w:t>36</w:t>
            </w:r>
          </w:p>
        </w:tc>
        <w:tc>
          <w:tcPr>
            <w:tcW w:w="0" w:type="auto"/>
            <w:vAlign w:val="center"/>
          </w:tcPr>
          <w:p w14:paraId="31F32AC7" w14:textId="77777777" w:rsidR="00155939" w:rsidRDefault="00155939" w:rsidP="00220F29">
            <w:pPr>
              <w:spacing w:after="0"/>
              <w:jc w:val="center"/>
              <w:rPr>
                <w:rFonts w:ascii="Calibri" w:hAnsi="Calibri" w:cs="Calibri"/>
                <w:sz w:val="18"/>
                <w:szCs w:val="18"/>
              </w:rPr>
            </w:pPr>
            <w:r>
              <w:rPr>
                <w:rFonts w:ascii="Calibri" w:hAnsi="Calibri" w:cs="Calibri"/>
                <w:sz w:val="18"/>
                <w:szCs w:val="18"/>
              </w:rPr>
              <w:t>100%</w:t>
            </w:r>
          </w:p>
        </w:tc>
        <w:tc>
          <w:tcPr>
            <w:tcW w:w="0" w:type="auto"/>
            <w:vAlign w:val="center"/>
          </w:tcPr>
          <w:p w14:paraId="58BCE79D" w14:textId="77777777" w:rsidR="00155939" w:rsidRDefault="00155939" w:rsidP="00220F29">
            <w:pPr>
              <w:spacing w:after="0"/>
              <w:jc w:val="center"/>
              <w:rPr>
                <w:rFonts w:ascii="Calibri" w:hAnsi="Calibri" w:cs="Calibri"/>
                <w:sz w:val="18"/>
                <w:szCs w:val="18"/>
              </w:rPr>
            </w:pPr>
            <w:r>
              <w:rPr>
                <w:rFonts w:ascii="Calibri" w:hAnsi="Calibri" w:cs="Calibri"/>
                <w:sz w:val="18"/>
                <w:szCs w:val="18"/>
              </w:rPr>
              <w:t>92%</w:t>
            </w:r>
          </w:p>
        </w:tc>
        <w:tc>
          <w:tcPr>
            <w:tcW w:w="0" w:type="auto"/>
            <w:vAlign w:val="center"/>
          </w:tcPr>
          <w:p w14:paraId="620E4B46" w14:textId="77777777" w:rsidR="00155939" w:rsidRDefault="00155939" w:rsidP="00220F29">
            <w:pPr>
              <w:spacing w:after="0"/>
              <w:jc w:val="center"/>
              <w:rPr>
                <w:rFonts w:ascii="Calibri" w:hAnsi="Calibri" w:cs="Calibri"/>
                <w:sz w:val="18"/>
                <w:szCs w:val="18"/>
              </w:rPr>
            </w:pPr>
            <w:r>
              <w:rPr>
                <w:rFonts w:ascii="Calibri" w:hAnsi="Calibri" w:cs="Calibri"/>
                <w:sz w:val="18"/>
                <w:szCs w:val="18"/>
              </w:rPr>
              <w:t>72%</w:t>
            </w:r>
          </w:p>
        </w:tc>
        <w:tc>
          <w:tcPr>
            <w:tcW w:w="0" w:type="auto"/>
            <w:vAlign w:val="center"/>
          </w:tcPr>
          <w:p w14:paraId="596AA315" w14:textId="77777777" w:rsidR="00155939" w:rsidRDefault="00155939" w:rsidP="00220F29">
            <w:pPr>
              <w:spacing w:after="0"/>
              <w:jc w:val="center"/>
              <w:rPr>
                <w:rFonts w:ascii="Calibri" w:hAnsi="Calibri" w:cs="Calibri"/>
                <w:sz w:val="18"/>
                <w:szCs w:val="18"/>
              </w:rPr>
            </w:pPr>
          </w:p>
        </w:tc>
        <w:tc>
          <w:tcPr>
            <w:tcW w:w="0" w:type="auto"/>
            <w:vAlign w:val="center"/>
          </w:tcPr>
          <w:p w14:paraId="6AFF309F" w14:textId="77777777" w:rsidR="00155939" w:rsidRPr="004F69A2" w:rsidRDefault="00155939" w:rsidP="00220F29">
            <w:pPr>
              <w:spacing w:after="0"/>
              <w:jc w:val="center"/>
              <w:rPr>
                <w:rFonts w:ascii="Calibri" w:hAnsi="Calibri" w:cs="Calibri"/>
                <w:sz w:val="18"/>
                <w:szCs w:val="18"/>
              </w:rPr>
            </w:pPr>
          </w:p>
        </w:tc>
        <w:tc>
          <w:tcPr>
            <w:tcW w:w="0" w:type="auto"/>
            <w:vAlign w:val="center"/>
          </w:tcPr>
          <w:p w14:paraId="5AF9355A" w14:textId="77777777" w:rsidR="00155939" w:rsidRPr="004F69A2" w:rsidRDefault="00155939" w:rsidP="00220F29">
            <w:pPr>
              <w:spacing w:after="0"/>
              <w:jc w:val="center"/>
              <w:rPr>
                <w:rFonts w:ascii="Calibri" w:hAnsi="Calibri" w:cs="Calibri"/>
                <w:sz w:val="18"/>
                <w:szCs w:val="18"/>
              </w:rPr>
            </w:pPr>
          </w:p>
        </w:tc>
        <w:tc>
          <w:tcPr>
            <w:tcW w:w="0" w:type="auto"/>
            <w:vAlign w:val="center"/>
          </w:tcPr>
          <w:p w14:paraId="2580A59F" w14:textId="77777777" w:rsidR="00155939" w:rsidRPr="004F69A2" w:rsidRDefault="00155939" w:rsidP="00220F29">
            <w:pPr>
              <w:spacing w:after="0"/>
              <w:jc w:val="center"/>
              <w:rPr>
                <w:rFonts w:ascii="Calibri" w:hAnsi="Calibri" w:cs="Calibri"/>
                <w:sz w:val="18"/>
                <w:szCs w:val="18"/>
              </w:rPr>
            </w:pPr>
          </w:p>
        </w:tc>
        <w:tc>
          <w:tcPr>
            <w:tcW w:w="1058" w:type="dxa"/>
            <w:vAlign w:val="center"/>
          </w:tcPr>
          <w:p w14:paraId="535E9C21" w14:textId="77777777" w:rsidR="00155939" w:rsidRPr="004F69A2" w:rsidRDefault="00155939" w:rsidP="00220F29">
            <w:pPr>
              <w:spacing w:after="0"/>
              <w:jc w:val="center"/>
              <w:rPr>
                <w:rFonts w:ascii="Calibri" w:hAnsi="Calibri" w:cs="Calibri"/>
                <w:sz w:val="18"/>
                <w:szCs w:val="18"/>
              </w:rPr>
            </w:pPr>
          </w:p>
        </w:tc>
        <w:tc>
          <w:tcPr>
            <w:tcW w:w="857" w:type="dxa"/>
            <w:shd w:val="clear" w:color="auto" w:fill="auto"/>
            <w:vAlign w:val="center"/>
          </w:tcPr>
          <w:p w14:paraId="6F986FE2" w14:textId="77777777" w:rsidR="00155939" w:rsidRPr="00D9384E" w:rsidRDefault="00155939" w:rsidP="00220F29">
            <w:pPr>
              <w:spacing w:after="0"/>
              <w:jc w:val="center"/>
              <w:rPr>
                <w:rFonts w:ascii="Calibri" w:hAnsi="Calibri" w:cs="Calibri"/>
                <w:b/>
                <w:iCs/>
                <w:sz w:val="18"/>
                <w:szCs w:val="18"/>
              </w:rPr>
            </w:pPr>
            <w:r w:rsidRPr="00D9384E">
              <w:rPr>
                <w:rFonts w:ascii="Calibri" w:hAnsi="Calibri" w:cs="Calibri"/>
                <w:b/>
                <w:iCs/>
                <w:sz w:val="18"/>
                <w:szCs w:val="18"/>
              </w:rPr>
              <w:t>10%</w:t>
            </w:r>
          </w:p>
        </w:tc>
      </w:tr>
      <w:tr w:rsidR="00155939" w14:paraId="33976941" w14:textId="77777777" w:rsidTr="00205B3E">
        <w:trPr>
          <w:trHeight w:val="288"/>
          <w:jc w:val="center"/>
        </w:trPr>
        <w:tc>
          <w:tcPr>
            <w:tcW w:w="0" w:type="auto"/>
            <w:vAlign w:val="center"/>
          </w:tcPr>
          <w:p w14:paraId="67064DEA" w14:textId="77777777" w:rsidR="00155939" w:rsidRDefault="00155939" w:rsidP="00220F29">
            <w:pPr>
              <w:spacing w:after="0"/>
              <w:jc w:val="center"/>
              <w:rPr>
                <w:rFonts w:ascii="Calibri" w:hAnsi="Calibri" w:cs="Calibri"/>
                <w:sz w:val="18"/>
                <w:szCs w:val="18"/>
              </w:rPr>
            </w:pPr>
            <w:r>
              <w:rPr>
                <w:rFonts w:ascii="Calibri" w:hAnsi="Calibri" w:cs="Calibri"/>
                <w:sz w:val="18"/>
                <w:szCs w:val="18"/>
              </w:rPr>
              <w:t>11</w:t>
            </w:r>
          </w:p>
        </w:tc>
        <w:tc>
          <w:tcPr>
            <w:tcW w:w="0" w:type="auto"/>
            <w:vAlign w:val="center"/>
          </w:tcPr>
          <w:p w14:paraId="77E7FD3F" w14:textId="55161A65" w:rsidR="00155939" w:rsidRDefault="00155939" w:rsidP="00220F29">
            <w:pPr>
              <w:spacing w:after="0"/>
              <w:jc w:val="left"/>
              <w:rPr>
                <w:rFonts w:ascii="Calibri" w:hAnsi="Calibri" w:cs="Calibri"/>
                <w:sz w:val="18"/>
                <w:szCs w:val="18"/>
              </w:rPr>
            </w:pPr>
            <w:r>
              <w:rPr>
                <w:rFonts w:ascii="Calibri" w:hAnsi="Calibri" w:cs="Calibri"/>
                <w:sz w:val="18"/>
                <w:szCs w:val="18"/>
              </w:rPr>
              <w:t>Indiana Michigan Power Company</w:t>
            </w:r>
          </w:p>
        </w:tc>
        <w:tc>
          <w:tcPr>
            <w:tcW w:w="0" w:type="auto"/>
            <w:vAlign w:val="center"/>
          </w:tcPr>
          <w:p w14:paraId="19EB41AA" w14:textId="77777777" w:rsidR="00155939" w:rsidRDefault="00155939" w:rsidP="00220F29">
            <w:pPr>
              <w:spacing w:after="0"/>
              <w:jc w:val="center"/>
              <w:rPr>
                <w:rFonts w:ascii="Calibri" w:hAnsi="Calibri" w:cs="Calibri"/>
                <w:sz w:val="18"/>
                <w:szCs w:val="18"/>
              </w:rPr>
            </w:pPr>
            <w:r>
              <w:rPr>
                <w:rFonts w:ascii="Calibri" w:hAnsi="Calibri" w:cs="Calibri"/>
                <w:sz w:val="18"/>
                <w:szCs w:val="18"/>
              </w:rPr>
              <w:t>21</w:t>
            </w:r>
          </w:p>
        </w:tc>
        <w:tc>
          <w:tcPr>
            <w:tcW w:w="0" w:type="auto"/>
            <w:shd w:val="clear" w:color="auto" w:fill="auto"/>
            <w:vAlign w:val="center"/>
          </w:tcPr>
          <w:p w14:paraId="7142E043" w14:textId="77777777" w:rsidR="00155939" w:rsidRDefault="00155939" w:rsidP="00220F29">
            <w:pPr>
              <w:spacing w:after="0"/>
              <w:jc w:val="center"/>
              <w:rPr>
                <w:rFonts w:ascii="Calibri" w:hAnsi="Calibri" w:cs="Calibri"/>
                <w:sz w:val="18"/>
                <w:szCs w:val="18"/>
              </w:rPr>
            </w:pPr>
            <w:r>
              <w:rPr>
                <w:rFonts w:ascii="Calibri" w:hAnsi="Calibri" w:cs="Calibri"/>
                <w:sz w:val="18"/>
                <w:szCs w:val="18"/>
              </w:rPr>
              <w:t>27</w:t>
            </w:r>
          </w:p>
        </w:tc>
        <w:tc>
          <w:tcPr>
            <w:tcW w:w="0" w:type="auto"/>
            <w:vAlign w:val="center"/>
          </w:tcPr>
          <w:p w14:paraId="2DA24B73" w14:textId="77777777" w:rsidR="00155939" w:rsidRDefault="00155939" w:rsidP="00220F29">
            <w:pPr>
              <w:spacing w:after="0"/>
              <w:jc w:val="center"/>
              <w:rPr>
                <w:rFonts w:ascii="Calibri" w:hAnsi="Calibri" w:cs="Calibri"/>
                <w:sz w:val="18"/>
                <w:szCs w:val="18"/>
              </w:rPr>
            </w:pPr>
          </w:p>
        </w:tc>
        <w:tc>
          <w:tcPr>
            <w:tcW w:w="0" w:type="auto"/>
            <w:vAlign w:val="center"/>
          </w:tcPr>
          <w:p w14:paraId="46353DD7" w14:textId="77777777" w:rsidR="00155939" w:rsidRDefault="00155939" w:rsidP="00220F29">
            <w:pPr>
              <w:spacing w:after="0"/>
              <w:jc w:val="center"/>
              <w:rPr>
                <w:rFonts w:ascii="Calibri" w:hAnsi="Calibri" w:cs="Calibri"/>
                <w:sz w:val="18"/>
                <w:szCs w:val="18"/>
              </w:rPr>
            </w:pPr>
            <w:r>
              <w:rPr>
                <w:rFonts w:ascii="Calibri" w:hAnsi="Calibri" w:cs="Calibri"/>
                <w:sz w:val="18"/>
                <w:szCs w:val="18"/>
              </w:rPr>
              <w:t>66%</w:t>
            </w:r>
          </w:p>
        </w:tc>
        <w:tc>
          <w:tcPr>
            <w:tcW w:w="0" w:type="auto"/>
            <w:vAlign w:val="center"/>
          </w:tcPr>
          <w:p w14:paraId="03922A64" w14:textId="77777777" w:rsidR="00155939" w:rsidRDefault="00155939" w:rsidP="00220F29">
            <w:pPr>
              <w:spacing w:after="0"/>
              <w:jc w:val="center"/>
              <w:rPr>
                <w:rFonts w:ascii="Calibri" w:hAnsi="Calibri" w:cs="Calibri"/>
                <w:sz w:val="18"/>
                <w:szCs w:val="18"/>
              </w:rPr>
            </w:pPr>
          </w:p>
        </w:tc>
        <w:tc>
          <w:tcPr>
            <w:tcW w:w="0" w:type="auto"/>
            <w:vAlign w:val="center"/>
          </w:tcPr>
          <w:p w14:paraId="1970E42B" w14:textId="77777777" w:rsidR="00155939" w:rsidRDefault="00155939" w:rsidP="00220F29">
            <w:pPr>
              <w:spacing w:after="0"/>
              <w:jc w:val="center"/>
              <w:rPr>
                <w:rFonts w:ascii="Calibri" w:hAnsi="Calibri" w:cs="Calibri"/>
                <w:sz w:val="18"/>
                <w:szCs w:val="18"/>
              </w:rPr>
            </w:pPr>
          </w:p>
        </w:tc>
        <w:tc>
          <w:tcPr>
            <w:tcW w:w="0" w:type="auto"/>
            <w:vAlign w:val="center"/>
          </w:tcPr>
          <w:p w14:paraId="1AEE150C" w14:textId="77777777" w:rsidR="00155939" w:rsidRPr="004F69A2" w:rsidRDefault="00155939" w:rsidP="00220F29">
            <w:pPr>
              <w:spacing w:after="0"/>
              <w:jc w:val="center"/>
              <w:rPr>
                <w:rFonts w:ascii="Calibri" w:hAnsi="Calibri" w:cs="Calibri"/>
                <w:sz w:val="18"/>
                <w:szCs w:val="18"/>
              </w:rPr>
            </w:pPr>
          </w:p>
        </w:tc>
        <w:tc>
          <w:tcPr>
            <w:tcW w:w="0" w:type="auto"/>
            <w:vAlign w:val="center"/>
          </w:tcPr>
          <w:p w14:paraId="3AAA3584" w14:textId="77777777" w:rsidR="00155939" w:rsidRPr="004F69A2" w:rsidRDefault="00155939" w:rsidP="00220F29">
            <w:pPr>
              <w:spacing w:after="0"/>
              <w:jc w:val="center"/>
              <w:rPr>
                <w:rFonts w:ascii="Calibri" w:hAnsi="Calibri" w:cs="Calibri"/>
                <w:sz w:val="18"/>
                <w:szCs w:val="18"/>
              </w:rPr>
            </w:pPr>
          </w:p>
        </w:tc>
        <w:tc>
          <w:tcPr>
            <w:tcW w:w="0" w:type="auto"/>
            <w:vAlign w:val="center"/>
          </w:tcPr>
          <w:p w14:paraId="2ED3DFB9" w14:textId="77777777" w:rsidR="00155939" w:rsidRPr="004F69A2" w:rsidRDefault="00155939" w:rsidP="00220F29">
            <w:pPr>
              <w:spacing w:after="0"/>
              <w:jc w:val="center"/>
              <w:rPr>
                <w:rFonts w:ascii="Calibri" w:hAnsi="Calibri" w:cs="Calibri"/>
                <w:sz w:val="18"/>
                <w:szCs w:val="18"/>
              </w:rPr>
            </w:pPr>
          </w:p>
        </w:tc>
        <w:tc>
          <w:tcPr>
            <w:tcW w:w="1058" w:type="dxa"/>
            <w:vAlign w:val="center"/>
          </w:tcPr>
          <w:p w14:paraId="113A7CB9" w14:textId="77777777" w:rsidR="00155939" w:rsidRPr="004F69A2" w:rsidRDefault="00155939" w:rsidP="00220F29">
            <w:pPr>
              <w:spacing w:after="0"/>
              <w:jc w:val="center"/>
              <w:rPr>
                <w:rFonts w:ascii="Calibri" w:hAnsi="Calibri" w:cs="Calibri"/>
                <w:sz w:val="18"/>
                <w:szCs w:val="18"/>
              </w:rPr>
            </w:pPr>
          </w:p>
        </w:tc>
        <w:tc>
          <w:tcPr>
            <w:tcW w:w="857" w:type="dxa"/>
            <w:shd w:val="clear" w:color="auto" w:fill="auto"/>
            <w:vAlign w:val="center"/>
          </w:tcPr>
          <w:p w14:paraId="0BCF87BF" w14:textId="77777777" w:rsidR="00155939" w:rsidRPr="00D9384E" w:rsidRDefault="00155939" w:rsidP="00220F29">
            <w:pPr>
              <w:spacing w:after="0"/>
              <w:jc w:val="center"/>
              <w:rPr>
                <w:rFonts w:ascii="Calibri" w:hAnsi="Calibri" w:cs="Calibri"/>
                <w:b/>
                <w:iCs/>
                <w:sz w:val="18"/>
                <w:szCs w:val="18"/>
              </w:rPr>
            </w:pPr>
            <w:r w:rsidRPr="00D9384E">
              <w:rPr>
                <w:rFonts w:ascii="Calibri" w:hAnsi="Calibri" w:cs="Calibri"/>
                <w:b/>
                <w:iCs/>
                <w:sz w:val="18"/>
                <w:szCs w:val="18"/>
              </w:rPr>
              <w:t>19%</w:t>
            </w:r>
          </w:p>
        </w:tc>
      </w:tr>
      <w:tr w:rsidR="00155939" w14:paraId="40EB64ED" w14:textId="77777777" w:rsidTr="00205B3E">
        <w:trPr>
          <w:trHeight w:val="288"/>
          <w:jc w:val="center"/>
        </w:trPr>
        <w:tc>
          <w:tcPr>
            <w:tcW w:w="0" w:type="auto"/>
            <w:vAlign w:val="center"/>
          </w:tcPr>
          <w:p w14:paraId="52ADA54C" w14:textId="77777777" w:rsidR="00155939" w:rsidRDefault="00155939" w:rsidP="00220F29">
            <w:pPr>
              <w:spacing w:after="0"/>
              <w:jc w:val="center"/>
              <w:rPr>
                <w:rFonts w:ascii="Calibri" w:hAnsi="Calibri" w:cs="Calibri"/>
                <w:sz w:val="18"/>
                <w:szCs w:val="18"/>
              </w:rPr>
            </w:pPr>
            <w:r>
              <w:rPr>
                <w:rFonts w:ascii="Calibri" w:hAnsi="Calibri" w:cs="Calibri"/>
                <w:sz w:val="18"/>
                <w:szCs w:val="18"/>
              </w:rPr>
              <w:lastRenderedPageBreak/>
              <w:t>12</w:t>
            </w:r>
          </w:p>
        </w:tc>
        <w:tc>
          <w:tcPr>
            <w:tcW w:w="0" w:type="auto"/>
            <w:vAlign w:val="center"/>
          </w:tcPr>
          <w:p w14:paraId="6AAB47C6" w14:textId="4D523C5F" w:rsidR="00155939" w:rsidRDefault="00155939" w:rsidP="00220F29">
            <w:pPr>
              <w:spacing w:after="0"/>
              <w:jc w:val="left"/>
              <w:rPr>
                <w:rFonts w:ascii="Calibri" w:hAnsi="Calibri" w:cs="Calibri"/>
                <w:sz w:val="18"/>
                <w:szCs w:val="18"/>
              </w:rPr>
            </w:pPr>
            <w:r>
              <w:rPr>
                <w:rFonts w:ascii="Calibri" w:hAnsi="Calibri" w:cs="Calibri"/>
                <w:sz w:val="18"/>
                <w:szCs w:val="18"/>
              </w:rPr>
              <w:t xml:space="preserve">Pennsylvania (Met-Ed &amp; </w:t>
            </w:r>
            <w:proofErr w:type="spellStart"/>
            <w:r>
              <w:rPr>
                <w:rFonts w:ascii="Calibri" w:hAnsi="Calibri" w:cs="Calibri"/>
                <w:sz w:val="18"/>
                <w:szCs w:val="18"/>
              </w:rPr>
              <w:t>Penelec</w:t>
            </w:r>
            <w:proofErr w:type="spellEnd"/>
            <w:r>
              <w:rPr>
                <w:rFonts w:ascii="Calibri" w:hAnsi="Calibri" w:cs="Calibri"/>
                <w:sz w:val="18"/>
                <w:szCs w:val="18"/>
              </w:rPr>
              <w:t>)</w:t>
            </w:r>
          </w:p>
        </w:tc>
        <w:tc>
          <w:tcPr>
            <w:tcW w:w="0" w:type="auto"/>
            <w:vAlign w:val="center"/>
          </w:tcPr>
          <w:p w14:paraId="47ED57BD" w14:textId="77777777" w:rsidR="00155939" w:rsidRDefault="00155939" w:rsidP="00220F29">
            <w:pPr>
              <w:spacing w:after="0"/>
              <w:jc w:val="center"/>
              <w:rPr>
                <w:rFonts w:ascii="Calibri" w:hAnsi="Calibri" w:cs="Calibri"/>
                <w:sz w:val="18"/>
                <w:szCs w:val="18"/>
              </w:rPr>
            </w:pPr>
            <w:r>
              <w:rPr>
                <w:rFonts w:ascii="Calibri" w:hAnsi="Calibri" w:cs="Calibri"/>
                <w:sz w:val="18"/>
                <w:szCs w:val="18"/>
              </w:rPr>
              <w:t>20-48</w:t>
            </w:r>
          </w:p>
        </w:tc>
        <w:tc>
          <w:tcPr>
            <w:tcW w:w="0" w:type="auto"/>
            <w:shd w:val="clear" w:color="auto" w:fill="auto"/>
            <w:vAlign w:val="center"/>
          </w:tcPr>
          <w:p w14:paraId="774BBB35" w14:textId="77777777" w:rsidR="00155939" w:rsidRDefault="00155939" w:rsidP="00220F29">
            <w:pPr>
              <w:spacing w:after="0"/>
              <w:jc w:val="center"/>
              <w:rPr>
                <w:rFonts w:ascii="Calibri" w:hAnsi="Calibri" w:cs="Calibri"/>
                <w:sz w:val="18"/>
                <w:szCs w:val="18"/>
              </w:rPr>
            </w:pPr>
            <w:r>
              <w:rPr>
                <w:rFonts w:ascii="Calibri" w:hAnsi="Calibri" w:cs="Calibri"/>
                <w:sz w:val="18"/>
                <w:szCs w:val="18"/>
              </w:rPr>
              <w:t>24</w:t>
            </w:r>
          </w:p>
        </w:tc>
        <w:tc>
          <w:tcPr>
            <w:tcW w:w="0" w:type="auto"/>
            <w:vAlign w:val="center"/>
          </w:tcPr>
          <w:p w14:paraId="2F59E062" w14:textId="77777777" w:rsidR="00155939" w:rsidRDefault="00155939" w:rsidP="00220F29">
            <w:pPr>
              <w:spacing w:after="0"/>
              <w:jc w:val="center"/>
              <w:rPr>
                <w:rFonts w:ascii="Calibri" w:hAnsi="Calibri" w:cs="Calibri"/>
                <w:sz w:val="18"/>
                <w:szCs w:val="18"/>
              </w:rPr>
            </w:pPr>
          </w:p>
        </w:tc>
        <w:tc>
          <w:tcPr>
            <w:tcW w:w="0" w:type="auto"/>
            <w:vAlign w:val="center"/>
          </w:tcPr>
          <w:p w14:paraId="2601DA75" w14:textId="77777777" w:rsidR="00155939" w:rsidRDefault="00155939" w:rsidP="00220F29">
            <w:pPr>
              <w:spacing w:after="0"/>
              <w:jc w:val="center"/>
              <w:rPr>
                <w:rFonts w:ascii="Calibri" w:hAnsi="Calibri" w:cs="Calibri"/>
                <w:sz w:val="18"/>
                <w:szCs w:val="18"/>
              </w:rPr>
            </w:pPr>
            <w:r>
              <w:rPr>
                <w:rFonts w:ascii="Calibri" w:hAnsi="Calibri" w:cs="Calibri"/>
                <w:sz w:val="18"/>
                <w:szCs w:val="18"/>
              </w:rPr>
              <w:t>41%</w:t>
            </w:r>
          </w:p>
        </w:tc>
        <w:tc>
          <w:tcPr>
            <w:tcW w:w="0" w:type="auto"/>
            <w:vAlign w:val="center"/>
          </w:tcPr>
          <w:p w14:paraId="30267F97" w14:textId="77777777" w:rsidR="00155939" w:rsidRDefault="00155939" w:rsidP="00220F29">
            <w:pPr>
              <w:spacing w:after="0"/>
              <w:jc w:val="center"/>
              <w:rPr>
                <w:rFonts w:ascii="Calibri" w:hAnsi="Calibri" w:cs="Calibri"/>
                <w:sz w:val="18"/>
                <w:szCs w:val="18"/>
              </w:rPr>
            </w:pPr>
          </w:p>
        </w:tc>
        <w:tc>
          <w:tcPr>
            <w:tcW w:w="0" w:type="auto"/>
            <w:vAlign w:val="center"/>
          </w:tcPr>
          <w:p w14:paraId="4FF98977" w14:textId="77777777" w:rsidR="00155939" w:rsidRDefault="00155939" w:rsidP="00220F29">
            <w:pPr>
              <w:spacing w:after="0"/>
              <w:jc w:val="center"/>
              <w:rPr>
                <w:rFonts w:ascii="Calibri" w:hAnsi="Calibri" w:cs="Calibri"/>
                <w:sz w:val="18"/>
                <w:szCs w:val="18"/>
              </w:rPr>
            </w:pPr>
          </w:p>
        </w:tc>
        <w:tc>
          <w:tcPr>
            <w:tcW w:w="0" w:type="auto"/>
            <w:vAlign w:val="center"/>
          </w:tcPr>
          <w:p w14:paraId="331B6A41" w14:textId="77777777" w:rsidR="00155939" w:rsidRPr="004F69A2" w:rsidRDefault="00155939" w:rsidP="00220F29">
            <w:pPr>
              <w:spacing w:after="0"/>
              <w:jc w:val="center"/>
              <w:rPr>
                <w:rFonts w:ascii="Calibri" w:hAnsi="Calibri" w:cs="Calibri"/>
                <w:sz w:val="18"/>
                <w:szCs w:val="18"/>
              </w:rPr>
            </w:pPr>
          </w:p>
        </w:tc>
        <w:tc>
          <w:tcPr>
            <w:tcW w:w="0" w:type="auto"/>
            <w:vAlign w:val="center"/>
          </w:tcPr>
          <w:p w14:paraId="3DC81927" w14:textId="77777777" w:rsidR="00155939" w:rsidRPr="004F69A2" w:rsidRDefault="00155939" w:rsidP="00220F29">
            <w:pPr>
              <w:spacing w:after="0"/>
              <w:jc w:val="center"/>
              <w:rPr>
                <w:rFonts w:ascii="Calibri" w:hAnsi="Calibri" w:cs="Calibri"/>
                <w:sz w:val="18"/>
                <w:szCs w:val="18"/>
              </w:rPr>
            </w:pPr>
          </w:p>
        </w:tc>
        <w:tc>
          <w:tcPr>
            <w:tcW w:w="0" w:type="auto"/>
            <w:vAlign w:val="center"/>
          </w:tcPr>
          <w:p w14:paraId="4079C954" w14:textId="77777777" w:rsidR="00155939" w:rsidRPr="004F69A2" w:rsidRDefault="00155939" w:rsidP="00220F29">
            <w:pPr>
              <w:spacing w:after="0"/>
              <w:jc w:val="center"/>
              <w:rPr>
                <w:rFonts w:ascii="Calibri" w:hAnsi="Calibri" w:cs="Calibri"/>
                <w:sz w:val="18"/>
                <w:szCs w:val="18"/>
              </w:rPr>
            </w:pPr>
          </w:p>
        </w:tc>
        <w:tc>
          <w:tcPr>
            <w:tcW w:w="1058" w:type="dxa"/>
            <w:vAlign w:val="center"/>
          </w:tcPr>
          <w:p w14:paraId="1B2D8564" w14:textId="77777777" w:rsidR="00155939" w:rsidRPr="004F69A2" w:rsidRDefault="00155939" w:rsidP="00220F29">
            <w:pPr>
              <w:spacing w:after="0"/>
              <w:jc w:val="center"/>
              <w:rPr>
                <w:rFonts w:ascii="Calibri" w:hAnsi="Calibri" w:cs="Calibri"/>
                <w:sz w:val="18"/>
                <w:szCs w:val="18"/>
              </w:rPr>
            </w:pPr>
          </w:p>
        </w:tc>
        <w:tc>
          <w:tcPr>
            <w:tcW w:w="857" w:type="dxa"/>
            <w:shd w:val="clear" w:color="auto" w:fill="auto"/>
            <w:vAlign w:val="center"/>
          </w:tcPr>
          <w:p w14:paraId="3C631A0E" w14:textId="77777777" w:rsidR="00155939" w:rsidRPr="00D9384E" w:rsidRDefault="00155939" w:rsidP="00220F29">
            <w:pPr>
              <w:spacing w:after="0"/>
              <w:jc w:val="center"/>
              <w:rPr>
                <w:rFonts w:ascii="Calibri" w:hAnsi="Calibri" w:cs="Calibri"/>
                <w:b/>
                <w:iCs/>
                <w:sz w:val="18"/>
                <w:szCs w:val="18"/>
              </w:rPr>
            </w:pPr>
            <w:r w:rsidRPr="00D9384E">
              <w:rPr>
                <w:rFonts w:ascii="Calibri" w:hAnsi="Calibri" w:cs="Calibri"/>
                <w:b/>
                <w:iCs/>
                <w:sz w:val="18"/>
                <w:szCs w:val="18"/>
              </w:rPr>
              <w:t>36%</w:t>
            </w:r>
          </w:p>
        </w:tc>
      </w:tr>
      <w:tr w:rsidR="00155939" w14:paraId="0FA4B199" w14:textId="77777777" w:rsidTr="00205B3E">
        <w:trPr>
          <w:trHeight w:val="288"/>
          <w:jc w:val="center"/>
        </w:trPr>
        <w:tc>
          <w:tcPr>
            <w:tcW w:w="0" w:type="auto"/>
            <w:shd w:val="clear" w:color="auto" w:fill="auto"/>
            <w:vAlign w:val="center"/>
          </w:tcPr>
          <w:p w14:paraId="218BA9C6" w14:textId="77777777" w:rsidR="00155939" w:rsidRDefault="00155939" w:rsidP="00220F29">
            <w:pPr>
              <w:spacing w:after="0"/>
              <w:jc w:val="center"/>
              <w:rPr>
                <w:rFonts w:ascii="Calibri" w:hAnsi="Calibri" w:cs="Calibri"/>
                <w:sz w:val="18"/>
                <w:szCs w:val="18"/>
              </w:rPr>
            </w:pPr>
            <w:r>
              <w:rPr>
                <w:rFonts w:ascii="Calibri" w:hAnsi="Calibri" w:cs="Calibri"/>
                <w:sz w:val="18"/>
                <w:szCs w:val="18"/>
              </w:rPr>
              <w:t>13-20</w:t>
            </w:r>
          </w:p>
        </w:tc>
        <w:tc>
          <w:tcPr>
            <w:tcW w:w="0" w:type="auto"/>
            <w:vAlign w:val="center"/>
          </w:tcPr>
          <w:p w14:paraId="05FCC3F6" w14:textId="77777777" w:rsidR="00155939" w:rsidRPr="001950E9" w:rsidRDefault="00155939" w:rsidP="00220F29">
            <w:pPr>
              <w:spacing w:after="0"/>
              <w:jc w:val="left"/>
              <w:rPr>
                <w:rFonts w:ascii="Calibri" w:hAnsi="Calibri" w:cs="Calibri"/>
                <w:sz w:val="18"/>
                <w:szCs w:val="18"/>
              </w:rPr>
            </w:pPr>
            <w:r w:rsidRPr="001950E9">
              <w:rPr>
                <w:rFonts w:ascii="Calibri" w:hAnsi="Calibri" w:cs="Calibri"/>
                <w:sz w:val="18"/>
                <w:szCs w:val="18"/>
              </w:rPr>
              <w:t>Puget Sound Energy</w:t>
            </w:r>
          </w:p>
        </w:tc>
        <w:tc>
          <w:tcPr>
            <w:tcW w:w="0" w:type="auto"/>
            <w:vAlign w:val="center"/>
          </w:tcPr>
          <w:p w14:paraId="4CF65C3B" w14:textId="77777777" w:rsidR="00155939" w:rsidRPr="001950E9" w:rsidRDefault="00155939" w:rsidP="00220F29">
            <w:pPr>
              <w:spacing w:after="0"/>
              <w:jc w:val="center"/>
              <w:rPr>
                <w:rFonts w:ascii="Calibri" w:hAnsi="Calibri" w:cs="Calibri"/>
                <w:sz w:val="18"/>
                <w:szCs w:val="18"/>
              </w:rPr>
            </w:pPr>
            <w:r w:rsidRPr="001950E9">
              <w:rPr>
                <w:rFonts w:ascii="Calibri" w:hAnsi="Calibri" w:cs="Calibri"/>
                <w:sz w:val="18"/>
                <w:szCs w:val="18"/>
              </w:rPr>
              <w:t>24</w:t>
            </w:r>
          </w:p>
        </w:tc>
        <w:tc>
          <w:tcPr>
            <w:tcW w:w="0" w:type="auto"/>
            <w:vAlign w:val="center"/>
          </w:tcPr>
          <w:p w14:paraId="223D0F30" w14:textId="77777777" w:rsidR="00155939" w:rsidRPr="001950E9" w:rsidRDefault="00155939" w:rsidP="00220F29">
            <w:pPr>
              <w:spacing w:after="0"/>
              <w:jc w:val="center"/>
              <w:rPr>
                <w:rFonts w:ascii="Calibri" w:hAnsi="Calibri" w:cs="Calibri"/>
                <w:sz w:val="18"/>
                <w:szCs w:val="18"/>
              </w:rPr>
            </w:pPr>
            <w:r w:rsidRPr="001950E9">
              <w:rPr>
                <w:rFonts w:ascii="Calibri" w:hAnsi="Calibri" w:cs="Calibri"/>
                <w:sz w:val="18"/>
                <w:szCs w:val="18"/>
              </w:rPr>
              <w:t>96</w:t>
            </w:r>
          </w:p>
        </w:tc>
        <w:tc>
          <w:tcPr>
            <w:tcW w:w="0" w:type="auto"/>
            <w:vAlign w:val="center"/>
          </w:tcPr>
          <w:p w14:paraId="1B7C706B" w14:textId="77777777" w:rsidR="00155939" w:rsidRPr="001950E9" w:rsidRDefault="00155939" w:rsidP="00220F29">
            <w:pPr>
              <w:spacing w:after="0"/>
              <w:jc w:val="center"/>
              <w:rPr>
                <w:rFonts w:ascii="Calibri" w:hAnsi="Calibri" w:cs="Calibri"/>
                <w:sz w:val="18"/>
                <w:szCs w:val="18"/>
              </w:rPr>
            </w:pPr>
            <w:r w:rsidRPr="001950E9">
              <w:rPr>
                <w:rFonts w:ascii="Calibri" w:hAnsi="Calibri" w:cs="Calibri"/>
                <w:sz w:val="18"/>
                <w:szCs w:val="18"/>
              </w:rPr>
              <w:t>59%</w:t>
            </w:r>
          </w:p>
        </w:tc>
        <w:tc>
          <w:tcPr>
            <w:tcW w:w="0" w:type="auto"/>
            <w:vAlign w:val="center"/>
          </w:tcPr>
          <w:p w14:paraId="0FF17365" w14:textId="77777777" w:rsidR="00155939" w:rsidRPr="004F69A2" w:rsidRDefault="00155939" w:rsidP="00220F29">
            <w:pPr>
              <w:spacing w:after="0"/>
              <w:jc w:val="center"/>
              <w:rPr>
                <w:rFonts w:ascii="Calibri" w:hAnsi="Calibri" w:cs="Calibri"/>
                <w:sz w:val="18"/>
                <w:szCs w:val="18"/>
              </w:rPr>
            </w:pPr>
            <w:r>
              <w:rPr>
                <w:rFonts w:ascii="Calibri" w:hAnsi="Calibri" w:cs="Calibri"/>
                <w:sz w:val="18"/>
                <w:szCs w:val="18"/>
              </w:rPr>
              <w:t>61%</w:t>
            </w:r>
          </w:p>
        </w:tc>
        <w:tc>
          <w:tcPr>
            <w:tcW w:w="0" w:type="auto"/>
            <w:vAlign w:val="center"/>
          </w:tcPr>
          <w:p w14:paraId="3CE497D9" w14:textId="77777777" w:rsidR="00155939" w:rsidRPr="004F69A2" w:rsidRDefault="00155939" w:rsidP="00220F29">
            <w:pPr>
              <w:spacing w:after="0"/>
              <w:jc w:val="center"/>
              <w:rPr>
                <w:rFonts w:ascii="Calibri" w:hAnsi="Calibri" w:cs="Calibri"/>
                <w:sz w:val="18"/>
                <w:szCs w:val="18"/>
              </w:rPr>
            </w:pPr>
            <w:r>
              <w:rPr>
                <w:rFonts w:ascii="Calibri" w:hAnsi="Calibri" w:cs="Calibri"/>
                <w:sz w:val="18"/>
                <w:szCs w:val="18"/>
              </w:rPr>
              <w:t>51%</w:t>
            </w:r>
          </w:p>
        </w:tc>
        <w:tc>
          <w:tcPr>
            <w:tcW w:w="0" w:type="auto"/>
            <w:vAlign w:val="center"/>
          </w:tcPr>
          <w:p w14:paraId="28A2357A" w14:textId="77777777" w:rsidR="00155939" w:rsidRPr="004F69A2" w:rsidRDefault="00155939" w:rsidP="00220F29">
            <w:pPr>
              <w:spacing w:after="0"/>
              <w:jc w:val="center"/>
              <w:rPr>
                <w:rFonts w:ascii="Calibri" w:hAnsi="Calibri" w:cs="Calibri"/>
                <w:sz w:val="18"/>
                <w:szCs w:val="18"/>
              </w:rPr>
            </w:pPr>
            <w:r>
              <w:rPr>
                <w:rFonts w:ascii="Calibri" w:hAnsi="Calibri" w:cs="Calibri"/>
                <w:sz w:val="18"/>
                <w:szCs w:val="18"/>
              </w:rPr>
              <w:t>38%</w:t>
            </w:r>
          </w:p>
        </w:tc>
        <w:tc>
          <w:tcPr>
            <w:tcW w:w="0" w:type="auto"/>
            <w:vAlign w:val="center"/>
          </w:tcPr>
          <w:p w14:paraId="71EA5465" w14:textId="77777777" w:rsidR="00155939" w:rsidRPr="004F69A2" w:rsidRDefault="00155939" w:rsidP="00220F29">
            <w:pPr>
              <w:spacing w:after="0"/>
              <w:jc w:val="center"/>
              <w:rPr>
                <w:rFonts w:ascii="Calibri" w:hAnsi="Calibri" w:cs="Calibri"/>
                <w:sz w:val="18"/>
                <w:szCs w:val="18"/>
              </w:rPr>
            </w:pPr>
            <w:r>
              <w:rPr>
                <w:rFonts w:ascii="Calibri" w:hAnsi="Calibri" w:cs="Calibri"/>
                <w:sz w:val="18"/>
                <w:szCs w:val="18"/>
              </w:rPr>
              <w:t>34%</w:t>
            </w:r>
          </w:p>
        </w:tc>
        <w:tc>
          <w:tcPr>
            <w:tcW w:w="0" w:type="auto"/>
            <w:vAlign w:val="center"/>
          </w:tcPr>
          <w:p w14:paraId="45B4A70B" w14:textId="77777777" w:rsidR="00155939" w:rsidRPr="004F69A2" w:rsidRDefault="00155939" w:rsidP="00220F29">
            <w:pPr>
              <w:spacing w:after="0"/>
              <w:jc w:val="center"/>
              <w:rPr>
                <w:rFonts w:ascii="Calibri" w:hAnsi="Calibri" w:cs="Calibri"/>
                <w:sz w:val="18"/>
                <w:szCs w:val="18"/>
              </w:rPr>
            </w:pPr>
            <w:r w:rsidRPr="00FB6CBF">
              <w:rPr>
                <w:rFonts w:ascii="Calibri" w:hAnsi="Calibri" w:cs="Calibri"/>
                <w:sz w:val="18"/>
                <w:szCs w:val="18"/>
              </w:rPr>
              <w:t>23%</w:t>
            </w:r>
          </w:p>
        </w:tc>
        <w:tc>
          <w:tcPr>
            <w:tcW w:w="0" w:type="auto"/>
            <w:vAlign w:val="center"/>
          </w:tcPr>
          <w:p w14:paraId="3E7930AE" w14:textId="77777777" w:rsidR="00155939" w:rsidRPr="004F69A2" w:rsidRDefault="00155939" w:rsidP="00220F29">
            <w:pPr>
              <w:spacing w:after="0"/>
              <w:jc w:val="center"/>
              <w:rPr>
                <w:rFonts w:ascii="Calibri" w:hAnsi="Calibri" w:cs="Calibri"/>
                <w:sz w:val="18"/>
                <w:szCs w:val="18"/>
              </w:rPr>
            </w:pPr>
            <w:r w:rsidRPr="00FB6CBF">
              <w:rPr>
                <w:rFonts w:ascii="Calibri" w:hAnsi="Calibri" w:cs="Calibri"/>
                <w:sz w:val="18"/>
                <w:szCs w:val="18"/>
              </w:rPr>
              <w:t>29%</w:t>
            </w:r>
          </w:p>
        </w:tc>
        <w:tc>
          <w:tcPr>
            <w:tcW w:w="1058" w:type="dxa"/>
            <w:vAlign w:val="center"/>
          </w:tcPr>
          <w:p w14:paraId="4A4D5B54" w14:textId="77777777" w:rsidR="00155939" w:rsidRPr="004F69A2" w:rsidRDefault="00155939" w:rsidP="00220F29">
            <w:pPr>
              <w:spacing w:after="0"/>
              <w:jc w:val="center"/>
              <w:rPr>
                <w:rFonts w:ascii="Calibri" w:hAnsi="Calibri" w:cs="Calibri"/>
                <w:sz w:val="18"/>
                <w:szCs w:val="18"/>
              </w:rPr>
            </w:pPr>
            <w:r w:rsidRPr="00FB6CBF">
              <w:rPr>
                <w:rFonts w:ascii="Calibri" w:hAnsi="Calibri" w:cs="Calibri"/>
                <w:sz w:val="18"/>
                <w:szCs w:val="18"/>
              </w:rPr>
              <w:t>18%</w:t>
            </w:r>
          </w:p>
        </w:tc>
        <w:tc>
          <w:tcPr>
            <w:tcW w:w="857" w:type="dxa"/>
            <w:vAlign w:val="center"/>
          </w:tcPr>
          <w:p w14:paraId="14B5705F" w14:textId="77777777" w:rsidR="00155939" w:rsidRPr="00D9384E" w:rsidRDefault="00155939" w:rsidP="00220F29">
            <w:pPr>
              <w:spacing w:after="0"/>
              <w:jc w:val="center"/>
              <w:rPr>
                <w:rFonts w:ascii="Calibri" w:hAnsi="Calibri" w:cs="Calibri"/>
                <w:b/>
                <w:iCs/>
                <w:sz w:val="18"/>
                <w:szCs w:val="18"/>
              </w:rPr>
            </w:pPr>
            <w:r w:rsidRPr="00D9384E">
              <w:rPr>
                <w:rFonts w:ascii="Calibri" w:hAnsi="Calibri" w:cs="Calibri"/>
                <w:b/>
                <w:iCs/>
                <w:sz w:val="18"/>
                <w:szCs w:val="18"/>
              </w:rPr>
              <w:t>19%</w:t>
            </w:r>
          </w:p>
        </w:tc>
      </w:tr>
      <w:tr w:rsidR="00155939" w14:paraId="51983D3A" w14:textId="77777777" w:rsidTr="00205B3E">
        <w:trPr>
          <w:trHeight w:val="288"/>
          <w:jc w:val="center"/>
        </w:trPr>
        <w:tc>
          <w:tcPr>
            <w:tcW w:w="0" w:type="auto"/>
            <w:vAlign w:val="center"/>
          </w:tcPr>
          <w:p w14:paraId="3C3E0031" w14:textId="77777777" w:rsidR="00155939" w:rsidRDefault="00155939" w:rsidP="00220F29">
            <w:pPr>
              <w:spacing w:after="0"/>
              <w:jc w:val="center"/>
              <w:rPr>
                <w:rFonts w:ascii="Calibri" w:hAnsi="Calibri" w:cs="Calibri"/>
                <w:sz w:val="18"/>
                <w:szCs w:val="18"/>
              </w:rPr>
            </w:pPr>
            <w:r>
              <w:rPr>
                <w:rFonts w:ascii="Calibri" w:hAnsi="Calibri" w:cs="Calibri"/>
                <w:sz w:val="18"/>
                <w:szCs w:val="18"/>
              </w:rPr>
              <w:t>21</w:t>
            </w:r>
          </w:p>
        </w:tc>
        <w:tc>
          <w:tcPr>
            <w:tcW w:w="0" w:type="auto"/>
            <w:vAlign w:val="center"/>
          </w:tcPr>
          <w:p w14:paraId="319A27D3" w14:textId="77777777" w:rsidR="00155939" w:rsidRPr="001950E9" w:rsidRDefault="00155939" w:rsidP="00220F29">
            <w:pPr>
              <w:spacing w:after="0"/>
              <w:jc w:val="left"/>
              <w:rPr>
                <w:rFonts w:ascii="Calibri" w:hAnsi="Calibri" w:cs="Calibri"/>
                <w:sz w:val="18"/>
                <w:szCs w:val="18"/>
              </w:rPr>
            </w:pPr>
            <w:r w:rsidRPr="001950E9">
              <w:rPr>
                <w:rFonts w:ascii="Calibri" w:hAnsi="Calibri" w:cs="Calibri"/>
                <w:sz w:val="18"/>
                <w:szCs w:val="18"/>
              </w:rPr>
              <w:t>ComEd</w:t>
            </w:r>
          </w:p>
        </w:tc>
        <w:tc>
          <w:tcPr>
            <w:tcW w:w="0" w:type="auto"/>
            <w:vAlign w:val="center"/>
          </w:tcPr>
          <w:p w14:paraId="01F6A332" w14:textId="77777777" w:rsidR="00155939" w:rsidRPr="001950E9" w:rsidRDefault="00155939" w:rsidP="00220F29">
            <w:pPr>
              <w:spacing w:after="0"/>
              <w:jc w:val="center"/>
              <w:rPr>
                <w:rFonts w:ascii="Calibri" w:hAnsi="Calibri" w:cs="Calibri"/>
                <w:sz w:val="18"/>
                <w:szCs w:val="18"/>
              </w:rPr>
            </w:pPr>
            <w:r w:rsidRPr="001950E9">
              <w:rPr>
                <w:rFonts w:ascii="Calibri" w:hAnsi="Calibri" w:cs="Calibri"/>
                <w:sz w:val="18"/>
                <w:szCs w:val="18"/>
              </w:rPr>
              <w:t>16-52</w:t>
            </w:r>
          </w:p>
        </w:tc>
        <w:tc>
          <w:tcPr>
            <w:tcW w:w="0" w:type="auto"/>
            <w:vAlign w:val="center"/>
          </w:tcPr>
          <w:p w14:paraId="6DDF6AF6" w14:textId="77777777" w:rsidR="00155939" w:rsidRPr="001950E9" w:rsidRDefault="00155939" w:rsidP="00220F29">
            <w:pPr>
              <w:spacing w:after="0"/>
              <w:jc w:val="center"/>
              <w:rPr>
                <w:rFonts w:ascii="Calibri" w:hAnsi="Calibri" w:cs="Calibri"/>
                <w:sz w:val="18"/>
                <w:szCs w:val="18"/>
              </w:rPr>
            </w:pPr>
            <w:r w:rsidRPr="001950E9">
              <w:rPr>
                <w:rFonts w:ascii="Calibri" w:hAnsi="Calibri" w:cs="Calibri"/>
                <w:sz w:val="18"/>
                <w:szCs w:val="18"/>
              </w:rPr>
              <w:t>60</w:t>
            </w:r>
          </w:p>
        </w:tc>
        <w:tc>
          <w:tcPr>
            <w:tcW w:w="0" w:type="auto"/>
            <w:vAlign w:val="center"/>
          </w:tcPr>
          <w:p w14:paraId="2F17493F" w14:textId="77777777" w:rsidR="00155939" w:rsidRPr="001950E9" w:rsidRDefault="00155939" w:rsidP="00220F29">
            <w:pPr>
              <w:spacing w:after="0"/>
              <w:jc w:val="center"/>
              <w:rPr>
                <w:rFonts w:ascii="Calibri" w:hAnsi="Calibri" w:cs="Calibri"/>
                <w:sz w:val="18"/>
                <w:szCs w:val="18"/>
              </w:rPr>
            </w:pPr>
            <w:r w:rsidRPr="001950E9">
              <w:rPr>
                <w:rFonts w:ascii="Calibri" w:hAnsi="Calibri" w:cs="Calibri"/>
                <w:sz w:val="18"/>
                <w:szCs w:val="18"/>
              </w:rPr>
              <w:t>90%</w:t>
            </w:r>
          </w:p>
        </w:tc>
        <w:tc>
          <w:tcPr>
            <w:tcW w:w="0" w:type="auto"/>
            <w:vAlign w:val="center"/>
          </w:tcPr>
          <w:p w14:paraId="2B61B341" w14:textId="77777777" w:rsidR="00155939" w:rsidRPr="004F69A2" w:rsidRDefault="00155939" w:rsidP="00220F29">
            <w:pPr>
              <w:spacing w:after="0"/>
              <w:jc w:val="center"/>
              <w:rPr>
                <w:rFonts w:ascii="Calibri" w:hAnsi="Calibri" w:cs="Calibri"/>
                <w:sz w:val="18"/>
                <w:szCs w:val="18"/>
              </w:rPr>
            </w:pPr>
            <w:r>
              <w:rPr>
                <w:rFonts w:ascii="Calibri" w:hAnsi="Calibri" w:cs="Calibri"/>
                <w:sz w:val="18"/>
                <w:szCs w:val="18"/>
              </w:rPr>
              <w:t>69%</w:t>
            </w:r>
          </w:p>
        </w:tc>
        <w:tc>
          <w:tcPr>
            <w:tcW w:w="0" w:type="auto"/>
            <w:vAlign w:val="center"/>
          </w:tcPr>
          <w:p w14:paraId="5E269562" w14:textId="77777777" w:rsidR="00155939" w:rsidRPr="004F69A2" w:rsidRDefault="00155939" w:rsidP="00220F29">
            <w:pPr>
              <w:spacing w:after="0"/>
              <w:jc w:val="center"/>
              <w:rPr>
                <w:rFonts w:ascii="Calibri" w:hAnsi="Calibri" w:cs="Calibri"/>
                <w:sz w:val="18"/>
                <w:szCs w:val="18"/>
              </w:rPr>
            </w:pPr>
            <w:r>
              <w:rPr>
                <w:rFonts w:ascii="Calibri" w:hAnsi="Calibri" w:cs="Calibri"/>
                <w:sz w:val="18"/>
                <w:szCs w:val="18"/>
              </w:rPr>
              <w:t>65%</w:t>
            </w:r>
          </w:p>
        </w:tc>
        <w:tc>
          <w:tcPr>
            <w:tcW w:w="0" w:type="auto"/>
            <w:vAlign w:val="center"/>
          </w:tcPr>
          <w:p w14:paraId="093DC977" w14:textId="77777777" w:rsidR="00155939" w:rsidRPr="004F69A2" w:rsidRDefault="00155939" w:rsidP="00220F29">
            <w:pPr>
              <w:spacing w:after="0"/>
              <w:jc w:val="center"/>
              <w:rPr>
                <w:rFonts w:ascii="Calibri" w:hAnsi="Calibri" w:cs="Calibri"/>
                <w:sz w:val="18"/>
                <w:szCs w:val="18"/>
              </w:rPr>
            </w:pPr>
            <w:r>
              <w:rPr>
                <w:rFonts w:ascii="Calibri" w:hAnsi="Calibri" w:cs="Calibri"/>
                <w:sz w:val="18"/>
                <w:szCs w:val="18"/>
              </w:rPr>
              <w:t>70%</w:t>
            </w:r>
          </w:p>
        </w:tc>
        <w:tc>
          <w:tcPr>
            <w:tcW w:w="0" w:type="auto"/>
            <w:vAlign w:val="center"/>
          </w:tcPr>
          <w:p w14:paraId="22668D2F" w14:textId="77777777" w:rsidR="00155939" w:rsidRPr="004F69A2" w:rsidRDefault="00155939" w:rsidP="00220F29">
            <w:pPr>
              <w:spacing w:after="0"/>
              <w:jc w:val="center"/>
              <w:rPr>
                <w:rFonts w:ascii="Calibri" w:hAnsi="Calibri" w:cs="Calibri"/>
                <w:sz w:val="18"/>
                <w:szCs w:val="18"/>
              </w:rPr>
            </w:pPr>
            <w:r>
              <w:rPr>
                <w:rFonts w:ascii="Calibri" w:hAnsi="Calibri" w:cs="Calibri"/>
                <w:sz w:val="18"/>
                <w:szCs w:val="18"/>
              </w:rPr>
              <w:t>63%</w:t>
            </w:r>
          </w:p>
        </w:tc>
        <w:tc>
          <w:tcPr>
            <w:tcW w:w="0" w:type="auto"/>
            <w:vAlign w:val="center"/>
          </w:tcPr>
          <w:p w14:paraId="53430B55" w14:textId="77777777" w:rsidR="00155939" w:rsidRPr="004F69A2" w:rsidRDefault="00155939" w:rsidP="00220F29">
            <w:pPr>
              <w:spacing w:after="0"/>
              <w:jc w:val="center"/>
              <w:rPr>
                <w:rFonts w:ascii="Calibri" w:hAnsi="Calibri" w:cs="Calibri"/>
                <w:sz w:val="18"/>
                <w:szCs w:val="18"/>
              </w:rPr>
            </w:pPr>
          </w:p>
        </w:tc>
        <w:tc>
          <w:tcPr>
            <w:tcW w:w="0" w:type="auto"/>
            <w:vAlign w:val="center"/>
          </w:tcPr>
          <w:p w14:paraId="4E168BC0" w14:textId="77777777" w:rsidR="00155939" w:rsidRPr="004F69A2" w:rsidRDefault="00155939" w:rsidP="00220F29">
            <w:pPr>
              <w:spacing w:after="0"/>
              <w:jc w:val="center"/>
              <w:rPr>
                <w:rFonts w:ascii="Calibri" w:hAnsi="Calibri" w:cs="Calibri"/>
                <w:sz w:val="18"/>
                <w:szCs w:val="18"/>
              </w:rPr>
            </w:pPr>
          </w:p>
        </w:tc>
        <w:tc>
          <w:tcPr>
            <w:tcW w:w="1058" w:type="dxa"/>
            <w:vAlign w:val="center"/>
          </w:tcPr>
          <w:p w14:paraId="51FC36B7" w14:textId="77777777" w:rsidR="00155939" w:rsidRPr="004F69A2" w:rsidRDefault="00155939" w:rsidP="00220F29">
            <w:pPr>
              <w:spacing w:after="0"/>
              <w:jc w:val="center"/>
              <w:rPr>
                <w:rFonts w:ascii="Calibri" w:hAnsi="Calibri" w:cs="Calibri"/>
                <w:sz w:val="18"/>
                <w:szCs w:val="18"/>
              </w:rPr>
            </w:pPr>
          </w:p>
        </w:tc>
        <w:tc>
          <w:tcPr>
            <w:tcW w:w="857" w:type="dxa"/>
            <w:vAlign w:val="center"/>
          </w:tcPr>
          <w:p w14:paraId="53CBEEE2" w14:textId="77777777" w:rsidR="00155939" w:rsidRPr="00D9384E" w:rsidRDefault="00155939" w:rsidP="00220F29">
            <w:pPr>
              <w:spacing w:after="0"/>
              <w:jc w:val="center"/>
              <w:rPr>
                <w:rFonts w:ascii="Calibri" w:hAnsi="Calibri" w:cs="Calibri"/>
                <w:b/>
                <w:iCs/>
                <w:sz w:val="18"/>
                <w:szCs w:val="18"/>
              </w:rPr>
            </w:pPr>
            <w:r w:rsidRPr="00D9384E">
              <w:rPr>
                <w:rFonts w:ascii="Calibri" w:hAnsi="Calibri" w:cs="Calibri"/>
                <w:b/>
                <w:iCs/>
                <w:sz w:val="18"/>
                <w:szCs w:val="18"/>
              </w:rPr>
              <w:t>9%</w:t>
            </w:r>
          </w:p>
        </w:tc>
      </w:tr>
      <w:tr w:rsidR="00155939" w14:paraId="7063FF95" w14:textId="77777777" w:rsidTr="00205B3E">
        <w:trPr>
          <w:trHeight w:val="288"/>
          <w:jc w:val="center"/>
        </w:trPr>
        <w:tc>
          <w:tcPr>
            <w:tcW w:w="0" w:type="auto"/>
            <w:vAlign w:val="center"/>
          </w:tcPr>
          <w:p w14:paraId="5871ADD7" w14:textId="77777777" w:rsidR="00155939" w:rsidRDefault="00155939" w:rsidP="00220F29">
            <w:pPr>
              <w:spacing w:after="0"/>
              <w:jc w:val="center"/>
              <w:rPr>
                <w:rFonts w:ascii="Calibri" w:hAnsi="Calibri" w:cs="Calibri"/>
                <w:sz w:val="18"/>
                <w:szCs w:val="18"/>
              </w:rPr>
            </w:pPr>
            <w:r>
              <w:rPr>
                <w:rFonts w:ascii="Calibri" w:hAnsi="Calibri" w:cs="Calibri"/>
                <w:sz w:val="18"/>
                <w:szCs w:val="18"/>
              </w:rPr>
              <w:t>22</w:t>
            </w:r>
          </w:p>
        </w:tc>
        <w:tc>
          <w:tcPr>
            <w:tcW w:w="0" w:type="auto"/>
            <w:vAlign w:val="center"/>
          </w:tcPr>
          <w:p w14:paraId="1C26EDCB" w14:textId="77777777" w:rsidR="00155939" w:rsidRDefault="00155939" w:rsidP="00220F29">
            <w:pPr>
              <w:spacing w:after="0"/>
              <w:jc w:val="left"/>
              <w:rPr>
                <w:rFonts w:ascii="Calibri" w:hAnsi="Calibri" w:cs="Calibri"/>
                <w:sz w:val="18"/>
                <w:szCs w:val="18"/>
              </w:rPr>
            </w:pPr>
            <w:r>
              <w:rPr>
                <w:rFonts w:ascii="Calibri" w:hAnsi="Calibri" w:cs="Calibri"/>
                <w:sz w:val="18"/>
                <w:szCs w:val="18"/>
              </w:rPr>
              <w:t>Ameren Illinois</w:t>
            </w:r>
          </w:p>
        </w:tc>
        <w:tc>
          <w:tcPr>
            <w:tcW w:w="0" w:type="auto"/>
            <w:vAlign w:val="center"/>
          </w:tcPr>
          <w:p w14:paraId="1C7D52AD" w14:textId="77777777" w:rsidR="00155939" w:rsidRDefault="00155939" w:rsidP="00220F29">
            <w:pPr>
              <w:spacing w:after="0"/>
              <w:jc w:val="center"/>
              <w:rPr>
                <w:rFonts w:ascii="Calibri" w:hAnsi="Calibri" w:cs="Calibri"/>
                <w:sz w:val="18"/>
                <w:szCs w:val="18"/>
              </w:rPr>
            </w:pPr>
            <w:r>
              <w:rPr>
                <w:rFonts w:ascii="Calibri" w:hAnsi="Calibri" w:cs="Calibri"/>
                <w:sz w:val="18"/>
                <w:szCs w:val="18"/>
              </w:rPr>
              <w:t>4-90</w:t>
            </w:r>
          </w:p>
        </w:tc>
        <w:tc>
          <w:tcPr>
            <w:tcW w:w="0" w:type="auto"/>
            <w:vAlign w:val="center"/>
          </w:tcPr>
          <w:p w14:paraId="0ED966BB" w14:textId="77777777" w:rsidR="00155939" w:rsidRDefault="00155939" w:rsidP="00220F29">
            <w:pPr>
              <w:spacing w:after="0"/>
              <w:jc w:val="center"/>
              <w:rPr>
                <w:rFonts w:ascii="Calibri" w:hAnsi="Calibri" w:cs="Calibri"/>
                <w:sz w:val="18"/>
                <w:szCs w:val="18"/>
              </w:rPr>
            </w:pPr>
            <w:r>
              <w:rPr>
                <w:rFonts w:ascii="Calibri" w:hAnsi="Calibri" w:cs="Calibri"/>
                <w:sz w:val="18"/>
                <w:szCs w:val="18"/>
              </w:rPr>
              <w:t>24</w:t>
            </w:r>
          </w:p>
        </w:tc>
        <w:tc>
          <w:tcPr>
            <w:tcW w:w="0" w:type="auto"/>
            <w:vAlign w:val="center"/>
          </w:tcPr>
          <w:p w14:paraId="4546CA08" w14:textId="77777777" w:rsidR="00155939" w:rsidRDefault="00155939" w:rsidP="00220F29">
            <w:pPr>
              <w:spacing w:after="0"/>
              <w:jc w:val="center"/>
              <w:rPr>
                <w:rFonts w:ascii="Calibri" w:hAnsi="Calibri" w:cs="Calibri"/>
                <w:sz w:val="18"/>
                <w:szCs w:val="18"/>
              </w:rPr>
            </w:pPr>
            <w:r>
              <w:rPr>
                <w:rFonts w:ascii="Calibri" w:hAnsi="Calibri" w:cs="Calibri"/>
                <w:sz w:val="18"/>
                <w:szCs w:val="18"/>
              </w:rPr>
              <w:t>93%</w:t>
            </w:r>
          </w:p>
        </w:tc>
        <w:tc>
          <w:tcPr>
            <w:tcW w:w="0" w:type="auto"/>
            <w:vAlign w:val="center"/>
          </w:tcPr>
          <w:p w14:paraId="47C1744A" w14:textId="77777777" w:rsidR="00155939" w:rsidRPr="004F69A2" w:rsidRDefault="00155939" w:rsidP="00220F29">
            <w:pPr>
              <w:spacing w:after="0"/>
              <w:jc w:val="center"/>
              <w:rPr>
                <w:rFonts w:ascii="Calibri" w:hAnsi="Calibri" w:cs="Calibri"/>
                <w:sz w:val="18"/>
                <w:szCs w:val="18"/>
              </w:rPr>
            </w:pPr>
            <w:r>
              <w:rPr>
                <w:rFonts w:ascii="Calibri" w:hAnsi="Calibri" w:cs="Calibri"/>
                <w:sz w:val="18"/>
                <w:szCs w:val="18"/>
              </w:rPr>
              <w:t>73%</w:t>
            </w:r>
          </w:p>
        </w:tc>
        <w:tc>
          <w:tcPr>
            <w:tcW w:w="0" w:type="auto"/>
            <w:vAlign w:val="center"/>
          </w:tcPr>
          <w:p w14:paraId="63971D7D" w14:textId="77777777" w:rsidR="00155939" w:rsidRPr="004F69A2" w:rsidRDefault="00155939" w:rsidP="00220F29">
            <w:pPr>
              <w:spacing w:after="0"/>
              <w:jc w:val="center"/>
              <w:rPr>
                <w:rFonts w:ascii="Calibri" w:hAnsi="Calibri" w:cs="Calibri"/>
                <w:sz w:val="18"/>
                <w:szCs w:val="18"/>
              </w:rPr>
            </w:pPr>
          </w:p>
        </w:tc>
        <w:tc>
          <w:tcPr>
            <w:tcW w:w="0" w:type="auto"/>
            <w:vAlign w:val="center"/>
          </w:tcPr>
          <w:p w14:paraId="37531FC0" w14:textId="77777777" w:rsidR="00155939" w:rsidRPr="004F69A2" w:rsidRDefault="00155939" w:rsidP="00220F29">
            <w:pPr>
              <w:spacing w:after="0"/>
              <w:jc w:val="center"/>
              <w:rPr>
                <w:rFonts w:ascii="Calibri" w:hAnsi="Calibri" w:cs="Calibri"/>
                <w:sz w:val="18"/>
                <w:szCs w:val="18"/>
              </w:rPr>
            </w:pPr>
          </w:p>
        </w:tc>
        <w:tc>
          <w:tcPr>
            <w:tcW w:w="0" w:type="auto"/>
            <w:vAlign w:val="center"/>
          </w:tcPr>
          <w:p w14:paraId="0AF5CC57" w14:textId="77777777" w:rsidR="00155939" w:rsidRPr="004F69A2" w:rsidRDefault="00155939" w:rsidP="00220F29">
            <w:pPr>
              <w:spacing w:after="0"/>
              <w:jc w:val="center"/>
              <w:rPr>
                <w:rFonts w:ascii="Calibri" w:hAnsi="Calibri" w:cs="Calibri"/>
                <w:sz w:val="18"/>
                <w:szCs w:val="18"/>
              </w:rPr>
            </w:pPr>
          </w:p>
        </w:tc>
        <w:tc>
          <w:tcPr>
            <w:tcW w:w="0" w:type="auto"/>
            <w:vAlign w:val="center"/>
          </w:tcPr>
          <w:p w14:paraId="12ACD2F1" w14:textId="77777777" w:rsidR="00155939" w:rsidRPr="004F69A2" w:rsidRDefault="00155939" w:rsidP="00220F29">
            <w:pPr>
              <w:spacing w:after="0"/>
              <w:jc w:val="center"/>
              <w:rPr>
                <w:rFonts w:ascii="Calibri" w:hAnsi="Calibri" w:cs="Calibri"/>
                <w:sz w:val="18"/>
                <w:szCs w:val="18"/>
              </w:rPr>
            </w:pPr>
          </w:p>
        </w:tc>
        <w:tc>
          <w:tcPr>
            <w:tcW w:w="0" w:type="auto"/>
            <w:vAlign w:val="center"/>
          </w:tcPr>
          <w:p w14:paraId="0B2516E9" w14:textId="77777777" w:rsidR="00155939" w:rsidRPr="004F69A2" w:rsidRDefault="00155939" w:rsidP="00220F29">
            <w:pPr>
              <w:spacing w:after="0"/>
              <w:jc w:val="center"/>
              <w:rPr>
                <w:rFonts w:ascii="Calibri" w:hAnsi="Calibri" w:cs="Calibri"/>
                <w:sz w:val="18"/>
                <w:szCs w:val="18"/>
              </w:rPr>
            </w:pPr>
          </w:p>
        </w:tc>
        <w:tc>
          <w:tcPr>
            <w:tcW w:w="1058" w:type="dxa"/>
            <w:vAlign w:val="center"/>
          </w:tcPr>
          <w:p w14:paraId="28EC9454" w14:textId="77777777" w:rsidR="00155939" w:rsidRPr="004F69A2" w:rsidRDefault="00155939" w:rsidP="00220F29">
            <w:pPr>
              <w:spacing w:after="0"/>
              <w:jc w:val="center"/>
              <w:rPr>
                <w:rFonts w:ascii="Calibri" w:hAnsi="Calibri" w:cs="Calibri"/>
                <w:sz w:val="18"/>
                <w:szCs w:val="18"/>
              </w:rPr>
            </w:pPr>
          </w:p>
        </w:tc>
        <w:tc>
          <w:tcPr>
            <w:tcW w:w="857" w:type="dxa"/>
            <w:vAlign w:val="center"/>
          </w:tcPr>
          <w:p w14:paraId="17033063" w14:textId="77777777" w:rsidR="00155939" w:rsidRPr="00D9384E" w:rsidRDefault="00155939" w:rsidP="00220F29">
            <w:pPr>
              <w:spacing w:after="0"/>
              <w:jc w:val="center"/>
              <w:rPr>
                <w:rFonts w:ascii="Calibri" w:hAnsi="Calibri" w:cs="Calibri"/>
                <w:b/>
                <w:iCs/>
                <w:sz w:val="18"/>
                <w:szCs w:val="18"/>
              </w:rPr>
            </w:pPr>
            <w:r>
              <w:rPr>
                <w:rFonts w:ascii="Calibri" w:hAnsi="Calibri" w:cs="Calibri"/>
                <w:b/>
                <w:iCs/>
                <w:sz w:val="18"/>
                <w:szCs w:val="18"/>
              </w:rPr>
              <w:t>14</w:t>
            </w:r>
            <w:r w:rsidRPr="00D9384E">
              <w:rPr>
                <w:rFonts w:ascii="Calibri" w:hAnsi="Calibri" w:cs="Calibri"/>
                <w:b/>
                <w:iCs/>
                <w:sz w:val="18"/>
                <w:szCs w:val="18"/>
              </w:rPr>
              <w:t>%</w:t>
            </w:r>
          </w:p>
        </w:tc>
      </w:tr>
      <w:tr w:rsidR="00155939" w14:paraId="39746736" w14:textId="77777777" w:rsidTr="00205B3E">
        <w:trPr>
          <w:trHeight w:val="288"/>
          <w:jc w:val="center"/>
        </w:trPr>
        <w:tc>
          <w:tcPr>
            <w:tcW w:w="0" w:type="auto"/>
            <w:gridSpan w:val="8"/>
            <w:shd w:val="clear" w:color="auto" w:fill="A6A6A6" w:themeFill="background1" w:themeFillShade="A6"/>
            <w:vAlign w:val="center"/>
          </w:tcPr>
          <w:p w14:paraId="4750EB1E" w14:textId="77777777" w:rsidR="00155939" w:rsidRPr="004F69A2" w:rsidRDefault="00155939" w:rsidP="00220F29">
            <w:pPr>
              <w:spacing w:after="0"/>
              <w:jc w:val="center"/>
              <w:rPr>
                <w:rFonts w:ascii="Calibri" w:hAnsi="Calibri" w:cs="Calibri"/>
                <w:sz w:val="18"/>
                <w:szCs w:val="18"/>
              </w:rPr>
            </w:pPr>
          </w:p>
        </w:tc>
        <w:tc>
          <w:tcPr>
            <w:tcW w:w="4232" w:type="dxa"/>
            <w:gridSpan w:val="4"/>
            <w:vAlign w:val="center"/>
          </w:tcPr>
          <w:p w14:paraId="0658BEA2" w14:textId="77777777" w:rsidR="00155939" w:rsidRPr="004F69A2" w:rsidRDefault="00155939" w:rsidP="00220F29">
            <w:pPr>
              <w:spacing w:after="0"/>
              <w:jc w:val="right"/>
              <w:rPr>
                <w:rFonts w:ascii="Calibri" w:hAnsi="Calibri" w:cs="Calibri"/>
                <w:sz w:val="18"/>
                <w:szCs w:val="18"/>
              </w:rPr>
            </w:pPr>
            <w:r w:rsidRPr="00CD4C6E">
              <w:rPr>
                <w:rFonts w:ascii="Calibri" w:hAnsi="Calibri"/>
                <w:b/>
                <w:bCs/>
                <w:color w:val="000000"/>
                <w:sz w:val="18"/>
                <w:szCs w:val="18"/>
              </w:rPr>
              <w:t xml:space="preserve">Average Annual Electric Savings </w:t>
            </w:r>
            <w:r>
              <w:rPr>
                <w:rFonts w:ascii="Calibri" w:hAnsi="Calibri"/>
                <w:b/>
                <w:bCs/>
                <w:color w:val="000000"/>
                <w:sz w:val="18"/>
                <w:szCs w:val="18"/>
              </w:rPr>
              <w:t>Decay Rate</w:t>
            </w:r>
            <w:r w:rsidRPr="00CD4C6E">
              <w:rPr>
                <w:rFonts w:ascii="Calibri" w:hAnsi="Calibri"/>
                <w:b/>
                <w:bCs/>
                <w:color w:val="000000"/>
                <w:sz w:val="18"/>
                <w:szCs w:val="18"/>
              </w:rPr>
              <w:t>:</w:t>
            </w:r>
          </w:p>
        </w:tc>
        <w:tc>
          <w:tcPr>
            <w:tcW w:w="857" w:type="dxa"/>
            <w:vAlign w:val="center"/>
          </w:tcPr>
          <w:p w14:paraId="15961370" w14:textId="77777777" w:rsidR="00155939" w:rsidRDefault="00155939" w:rsidP="00220F29">
            <w:pPr>
              <w:spacing w:after="0"/>
              <w:jc w:val="center"/>
              <w:rPr>
                <w:rFonts w:ascii="Calibri" w:hAnsi="Calibri" w:cs="Calibri"/>
                <w:b/>
                <w:iCs/>
                <w:sz w:val="18"/>
                <w:szCs w:val="18"/>
              </w:rPr>
            </w:pPr>
            <w:r>
              <w:rPr>
                <w:rFonts w:ascii="Calibri" w:hAnsi="Calibri" w:cs="Calibri"/>
                <w:b/>
                <w:iCs/>
                <w:sz w:val="18"/>
                <w:szCs w:val="18"/>
              </w:rPr>
              <w:t>22%</w:t>
            </w:r>
          </w:p>
        </w:tc>
      </w:tr>
    </w:tbl>
    <w:p w14:paraId="027B34BD" w14:textId="1740AD23" w:rsidR="00F67E0A" w:rsidRDefault="00F67E0A" w:rsidP="00830CF8">
      <w:pPr>
        <w:spacing w:after="0"/>
        <w:rPr>
          <w:rFonts w:cstheme="minorHAnsi"/>
          <w:sz w:val="18"/>
          <w:szCs w:val="18"/>
        </w:rPr>
      </w:pPr>
    </w:p>
    <w:p w14:paraId="273ED78E" w14:textId="093A69CC" w:rsidR="00F67E0A" w:rsidRDefault="00F67E0A" w:rsidP="00830CF8">
      <w:pPr>
        <w:spacing w:after="0"/>
        <w:rPr>
          <w:rFonts w:cstheme="minorHAnsi"/>
          <w:sz w:val="18"/>
          <w:szCs w:val="18"/>
        </w:rPr>
      </w:pPr>
    </w:p>
    <w:p w14:paraId="20F95FF3" w14:textId="77777777" w:rsidR="00F67E0A" w:rsidRDefault="00F67E0A" w:rsidP="00830CF8">
      <w:pPr>
        <w:spacing w:after="0"/>
        <w:rPr>
          <w:rFonts w:cstheme="minorHAnsi"/>
          <w:sz w:val="18"/>
          <w:szCs w:val="18"/>
        </w:rPr>
      </w:pPr>
    </w:p>
    <w:tbl>
      <w:tblPr>
        <w:tblStyle w:val="TableGrid37"/>
        <w:tblW w:w="13945" w:type="dxa"/>
        <w:jc w:val="center"/>
        <w:tblLook w:val="04A0" w:firstRow="1" w:lastRow="0" w:firstColumn="1" w:lastColumn="0" w:noHBand="0" w:noVBand="1"/>
      </w:tblPr>
      <w:tblGrid>
        <w:gridCol w:w="717"/>
        <w:gridCol w:w="1438"/>
        <w:gridCol w:w="1260"/>
        <w:gridCol w:w="1146"/>
        <w:gridCol w:w="1104"/>
        <w:gridCol w:w="1080"/>
        <w:gridCol w:w="1080"/>
        <w:gridCol w:w="1079"/>
        <w:gridCol w:w="991"/>
        <w:gridCol w:w="1080"/>
        <w:gridCol w:w="1080"/>
        <w:gridCol w:w="1080"/>
        <w:gridCol w:w="810"/>
      </w:tblGrid>
      <w:tr w:rsidR="00F67E0A" w:rsidRPr="00F67E0A" w14:paraId="50D5B02B" w14:textId="77777777" w:rsidTr="00205B3E">
        <w:trPr>
          <w:jc w:val="center"/>
        </w:trPr>
        <w:tc>
          <w:tcPr>
            <w:tcW w:w="13945" w:type="dxa"/>
            <w:gridSpan w:val="13"/>
            <w:shd w:val="clear" w:color="auto" w:fill="808080"/>
            <w:vAlign w:val="bottom"/>
          </w:tcPr>
          <w:p w14:paraId="57256662" w14:textId="77777777" w:rsidR="00F67E0A" w:rsidRPr="00F67E0A" w:rsidRDefault="00F67E0A" w:rsidP="00F67E0A">
            <w:pPr>
              <w:spacing w:after="0"/>
              <w:jc w:val="center"/>
              <w:rPr>
                <w:rFonts w:ascii="Calibri" w:hAnsi="Calibri" w:cs="Calibri"/>
                <w:b/>
                <w:sz w:val="18"/>
                <w:szCs w:val="18"/>
              </w:rPr>
            </w:pPr>
            <w:r w:rsidRPr="00F67E0A">
              <w:rPr>
                <w:rFonts w:ascii="Calibri" w:hAnsi="Calibri"/>
                <w:b/>
                <w:bCs/>
                <w:color w:val="FFFFFF"/>
              </w:rPr>
              <w:t>Table 2: Annual Decay Rate for Residential HERs-type (RCT) Programs: Reference Studies – Gas Programs</w:t>
            </w:r>
          </w:p>
        </w:tc>
      </w:tr>
      <w:tr w:rsidR="0044322C" w:rsidRPr="00F67E0A" w14:paraId="78E6614C" w14:textId="77777777" w:rsidTr="00205B3E">
        <w:trPr>
          <w:jc w:val="center"/>
        </w:trPr>
        <w:tc>
          <w:tcPr>
            <w:tcW w:w="0" w:type="auto"/>
            <w:vMerge w:val="restart"/>
            <w:vAlign w:val="bottom"/>
          </w:tcPr>
          <w:p w14:paraId="30D4310C" w14:textId="77777777" w:rsidR="00F67E0A" w:rsidRPr="00F67E0A" w:rsidRDefault="00F67E0A" w:rsidP="00F67E0A">
            <w:pPr>
              <w:spacing w:after="0"/>
              <w:jc w:val="left"/>
              <w:rPr>
                <w:rFonts w:ascii="Calibri" w:hAnsi="Calibri" w:cs="Calibri"/>
                <w:color w:val="000000"/>
                <w:sz w:val="18"/>
                <w:szCs w:val="18"/>
              </w:rPr>
            </w:pPr>
            <w:r w:rsidRPr="00F67E0A">
              <w:rPr>
                <w:rFonts w:ascii="Calibri" w:hAnsi="Calibri" w:cs="Calibri"/>
                <w:color w:val="000000"/>
                <w:sz w:val="18"/>
                <w:szCs w:val="18"/>
              </w:rPr>
              <w:t>Source</w:t>
            </w:r>
          </w:p>
        </w:tc>
        <w:tc>
          <w:tcPr>
            <w:tcW w:w="1438" w:type="dxa"/>
            <w:vMerge w:val="restart"/>
            <w:vAlign w:val="bottom"/>
          </w:tcPr>
          <w:p w14:paraId="576A6184" w14:textId="77777777" w:rsidR="00F67E0A" w:rsidRPr="00F67E0A" w:rsidRDefault="00F67E0A" w:rsidP="00F67E0A">
            <w:pPr>
              <w:spacing w:after="0"/>
              <w:jc w:val="left"/>
              <w:rPr>
                <w:rFonts w:ascii="Calibri" w:hAnsi="Calibri" w:cs="Calibri"/>
                <w:color w:val="000000"/>
                <w:sz w:val="18"/>
                <w:szCs w:val="18"/>
              </w:rPr>
            </w:pPr>
            <w:r w:rsidRPr="00F67E0A">
              <w:rPr>
                <w:rFonts w:ascii="Calibri" w:hAnsi="Calibri" w:cs="Calibri"/>
                <w:color w:val="000000"/>
                <w:sz w:val="18"/>
                <w:szCs w:val="18"/>
              </w:rPr>
              <w:t>Utility/Location</w:t>
            </w:r>
          </w:p>
        </w:tc>
        <w:tc>
          <w:tcPr>
            <w:tcW w:w="1260" w:type="dxa"/>
            <w:vMerge w:val="restart"/>
            <w:vAlign w:val="bottom"/>
          </w:tcPr>
          <w:p w14:paraId="272BDBB9" w14:textId="77777777" w:rsidR="00F67E0A" w:rsidRPr="00F67E0A" w:rsidRDefault="00F67E0A" w:rsidP="00F67E0A">
            <w:pPr>
              <w:spacing w:after="0"/>
              <w:jc w:val="center"/>
              <w:rPr>
                <w:rFonts w:ascii="Calibri" w:hAnsi="Calibri"/>
                <w:color w:val="000000"/>
                <w:sz w:val="18"/>
                <w:szCs w:val="18"/>
              </w:rPr>
            </w:pPr>
            <w:r w:rsidRPr="00F67E0A">
              <w:rPr>
                <w:rFonts w:ascii="Calibri" w:hAnsi="Calibri"/>
                <w:color w:val="000000"/>
                <w:sz w:val="18"/>
                <w:szCs w:val="18"/>
              </w:rPr>
              <w:t>Number of Months in Program Before Terminated</w:t>
            </w:r>
          </w:p>
        </w:tc>
        <w:tc>
          <w:tcPr>
            <w:tcW w:w="1146" w:type="dxa"/>
            <w:vMerge w:val="restart"/>
            <w:vAlign w:val="bottom"/>
          </w:tcPr>
          <w:p w14:paraId="589908B8" w14:textId="77777777" w:rsidR="00F67E0A" w:rsidRPr="00F67E0A" w:rsidRDefault="00F67E0A" w:rsidP="00F67E0A">
            <w:pPr>
              <w:spacing w:after="0"/>
              <w:jc w:val="center"/>
              <w:rPr>
                <w:rFonts w:ascii="Calibri" w:hAnsi="Calibri" w:cs="Calibri"/>
                <w:color w:val="000000"/>
                <w:sz w:val="18"/>
                <w:szCs w:val="18"/>
              </w:rPr>
            </w:pPr>
            <w:r w:rsidRPr="00F67E0A">
              <w:rPr>
                <w:rFonts w:ascii="Calibri" w:hAnsi="Calibri" w:cs="Calibri"/>
                <w:color w:val="000000"/>
                <w:sz w:val="18"/>
                <w:szCs w:val="18"/>
              </w:rPr>
              <w:t>Number of Post-Treatment Savings Analysis Months</w:t>
            </w:r>
          </w:p>
        </w:tc>
        <w:tc>
          <w:tcPr>
            <w:tcW w:w="8574" w:type="dxa"/>
            <w:gridSpan w:val="8"/>
            <w:vAlign w:val="bottom"/>
          </w:tcPr>
          <w:p w14:paraId="01F063BF" w14:textId="77777777" w:rsidR="00F67E0A" w:rsidRPr="00F67E0A" w:rsidRDefault="00F67E0A" w:rsidP="00F67E0A">
            <w:pPr>
              <w:spacing w:after="0"/>
              <w:jc w:val="center"/>
              <w:rPr>
                <w:rFonts w:ascii="Calibri" w:hAnsi="Calibri" w:cs="Calibri"/>
                <w:sz w:val="18"/>
                <w:szCs w:val="18"/>
              </w:rPr>
            </w:pPr>
            <w:r w:rsidRPr="00F67E0A">
              <w:rPr>
                <w:rFonts w:ascii="Calibri" w:hAnsi="Calibri" w:cs="Calibri"/>
                <w:sz w:val="18"/>
                <w:szCs w:val="18"/>
              </w:rPr>
              <w:t>Persistence:</w:t>
            </w:r>
          </w:p>
        </w:tc>
        <w:tc>
          <w:tcPr>
            <w:tcW w:w="810" w:type="dxa"/>
            <w:vAlign w:val="bottom"/>
          </w:tcPr>
          <w:p w14:paraId="7E2F5540" w14:textId="77777777" w:rsidR="00F67E0A" w:rsidRPr="00F67E0A" w:rsidRDefault="00F67E0A" w:rsidP="00F67E0A">
            <w:pPr>
              <w:spacing w:after="0"/>
              <w:jc w:val="center"/>
              <w:rPr>
                <w:rFonts w:ascii="Calibri" w:hAnsi="Calibri" w:cs="Calibri"/>
                <w:b/>
                <w:sz w:val="18"/>
                <w:szCs w:val="18"/>
              </w:rPr>
            </w:pPr>
          </w:p>
        </w:tc>
      </w:tr>
      <w:tr w:rsidR="00F67E0A" w:rsidRPr="00F67E0A" w14:paraId="1E8F99A8" w14:textId="77777777" w:rsidTr="00205B3E">
        <w:trPr>
          <w:jc w:val="center"/>
        </w:trPr>
        <w:tc>
          <w:tcPr>
            <w:tcW w:w="0" w:type="auto"/>
            <w:vMerge/>
            <w:vAlign w:val="bottom"/>
          </w:tcPr>
          <w:p w14:paraId="392FAADA" w14:textId="77777777" w:rsidR="00F67E0A" w:rsidRPr="00F67E0A" w:rsidRDefault="00F67E0A" w:rsidP="00F67E0A">
            <w:pPr>
              <w:spacing w:after="0"/>
              <w:jc w:val="left"/>
              <w:rPr>
                <w:rFonts w:ascii="Calibri" w:hAnsi="Calibri" w:cs="Calibri"/>
                <w:color w:val="000000"/>
                <w:sz w:val="18"/>
                <w:szCs w:val="18"/>
              </w:rPr>
            </w:pPr>
          </w:p>
        </w:tc>
        <w:tc>
          <w:tcPr>
            <w:tcW w:w="1438" w:type="dxa"/>
            <w:vMerge/>
            <w:vAlign w:val="bottom"/>
          </w:tcPr>
          <w:p w14:paraId="74BA4BFA" w14:textId="77777777" w:rsidR="00F67E0A" w:rsidRPr="00F67E0A" w:rsidRDefault="00F67E0A" w:rsidP="00F67E0A">
            <w:pPr>
              <w:spacing w:after="0"/>
              <w:jc w:val="left"/>
              <w:rPr>
                <w:rFonts w:ascii="Calibri" w:hAnsi="Calibri" w:cs="Calibri"/>
                <w:sz w:val="18"/>
                <w:szCs w:val="18"/>
              </w:rPr>
            </w:pPr>
          </w:p>
        </w:tc>
        <w:tc>
          <w:tcPr>
            <w:tcW w:w="1260" w:type="dxa"/>
            <w:vMerge/>
            <w:vAlign w:val="bottom"/>
          </w:tcPr>
          <w:p w14:paraId="2A01AD68" w14:textId="77777777" w:rsidR="00F67E0A" w:rsidRPr="00F67E0A" w:rsidRDefault="00F67E0A" w:rsidP="00F67E0A">
            <w:pPr>
              <w:spacing w:after="0"/>
              <w:jc w:val="center"/>
              <w:rPr>
                <w:rFonts w:ascii="Calibri" w:hAnsi="Calibri" w:cs="Calibri"/>
                <w:color w:val="000000"/>
                <w:sz w:val="18"/>
                <w:szCs w:val="18"/>
              </w:rPr>
            </w:pPr>
          </w:p>
        </w:tc>
        <w:tc>
          <w:tcPr>
            <w:tcW w:w="1146" w:type="dxa"/>
            <w:vMerge/>
            <w:vAlign w:val="bottom"/>
          </w:tcPr>
          <w:p w14:paraId="1D6644BA" w14:textId="77777777" w:rsidR="00F67E0A" w:rsidRPr="00F67E0A" w:rsidRDefault="00F67E0A" w:rsidP="00F67E0A">
            <w:pPr>
              <w:spacing w:after="0"/>
              <w:jc w:val="center"/>
              <w:rPr>
                <w:rFonts w:ascii="Calibri" w:hAnsi="Calibri" w:cs="Calibri"/>
                <w:sz w:val="18"/>
                <w:szCs w:val="18"/>
              </w:rPr>
            </w:pPr>
          </w:p>
        </w:tc>
        <w:tc>
          <w:tcPr>
            <w:tcW w:w="1104" w:type="dxa"/>
            <w:vAlign w:val="bottom"/>
          </w:tcPr>
          <w:p w14:paraId="77675428" w14:textId="77777777" w:rsidR="00F67E0A" w:rsidRPr="00F67E0A" w:rsidRDefault="00F67E0A" w:rsidP="00F67E0A">
            <w:pPr>
              <w:spacing w:after="0"/>
              <w:jc w:val="center"/>
              <w:rPr>
                <w:rFonts w:ascii="Calibri" w:hAnsi="Calibri" w:cs="Calibri"/>
                <w:sz w:val="18"/>
                <w:szCs w:val="18"/>
              </w:rPr>
            </w:pPr>
            <w:r w:rsidRPr="00F67E0A">
              <w:rPr>
                <w:rFonts w:ascii="Calibri" w:hAnsi="Calibri" w:cs="Calibri"/>
                <w:sz w:val="18"/>
                <w:szCs w:val="18"/>
              </w:rPr>
              <w:t>1 Year after Treatment</w:t>
            </w:r>
          </w:p>
        </w:tc>
        <w:tc>
          <w:tcPr>
            <w:tcW w:w="1080" w:type="dxa"/>
            <w:vAlign w:val="bottom"/>
          </w:tcPr>
          <w:p w14:paraId="52147266" w14:textId="77777777" w:rsidR="00F67E0A" w:rsidRPr="00F67E0A" w:rsidRDefault="00F67E0A" w:rsidP="00F67E0A">
            <w:pPr>
              <w:spacing w:after="0"/>
              <w:jc w:val="center"/>
              <w:rPr>
                <w:rFonts w:ascii="Calibri" w:hAnsi="Calibri" w:cs="Calibri"/>
                <w:sz w:val="18"/>
                <w:szCs w:val="18"/>
              </w:rPr>
            </w:pPr>
            <w:r w:rsidRPr="00F67E0A">
              <w:rPr>
                <w:rFonts w:ascii="Calibri" w:hAnsi="Calibri" w:cs="Calibri"/>
                <w:sz w:val="18"/>
                <w:szCs w:val="18"/>
              </w:rPr>
              <w:t>2 Years after Treatment</w:t>
            </w:r>
          </w:p>
        </w:tc>
        <w:tc>
          <w:tcPr>
            <w:tcW w:w="1080" w:type="dxa"/>
            <w:vAlign w:val="bottom"/>
          </w:tcPr>
          <w:p w14:paraId="7575943C" w14:textId="77777777" w:rsidR="00F67E0A" w:rsidRPr="00F67E0A" w:rsidRDefault="00F67E0A" w:rsidP="00F67E0A">
            <w:pPr>
              <w:spacing w:after="0"/>
              <w:jc w:val="center"/>
              <w:rPr>
                <w:rFonts w:ascii="Calibri" w:hAnsi="Calibri" w:cs="Calibri"/>
                <w:sz w:val="18"/>
                <w:szCs w:val="18"/>
              </w:rPr>
            </w:pPr>
            <w:r w:rsidRPr="00F67E0A">
              <w:rPr>
                <w:rFonts w:ascii="Calibri" w:hAnsi="Calibri" w:cs="Calibri"/>
                <w:sz w:val="18"/>
                <w:szCs w:val="18"/>
              </w:rPr>
              <w:t>3 Years after Treatment</w:t>
            </w:r>
          </w:p>
        </w:tc>
        <w:tc>
          <w:tcPr>
            <w:tcW w:w="1079" w:type="dxa"/>
            <w:vAlign w:val="bottom"/>
          </w:tcPr>
          <w:p w14:paraId="3AC4B231" w14:textId="77777777" w:rsidR="00F67E0A" w:rsidRPr="00F67E0A" w:rsidRDefault="00F67E0A" w:rsidP="00F67E0A">
            <w:pPr>
              <w:spacing w:after="0"/>
              <w:jc w:val="center"/>
              <w:rPr>
                <w:rFonts w:ascii="Calibri" w:hAnsi="Calibri" w:cs="Calibri"/>
                <w:sz w:val="18"/>
                <w:szCs w:val="18"/>
              </w:rPr>
            </w:pPr>
            <w:r w:rsidRPr="00F67E0A">
              <w:rPr>
                <w:rFonts w:ascii="Calibri" w:hAnsi="Calibri" w:cs="Calibri"/>
                <w:sz w:val="18"/>
                <w:szCs w:val="18"/>
              </w:rPr>
              <w:t>4 Years after Treatment</w:t>
            </w:r>
          </w:p>
        </w:tc>
        <w:tc>
          <w:tcPr>
            <w:tcW w:w="991" w:type="dxa"/>
            <w:vAlign w:val="bottom"/>
          </w:tcPr>
          <w:p w14:paraId="26F4C6F6" w14:textId="77777777" w:rsidR="00F67E0A" w:rsidRPr="00F67E0A" w:rsidRDefault="00F67E0A" w:rsidP="00F67E0A">
            <w:pPr>
              <w:spacing w:after="0"/>
              <w:jc w:val="center"/>
              <w:rPr>
                <w:rFonts w:ascii="Calibri" w:hAnsi="Calibri" w:cs="Calibri"/>
                <w:sz w:val="18"/>
                <w:szCs w:val="18"/>
              </w:rPr>
            </w:pPr>
            <w:r w:rsidRPr="00F67E0A">
              <w:rPr>
                <w:rFonts w:ascii="Calibri" w:hAnsi="Calibri" w:cs="Calibri"/>
                <w:sz w:val="18"/>
                <w:szCs w:val="18"/>
              </w:rPr>
              <w:t>5 Years after Treatment</w:t>
            </w:r>
          </w:p>
        </w:tc>
        <w:tc>
          <w:tcPr>
            <w:tcW w:w="1080" w:type="dxa"/>
            <w:vAlign w:val="bottom"/>
          </w:tcPr>
          <w:p w14:paraId="178197F2" w14:textId="77777777" w:rsidR="00F67E0A" w:rsidRPr="00F67E0A" w:rsidRDefault="00F67E0A" w:rsidP="00F67E0A">
            <w:pPr>
              <w:spacing w:after="0"/>
              <w:jc w:val="center"/>
              <w:rPr>
                <w:rFonts w:ascii="Calibri" w:hAnsi="Calibri" w:cs="Calibri"/>
                <w:sz w:val="18"/>
                <w:szCs w:val="18"/>
              </w:rPr>
            </w:pPr>
            <w:r w:rsidRPr="00F67E0A">
              <w:rPr>
                <w:rFonts w:ascii="Calibri" w:hAnsi="Calibri" w:cs="Calibri"/>
                <w:sz w:val="18"/>
                <w:szCs w:val="18"/>
              </w:rPr>
              <w:t>6 Years after Treatment</w:t>
            </w:r>
          </w:p>
        </w:tc>
        <w:tc>
          <w:tcPr>
            <w:tcW w:w="1080" w:type="dxa"/>
            <w:vAlign w:val="bottom"/>
          </w:tcPr>
          <w:p w14:paraId="61AEEAD1" w14:textId="77777777" w:rsidR="00F67E0A" w:rsidRPr="00F67E0A" w:rsidRDefault="00F67E0A" w:rsidP="00F67E0A">
            <w:pPr>
              <w:spacing w:after="0"/>
              <w:jc w:val="center"/>
              <w:rPr>
                <w:rFonts w:ascii="Calibri" w:hAnsi="Calibri" w:cs="Calibri"/>
                <w:sz w:val="18"/>
                <w:szCs w:val="18"/>
              </w:rPr>
            </w:pPr>
            <w:r w:rsidRPr="00F67E0A">
              <w:rPr>
                <w:rFonts w:ascii="Calibri" w:hAnsi="Calibri" w:cs="Calibri"/>
                <w:sz w:val="18"/>
                <w:szCs w:val="18"/>
              </w:rPr>
              <w:t>7 Years after Treatment</w:t>
            </w:r>
          </w:p>
        </w:tc>
        <w:tc>
          <w:tcPr>
            <w:tcW w:w="1080" w:type="dxa"/>
            <w:vAlign w:val="bottom"/>
          </w:tcPr>
          <w:p w14:paraId="0E732DD8" w14:textId="77777777" w:rsidR="00F67E0A" w:rsidRPr="00F67E0A" w:rsidRDefault="00F67E0A" w:rsidP="00F67E0A">
            <w:pPr>
              <w:spacing w:after="0"/>
              <w:jc w:val="center"/>
              <w:rPr>
                <w:rFonts w:ascii="Calibri" w:hAnsi="Calibri" w:cs="Calibri"/>
                <w:sz w:val="18"/>
                <w:szCs w:val="18"/>
              </w:rPr>
            </w:pPr>
            <w:r w:rsidRPr="00F67E0A">
              <w:rPr>
                <w:rFonts w:ascii="Calibri" w:hAnsi="Calibri" w:cs="Calibri"/>
                <w:sz w:val="18"/>
                <w:szCs w:val="18"/>
              </w:rPr>
              <w:t>8 Years after Treatment</w:t>
            </w:r>
          </w:p>
        </w:tc>
        <w:tc>
          <w:tcPr>
            <w:tcW w:w="810" w:type="dxa"/>
            <w:vAlign w:val="bottom"/>
          </w:tcPr>
          <w:p w14:paraId="73B269BE" w14:textId="77777777" w:rsidR="00F67E0A" w:rsidRPr="00F67E0A" w:rsidRDefault="00F67E0A" w:rsidP="00F67E0A">
            <w:pPr>
              <w:spacing w:after="0"/>
              <w:jc w:val="center"/>
              <w:rPr>
                <w:rFonts w:ascii="Calibri" w:hAnsi="Calibri" w:cs="Calibri"/>
                <w:b/>
                <w:sz w:val="18"/>
                <w:szCs w:val="18"/>
              </w:rPr>
            </w:pPr>
            <w:r w:rsidRPr="00F67E0A">
              <w:rPr>
                <w:rFonts w:ascii="Calibri" w:hAnsi="Calibri" w:cs="Calibri"/>
                <w:b/>
                <w:sz w:val="18"/>
                <w:szCs w:val="18"/>
              </w:rPr>
              <w:t>Implied Annual Decay Rate</w:t>
            </w:r>
          </w:p>
        </w:tc>
      </w:tr>
      <w:tr w:rsidR="00F67E0A" w:rsidRPr="00F67E0A" w14:paraId="010BFF34" w14:textId="77777777" w:rsidTr="00205B3E">
        <w:trPr>
          <w:trHeight w:val="288"/>
          <w:jc w:val="center"/>
        </w:trPr>
        <w:tc>
          <w:tcPr>
            <w:tcW w:w="0" w:type="auto"/>
            <w:vAlign w:val="center"/>
          </w:tcPr>
          <w:p w14:paraId="060690C9" w14:textId="77777777" w:rsidR="00F67E0A" w:rsidRPr="00F67E0A" w:rsidRDefault="00F67E0A" w:rsidP="00F67E0A">
            <w:pPr>
              <w:spacing w:after="0"/>
              <w:jc w:val="center"/>
              <w:rPr>
                <w:rFonts w:ascii="Calibri" w:hAnsi="Calibri" w:cs="Calibri"/>
                <w:sz w:val="18"/>
                <w:szCs w:val="18"/>
              </w:rPr>
            </w:pPr>
            <w:r w:rsidRPr="00F67E0A">
              <w:rPr>
                <w:rFonts w:ascii="Calibri" w:hAnsi="Calibri" w:cs="Calibri"/>
                <w:sz w:val="18"/>
                <w:szCs w:val="18"/>
              </w:rPr>
              <w:t>4</w:t>
            </w:r>
          </w:p>
        </w:tc>
        <w:tc>
          <w:tcPr>
            <w:tcW w:w="1438" w:type="dxa"/>
            <w:vAlign w:val="center"/>
          </w:tcPr>
          <w:p w14:paraId="44ED1ED3" w14:textId="77777777" w:rsidR="00F67E0A" w:rsidRPr="00F67E0A" w:rsidRDefault="00F67E0A" w:rsidP="00F67E0A">
            <w:pPr>
              <w:spacing w:after="0"/>
              <w:jc w:val="left"/>
              <w:rPr>
                <w:rFonts w:ascii="Calibri" w:hAnsi="Calibri" w:cs="Calibri"/>
                <w:sz w:val="18"/>
                <w:szCs w:val="18"/>
              </w:rPr>
            </w:pPr>
            <w:r w:rsidRPr="00F67E0A">
              <w:rPr>
                <w:rFonts w:ascii="Calibri" w:hAnsi="Calibri" w:cs="Calibri"/>
                <w:sz w:val="18"/>
                <w:szCs w:val="18"/>
              </w:rPr>
              <w:t>MASS</w:t>
            </w:r>
          </w:p>
        </w:tc>
        <w:tc>
          <w:tcPr>
            <w:tcW w:w="1260" w:type="dxa"/>
            <w:vAlign w:val="center"/>
          </w:tcPr>
          <w:p w14:paraId="57C45A25" w14:textId="77777777" w:rsidR="00F67E0A" w:rsidRPr="00F67E0A" w:rsidRDefault="00F67E0A" w:rsidP="00F67E0A">
            <w:pPr>
              <w:spacing w:after="0"/>
              <w:jc w:val="center"/>
              <w:rPr>
                <w:rFonts w:ascii="Calibri" w:hAnsi="Calibri" w:cs="Calibri"/>
                <w:sz w:val="18"/>
                <w:szCs w:val="18"/>
              </w:rPr>
            </w:pPr>
            <w:r w:rsidRPr="00F67E0A">
              <w:rPr>
                <w:rFonts w:ascii="Calibri" w:hAnsi="Calibri" w:cs="Calibri"/>
                <w:sz w:val="18"/>
                <w:szCs w:val="18"/>
              </w:rPr>
              <w:t>15</w:t>
            </w:r>
          </w:p>
        </w:tc>
        <w:tc>
          <w:tcPr>
            <w:tcW w:w="1146" w:type="dxa"/>
            <w:tcBorders>
              <w:bottom w:val="single" w:sz="4" w:space="0" w:color="auto"/>
            </w:tcBorders>
            <w:vAlign w:val="center"/>
          </w:tcPr>
          <w:p w14:paraId="22C320F3" w14:textId="77777777" w:rsidR="00F67E0A" w:rsidRPr="00F67E0A" w:rsidRDefault="00F67E0A" w:rsidP="00F67E0A">
            <w:pPr>
              <w:spacing w:after="0"/>
              <w:jc w:val="center"/>
              <w:rPr>
                <w:rFonts w:ascii="Calibri" w:hAnsi="Calibri" w:cs="Calibri"/>
                <w:sz w:val="18"/>
                <w:szCs w:val="18"/>
              </w:rPr>
            </w:pPr>
            <w:r w:rsidRPr="00F67E0A">
              <w:rPr>
                <w:rFonts w:ascii="Calibri" w:hAnsi="Calibri" w:cs="Calibri"/>
                <w:sz w:val="18"/>
                <w:szCs w:val="18"/>
              </w:rPr>
              <w:t>15</w:t>
            </w:r>
          </w:p>
        </w:tc>
        <w:tc>
          <w:tcPr>
            <w:tcW w:w="1104" w:type="dxa"/>
            <w:vAlign w:val="center"/>
          </w:tcPr>
          <w:p w14:paraId="32D3C625" w14:textId="77777777" w:rsidR="00F67E0A" w:rsidRPr="00F67E0A" w:rsidRDefault="00F67E0A" w:rsidP="00F67E0A">
            <w:pPr>
              <w:spacing w:after="0"/>
              <w:jc w:val="center"/>
              <w:rPr>
                <w:rFonts w:ascii="Calibri" w:hAnsi="Calibri" w:cs="Calibri"/>
                <w:sz w:val="18"/>
                <w:szCs w:val="18"/>
              </w:rPr>
            </w:pPr>
            <w:r w:rsidRPr="00F67E0A">
              <w:rPr>
                <w:rFonts w:ascii="Calibri" w:hAnsi="Calibri" w:cs="Calibri"/>
                <w:sz w:val="18"/>
                <w:szCs w:val="18"/>
              </w:rPr>
              <w:t>36%</w:t>
            </w:r>
          </w:p>
        </w:tc>
        <w:tc>
          <w:tcPr>
            <w:tcW w:w="1080" w:type="dxa"/>
            <w:vAlign w:val="center"/>
          </w:tcPr>
          <w:p w14:paraId="0165584E" w14:textId="77777777" w:rsidR="00F67E0A" w:rsidRPr="00F67E0A" w:rsidRDefault="00F67E0A" w:rsidP="00F67E0A">
            <w:pPr>
              <w:spacing w:after="0"/>
              <w:jc w:val="center"/>
              <w:rPr>
                <w:rFonts w:ascii="Calibri" w:hAnsi="Calibri" w:cs="Calibri"/>
                <w:sz w:val="18"/>
                <w:szCs w:val="18"/>
              </w:rPr>
            </w:pPr>
          </w:p>
        </w:tc>
        <w:tc>
          <w:tcPr>
            <w:tcW w:w="1080" w:type="dxa"/>
            <w:vAlign w:val="center"/>
          </w:tcPr>
          <w:p w14:paraId="27F95A2A" w14:textId="77777777" w:rsidR="00F67E0A" w:rsidRPr="00F67E0A" w:rsidRDefault="00F67E0A" w:rsidP="00F67E0A">
            <w:pPr>
              <w:spacing w:after="0"/>
              <w:jc w:val="center"/>
              <w:rPr>
                <w:rFonts w:ascii="Calibri" w:hAnsi="Calibri" w:cs="Calibri"/>
                <w:sz w:val="18"/>
                <w:szCs w:val="18"/>
              </w:rPr>
            </w:pPr>
          </w:p>
        </w:tc>
        <w:tc>
          <w:tcPr>
            <w:tcW w:w="1079" w:type="dxa"/>
            <w:vAlign w:val="center"/>
          </w:tcPr>
          <w:p w14:paraId="2404CF15" w14:textId="77777777" w:rsidR="00F67E0A" w:rsidRPr="00F67E0A" w:rsidRDefault="00F67E0A" w:rsidP="00F67E0A">
            <w:pPr>
              <w:spacing w:after="0"/>
              <w:jc w:val="center"/>
              <w:rPr>
                <w:rFonts w:ascii="Calibri" w:hAnsi="Calibri" w:cs="Calibri"/>
                <w:sz w:val="18"/>
                <w:szCs w:val="18"/>
              </w:rPr>
            </w:pPr>
          </w:p>
        </w:tc>
        <w:tc>
          <w:tcPr>
            <w:tcW w:w="991" w:type="dxa"/>
            <w:vAlign w:val="center"/>
          </w:tcPr>
          <w:p w14:paraId="67892517" w14:textId="77777777" w:rsidR="00F67E0A" w:rsidRPr="00F67E0A" w:rsidRDefault="00F67E0A" w:rsidP="00F67E0A">
            <w:pPr>
              <w:spacing w:after="0"/>
              <w:jc w:val="center"/>
              <w:rPr>
                <w:rFonts w:ascii="Calibri" w:hAnsi="Calibri" w:cs="Calibri"/>
                <w:sz w:val="18"/>
                <w:szCs w:val="18"/>
              </w:rPr>
            </w:pPr>
          </w:p>
        </w:tc>
        <w:tc>
          <w:tcPr>
            <w:tcW w:w="1080" w:type="dxa"/>
            <w:vAlign w:val="center"/>
          </w:tcPr>
          <w:p w14:paraId="1360DE5A" w14:textId="77777777" w:rsidR="00F67E0A" w:rsidRPr="00F67E0A" w:rsidRDefault="00F67E0A" w:rsidP="00F67E0A">
            <w:pPr>
              <w:spacing w:after="0"/>
              <w:jc w:val="center"/>
              <w:rPr>
                <w:rFonts w:ascii="Calibri" w:hAnsi="Calibri" w:cs="Calibri"/>
                <w:sz w:val="18"/>
                <w:szCs w:val="18"/>
              </w:rPr>
            </w:pPr>
          </w:p>
        </w:tc>
        <w:tc>
          <w:tcPr>
            <w:tcW w:w="1080" w:type="dxa"/>
            <w:vAlign w:val="center"/>
          </w:tcPr>
          <w:p w14:paraId="063EEF93" w14:textId="77777777" w:rsidR="00F67E0A" w:rsidRPr="00F67E0A" w:rsidRDefault="00F67E0A" w:rsidP="00F67E0A">
            <w:pPr>
              <w:spacing w:after="0"/>
              <w:jc w:val="center"/>
              <w:rPr>
                <w:rFonts w:ascii="Calibri" w:hAnsi="Calibri" w:cs="Calibri"/>
                <w:sz w:val="18"/>
                <w:szCs w:val="18"/>
              </w:rPr>
            </w:pPr>
          </w:p>
        </w:tc>
        <w:tc>
          <w:tcPr>
            <w:tcW w:w="1080" w:type="dxa"/>
            <w:vAlign w:val="center"/>
          </w:tcPr>
          <w:p w14:paraId="37799BD1" w14:textId="77777777" w:rsidR="00F67E0A" w:rsidRPr="00F67E0A" w:rsidRDefault="00F67E0A" w:rsidP="00F67E0A">
            <w:pPr>
              <w:spacing w:after="0"/>
              <w:jc w:val="center"/>
              <w:rPr>
                <w:rFonts w:ascii="Calibri" w:hAnsi="Calibri" w:cs="Calibri"/>
                <w:sz w:val="18"/>
                <w:szCs w:val="18"/>
              </w:rPr>
            </w:pPr>
          </w:p>
        </w:tc>
        <w:tc>
          <w:tcPr>
            <w:tcW w:w="810" w:type="dxa"/>
            <w:vAlign w:val="center"/>
          </w:tcPr>
          <w:p w14:paraId="4F5B6A5B" w14:textId="77777777" w:rsidR="00F67E0A" w:rsidRPr="00F67E0A" w:rsidRDefault="00F67E0A" w:rsidP="00F67E0A">
            <w:pPr>
              <w:spacing w:after="0"/>
              <w:jc w:val="center"/>
              <w:rPr>
                <w:rFonts w:ascii="Calibri" w:hAnsi="Calibri" w:cs="Calibri"/>
                <w:b/>
                <w:iCs/>
                <w:sz w:val="18"/>
                <w:szCs w:val="18"/>
              </w:rPr>
            </w:pPr>
            <w:r w:rsidRPr="00F67E0A">
              <w:rPr>
                <w:rFonts w:ascii="Calibri" w:hAnsi="Calibri" w:cs="Calibri"/>
                <w:b/>
                <w:iCs/>
                <w:sz w:val="18"/>
                <w:szCs w:val="18"/>
              </w:rPr>
              <w:t>64%</w:t>
            </w:r>
          </w:p>
        </w:tc>
      </w:tr>
      <w:tr w:rsidR="00F67E0A" w:rsidRPr="00F67E0A" w14:paraId="39B32FDC" w14:textId="77777777" w:rsidTr="00205B3E">
        <w:trPr>
          <w:trHeight w:val="288"/>
          <w:jc w:val="center"/>
        </w:trPr>
        <w:tc>
          <w:tcPr>
            <w:tcW w:w="0" w:type="auto"/>
            <w:vAlign w:val="center"/>
          </w:tcPr>
          <w:p w14:paraId="444A0EB6" w14:textId="77777777" w:rsidR="00F67E0A" w:rsidRPr="00F67E0A" w:rsidRDefault="00F67E0A" w:rsidP="00F67E0A">
            <w:pPr>
              <w:spacing w:after="0"/>
              <w:jc w:val="center"/>
              <w:rPr>
                <w:rFonts w:ascii="Calibri" w:hAnsi="Calibri" w:cs="Calibri"/>
                <w:sz w:val="18"/>
                <w:szCs w:val="18"/>
              </w:rPr>
            </w:pPr>
            <w:r w:rsidRPr="00F67E0A">
              <w:rPr>
                <w:rFonts w:ascii="Calibri" w:hAnsi="Calibri" w:cs="Calibri"/>
                <w:sz w:val="18"/>
                <w:szCs w:val="18"/>
              </w:rPr>
              <w:t>10</w:t>
            </w:r>
          </w:p>
        </w:tc>
        <w:tc>
          <w:tcPr>
            <w:tcW w:w="1438" w:type="dxa"/>
            <w:vAlign w:val="center"/>
          </w:tcPr>
          <w:p w14:paraId="68232505" w14:textId="77777777" w:rsidR="00F67E0A" w:rsidRPr="00F67E0A" w:rsidRDefault="00F67E0A" w:rsidP="00F67E0A">
            <w:pPr>
              <w:spacing w:after="0"/>
              <w:jc w:val="left"/>
              <w:rPr>
                <w:rFonts w:ascii="Calibri" w:hAnsi="Calibri" w:cs="Calibri"/>
                <w:sz w:val="18"/>
                <w:szCs w:val="18"/>
              </w:rPr>
            </w:pPr>
            <w:r w:rsidRPr="00F67E0A">
              <w:rPr>
                <w:rFonts w:ascii="Calibri" w:hAnsi="Calibri" w:cs="Calibri"/>
                <w:sz w:val="18"/>
                <w:szCs w:val="18"/>
              </w:rPr>
              <w:t>Pacific Gas and Electric</w:t>
            </w:r>
          </w:p>
        </w:tc>
        <w:tc>
          <w:tcPr>
            <w:tcW w:w="1260" w:type="dxa"/>
            <w:vAlign w:val="center"/>
          </w:tcPr>
          <w:p w14:paraId="2750325F" w14:textId="77777777" w:rsidR="00F67E0A" w:rsidRPr="00F67E0A" w:rsidRDefault="00F67E0A" w:rsidP="00F67E0A">
            <w:pPr>
              <w:spacing w:after="0"/>
              <w:jc w:val="center"/>
              <w:rPr>
                <w:rFonts w:ascii="Calibri" w:hAnsi="Calibri" w:cs="Calibri"/>
                <w:sz w:val="18"/>
                <w:szCs w:val="18"/>
              </w:rPr>
            </w:pPr>
            <w:r w:rsidRPr="00F67E0A">
              <w:rPr>
                <w:rFonts w:ascii="Calibri" w:hAnsi="Calibri" w:cs="Calibri"/>
                <w:sz w:val="18"/>
                <w:szCs w:val="18"/>
              </w:rPr>
              <w:t>30</w:t>
            </w:r>
          </w:p>
        </w:tc>
        <w:tc>
          <w:tcPr>
            <w:tcW w:w="1146" w:type="dxa"/>
            <w:tcBorders>
              <w:bottom w:val="single" w:sz="4" w:space="0" w:color="auto"/>
            </w:tcBorders>
            <w:shd w:val="clear" w:color="auto" w:fill="auto"/>
            <w:vAlign w:val="center"/>
          </w:tcPr>
          <w:p w14:paraId="4AA91C29" w14:textId="77777777" w:rsidR="00F67E0A" w:rsidRPr="00F67E0A" w:rsidRDefault="00F67E0A" w:rsidP="00F67E0A">
            <w:pPr>
              <w:spacing w:after="0"/>
              <w:jc w:val="center"/>
              <w:rPr>
                <w:rFonts w:ascii="Calibri" w:hAnsi="Calibri" w:cs="Calibri"/>
                <w:sz w:val="18"/>
                <w:szCs w:val="18"/>
              </w:rPr>
            </w:pPr>
            <w:r w:rsidRPr="00F67E0A">
              <w:rPr>
                <w:rFonts w:ascii="Calibri" w:hAnsi="Calibri" w:cs="Calibri"/>
                <w:sz w:val="18"/>
                <w:szCs w:val="18"/>
              </w:rPr>
              <w:t>36</w:t>
            </w:r>
          </w:p>
        </w:tc>
        <w:tc>
          <w:tcPr>
            <w:tcW w:w="1104" w:type="dxa"/>
            <w:vAlign w:val="center"/>
          </w:tcPr>
          <w:p w14:paraId="54AA2CD5" w14:textId="77777777" w:rsidR="00F67E0A" w:rsidRPr="00F67E0A" w:rsidRDefault="00F67E0A" w:rsidP="00F67E0A">
            <w:pPr>
              <w:spacing w:after="0"/>
              <w:jc w:val="center"/>
              <w:rPr>
                <w:rFonts w:ascii="Calibri" w:hAnsi="Calibri" w:cs="Calibri"/>
                <w:sz w:val="18"/>
                <w:szCs w:val="18"/>
              </w:rPr>
            </w:pPr>
            <w:r w:rsidRPr="00F67E0A">
              <w:rPr>
                <w:rFonts w:ascii="Calibri" w:hAnsi="Calibri" w:cs="Calibri"/>
                <w:sz w:val="18"/>
                <w:szCs w:val="18"/>
              </w:rPr>
              <w:t>60%</w:t>
            </w:r>
          </w:p>
        </w:tc>
        <w:tc>
          <w:tcPr>
            <w:tcW w:w="1080" w:type="dxa"/>
            <w:vAlign w:val="center"/>
          </w:tcPr>
          <w:p w14:paraId="1F86BC5A" w14:textId="77777777" w:rsidR="00F67E0A" w:rsidRPr="00F67E0A" w:rsidRDefault="00F67E0A" w:rsidP="00F67E0A">
            <w:pPr>
              <w:spacing w:after="0"/>
              <w:jc w:val="center"/>
              <w:rPr>
                <w:rFonts w:ascii="Calibri" w:hAnsi="Calibri" w:cs="Calibri"/>
                <w:sz w:val="18"/>
                <w:szCs w:val="18"/>
              </w:rPr>
            </w:pPr>
            <w:r w:rsidRPr="00F67E0A">
              <w:rPr>
                <w:rFonts w:ascii="Calibri" w:hAnsi="Calibri" w:cs="Calibri"/>
                <w:sz w:val="18"/>
                <w:szCs w:val="18"/>
              </w:rPr>
              <w:t>44%</w:t>
            </w:r>
          </w:p>
        </w:tc>
        <w:tc>
          <w:tcPr>
            <w:tcW w:w="1080" w:type="dxa"/>
            <w:vAlign w:val="center"/>
          </w:tcPr>
          <w:p w14:paraId="0EF47B6D" w14:textId="77777777" w:rsidR="00F67E0A" w:rsidRPr="00F67E0A" w:rsidRDefault="00F67E0A" w:rsidP="00F67E0A">
            <w:pPr>
              <w:spacing w:after="0"/>
              <w:jc w:val="center"/>
              <w:rPr>
                <w:rFonts w:ascii="Calibri" w:hAnsi="Calibri" w:cs="Calibri"/>
                <w:sz w:val="18"/>
                <w:szCs w:val="18"/>
              </w:rPr>
            </w:pPr>
            <w:r w:rsidRPr="00F67E0A">
              <w:rPr>
                <w:rFonts w:ascii="Calibri" w:hAnsi="Calibri" w:cs="Calibri"/>
                <w:sz w:val="18"/>
                <w:szCs w:val="18"/>
              </w:rPr>
              <w:t>37%</w:t>
            </w:r>
          </w:p>
        </w:tc>
        <w:tc>
          <w:tcPr>
            <w:tcW w:w="1079" w:type="dxa"/>
            <w:vAlign w:val="center"/>
          </w:tcPr>
          <w:p w14:paraId="542FB6F3" w14:textId="77777777" w:rsidR="00F67E0A" w:rsidRPr="00F67E0A" w:rsidRDefault="00F67E0A" w:rsidP="00F67E0A">
            <w:pPr>
              <w:spacing w:after="0"/>
              <w:jc w:val="center"/>
              <w:rPr>
                <w:rFonts w:ascii="Calibri" w:hAnsi="Calibri" w:cs="Calibri"/>
                <w:sz w:val="18"/>
                <w:szCs w:val="18"/>
              </w:rPr>
            </w:pPr>
          </w:p>
        </w:tc>
        <w:tc>
          <w:tcPr>
            <w:tcW w:w="991" w:type="dxa"/>
            <w:vAlign w:val="center"/>
          </w:tcPr>
          <w:p w14:paraId="458A6484" w14:textId="77777777" w:rsidR="00F67E0A" w:rsidRPr="00F67E0A" w:rsidRDefault="00F67E0A" w:rsidP="00F67E0A">
            <w:pPr>
              <w:spacing w:after="0"/>
              <w:jc w:val="center"/>
              <w:rPr>
                <w:rFonts w:ascii="Calibri" w:hAnsi="Calibri" w:cs="Calibri"/>
                <w:sz w:val="18"/>
                <w:szCs w:val="18"/>
              </w:rPr>
            </w:pPr>
          </w:p>
        </w:tc>
        <w:tc>
          <w:tcPr>
            <w:tcW w:w="1080" w:type="dxa"/>
            <w:vAlign w:val="center"/>
          </w:tcPr>
          <w:p w14:paraId="693EE66E" w14:textId="77777777" w:rsidR="00F67E0A" w:rsidRPr="00F67E0A" w:rsidRDefault="00F67E0A" w:rsidP="00F67E0A">
            <w:pPr>
              <w:spacing w:after="0"/>
              <w:jc w:val="center"/>
              <w:rPr>
                <w:rFonts w:ascii="Calibri" w:hAnsi="Calibri" w:cs="Calibri"/>
                <w:sz w:val="18"/>
                <w:szCs w:val="18"/>
              </w:rPr>
            </w:pPr>
          </w:p>
        </w:tc>
        <w:tc>
          <w:tcPr>
            <w:tcW w:w="1080" w:type="dxa"/>
            <w:vAlign w:val="center"/>
          </w:tcPr>
          <w:p w14:paraId="2D1AF8EE" w14:textId="77777777" w:rsidR="00F67E0A" w:rsidRPr="00F67E0A" w:rsidRDefault="00F67E0A" w:rsidP="00F67E0A">
            <w:pPr>
              <w:spacing w:after="0"/>
              <w:jc w:val="center"/>
              <w:rPr>
                <w:rFonts w:ascii="Calibri" w:hAnsi="Calibri" w:cs="Calibri"/>
                <w:sz w:val="18"/>
                <w:szCs w:val="18"/>
              </w:rPr>
            </w:pPr>
          </w:p>
        </w:tc>
        <w:tc>
          <w:tcPr>
            <w:tcW w:w="1080" w:type="dxa"/>
            <w:vAlign w:val="center"/>
          </w:tcPr>
          <w:p w14:paraId="7ECC9CAC" w14:textId="77777777" w:rsidR="00F67E0A" w:rsidRPr="00F67E0A" w:rsidRDefault="00F67E0A" w:rsidP="00F67E0A">
            <w:pPr>
              <w:spacing w:after="0"/>
              <w:jc w:val="center"/>
              <w:rPr>
                <w:rFonts w:ascii="Calibri" w:hAnsi="Calibri" w:cs="Calibri"/>
                <w:sz w:val="18"/>
                <w:szCs w:val="18"/>
              </w:rPr>
            </w:pPr>
          </w:p>
        </w:tc>
        <w:tc>
          <w:tcPr>
            <w:tcW w:w="810" w:type="dxa"/>
            <w:shd w:val="clear" w:color="auto" w:fill="auto"/>
            <w:vAlign w:val="center"/>
          </w:tcPr>
          <w:p w14:paraId="0AA36700" w14:textId="77777777" w:rsidR="00F67E0A" w:rsidRPr="00F67E0A" w:rsidRDefault="00F67E0A" w:rsidP="00F67E0A">
            <w:pPr>
              <w:spacing w:after="0"/>
              <w:jc w:val="center"/>
              <w:rPr>
                <w:rFonts w:ascii="Calibri" w:hAnsi="Calibri" w:cs="Calibri"/>
                <w:b/>
                <w:iCs/>
                <w:sz w:val="18"/>
                <w:szCs w:val="18"/>
              </w:rPr>
            </w:pPr>
            <w:r w:rsidRPr="00F67E0A">
              <w:rPr>
                <w:rFonts w:ascii="Calibri" w:hAnsi="Calibri" w:cs="Calibri"/>
                <w:b/>
                <w:iCs/>
                <w:sz w:val="18"/>
                <w:szCs w:val="18"/>
              </w:rPr>
              <w:t>28%</w:t>
            </w:r>
          </w:p>
        </w:tc>
      </w:tr>
      <w:tr w:rsidR="00F67E0A" w:rsidRPr="00F67E0A" w14:paraId="26D517F2" w14:textId="77777777" w:rsidTr="00205B3E">
        <w:trPr>
          <w:trHeight w:val="288"/>
          <w:jc w:val="center"/>
        </w:trPr>
        <w:tc>
          <w:tcPr>
            <w:tcW w:w="0" w:type="auto"/>
            <w:shd w:val="clear" w:color="auto" w:fill="auto"/>
            <w:vAlign w:val="center"/>
          </w:tcPr>
          <w:p w14:paraId="2A3FE1FD" w14:textId="77777777" w:rsidR="00F67E0A" w:rsidRPr="00F67E0A" w:rsidRDefault="00F67E0A" w:rsidP="00F67E0A">
            <w:pPr>
              <w:spacing w:after="0"/>
              <w:jc w:val="center"/>
              <w:rPr>
                <w:rFonts w:ascii="Calibri" w:hAnsi="Calibri" w:cs="Calibri"/>
                <w:sz w:val="18"/>
                <w:szCs w:val="18"/>
              </w:rPr>
            </w:pPr>
            <w:r w:rsidRPr="00F67E0A">
              <w:rPr>
                <w:rFonts w:ascii="Calibri" w:hAnsi="Calibri" w:cs="Calibri"/>
                <w:sz w:val="18"/>
                <w:szCs w:val="18"/>
              </w:rPr>
              <w:t>13-20</w:t>
            </w:r>
          </w:p>
        </w:tc>
        <w:tc>
          <w:tcPr>
            <w:tcW w:w="1438" w:type="dxa"/>
            <w:vAlign w:val="center"/>
          </w:tcPr>
          <w:p w14:paraId="6FCD834B" w14:textId="77777777" w:rsidR="00F67E0A" w:rsidRPr="00F67E0A" w:rsidRDefault="00F67E0A" w:rsidP="00F67E0A">
            <w:pPr>
              <w:spacing w:after="0"/>
              <w:jc w:val="left"/>
              <w:rPr>
                <w:rFonts w:ascii="Calibri" w:hAnsi="Calibri" w:cs="Calibri"/>
                <w:sz w:val="18"/>
                <w:szCs w:val="18"/>
              </w:rPr>
            </w:pPr>
            <w:r w:rsidRPr="00F67E0A">
              <w:rPr>
                <w:rFonts w:ascii="Calibri" w:hAnsi="Calibri" w:cs="Calibri"/>
                <w:sz w:val="18"/>
                <w:szCs w:val="18"/>
              </w:rPr>
              <w:t>Puget Sound Energy</w:t>
            </w:r>
          </w:p>
        </w:tc>
        <w:tc>
          <w:tcPr>
            <w:tcW w:w="1260" w:type="dxa"/>
            <w:vAlign w:val="center"/>
          </w:tcPr>
          <w:p w14:paraId="3A32D307" w14:textId="77777777" w:rsidR="00F67E0A" w:rsidRPr="00F67E0A" w:rsidRDefault="00F67E0A" w:rsidP="00F67E0A">
            <w:pPr>
              <w:spacing w:after="0"/>
              <w:jc w:val="center"/>
              <w:rPr>
                <w:rFonts w:ascii="Calibri" w:hAnsi="Calibri" w:cs="Calibri"/>
                <w:sz w:val="18"/>
                <w:szCs w:val="18"/>
              </w:rPr>
            </w:pPr>
            <w:r w:rsidRPr="00F67E0A">
              <w:rPr>
                <w:rFonts w:ascii="Calibri" w:hAnsi="Calibri" w:cs="Calibri"/>
                <w:sz w:val="18"/>
                <w:szCs w:val="18"/>
              </w:rPr>
              <w:t>24</w:t>
            </w:r>
          </w:p>
        </w:tc>
        <w:tc>
          <w:tcPr>
            <w:tcW w:w="1146" w:type="dxa"/>
            <w:tcBorders>
              <w:bottom w:val="single" w:sz="4" w:space="0" w:color="auto"/>
            </w:tcBorders>
            <w:shd w:val="clear" w:color="auto" w:fill="auto"/>
            <w:vAlign w:val="center"/>
          </w:tcPr>
          <w:p w14:paraId="4AD673E8" w14:textId="77777777" w:rsidR="00F67E0A" w:rsidRPr="00F67E0A" w:rsidRDefault="00F67E0A" w:rsidP="00F67E0A">
            <w:pPr>
              <w:spacing w:after="0"/>
              <w:jc w:val="center"/>
              <w:rPr>
                <w:rFonts w:ascii="Calibri" w:hAnsi="Calibri" w:cs="Calibri"/>
                <w:sz w:val="18"/>
                <w:szCs w:val="18"/>
              </w:rPr>
            </w:pPr>
            <w:r w:rsidRPr="00F67E0A">
              <w:rPr>
                <w:rFonts w:ascii="Calibri" w:hAnsi="Calibri" w:cs="Calibri"/>
                <w:sz w:val="18"/>
                <w:szCs w:val="18"/>
              </w:rPr>
              <w:t>96</w:t>
            </w:r>
          </w:p>
        </w:tc>
        <w:tc>
          <w:tcPr>
            <w:tcW w:w="1104" w:type="dxa"/>
            <w:vAlign w:val="center"/>
          </w:tcPr>
          <w:p w14:paraId="2029663F" w14:textId="77777777" w:rsidR="00F67E0A" w:rsidRPr="00F67E0A" w:rsidRDefault="00F67E0A" w:rsidP="00F67E0A">
            <w:pPr>
              <w:spacing w:after="0"/>
              <w:jc w:val="center"/>
              <w:rPr>
                <w:rFonts w:ascii="Calibri" w:hAnsi="Calibri" w:cs="Calibri"/>
                <w:sz w:val="18"/>
                <w:szCs w:val="18"/>
              </w:rPr>
            </w:pPr>
            <w:r w:rsidRPr="00F67E0A">
              <w:rPr>
                <w:rFonts w:ascii="Calibri" w:hAnsi="Calibri" w:cs="Calibri"/>
                <w:sz w:val="18"/>
                <w:szCs w:val="18"/>
              </w:rPr>
              <w:t>94%</w:t>
            </w:r>
          </w:p>
        </w:tc>
        <w:tc>
          <w:tcPr>
            <w:tcW w:w="1080" w:type="dxa"/>
            <w:vAlign w:val="center"/>
          </w:tcPr>
          <w:p w14:paraId="6F4445FE" w14:textId="77777777" w:rsidR="00F67E0A" w:rsidRPr="00F67E0A" w:rsidRDefault="00F67E0A" w:rsidP="00F67E0A">
            <w:pPr>
              <w:spacing w:after="0"/>
              <w:jc w:val="center"/>
              <w:rPr>
                <w:rFonts w:ascii="Calibri" w:hAnsi="Calibri" w:cs="Calibri"/>
                <w:sz w:val="18"/>
                <w:szCs w:val="18"/>
              </w:rPr>
            </w:pPr>
            <w:r w:rsidRPr="00F67E0A">
              <w:rPr>
                <w:rFonts w:ascii="Calibri" w:hAnsi="Calibri" w:cs="Calibri"/>
                <w:sz w:val="18"/>
                <w:szCs w:val="18"/>
              </w:rPr>
              <w:t>69%</w:t>
            </w:r>
          </w:p>
        </w:tc>
        <w:tc>
          <w:tcPr>
            <w:tcW w:w="1080" w:type="dxa"/>
            <w:vAlign w:val="center"/>
          </w:tcPr>
          <w:p w14:paraId="293E0993" w14:textId="77777777" w:rsidR="00F67E0A" w:rsidRPr="00F67E0A" w:rsidRDefault="00F67E0A" w:rsidP="00F67E0A">
            <w:pPr>
              <w:spacing w:after="0"/>
              <w:jc w:val="center"/>
              <w:rPr>
                <w:rFonts w:ascii="Calibri" w:hAnsi="Calibri" w:cs="Calibri"/>
                <w:sz w:val="18"/>
                <w:szCs w:val="18"/>
              </w:rPr>
            </w:pPr>
            <w:r w:rsidRPr="00F67E0A">
              <w:rPr>
                <w:rFonts w:ascii="Calibri" w:hAnsi="Calibri" w:cs="Calibri"/>
                <w:sz w:val="18"/>
                <w:szCs w:val="18"/>
              </w:rPr>
              <w:t>80%</w:t>
            </w:r>
          </w:p>
        </w:tc>
        <w:tc>
          <w:tcPr>
            <w:tcW w:w="1079" w:type="dxa"/>
            <w:vAlign w:val="center"/>
          </w:tcPr>
          <w:p w14:paraId="4C02203F" w14:textId="77777777" w:rsidR="00F67E0A" w:rsidRPr="00F67E0A" w:rsidRDefault="00F67E0A" w:rsidP="00F67E0A">
            <w:pPr>
              <w:spacing w:after="0"/>
              <w:jc w:val="center"/>
              <w:rPr>
                <w:rFonts w:ascii="Calibri" w:hAnsi="Calibri" w:cs="Calibri"/>
                <w:sz w:val="18"/>
                <w:szCs w:val="18"/>
              </w:rPr>
            </w:pPr>
            <w:r w:rsidRPr="00F67E0A">
              <w:rPr>
                <w:rFonts w:ascii="Calibri" w:hAnsi="Calibri" w:cs="Calibri"/>
                <w:sz w:val="18"/>
                <w:szCs w:val="18"/>
              </w:rPr>
              <w:t>83%</w:t>
            </w:r>
          </w:p>
        </w:tc>
        <w:tc>
          <w:tcPr>
            <w:tcW w:w="991" w:type="dxa"/>
            <w:vAlign w:val="center"/>
          </w:tcPr>
          <w:p w14:paraId="089BF48C" w14:textId="77777777" w:rsidR="00F67E0A" w:rsidRPr="00F67E0A" w:rsidRDefault="00F67E0A" w:rsidP="00F67E0A">
            <w:pPr>
              <w:spacing w:after="0"/>
              <w:jc w:val="center"/>
              <w:rPr>
                <w:rFonts w:ascii="Calibri" w:hAnsi="Calibri" w:cs="Calibri"/>
                <w:sz w:val="18"/>
                <w:szCs w:val="18"/>
              </w:rPr>
            </w:pPr>
            <w:r w:rsidRPr="00F67E0A">
              <w:rPr>
                <w:rFonts w:ascii="Calibri" w:hAnsi="Calibri" w:cs="Calibri"/>
                <w:sz w:val="18"/>
                <w:szCs w:val="18"/>
              </w:rPr>
              <w:t>72%</w:t>
            </w:r>
          </w:p>
        </w:tc>
        <w:tc>
          <w:tcPr>
            <w:tcW w:w="1080" w:type="dxa"/>
            <w:vAlign w:val="center"/>
          </w:tcPr>
          <w:p w14:paraId="6201424C" w14:textId="77777777" w:rsidR="00F67E0A" w:rsidRPr="00F67E0A" w:rsidRDefault="00F67E0A" w:rsidP="00F67E0A">
            <w:pPr>
              <w:spacing w:after="0"/>
              <w:jc w:val="center"/>
              <w:rPr>
                <w:rFonts w:ascii="Calibri" w:hAnsi="Calibri" w:cs="Calibri"/>
                <w:sz w:val="18"/>
                <w:szCs w:val="18"/>
              </w:rPr>
            </w:pPr>
            <w:r w:rsidRPr="00F67E0A">
              <w:rPr>
                <w:rFonts w:ascii="Calibri" w:hAnsi="Calibri" w:cs="Calibri"/>
                <w:sz w:val="18"/>
                <w:szCs w:val="18"/>
              </w:rPr>
              <w:t>63%</w:t>
            </w:r>
          </w:p>
        </w:tc>
        <w:tc>
          <w:tcPr>
            <w:tcW w:w="1080" w:type="dxa"/>
            <w:vAlign w:val="center"/>
          </w:tcPr>
          <w:p w14:paraId="65595A96" w14:textId="77777777" w:rsidR="00F67E0A" w:rsidRPr="00F67E0A" w:rsidRDefault="00F67E0A" w:rsidP="00F67E0A">
            <w:pPr>
              <w:spacing w:after="0"/>
              <w:jc w:val="center"/>
              <w:rPr>
                <w:rFonts w:ascii="Calibri" w:hAnsi="Calibri" w:cs="Calibri"/>
                <w:sz w:val="18"/>
                <w:szCs w:val="18"/>
              </w:rPr>
            </w:pPr>
            <w:r w:rsidRPr="00F67E0A">
              <w:rPr>
                <w:rFonts w:ascii="Calibri" w:hAnsi="Calibri" w:cs="Calibri"/>
                <w:sz w:val="18"/>
                <w:szCs w:val="18"/>
              </w:rPr>
              <w:t>63%</w:t>
            </w:r>
          </w:p>
        </w:tc>
        <w:tc>
          <w:tcPr>
            <w:tcW w:w="1080" w:type="dxa"/>
            <w:vAlign w:val="center"/>
          </w:tcPr>
          <w:p w14:paraId="2FF52BCC" w14:textId="77777777" w:rsidR="00F67E0A" w:rsidRPr="00F67E0A" w:rsidRDefault="00F67E0A" w:rsidP="00F67E0A">
            <w:pPr>
              <w:spacing w:after="0"/>
              <w:jc w:val="center"/>
              <w:rPr>
                <w:rFonts w:ascii="Calibri" w:hAnsi="Calibri" w:cs="Calibri"/>
                <w:sz w:val="18"/>
                <w:szCs w:val="18"/>
              </w:rPr>
            </w:pPr>
            <w:r w:rsidRPr="00F67E0A">
              <w:rPr>
                <w:rFonts w:ascii="Calibri" w:hAnsi="Calibri" w:cs="Calibri"/>
                <w:sz w:val="18"/>
                <w:szCs w:val="18"/>
              </w:rPr>
              <w:t>62%</w:t>
            </w:r>
          </w:p>
        </w:tc>
        <w:tc>
          <w:tcPr>
            <w:tcW w:w="810" w:type="dxa"/>
            <w:shd w:val="clear" w:color="auto" w:fill="auto"/>
            <w:vAlign w:val="center"/>
          </w:tcPr>
          <w:p w14:paraId="6B9DFBE3" w14:textId="77777777" w:rsidR="00F67E0A" w:rsidRPr="00F67E0A" w:rsidRDefault="00F67E0A" w:rsidP="00F67E0A">
            <w:pPr>
              <w:spacing w:after="0"/>
              <w:jc w:val="center"/>
              <w:rPr>
                <w:rFonts w:ascii="Calibri" w:hAnsi="Calibri" w:cs="Calibri"/>
                <w:b/>
                <w:iCs/>
                <w:sz w:val="18"/>
                <w:szCs w:val="18"/>
              </w:rPr>
            </w:pPr>
            <w:r w:rsidRPr="00F67E0A">
              <w:rPr>
                <w:rFonts w:ascii="Calibri" w:hAnsi="Calibri" w:cs="Calibri"/>
                <w:b/>
                <w:iCs/>
                <w:sz w:val="18"/>
                <w:szCs w:val="18"/>
              </w:rPr>
              <w:t>6%</w:t>
            </w:r>
          </w:p>
        </w:tc>
      </w:tr>
      <w:tr w:rsidR="00F67E0A" w:rsidRPr="00F67E0A" w14:paraId="36D71EA8" w14:textId="77777777" w:rsidTr="00205B3E">
        <w:trPr>
          <w:trHeight w:val="288"/>
          <w:jc w:val="center"/>
        </w:trPr>
        <w:tc>
          <w:tcPr>
            <w:tcW w:w="0" w:type="auto"/>
            <w:vAlign w:val="center"/>
          </w:tcPr>
          <w:p w14:paraId="580468B8" w14:textId="77777777" w:rsidR="00F67E0A" w:rsidRPr="00F67E0A" w:rsidRDefault="00F67E0A" w:rsidP="00F67E0A">
            <w:pPr>
              <w:spacing w:after="0"/>
              <w:jc w:val="center"/>
              <w:rPr>
                <w:rFonts w:ascii="Calibri" w:hAnsi="Calibri" w:cs="Calibri"/>
                <w:sz w:val="18"/>
                <w:szCs w:val="18"/>
              </w:rPr>
            </w:pPr>
            <w:r w:rsidRPr="00F67E0A">
              <w:rPr>
                <w:rFonts w:ascii="Calibri" w:hAnsi="Calibri" w:cs="Calibri"/>
                <w:sz w:val="18"/>
                <w:szCs w:val="18"/>
              </w:rPr>
              <w:t>22</w:t>
            </w:r>
          </w:p>
        </w:tc>
        <w:tc>
          <w:tcPr>
            <w:tcW w:w="1438" w:type="dxa"/>
            <w:vAlign w:val="center"/>
          </w:tcPr>
          <w:p w14:paraId="3C323176" w14:textId="77777777" w:rsidR="00F67E0A" w:rsidRPr="00F67E0A" w:rsidRDefault="00F67E0A" w:rsidP="00F67E0A">
            <w:pPr>
              <w:spacing w:after="0"/>
              <w:jc w:val="left"/>
              <w:rPr>
                <w:rFonts w:ascii="Calibri" w:hAnsi="Calibri" w:cs="Calibri"/>
                <w:sz w:val="18"/>
                <w:szCs w:val="18"/>
              </w:rPr>
            </w:pPr>
            <w:r w:rsidRPr="00F67E0A">
              <w:rPr>
                <w:rFonts w:ascii="Calibri" w:hAnsi="Calibri" w:cs="Calibri"/>
                <w:sz w:val="18"/>
                <w:szCs w:val="18"/>
              </w:rPr>
              <w:t>Ameren Illinois</w:t>
            </w:r>
          </w:p>
        </w:tc>
        <w:tc>
          <w:tcPr>
            <w:tcW w:w="1260" w:type="dxa"/>
            <w:vAlign w:val="center"/>
          </w:tcPr>
          <w:p w14:paraId="6CA054CE" w14:textId="77777777" w:rsidR="00F67E0A" w:rsidRPr="00F67E0A" w:rsidRDefault="00F67E0A" w:rsidP="00F67E0A">
            <w:pPr>
              <w:spacing w:after="0"/>
              <w:jc w:val="center"/>
              <w:rPr>
                <w:rFonts w:ascii="Calibri" w:hAnsi="Calibri" w:cs="Calibri"/>
                <w:sz w:val="18"/>
                <w:szCs w:val="18"/>
              </w:rPr>
            </w:pPr>
            <w:r w:rsidRPr="00F67E0A">
              <w:rPr>
                <w:rFonts w:ascii="Calibri" w:hAnsi="Calibri" w:cs="Calibri"/>
                <w:sz w:val="18"/>
                <w:szCs w:val="18"/>
              </w:rPr>
              <w:t>4-90</w:t>
            </w:r>
          </w:p>
        </w:tc>
        <w:tc>
          <w:tcPr>
            <w:tcW w:w="1146" w:type="dxa"/>
            <w:tcBorders>
              <w:top w:val="single" w:sz="4" w:space="0" w:color="auto"/>
            </w:tcBorders>
            <w:vAlign w:val="center"/>
          </w:tcPr>
          <w:p w14:paraId="5DE253FA" w14:textId="77777777" w:rsidR="00F67E0A" w:rsidRPr="00F67E0A" w:rsidRDefault="00F67E0A" w:rsidP="00F67E0A">
            <w:pPr>
              <w:spacing w:after="0"/>
              <w:jc w:val="center"/>
              <w:rPr>
                <w:rFonts w:ascii="Calibri" w:hAnsi="Calibri" w:cs="Calibri"/>
                <w:sz w:val="18"/>
                <w:szCs w:val="18"/>
              </w:rPr>
            </w:pPr>
            <w:r w:rsidRPr="00F67E0A">
              <w:rPr>
                <w:rFonts w:ascii="Calibri" w:hAnsi="Calibri" w:cs="Calibri"/>
                <w:sz w:val="18"/>
                <w:szCs w:val="18"/>
              </w:rPr>
              <w:t>24</w:t>
            </w:r>
          </w:p>
        </w:tc>
        <w:tc>
          <w:tcPr>
            <w:tcW w:w="1104" w:type="dxa"/>
            <w:vAlign w:val="center"/>
          </w:tcPr>
          <w:p w14:paraId="4EBC8273" w14:textId="77777777" w:rsidR="00F67E0A" w:rsidRPr="00F67E0A" w:rsidRDefault="00F67E0A" w:rsidP="00F67E0A">
            <w:pPr>
              <w:spacing w:after="0"/>
              <w:jc w:val="center"/>
              <w:rPr>
                <w:rFonts w:ascii="Calibri" w:hAnsi="Calibri" w:cs="Calibri"/>
                <w:sz w:val="18"/>
                <w:szCs w:val="18"/>
              </w:rPr>
            </w:pPr>
            <w:r w:rsidRPr="00F67E0A">
              <w:rPr>
                <w:rFonts w:ascii="Calibri" w:hAnsi="Calibri" w:cs="Calibri"/>
                <w:sz w:val="18"/>
                <w:szCs w:val="18"/>
              </w:rPr>
              <w:t>97%</w:t>
            </w:r>
          </w:p>
        </w:tc>
        <w:tc>
          <w:tcPr>
            <w:tcW w:w="1080" w:type="dxa"/>
            <w:vAlign w:val="center"/>
          </w:tcPr>
          <w:p w14:paraId="30E54D72" w14:textId="77777777" w:rsidR="00F67E0A" w:rsidRPr="00F67E0A" w:rsidRDefault="00F67E0A" w:rsidP="00F67E0A">
            <w:pPr>
              <w:spacing w:after="0"/>
              <w:jc w:val="center"/>
              <w:rPr>
                <w:rFonts w:ascii="Calibri" w:hAnsi="Calibri" w:cs="Calibri"/>
                <w:sz w:val="18"/>
                <w:szCs w:val="18"/>
              </w:rPr>
            </w:pPr>
            <w:r w:rsidRPr="00F67E0A">
              <w:rPr>
                <w:rFonts w:ascii="Calibri" w:hAnsi="Calibri" w:cs="Calibri"/>
                <w:sz w:val="18"/>
                <w:szCs w:val="18"/>
              </w:rPr>
              <w:t>86%</w:t>
            </w:r>
          </w:p>
        </w:tc>
        <w:tc>
          <w:tcPr>
            <w:tcW w:w="1080" w:type="dxa"/>
            <w:vAlign w:val="center"/>
          </w:tcPr>
          <w:p w14:paraId="67D8D5D2" w14:textId="77777777" w:rsidR="00F67E0A" w:rsidRPr="00F67E0A" w:rsidRDefault="00F67E0A" w:rsidP="00F67E0A">
            <w:pPr>
              <w:spacing w:after="0"/>
              <w:jc w:val="center"/>
              <w:rPr>
                <w:rFonts w:ascii="Calibri" w:hAnsi="Calibri" w:cs="Calibri"/>
                <w:sz w:val="18"/>
                <w:szCs w:val="18"/>
              </w:rPr>
            </w:pPr>
          </w:p>
        </w:tc>
        <w:tc>
          <w:tcPr>
            <w:tcW w:w="1079" w:type="dxa"/>
            <w:vAlign w:val="center"/>
          </w:tcPr>
          <w:p w14:paraId="048FB71A" w14:textId="77777777" w:rsidR="00F67E0A" w:rsidRPr="00F67E0A" w:rsidRDefault="00F67E0A" w:rsidP="00F67E0A">
            <w:pPr>
              <w:spacing w:after="0"/>
              <w:jc w:val="center"/>
              <w:rPr>
                <w:rFonts w:ascii="Calibri" w:hAnsi="Calibri" w:cs="Calibri"/>
                <w:sz w:val="18"/>
                <w:szCs w:val="18"/>
              </w:rPr>
            </w:pPr>
          </w:p>
        </w:tc>
        <w:tc>
          <w:tcPr>
            <w:tcW w:w="991" w:type="dxa"/>
            <w:vAlign w:val="center"/>
          </w:tcPr>
          <w:p w14:paraId="187023CF" w14:textId="77777777" w:rsidR="00F67E0A" w:rsidRPr="00F67E0A" w:rsidRDefault="00F67E0A" w:rsidP="00F67E0A">
            <w:pPr>
              <w:spacing w:after="0"/>
              <w:jc w:val="center"/>
              <w:rPr>
                <w:rFonts w:ascii="Calibri" w:hAnsi="Calibri" w:cs="Calibri"/>
                <w:sz w:val="18"/>
                <w:szCs w:val="18"/>
              </w:rPr>
            </w:pPr>
          </w:p>
        </w:tc>
        <w:tc>
          <w:tcPr>
            <w:tcW w:w="1080" w:type="dxa"/>
            <w:vAlign w:val="center"/>
          </w:tcPr>
          <w:p w14:paraId="211A7AFE" w14:textId="77777777" w:rsidR="00F67E0A" w:rsidRPr="00F67E0A" w:rsidRDefault="00F67E0A" w:rsidP="00F67E0A">
            <w:pPr>
              <w:spacing w:after="0"/>
              <w:jc w:val="center"/>
              <w:rPr>
                <w:rFonts w:ascii="Calibri" w:hAnsi="Calibri" w:cs="Calibri"/>
                <w:sz w:val="18"/>
                <w:szCs w:val="18"/>
              </w:rPr>
            </w:pPr>
          </w:p>
        </w:tc>
        <w:tc>
          <w:tcPr>
            <w:tcW w:w="1080" w:type="dxa"/>
            <w:vAlign w:val="center"/>
          </w:tcPr>
          <w:p w14:paraId="0FED1DFF" w14:textId="77777777" w:rsidR="00F67E0A" w:rsidRPr="00F67E0A" w:rsidRDefault="00F67E0A" w:rsidP="00F67E0A">
            <w:pPr>
              <w:spacing w:after="0"/>
              <w:jc w:val="center"/>
              <w:rPr>
                <w:rFonts w:ascii="Calibri" w:hAnsi="Calibri" w:cs="Calibri"/>
                <w:sz w:val="18"/>
                <w:szCs w:val="18"/>
              </w:rPr>
            </w:pPr>
          </w:p>
        </w:tc>
        <w:tc>
          <w:tcPr>
            <w:tcW w:w="1080" w:type="dxa"/>
            <w:vAlign w:val="center"/>
          </w:tcPr>
          <w:p w14:paraId="16A46A33" w14:textId="77777777" w:rsidR="00F67E0A" w:rsidRPr="00F67E0A" w:rsidRDefault="00F67E0A" w:rsidP="00F67E0A">
            <w:pPr>
              <w:spacing w:after="0"/>
              <w:jc w:val="center"/>
              <w:rPr>
                <w:rFonts w:ascii="Calibri" w:hAnsi="Calibri" w:cs="Calibri"/>
                <w:sz w:val="18"/>
                <w:szCs w:val="18"/>
              </w:rPr>
            </w:pPr>
          </w:p>
        </w:tc>
        <w:tc>
          <w:tcPr>
            <w:tcW w:w="810" w:type="dxa"/>
            <w:vAlign w:val="center"/>
          </w:tcPr>
          <w:p w14:paraId="3C8AE099" w14:textId="77777777" w:rsidR="00F67E0A" w:rsidRPr="00F67E0A" w:rsidRDefault="00F67E0A" w:rsidP="00F67E0A">
            <w:pPr>
              <w:spacing w:after="0"/>
              <w:jc w:val="center"/>
              <w:rPr>
                <w:rFonts w:ascii="Calibri" w:hAnsi="Calibri" w:cs="Calibri"/>
                <w:b/>
                <w:iCs/>
                <w:sz w:val="18"/>
                <w:szCs w:val="18"/>
              </w:rPr>
            </w:pPr>
            <w:r w:rsidRPr="00F67E0A">
              <w:rPr>
                <w:rFonts w:ascii="Calibri" w:hAnsi="Calibri" w:cs="Calibri"/>
                <w:b/>
                <w:iCs/>
                <w:sz w:val="18"/>
                <w:szCs w:val="18"/>
              </w:rPr>
              <w:t>7%</w:t>
            </w:r>
          </w:p>
        </w:tc>
      </w:tr>
      <w:tr w:rsidR="00F67E0A" w:rsidRPr="00F67E0A" w14:paraId="1C81576E" w14:textId="77777777" w:rsidTr="00205B3E">
        <w:trPr>
          <w:trHeight w:val="288"/>
          <w:jc w:val="center"/>
        </w:trPr>
        <w:tc>
          <w:tcPr>
            <w:tcW w:w="0" w:type="auto"/>
            <w:shd w:val="clear" w:color="auto" w:fill="auto"/>
            <w:vAlign w:val="center"/>
          </w:tcPr>
          <w:p w14:paraId="75BFDB09" w14:textId="77777777" w:rsidR="00F67E0A" w:rsidRPr="00F67E0A" w:rsidRDefault="00F67E0A" w:rsidP="00F67E0A">
            <w:pPr>
              <w:spacing w:after="0"/>
              <w:jc w:val="center"/>
              <w:rPr>
                <w:rFonts w:ascii="Calibri" w:hAnsi="Calibri" w:cs="Calibri"/>
                <w:sz w:val="18"/>
                <w:szCs w:val="18"/>
              </w:rPr>
            </w:pPr>
            <w:r w:rsidRPr="00F67E0A">
              <w:rPr>
                <w:rFonts w:ascii="Calibri" w:hAnsi="Calibri" w:cs="Calibri"/>
                <w:sz w:val="18"/>
                <w:szCs w:val="18"/>
              </w:rPr>
              <w:t>23</w:t>
            </w:r>
          </w:p>
        </w:tc>
        <w:tc>
          <w:tcPr>
            <w:tcW w:w="1438" w:type="dxa"/>
            <w:vAlign w:val="center"/>
          </w:tcPr>
          <w:p w14:paraId="5C42D776" w14:textId="77777777" w:rsidR="00F67E0A" w:rsidRPr="00F67E0A" w:rsidRDefault="00F67E0A" w:rsidP="00F67E0A">
            <w:pPr>
              <w:spacing w:after="0"/>
              <w:jc w:val="left"/>
              <w:rPr>
                <w:rFonts w:ascii="Calibri" w:hAnsi="Calibri" w:cs="Calibri"/>
                <w:sz w:val="18"/>
                <w:szCs w:val="18"/>
              </w:rPr>
            </w:pPr>
            <w:r w:rsidRPr="00F67E0A">
              <w:rPr>
                <w:rFonts w:ascii="Calibri" w:hAnsi="Calibri" w:cs="Calibri"/>
                <w:sz w:val="18"/>
                <w:szCs w:val="18"/>
              </w:rPr>
              <w:t>Nicor</w:t>
            </w:r>
          </w:p>
        </w:tc>
        <w:tc>
          <w:tcPr>
            <w:tcW w:w="1260" w:type="dxa"/>
            <w:vAlign w:val="center"/>
          </w:tcPr>
          <w:p w14:paraId="0B50B8FD" w14:textId="77777777" w:rsidR="00F67E0A" w:rsidRPr="00F67E0A" w:rsidRDefault="00F67E0A" w:rsidP="00F67E0A">
            <w:pPr>
              <w:spacing w:after="0"/>
              <w:jc w:val="center"/>
              <w:rPr>
                <w:rFonts w:ascii="Calibri" w:hAnsi="Calibri" w:cs="Calibri"/>
                <w:sz w:val="18"/>
                <w:szCs w:val="18"/>
              </w:rPr>
            </w:pPr>
            <w:r w:rsidRPr="00F67E0A">
              <w:rPr>
                <w:rFonts w:ascii="Calibri" w:hAnsi="Calibri" w:cs="Calibri"/>
                <w:sz w:val="18"/>
                <w:szCs w:val="18"/>
              </w:rPr>
              <w:t>12</w:t>
            </w:r>
          </w:p>
        </w:tc>
        <w:tc>
          <w:tcPr>
            <w:tcW w:w="1146" w:type="dxa"/>
            <w:vAlign w:val="center"/>
          </w:tcPr>
          <w:p w14:paraId="32D583B3" w14:textId="77777777" w:rsidR="00F67E0A" w:rsidRPr="00F67E0A" w:rsidRDefault="00F67E0A" w:rsidP="00F67E0A">
            <w:pPr>
              <w:spacing w:after="0"/>
              <w:jc w:val="center"/>
              <w:rPr>
                <w:rFonts w:ascii="Calibri" w:hAnsi="Calibri" w:cs="Calibri"/>
                <w:sz w:val="18"/>
                <w:szCs w:val="18"/>
              </w:rPr>
            </w:pPr>
            <w:r w:rsidRPr="00F67E0A">
              <w:rPr>
                <w:rFonts w:ascii="Calibri" w:hAnsi="Calibri" w:cs="Calibri"/>
                <w:sz w:val="18"/>
                <w:szCs w:val="18"/>
              </w:rPr>
              <w:t>12</w:t>
            </w:r>
          </w:p>
        </w:tc>
        <w:tc>
          <w:tcPr>
            <w:tcW w:w="1104" w:type="dxa"/>
            <w:vAlign w:val="center"/>
          </w:tcPr>
          <w:p w14:paraId="442A2FEF" w14:textId="77777777" w:rsidR="00F67E0A" w:rsidRPr="00F67E0A" w:rsidRDefault="00F67E0A" w:rsidP="00F67E0A">
            <w:pPr>
              <w:spacing w:after="0"/>
              <w:jc w:val="center"/>
              <w:rPr>
                <w:rFonts w:ascii="Calibri" w:hAnsi="Calibri" w:cs="Calibri"/>
                <w:sz w:val="18"/>
                <w:szCs w:val="18"/>
              </w:rPr>
            </w:pPr>
            <w:r w:rsidRPr="00F67E0A">
              <w:rPr>
                <w:rFonts w:ascii="Calibri" w:hAnsi="Calibri" w:cs="Calibri"/>
                <w:sz w:val="18"/>
                <w:szCs w:val="18"/>
              </w:rPr>
              <w:t>54%</w:t>
            </w:r>
          </w:p>
        </w:tc>
        <w:tc>
          <w:tcPr>
            <w:tcW w:w="1080" w:type="dxa"/>
            <w:vAlign w:val="center"/>
          </w:tcPr>
          <w:p w14:paraId="217DCFB9" w14:textId="77777777" w:rsidR="00F67E0A" w:rsidRPr="00F67E0A" w:rsidRDefault="00F67E0A" w:rsidP="00F67E0A">
            <w:pPr>
              <w:spacing w:after="0"/>
              <w:jc w:val="center"/>
              <w:rPr>
                <w:rFonts w:ascii="Calibri" w:hAnsi="Calibri" w:cs="Calibri"/>
                <w:sz w:val="18"/>
                <w:szCs w:val="18"/>
              </w:rPr>
            </w:pPr>
          </w:p>
        </w:tc>
        <w:tc>
          <w:tcPr>
            <w:tcW w:w="1080" w:type="dxa"/>
            <w:vAlign w:val="center"/>
          </w:tcPr>
          <w:p w14:paraId="7296B542" w14:textId="77777777" w:rsidR="00F67E0A" w:rsidRPr="00F67E0A" w:rsidRDefault="00F67E0A" w:rsidP="00F67E0A">
            <w:pPr>
              <w:spacing w:after="0"/>
              <w:jc w:val="center"/>
              <w:rPr>
                <w:rFonts w:ascii="Calibri" w:hAnsi="Calibri" w:cs="Calibri"/>
                <w:sz w:val="18"/>
                <w:szCs w:val="18"/>
              </w:rPr>
            </w:pPr>
          </w:p>
        </w:tc>
        <w:tc>
          <w:tcPr>
            <w:tcW w:w="1079" w:type="dxa"/>
            <w:vAlign w:val="center"/>
          </w:tcPr>
          <w:p w14:paraId="1AB4A901" w14:textId="77777777" w:rsidR="00F67E0A" w:rsidRPr="00F67E0A" w:rsidRDefault="00F67E0A" w:rsidP="00F67E0A">
            <w:pPr>
              <w:spacing w:after="0"/>
              <w:jc w:val="center"/>
              <w:rPr>
                <w:rFonts w:ascii="Calibri" w:hAnsi="Calibri" w:cs="Calibri"/>
                <w:sz w:val="18"/>
                <w:szCs w:val="18"/>
              </w:rPr>
            </w:pPr>
          </w:p>
        </w:tc>
        <w:tc>
          <w:tcPr>
            <w:tcW w:w="991" w:type="dxa"/>
            <w:vAlign w:val="center"/>
          </w:tcPr>
          <w:p w14:paraId="1FC440F0" w14:textId="77777777" w:rsidR="00F67E0A" w:rsidRPr="00F67E0A" w:rsidRDefault="00F67E0A" w:rsidP="00F67E0A">
            <w:pPr>
              <w:spacing w:after="0"/>
              <w:jc w:val="center"/>
              <w:rPr>
                <w:rFonts w:ascii="Calibri" w:hAnsi="Calibri" w:cs="Calibri"/>
                <w:sz w:val="18"/>
                <w:szCs w:val="18"/>
              </w:rPr>
            </w:pPr>
          </w:p>
        </w:tc>
        <w:tc>
          <w:tcPr>
            <w:tcW w:w="1080" w:type="dxa"/>
            <w:vAlign w:val="center"/>
          </w:tcPr>
          <w:p w14:paraId="46FC0C28" w14:textId="77777777" w:rsidR="00F67E0A" w:rsidRPr="00F67E0A" w:rsidRDefault="00F67E0A" w:rsidP="00F67E0A">
            <w:pPr>
              <w:spacing w:after="0"/>
              <w:jc w:val="center"/>
              <w:rPr>
                <w:rFonts w:ascii="Calibri" w:hAnsi="Calibri" w:cs="Calibri"/>
                <w:sz w:val="18"/>
                <w:szCs w:val="18"/>
              </w:rPr>
            </w:pPr>
          </w:p>
        </w:tc>
        <w:tc>
          <w:tcPr>
            <w:tcW w:w="1080" w:type="dxa"/>
            <w:vAlign w:val="center"/>
          </w:tcPr>
          <w:p w14:paraId="4E6B339F" w14:textId="77777777" w:rsidR="00F67E0A" w:rsidRPr="00F67E0A" w:rsidRDefault="00F67E0A" w:rsidP="00F67E0A">
            <w:pPr>
              <w:spacing w:after="0"/>
              <w:jc w:val="center"/>
              <w:rPr>
                <w:rFonts w:ascii="Calibri" w:hAnsi="Calibri" w:cs="Calibri"/>
                <w:sz w:val="18"/>
                <w:szCs w:val="18"/>
              </w:rPr>
            </w:pPr>
          </w:p>
        </w:tc>
        <w:tc>
          <w:tcPr>
            <w:tcW w:w="1080" w:type="dxa"/>
            <w:vAlign w:val="center"/>
          </w:tcPr>
          <w:p w14:paraId="01A8337B" w14:textId="77777777" w:rsidR="00F67E0A" w:rsidRPr="00F67E0A" w:rsidRDefault="00F67E0A" w:rsidP="00F67E0A">
            <w:pPr>
              <w:spacing w:after="0"/>
              <w:jc w:val="center"/>
              <w:rPr>
                <w:rFonts w:ascii="Calibri" w:hAnsi="Calibri" w:cs="Calibri"/>
                <w:sz w:val="18"/>
                <w:szCs w:val="18"/>
              </w:rPr>
            </w:pPr>
          </w:p>
        </w:tc>
        <w:tc>
          <w:tcPr>
            <w:tcW w:w="810" w:type="dxa"/>
            <w:vAlign w:val="center"/>
          </w:tcPr>
          <w:p w14:paraId="2CCBAB8F" w14:textId="77777777" w:rsidR="00F67E0A" w:rsidRPr="00F67E0A" w:rsidRDefault="00F67E0A" w:rsidP="00F67E0A">
            <w:pPr>
              <w:spacing w:after="0"/>
              <w:jc w:val="center"/>
              <w:rPr>
                <w:rFonts w:ascii="Calibri" w:hAnsi="Calibri" w:cs="Calibri"/>
                <w:b/>
                <w:iCs/>
                <w:sz w:val="18"/>
                <w:szCs w:val="18"/>
              </w:rPr>
            </w:pPr>
            <w:r w:rsidRPr="00F67E0A">
              <w:rPr>
                <w:rFonts w:ascii="Calibri" w:hAnsi="Calibri" w:cs="Calibri"/>
                <w:b/>
                <w:iCs/>
                <w:sz w:val="18"/>
                <w:szCs w:val="18"/>
              </w:rPr>
              <w:t>46%</w:t>
            </w:r>
          </w:p>
        </w:tc>
      </w:tr>
      <w:tr w:rsidR="0044322C" w:rsidRPr="00F67E0A" w14:paraId="100A2018" w14:textId="77777777" w:rsidTr="00205B3E">
        <w:trPr>
          <w:trHeight w:val="288"/>
          <w:jc w:val="center"/>
        </w:trPr>
        <w:tc>
          <w:tcPr>
            <w:tcW w:w="8904" w:type="dxa"/>
            <w:gridSpan w:val="8"/>
            <w:shd w:val="clear" w:color="auto" w:fill="A6A6A6"/>
            <w:vAlign w:val="center"/>
          </w:tcPr>
          <w:p w14:paraId="2903EB12" w14:textId="77777777" w:rsidR="00F67E0A" w:rsidRPr="00F67E0A" w:rsidRDefault="00F67E0A" w:rsidP="00F67E0A">
            <w:pPr>
              <w:spacing w:after="0"/>
              <w:jc w:val="center"/>
              <w:rPr>
                <w:rFonts w:ascii="Calibri" w:hAnsi="Calibri" w:cs="Calibri"/>
                <w:sz w:val="18"/>
                <w:szCs w:val="18"/>
              </w:rPr>
            </w:pPr>
          </w:p>
        </w:tc>
        <w:tc>
          <w:tcPr>
            <w:tcW w:w="4231" w:type="dxa"/>
            <w:gridSpan w:val="4"/>
            <w:vAlign w:val="center"/>
          </w:tcPr>
          <w:p w14:paraId="165DD40A" w14:textId="77777777" w:rsidR="00F67E0A" w:rsidRPr="00F67E0A" w:rsidRDefault="00F67E0A" w:rsidP="00F67E0A">
            <w:pPr>
              <w:spacing w:after="0"/>
              <w:jc w:val="right"/>
              <w:rPr>
                <w:rFonts w:ascii="Calibri" w:hAnsi="Calibri" w:cs="Calibri"/>
                <w:sz w:val="18"/>
                <w:szCs w:val="18"/>
              </w:rPr>
            </w:pPr>
            <w:r w:rsidRPr="00F67E0A">
              <w:rPr>
                <w:rFonts w:ascii="Calibri" w:hAnsi="Calibri"/>
                <w:b/>
                <w:bCs/>
                <w:color w:val="000000"/>
                <w:sz w:val="18"/>
                <w:szCs w:val="18"/>
              </w:rPr>
              <w:t>Average Annual Gas Savings Decay Rate:</w:t>
            </w:r>
          </w:p>
        </w:tc>
        <w:tc>
          <w:tcPr>
            <w:tcW w:w="810" w:type="dxa"/>
            <w:vAlign w:val="center"/>
          </w:tcPr>
          <w:p w14:paraId="289C5232" w14:textId="77777777" w:rsidR="00F67E0A" w:rsidRPr="00F67E0A" w:rsidRDefault="00F67E0A" w:rsidP="00F67E0A">
            <w:pPr>
              <w:spacing w:after="0"/>
              <w:jc w:val="center"/>
              <w:rPr>
                <w:rFonts w:ascii="Calibri" w:hAnsi="Calibri" w:cs="Calibri"/>
                <w:b/>
                <w:iCs/>
                <w:sz w:val="18"/>
                <w:szCs w:val="18"/>
              </w:rPr>
            </w:pPr>
            <w:r w:rsidRPr="00F67E0A">
              <w:rPr>
                <w:rFonts w:ascii="Calibri" w:hAnsi="Calibri" w:cs="Calibri"/>
                <w:b/>
                <w:iCs/>
                <w:sz w:val="18"/>
                <w:szCs w:val="18"/>
              </w:rPr>
              <w:t>30%</w:t>
            </w:r>
          </w:p>
        </w:tc>
      </w:tr>
    </w:tbl>
    <w:p w14:paraId="449EFF8D" w14:textId="77777777" w:rsidR="00E90044" w:rsidRDefault="00E90044" w:rsidP="00830CF8">
      <w:pPr>
        <w:spacing w:after="0"/>
        <w:rPr>
          <w:rFonts w:cstheme="minorHAnsi"/>
          <w:sz w:val="18"/>
          <w:szCs w:val="18"/>
        </w:rPr>
      </w:pPr>
    </w:p>
    <w:p w14:paraId="1DA54E33" w14:textId="2F43519F" w:rsidR="00830CF8" w:rsidRPr="00667F41" w:rsidRDefault="00830CF8" w:rsidP="00830CF8">
      <w:pPr>
        <w:spacing w:after="0"/>
        <w:rPr>
          <w:rFonts w:cstheme="minorHAnsi"/>
          <w:sz w:val="18"/>
          <w:szCs w:val="18"/>
        </w:rPr>
      </w:pPr>
      <w:r w:rsidRPr="00667F41">
        <w:rPr>
          <w:rFonts w:cstheme="minorHAnsi"/>
          <w:sz w:val="18"/>
          <w:szCs w:val="18"/>
        </w:rPr>
        <w:t xml:space="preserve">Sources: </w:t>
      </w:r>
    </w:p>
    <w:p w14:paraId="69B5BF76" w14:textId="31AF2876" w:rsidR="00830CF8" w:rsidRPr="00DC7173" w:rsidRDefault="00573A1D" w:rsidP="0092016D">
      <w:pPr>
        <w:pStyle w:val="ListParagraph"/>
        <w:numPr>
          <w:ilvl w:val="0"/>
          <w:numId w:val="86"/>
        </w:numPr>
        <w:spacing w:after="0"/>
        <w:ind w:left="180" w:hanging="180"/>
        <w:rPr>
          <w:rFonts w:cstheme="minorHAnsi"/>
          <w:sz w:val="18"/>
          <w:szCs w:val="18"/>
        </w:rPr>
      </w:pPr>
      <w:hyperlink r:id="rId15" w:history="1">
        <w:r w:rsidR="005C51BD" w:rsidRPr="00DC7173">
          <w:rPr>
            <w:rStyle w:val="Hyperlink"/>
            <w:rFonts w:eastAsiaTheme="minorEastAsia" w:cstheme="minorHAnsi"/>
            <w:sz w:val="18"/>
            <w:szCs w:val="18"/>
          </w:rPr>
          <w:t>http://www.cadmusgroup.com/wp-content/uploads/2014/11/Cadmus_Home_Energy_Reports_Winter2014.pdf</w:t>
        </w:r>
      </w:hyperlink>
      <w:r w:rsidR="00830CF8" w:rsidRPr="00DC7173">
        <w:rPr>
          <w:rFonts w:cstheme="minorHAnsi"/>
          <w:sz w:val="18"/>
          <w:szCs w:val="18"/>
        </w:rPr>
        <w:t xml:space="preserve"> </w:t>
      </w:r>
    </w:p>
    <w:p w14:paraId="1B520833" w14:textId="5E87A131" w:rsidR="005E4635" w:rsidRPr="001D6280" w:rsidRDefault="00573A1D" w:rsidP="0092016D">
      <w:pPr>
        <w:pStyle w:val="ListParagraph"/>
        <w:numPr>
          <w:ilvl w:val="0"/>
          <w:numId w:val="86"/>
        </w:numPr>
        <w:spacing w:after="0"/>
        <w:ind w:left="180" w:hanging="180"/>
        <w:rPr>
          <w:rFonts w:cstheme="minorHAnsi"/>
          <w:sz w:val="18"/>
          <w:szCs w:val="18"/>
        </w:rPr>
      </w:pPr>
      <w:hyperlink r:id="rId16" w:history="1">
        <w:r w:rsidR="005C51BD" w:rsidRPr="00BD4806">
          <w:rPr>
            <w:rStyle w:val="Hyperlink"/>
            <w:rFonts w:cstheme="minorHAnsi"/>
            <w:sz w:val="18"/>
            <w:szCs w:val="18"/>
          </w:rPr>
          <w:t>https://www.povertyactionlab.org/sites/default/files/publications/899%20Allcott%20and%20Rogers%20AER2014%20The%20Short-Run%20and%20Long-Run%20Effects%20of%20Behavioral%20Interventions.pdf</w:t>
        </w:r>
      </w:hyperlink>
    </w:p>
    <w:p w14:paraId="143FAAE5" w14:textId="394EFA13" w:rsidR="001D6280" w:rsidRPr="00ED5D23" w:rsidRDefault="00573A1D" w:rsidP="0092016D">
      <w:pPr>
        <w:pStyle w:val="ListParagraph"/>
        <w:numPr>
          <w:ilvl w:val="0"/>
          <w:numId w:val="86"/>
        </w:numPr>
        <w:spacing w:after="0"/>
        <w:ind w:left="180" w:hanging="180"/>
        <w:jc w:val="left"/>
        <w:rPr>
          <w:sz w:val="18"/>
          <w:szCs w:val="18"/>
        </w:rPr>
      </w:pPr>
      <w:hyperlink r:id="rId17" w:history="1">
        <w:r w:rsidR="00E645CF" w:rsidRPr="00E645CF">
          <w:rPr>
            <w:rStyle w:val="Hyperlink"/>
            <w:sz w:val="18"/>
            <w:szCs w:val="18"/>
          </w:rPr>
          <w:t>https://library.cee1.org/content/impact-persistence-evaluation-report-sacramento-municipal-utility-district-home-energy-repor</w:t>
        </w:r>
      </w:hyperlink>
    </w:p>
    <w:p w14:paraId="7C7EEFE6" w14:textId="27B0144E" w:rsidR="00830CF8" w:rsidRDefault="00573A1D" w:rsidP="0092016D">
      <w:pPr>
        <w:pStyle w:val="ListParagraph"/>
        <w:numPr>
          <w:ilvl w:val="0"/>
          <w:numId w:val="86"/>
        </w:numPr>
        <w:spacing w:after="0"/>
        <w:ind w:left="180" w:hanging="180"/>
        <w:rPr>
          <w:rFonts w:cstheme="minorHAnsi"/>
          <w:sz w:val="18"/>
          <w:szCs w:val="18"/>
        </w:rPr>
      </w:pPr>
      <w:hyperlink r:id="rId18" w:history="1">
        <w:r w:rsidR="005C51BD" w:rsidRPr="00DC7173">
          <w:rPr>
            <w:rStyle w:val="Hyperlink"/>
            <w:rFonts w:eastAsiaTheme="minorEastAsia" w:cstheme="minorHAnsi"/>
            <w:sz w:val="18"/>
            <w:szCs w:val="18"/>
          </w:rPr>
          <w:t>http://ma-eeac.org/wordpress/wp-content/uploads/Home-Energy-Report-Savings-Decay-Analysis-Final-Report1.pdf</w:t>
        </w:r>
      </w:hyperlink>
      <w:r w:rsidR="00830CF8" w:rsidRPr="00DC7173">
        <w:rPr>
          <w:rFonts w:cstheme="minorHAnsi"/>
          <w:sz w:val="18"/>
          <w:szCs w:val="18"/>
        </w:rPr>
        <w:t xml:space="preserve"> </w:t>
      </w:r>
    </w:p>
    <w:p w14:paraId="562F14AF" w14:textId="77777777" w:rsidR="00901C38" w:rsidRPr="00901C38" w:rsidRDefault="00573A1D" w:rsidP="0092016D">
      <w:pPr>
        <w:pStyle w:val="ListParagraph"/>
        <w:numPr>
          <w:ilvl w:val="0"/>
          <w:numId w:val="86"/>
        </w:numPr>
        <w:spacing w:after="0"/>
        <w:ind w:left="180" w:hanging="180"/>
        <w:jc w:val="left"/>
        <w:rPr>
          <w:rStyle w:val="Hyperlink"/>
          <w:color w:val="auto"/>
          <w:sz w:val="18"/>
          <w:szCs w:val="18"/>
          <w:u w:val="none"/>
        </w:rPr>
      </w:pPr>
      <w:hyperlink r:id="rId19" w:history="1">
        <w:r w:rsidR="001946C5" w:rsidRPr="001946C5">
          <w:rPr>
            <w:rStyle w:val="Hyperlink"/>
            <w:sz w:val="18"/>
            <w:szCs w:val="18"/>
          </w:rPr>
          <w:t>https://dms.psc.sc.gov/attachments/matter/9F872380-155D-141F-231F53E80756D3C3</w:t>
        </w:r>
      </w:hyperlink>
    </w:p>
    <w:p w14:paraId="7A9720AF" w14:textId="23B8A21C" w:rsidR="00901C38" w:rsidRPr="00901C38" w:rsidRDefault="00573A1D" w:rsidP="0092016D">
      <w:pPr>
        <w:pStyle w:val="ListParagraph"/>
        <w:numPr>
          <w:ilvl w:val="0"/>
          <w:numId w:val="86"/>
        </w:numPr>
        <w:spacing w:after="0"/>
        <w:ind w:left="180" w:hanging="180"/>
        <w:jc w:val="left"/>
        <w:rPr>
          <w:sz w:val="18"/>
          <w:szCs w:val="18"/>
        </w:rPr>
      </w:pPr>
      <w:hyperlink r:id="rId20" w:history="1">
        <w:r w:rsidR="00DD6A5A" w:rsidRPr="002E5BB9">
          <w:rPr>
            <w:rStyle w:val="Hyperlink"/>
            <w:sz w:val="18"/>
            <w:szCs w:val="18"/>
          </w:rPr>
          <w:t>http://www.calmac.org/publications/DNVGL_SCE_HER_2015_final_to_calmac.pdf</w:t>
        </w:r>
      </w:hyperlink>
    </w:p>
    <w:p w14:paraId="12CDD103" w14:textId="77777777" w:rsidR="00901C38" w:rsidRPr="00792568" w:rsidRDefault="00901C38" w:rsidP="00901C38">
      <w:pPr>
        <w:spacing w:after="0"/>
        <w:jc w:val="left"/>
        <w:rPr>
          <w:sz w:val="18"/>
          <w:szCs w:val="18"/>
        </w:rPr>
      </w:pPr>
      <w:r w:rsidRPr="00792568">
        <w:rPr>
          <w:sz w:val="18"/>
          <w:szCs w:val="18"/>
        </w:rPr>
        <w:t xml:space="preserve">7: </w:t>
      </w:r>
      <w:hyperlink r:id="rId21" w:history="1">
        <w:r w:rsidRPr="00792568">
          <w:rPr>
            <w:rStyle w:val="Hyperlink"/>
            <w:sz w:val="18"/>
            <w:szCs w:val="18"/>
          </w:rPr>
          <w:t>http://www.ripuc.org/eventsactions/docket/2.%20RI%20HER%20Savings%20Decay%20Lit%20Review%20FINAL.pdf</w:t>
        </w:r>
      </w:hyperlink>
    </w:p>
    <w:p w14:paraId="7CD8283E" w14:textId="77777777" w:rsidR="00901C38" w:rsidRPr="00792568" w:rsidRDefault="00901C38" w:rsidP="00901C38">
      <w:pPr>
        <w:spacing w:after="0"/>
        <w:jc w:val="left"/>
        <w:rPr>
          <w:sz w:val="18"/>
          <w:szCs w:val="18"/>
        </w:rPr>
      </w:pPr>
      <w:r w:rsidRPr="00792568">
        <w:rPr>
          <w:sz w:val="18"/>
          <w:szCs w:val="18"/>
        </w:rPr>
        <w:t xml:space="preserve">8: </w:t>
      </w:r>
      <w:hyperlink r:id="rId22" w:history="1">
        <w:r w:rsidRPr="00792568">
          <w:rPr>
            <w:rStyle w:val="Hyperlink"/>
            <w:sz w:val="18"/>
            <w:szCs w:val="18"/>
          </w:rPr>
          <w:t>https://aceee.org/files/proceedings/2016/data/papers/2_935.pdf</w:t>
        </w:r>
      </w:hyperlink>
    </w:p>
    <w:p w14:paraId="0B8CCFA8" w14:textId="77777777" w:rsidR="00901C38" w:rsidRPr="00792568" w:rsidRDefault="00901C38" w:rsidP="00901C38">
      <w:pPr>
        <w:spacing w:after="0"/>
        <w:jc w:val="left"/>
        <w:rPr>
          <w:sz w:val="18"/>
          <w:szCs w:val="18"/>
        </w:rPr>
      </w:pPr>
      <w:r w:rsidRPr="00792568">
        <w:rPr>
          <w:sz w:val="18"/>
          <w:szCs w:val="18"/>
        </w:rPr>
        <w:t xml:space="preserve">9: </w:t>
      </w:r>
      <w:hyperlink r:id="rId23" w:history="1">
        <w:r w:rsidRPr="00792568">
          <w:rPr>
            <w:rStyle w:val="Hyperlink"/>
            <w:sz w:val="18"/>
            <w:szCs w:val="18"/>
          </w:rPr>
          <w:t>https://www.energizect.com/sites/default/files/R1606_Eversource%20Behavior%20Persistence%20Evaluation_Review%20Draft_4.10.17.pdf</w:t>
        </w:r>
      </w:hyperlink>
    </w:p>
    <w:p w14:paraId="340720B2" w14:textId="77777777" w:rsidR="00901C38" w:rsidRPr="00792568" w:rsidRDefault="00901C38" w:rsidP="00901C38">
      <w:pPr>
        <w:spacing w:after="0"/>
        <w:jc w:val="left"/>
        <w:rPr>
          <w:rFonts w:cstheme="minorHAnsi"/>
          <w:sz w:val="18"/>
          <w:szCs w:val="18"/>
        </w:rPr>
      </w:pPr>
      <w:r w:rsidRPr="00792568">
        <w:rPr>
          <w:sz w:val="18"/>
          <w:szCs w:val="18"/>
        </w:rPr>
        <w:t xml:space="preserve">10: </w:t>
      </w:r>
      <w:hyperlink r:id="rId24" w:history="1">
        <w:r w:rsidRPr="00792568">
          <w:rPr>
            <w:rStyle w:val="Hyperlink"/>
            <w:sz w:val="18"/>
            <w:szCs w:val="18"/>
          </w:rPr>
          <w:t>http://www.calmac.org/publications/PG&amp;E_2016_HER_Energy_and_Demand_Savings_Early_EM&amp;V.pdf</w:t>
        </w:r>
      </w:hyperlink>
    </w:p>
    <w:p w14:paraId="107E1D24" w14:textId="77777777" w:rsidR="00901C38" w:rsidRPr="00792568" w:rsidRDefault="00901C38" w:rsidP="004524C0">
      <w:pPr>
        <w:spacing w:after="0"/>
        <w:ind w:left="270" w:hanging="270"/>
        <w:jc w:val="left"/>
        <w:rPr>
          <w:sz w:val="18"/>
          <w:szCs w:val="18"/>
        </w:rPr>
      </w:pPr>
      <w:r w:rsidRPr="00792568">
        <w:rPr>
          <w:sz w:val="18"/>
          <w:szCs w:val="18"/>
        </w:rPr>
        <w:t>11:</w:t>
      </w:r>
      <w:hyperlink r:id="rId25" w:history="1">
        <w:r w:rsidRPr="00792568">
          <w:rPr>
            <w:rStyle w:val="Hyperlink"/>
            <w:sz w:val="18"/>
            <w:szCs w:val="18"/>
          </w:rPr>
          <w:t>https://www.indianamichiganpower.com/global/utilities/lib/docs/info/projects/IMDemandSideManagement/44841%20Jon%20C.%20Walter%20Direct%20Testimony%20&amp;%20Attachments%20Vol%20II.pdf</w:t>
        </w:r>
      </w:hyperlink>
    </w:p>
    <w:p w14:paraId="5130A4B3" w14:textId="77777777" w:rsidR="00901C38" w:rsidRPr="00792568" w:rsidRDefault="00901C38" w:rsidP="00901C38">
      <w:pPr>
        <w:spacing w:after="0"/>
        <w:jc w:val="left"/>
        <w:rPr>
          <w:sz w:val="18"/>
          <w:szCs w:val="18"/>
        </w:rPr>
      </w:pPr>
      <w:r w:rsidRPr="00792568">
        <w:rPr>
          <w:sz w:val="18"/>
          <w:szCs w:val="18"/>
        </w:rPr>
        <w:t xml:space="preserve">12: </w:t>
      </w:r>
      <w:hyperlink r:id="rId26" w:history="1">
        <w:r w:rsidRPr="00792568">
          <w:rPr>
            <w:rStyle w:val="Hyperlink"/>
            <w:sz w:val="18"/>
            <w:szCs w:val="18"/>
          </w:rPr>
          <w:t>http://www.puc.state.pa.us/Electric/pdf/Act129/SWE_Res_Behavioral_Program-Persistence_Study_Addendum2018.pdf</w:t>
        </w:r>
      </w:hyperlink>
    </w:p>
    <w:p w14:paraId="522B50D3" w14:textId="77777777" w:rsidR="00901C38" w:rsidRPr="00792568" w:rsidRDefault="00901C38" w:rsidP="00901C38">
      <w:pPr>
        <w:spacing w:after="0"/>
        <w:jc w:val="left"/>
        <w:rPr>
          <w:sz w:val="18"/>
          <w:szCs w:val="18"/>
        </w:rPr>
      </w:pPr>
      <w:r w:rsidRPr="00792568">
        <w:rPr>
          <w:sz w:val="18"/>
          <w:szCs w:val="18"/>
        </w:rPr>
        <w:t xml:space="preserve">13: </w:t>
      </w:r>
      <w:hyperlink r:id="rId27" w:history="1">
        <w:r w:rsidRPr="00792568">
          <w:rPr>
            <w:rStyle w:val="Hyperlink"/>
            <w:sz w:val="18"/>
            <w:szCs w:val="18"/>
          </w:rPr>
          <w:t>https://conduitnw.org/_layouts/Conduit/FileHandler.ashx?RID=849</w:t>
        </w:r>
      </w:hyperlink>
    </w:p>
    <w:p w14:paraId="62C89AC6" w14:textId="77777777" w:rsidR="00901C38" w:rsidRPr="00792568" w:rsidRDefault="00901C38" w:rsidP="00901C38">
      <w:pPr>
        <w:spacing w:after="0"/>
        <w:jc w:val="left"/>
        <w:rPr>
          <w:sz w:val="18"/>
          <w:szCs w:val="18"/>
        </w:rPr>
      </w:pPr>
      <w:r w:rsidRPr="00792568">
        <w:rPr>
          <w:sz w:val="18"/>
          <w:szCs w:val="18"/>
        </w:rPr>
        <w:t xml:space="preserve">14: </w:t>
      </w:r>
      <w:hyperlink r:id="rId28" w:history="1">
        <w:r w:rsidRPr="00792568">
          <w:rPr>
            <w:rStyle w:val="Hyperlink"/>
            <w:sz w:val="18"/>
            <w:szCs w:val="18"/>
          </w:rPr>
          <w:t>http://www.oracle.com/us/industries/utilities/puget-sound-energy-home-3631948.pdf</w:t>
        </w:r>
      </w:hyperlink>
    </w:p>
    <w:p w14:paraId="44E67BE4" w14:textId="77777777" w:rsidR="00901C38" w:rsidRPr="00792568" w:rsidRDefault="00901C38" w:rsidP="00901C38">
      <w:pPr>
        <w:spacing w:after="0"/>
        <w:jc w:val="left"/>
        <w:rPr>
          <w:sz w:val="18"/>
          <w:szCs w:val="18"/>
        </w:rPr>
      </w:pPr>
      <w:r w:rsidRPr="00792568">
        <w:rPr>
          <w:sz w:val="18"/>
          <w:szCs w:val="18"/>
        </w:rPr>
        <w:t xml:space="preserve">15: </w:t>
      </w:r>
      <w:hyperlink r:id="rId29" w:history="1">
        <w:r w:rsidRPr="00792568">
          <w:rPr>
            <w:rStyle w:val="Hyperlink"/>
            <w:sz w:val="18"/>
            <w:szCs w:val="18"/>
          </w:rPr>
          <w:t>http://www.oracle.com/us/industries/utilities/herp-puget-sound-energy-3628986.pdf</w:t>
        </w:r>
      </w:hyperlink>
    </w:p>
    <w:p w14:paraId="592BAB20" w14:textId="77777777" w:rsidR="00901C38" w:rsidRPr="00792568" w:rsidRDefault="00901C38" w:rsidP="00901C38">
      <w:pPr>
        <w:spacing w:after="0"/>
        <w:jc w:val="left"/>
        <w:rPr>
          <w:sz w:val="18"/>
          <w:szCs w:val="18"/>
        </w:rPr>
      </w:pPr>
      <w:r w:rsidRPr="00792568">
        <w:rPr>
          <w:sz w:val="18"/>
          <w:szCs w:val="18"/>
        </w:rPr>
        <w:t xml:space="preserve">16: </w:t>
      </w:r>
      <w:hyperlink r:id="rId30" w:history="1">
        <w:r w:rsidRPr="00792568">
          <w:rPr>
            <w:rStyle w:val="Hyperlink"/>
            <w:sz w:val="18"/>
            <w:szCs w:val="18"/>
          </w:rPr>
          <w:t>https://conduitnw.org/_layouts/Conduit/FileHandler.ashx?rid=2963</w:t>
        </w:r>
      </w:hyperlink>
    </w:p>
    <w:p w14:paraId="7B50C788" w14:textId="77777777" w:rsidR="00901C38" w:rsidRPr="00792568" w:rsidRDefault="00901C38" w:rsidP="00901C38">
      <w:pPr>
        <w:spacing w:after="0"/>
        <w:jc w:val="left"/>
        <w:rPr>
          <w:sz w:val="18"/>
          <w:szCs w:val="18"/>
        </w:rPr>
      </w:pPr>
      <w:r w:rsidRPr="00792568">
        <w:rPr>
          <w:sz w:val="18"/>
          <w:szCs w:val="18"/>
        </w:rPr>
        <w:t xml:space="preserve">17: </w:t>
      </w:r>
      <w:hyperlink r:id="rId31" w:history="1">
        <w:r w:rsidRPr="00792568">
          <w:rPr>
            <w:rStyle w:val="Hyperlink"/>
            <w:sz w:val="18"/>
            <w:szCs w:val="18"/>
          </w:rPr>
          <w:t>http://www.oracle.com/us/industries/utilities/home-energy-reports-err-2015-3697558.pdf</w:t>
        </w:r>
      </w:hyperlink>
    </w:p>
    <w:p w14:paraId="6503B599" w14:textId="77777777" w:rsidR="00901C38" w:rsidRPr="00FF44DF" w:rsidRDefault="00901C38" w:rsidP="00901C38">
      <w:pPr>
        <w:spacing w:after="0"/>
        <w:jc w:val="left"/>
        <w:rPr>
          <w:sz w:val="18"/>
          <w:szCs w:val="18"/>
        </w:rPr>
      </w:pPr>
      <w:r w:rsidRPr="00792568">
        <w:rPr>
          <w:sz w:val="18"/>
          <w:szCs w:val="18"/>
        </w:rPr>
        <w:t xml:space="preserve">18: </w:t>
      </w:r>
      <w:hyperlink r:id="rId32" w:history="1">
        <w:r w:rsidRPr="00FF44DF">
          <w:rPr>
            <w:rStyle w:val="Hyperlink"/>
            <w:sz w:val="18"/>
            <w:szCs w:val="18"/>
          </w:rPr>
          <w:t>https://conduitnw.org/pages/file.aspx?rid=4252</w:t>
        </w:r>
      </w:hyperlink>
    </w:p>
    <w:p w14:paraId="5A5A9EE6" w14:textId="77777777" w:rsidR="00901C38" w:rsidRPr="00FF44DF" w:rsidRDefault="00901C38" w:rsidP="00901C38">
      <w:pPr>
        <w:spacing w:after="0"/>
        <w:jc w:val="left"/>
        <w:rPr>
          <w:sz w:val="18"/>
          <w:szCs w:val="18"/>
        </w:rPr>
      </w:pPr>
      <w:r w:rsidRPr="00FF44DF">
        <w:rPr>
          <w:sz w:val="18"/>
          <w:szCs w:val="18"/>
        </w:rPr>
        <w:t xml:space="preserve">19: </w:t>
      </w:r>
      <w:hyperlink r:id="rId33" w:history="1">
        <w:r w:rsidRPr="00FF44DF">
          <w:rPr>
            <w:rStyle w:val="Hyperlink"/>
            <w:sz w:val="18"/>
            <w:szCs w:val="18"/>
          </w:rPr>
          <w:t>https://conduitnw.org/Pages/File.aspx?rid=4415</w:t>
        </w:r>
      </w:hyperlink>
    </w:p>
    <w:p w14:paraId="618EC21B" w14:textId="77777777" w:rsidR="00901C38" w:rsidRPr="00FF44DF" w:rsidRDefault="00901C38" w:rsidP="00901C38">
      <w:pPr>
        <w:spacing w:after="0"/>
        <w:jc w:val="left"/>
        <w:rPr>
          <w:sz w:val="18"/>
          <w:szCs w:val="18"/>
        </w:rPr>
      </w:pPr>
      <w:r w:rsidRPr="00FF44DF">
        <w:rPr>
          <w:sz w:val="18"/>
          <w:szCs w:val="18"/>
        </w:rPr>
        <w:t xml:space="preserve">20: </w:t>
      </w:r>
      <w:hyperlink r:id="rId34" w:history="1">
        <w:r w:rsidRPr="00FF44DF">
          <w:rPr>
            <w:rStyle w:val="Hyperlink"/>
            <w:sz w:val="18"/>
            <w:szCs w:val="18"/>
          </w:rPr>
          <w:t>https://conduitnw.org/pages/file.aspx?rid=4976</w:t>
        </w:r>
      </w:hyperlink>
    </w:p>
    <w:p w14:paraId="3CB97CDF" w14:textId="77777777" w:rsidR="00901C38" w:rsidRPr="00FF44DF" w:rsidRDefault="00901C38" w:rsidP="00901C38">
      <w:pPr>
        <w:spacing w:after="0"/>
        <w:jc w:val="left"/>
        <w:rPr>
          <w:sz w:val="18"/>
          <w:szCs w:val="18"/>
        </w:rPr>
      </w:pPr>
      <w:r w:rsidRPr="00FF44DF">
        <w:rPr>
          <w:sz w:val="18"/>
          <w:szCs w:val="18"/>
        </w:rPr>
        <w:t xml:space="preserve">21: DRAFT </w:t>
      </w:r>
      <w:hyperlink r:id="rId35" w:history="1">
        <w:r w:rsidRPr="00FF44DF">
          <w:rPr>
            <w:rStyle w:val="Hyperlink"/>
            <w:sz w:val="18"/>
            <w:szCs w:val="18"/>
          </w:rPr>
          <w:t>https://s3.amazonaws.com/ilsag/ComEd-HER-Year-Five-Persistence-and-Decay-Study-2019-10-25.docx</w:t>
        </w:r>
      </w:hyperlink>
    </w:p>
    <w:p w14:paraId="32F8428A" w14:textId="77777777" w:rsidR="00901C38" w:rsidRPr="00FF44DF" w:rsidRDefault="00901C38" w:rsidP="00901C38">
      <w:pPr>
        <w:spacing w:after="0"/>
        <w:jc w:val="left"/>
        <w:rPr>
          <w:sz w:val="18"/>
          <w:szCs w:val="18"/>
        </w:rPr>
      </w:pPr>
      <w:r w:rsidRPr="00FF44DF">
        <w:rPr>
          <w:sz w:val="18"/>
          <w:szCs w:val="18"/>
        </w:rPr>
        <w:t xml:space="preserve">22: </w:t>
      </w:r>
      <w:hyperlink r:id="rId36" w:history="1">
        <w:r w:rsidRPr="00FF44DF">
          <w:rPr>
            <w:rStyle w:val="Hyperlink"/>
            <w:sz w:val="18"/>
            <w:szCs w:val="18"/>
          </w:rPr>
          <w:t>https://s3.amazonaws.com/ilsag/AIC_2018_Behavioral_Modification_Persistence_Study_Memo_FINAL_2019-10-21.pdf</w:t>
        </w:r>
      </w:hyperlink>
    </w:p>
    <w:p w14:paraId="76C69B56" w14:textId="791D8591" w:rsidR="00901C38" w:rsidRPr="006B3FB8" w:rsidRDefault="00901C38" w:rsidP="006B3FB8">
      <w:pPr>
        <w:spacing w:after="0"/>
        <w:jc w:val="left"/>
        <w:rPr>
          <w:sz w:val="18"/>
          <w:szCs w:val="18"/>
        </w:rPr>
      </w:pPr>
      <w:r w:rsidRPr="006B3FB8">
        <w:rPr>
          <w:rFonts w:cstheme="minorHAnsi"/>
          <w:sz w:val="18"/>
          <w:szCs w:val="18"/>
        </w:rPr>
        <w:t>23:</w:t>
      </w:r>
      <w:hyperlink r:id="rId37" w:history="1">
        <w:r w:rsidRPr="006B3FB8">
          <w:rPr>
            <w:rStyle w:val="Hyperlink"/>
            <w:rFonts w:eastAsiaTheme="minorEastAsia" w:cstheme="minorHAnsi"/>
            <w:sz w:val="18"/>
            <w:szCs w:val="18"/>
          </w:rPr>
          <w:t>http://ilsagfiles.org/SAG_files/Technical_Reference_Manual/Version_6/Evaluation_Documents/Nicor_Gas_HER_Persistence_Study_Part_2_Final_2016-09-21.pdf</w:t>
        </w:r>
      </w:hyperlink>
    </w:p>
    <w:p w14:paraId="67B3893B" w14:textId="77777777" w:rsidR="00830CF8" w:rsidRPr="00002F9F" w:rsidRDefault="00830CF8" w:rsidP="00830CF8">
      <w:pPr>
        <w:spacing w:after="0"/>
        <w:rPr>
          <w:rFonts w:cstheme="minorHAnsi"/>
        </w:rPr>
      </w:pPr>
    </w:p>
    <w:p w14:paraId="5705EE02" w14:textId="58CC12D2" w:rsidR="00830CF8" w:rsidRDefault="00830CF8" w:rsidP="00830CF8">
      <w:pPr>
        <w:pStyle w:val="Heading6"/>
        <w:rPr>
          <w:rFonts w:eastAsia="Franklin Gothic Book"/>
        </w:rPr>
      </w:pPr>
      <w:r w:rsidRPr="004E1A44">
        <w:t>Measure Code: CC-BEH-BEHP-V0</w:t>
      </w:r>
      <w:ins w:id="726" w:author="Deirdre Collins" w:date="2022-06-16T18:13:00Z">
        <w:r w:rsidR="00B67DBE">
          <w:t>5</w:t>
        </w:r>
      </w:ins>
      <w:del w:id="727" w:author="Deirdre Collins" w:date="2022-06-16T18:13:00Z">
        <w:r w:rsidR="00617A34" w:rsidDel="00B67DBE">
          <w:delText>4</w:delText>
        </w:r>
      </w:del>
      <w:r w:rsidRPr="004E1A44">
        <w:t>-</w:t>
      </w:r>
      <w:r w:rsidR="009302BB">
        <w:t>2</w:t>
      </w:r>
      <w:ins w:id="728" w:author="Deirdre Collins" w:date="2022-06-16T18:13:00Z">
        <w:r w:rsidR="00B67DBE">
          <w:t>3</w:t>
        </w:r>
      </w:ins>
      <w:del w:id="729" w:author="Deirdre Collins" w:date="2022-06-16T18:13:00Z">
        <w:r w:rsidR="00103007" w:rsidDel="00B67DBE">
          <w:delText>2</w:delText>
        </w:r>
      </w:del>
      <w:r w:rsidR="00237E72">
        <w:t>01</w:t>
      </w:r>
      <w:r w:rsidRPr="004E1A44">
        <w:t>01</w:t>
      </w:r>
    </w:p>
    <w:p w14:paraId="68024B2D" w14:textId="77777777" w:rsidR="00563B97" w:rsidRDefault="00830CF8" w:rsidP="00830CF8">
      <w:pPr>
        <w:pStyle w:val="Heading6"/>
        <w:rPr>
          <w:rFonts w:eastAsia="Franklin Gothic Book"/>
        </w:rPr>
        <w:sectPr w:rsidR="00563B97" w:rsidSect="00DD128C">
          <w:pgSz w:w="15840" w:h="12240" w:orient="landscape"/>
          <w:pgMar w:top="1440" w:right="1440" w:bottom="1440" w:left="1440" w:header="720" w:footer="720" w:gutter="0"/>
          <w:cols w:space="720"/>
          <w:docGrid w:linePitch="360"/>
        </w:sectPr>
      </w:pPr>
      <w:r>
        <w:rPr>
          <w:rFonts w:eastAsia="Franklin Gothic Book"/>
        </w:rPr>
        <w:t>Review Deadline: 1/1/202</w:t>
      </w:r>
      <w:r w:rsidR="009302BB">
        <w:rPr>
          <w:rFonts w:eastAsia="Franklin Gothic Book"/>
        </w:rPr>
        <w:t>5</w:t>
      </w:r>
    </w:p>
    <w:p w14:paraId="53FB8828" w14:textId="76C7B462" w:rsidR="00FF52F5" w:rsidRPr="001F3733" w:rsidRDefault="00FF52F5" w:rsidP="00FF52F5">
      <w:pPr>
        <w:pStyle w:val="Heading2"/>
        <w:numPr>
          <w:ilvl w:val="1"/>
          <w:numId w:val="57"/>
        </w:numPr>
      </w:pPr>
      <w:bookmarkStart w:id="730" w:name="_Toc113619769"/>
      <w:r>
        <w:lastRenderedPageBreak/>
        <w:t>System Wide</w:t>
      </w:r>
      <w:bookmarkEnd w:id="730"/>
    </w:p>
    <w:p w14:paraId="725BC90C" w14:textId="3AC5DF1C" w:rsidR="00714AB9" w:rsidRDefault="00714AB9" w:rsidP="00FF52F5">
      <w:pPr>
        <w:pStyle w:val="Heading3"/>
        <w:numPr>
          <w:ilvl w:val="2"/>
          <w:numId w:val="57"/>
        </w:numPr>
      </w:pPr>
      <w:bookmarkStart w:id="731" w:name="_Toc113619770"/>
      <w:r>
        <w:t>Voltage Optimization</w:t>
      </w:r>
      <w:bookmarkEnd w:id="731"/>
    </w:p>
    <w:p w14:paraId="1C5C818A" w14:textId="181ED847" w:rsidR="00714AB9" w:rsidRDefault="00714AB9" w:rsidP="00714AB9">
      <w:pPr>
        <w:pStyle w:val="Heading6"/>
      </w:pPr>
      <w:r>
        <w:t>Description</w:t>
      </w:r>
    </w:p>
    <w:p w14:paraId="23E25F34" w14:textId="62EED919" w:rsidR="00714AB9" w:rsidRDefault="00714AB9" w:rsidP="00714AB9">
      <w:pPr>
        <w:keepNext/>
        <w:rPr>
          <w:rFonts w:cstheme="minorHAnsi"/>
        </w:rPr>
      </w:pPr>
      <w:r>
        <w:rPr>
          <w:rFonts w:cstheme="minorHAnsi"/>
        </w:rPr>
        <w:t>Voltage optimization (VO)</w:t>
      </w:r>
      <w:r>
        <w:rPr>
          <w:rStyle w:val="FootnoteReference"/>
        </w:rPr>
        <w:footnoteReference w:id="31"/>
      </w:r>
      <w:r>
        <w:rPr>
          <w:rFonts w:cstheme="minorHAnsi"/>
        </w:rPr>
        <w:t xml:space="preserve"> is a smart grid technology that flattens voltage profiles and lowers average voltage levels on an electric power distribution grid. Lowering voltage reduces the instantaneous power consumed by customers on VO-enabled feeders</w:t>
      </w:r>
      <w:r w:rsidR="00A36EEC">
        <w:rPr>
          <w:rFonts w:cstheme="minorHAnsi"/>
        </w:rPr>
        <w:t>,</w:t>
      </w:r>
      <w:r>
        <w:rPr>
          <w:rStyle w:val="FootnoteReference"/>
        </w:rPr>
        <w:footnoteReference w:id="32"/>
      </w:r>
      <w:r>
        <w:rPr>
          <w:rFonts w:cstheme="minorHAnsi"/>
        </w:rPr>
        <w:t xml:space="preserve"> which in turn results in energy and demand savings. Voltage optimization is achieved through the operation of distributed sensors, two-way communications infrastructure, remote controls on substation transformer load-tap changers, voltage regulators and line capacitor banks, and integrating/optimizing software.</w:t>
      </w:r>
    </w:p>
    <w:p w14:paraId="3E6B2016" w14:textId="4EF33383" w:rsidR="00714AB9" w:rsidRDefault="00714AB9" w:rsidP="00714AB9">
      <w:pPr>
        <w:keepNext/>
        <w:rPr>
          <w:rFonts w:cstheme="minorHAnsi"/>
        </w:rPr>
      </w:pPr>
      <w:r>
        <w:rPr>
          <w:rFonts w:cstheme="minorHAnsi"/>
        </w:rPr>
        <w:t>Unlike energy efficiency programs that achieve savings by providing financial incentives to encourage customers to adopt energy-efficient equipment or behavioral suggestions to encourage them to adopt no-cost energy-saving behaviors, VO involves no direct customer engagement. Instead, savings are achieved by operating the voltage and reactive power controls on VO-enabled feeders in a manner designed to maintain the voltages delivered to affected customers in the lower part of the allowable voltage range</w:t>
      </w:r>
      <w:r w:rsidR="00476EE2">
        <w:rPr>
          <w:rFonts w:cstheme="minorHAnsi"/>
        </w:rPr>
        <w:t>.</w:t>
      </w:r>
      <w:r>
        <w:rPr>
          <w:rStyle w:val="FootnoteReference"/>
        </w:rPr>
        <w:footnoteReference w:id="33"/>
      </w:r>
    </w:p>
    <w:p w14:paraId="2EBACFCC" w14:textId="225533FB" w:rsidR="00714AB9" w:rsidRDefault="00714AB9" w:rsidP="00714AB9">
      <w:pPr>
        <w:keepNext/>
        <w:rPr>
          <w:rFonts w:cstheme="minorHAnsi"/>
        </w:rPr>
      </w:pPr>
      <w:r>
        <w:rPr>
          <w:rFonts w:cstheme="minorHAnsi"/>
        </w:rPr>
        <w:t>In general, reducing the voltage on a feeder reduces power consumed by the connected loads, assuming all other factors of the feeder remain constant. This is a realistic assumption for many types of consumer devices. However, there are several scenarios in which decreasing voltage does not directly result in energy and demand savings. For example, some devices (e.g.</w:t>
      </w:r>
      <w:r w:rsidR="00476EE2">
        <w:rPr>
          <w:rFonts w:cstheme="minorHAnsi"/>
        </w:rPr>
        <w:t>,</w:t>
      </w:r>
      <w:r>
        <w:rPr>
          <w:rFonts w:cstheme="minorHAnsi"/>
        </w:rPr>
        <w:t xml:space="preserve"> electronics) have self-contained control systems </w:t>
      </w:r>
      <w:r w:rsidR="00036D2A">
        <w:rPr>
          <w:rFonts w:cstheme="minorHAnsi"/>
        </w:rPr>
        <w:t xml:space="preserve">that </w:t>
      </w:r>
      <w:r>
        <w:rPr>
          <w:rFonts w:cstheme="minorHAnsi"/>
        </w:rPr>
        <w:t>maintain constant power consumption despite the delivered voltage. Other devices increase their power draw when presented with reduced voltage due to nonlinear inefficiencies. Still other devices (e.g.</w:t>
      </w:r>
      <w:r w:rsidR="00476EE2">
        <w:rPr>
          <w:rFonts w:cstheme="minorHAnsi"/>
        </w:rPr>
        <w:t>,</w:t>
      </w:r>
      <w:r>
        <w:rPr>
          <w:rFonts w:cstheme="minorHAnsi"/>
        </w:rPr>
        <w:t> resistive heating) might decrease instantaneous power draw but operate for longer periods</w:t>
      </w:r>
      <w:r w:rsidR="00476EE2">
        <w:rPr>
          <w:rFonts w:cstheme="minorHAnsi"/>
        </w:rPr>
        <w:t>;</w:t>
      </w:r>
      <w:r>
        <w:rPr>
          <w:rFonts w:cstheme="minorHAnsi"/>
        </w:rPr>
        <w:t xml:space="preserve"> </w:t>
      </w:r>
      <w:proofErr w:type="gramStart"/>
      <w:r>
        <w:rPr>
          <w:rFonts w:cstheme="minorHAnsi"/>
        </w:rPr>
        <w:t>thus</w:t>
      </w:r>
      <w:proofErr w:type="gramEnd"/>
      <w:r>
        <w:rPr>
          <w:rFonts w:cstheme="minorHAnsi"/>
        </w:rPr>
        <w:t xml:space="preserve"> their total energy consumption remains approximately constant (similar to the time-shifting effects of demand response programs). This means VO is more effective in reducing load for some device types than others. This may lead it to be more or less effective for specific feeders depending on the exact mix of device types the feeder has.</w:t>
      </w:r>
    </w:p>
    <w:p w14:paraId="4FC29CDA" w14:textId="2EEA2A0B" w:rsidR="00714AB9" w:rsidRDefault="00714AB9" w:rsidP="00714AB9">
      <w:pPr>
        <w:rPr>
          <w:rFonts w:cstheme="minorHAnsi"/>
        </w:rPr>
      </w:pPr>
      <w:r>
        <w:rPr>
          <w:rFonts w:cstheme="minorHAnsi"/>
        </w:rPr>
        <w:t>This measure was developed to be applicable to the following program types: Voltage Optimization. This measure is unique and does not apply to other program types.</w:t>
      </w:r>
    </w:p>
    <w:p w14:paraId="78082591" w14:textId="77777777" w:rsidR="00714AB9" w:rsidRDefault="00714AB9" w:rsidP="00714AB9">
      <w:pPr>
        <w:pStyle w:val="Heading6"/>
        <w:rPr>
          <w:rFonts w:cs="Times New Roman"/>
        </w:rPr>
      </w:pPr>
      <w:r>
        <w:t>Definition of Efficient Equipment</w:t>
      </w:r>
    </w:p>
    <w:p w14:paraId="6B962BBA" w14:textId="77777777" w:rsidR="00714AB9" w:rsidRDefault="00714AB9" w:rsidP="00714AB9">
      <w:pPr>
        <w:rPr>
          <w:i/>
        </w:rPr>
      </w:pPr>
      <w:r>
        <w:rPr>
          <w:rFonts w:cstheme="minorHAnsi"/>
        </w:rPr>
        <w:t>To qualify for this measure, feeders must be enabled with VO technology and have VO fully commissioned and operational.</w:t>
      </w:r>
      <w:r>
        <w:rPr>
          <w:rStyle w:val="FootnoteReference"/>
        </w:rPr>
        <w:footnoteReference w:id="34"/>
      </w:r>
    </w:p>
    <w:p w14:paraId="7B1868BE" w14:textId="77777777" w:rsidR="00714AB9" w:rsidRDefault="00714AB9" w:rsidP="00714AB9">
      <w:pPr>
        <w:pStyle w:val="Heading6"/>
      </w:pPr>
      <w:r>
        <w:t>Definition of Baseline Equipment</w:t>
      </w:r>
    </w:p>
    <w:p w14:paraId="727729B2" w14:textId="77777777" w:rsidR="00714AB9" w:rsidRDefault="00714AB9" w:rsidP="00714AB9">
      <w:pPr>
        <w:rPr>
          <w:rFonts w:cstheme="minorHAnsi"/>
        </w:rPr>
      </w:pPr>
      <w:r>
        <w:rPr>
          <w:rFonts w:cstheme="minorHAnsi"/>
        </w:rPr>
        <w:t>The baseline assumption is a feeder without any VO technology.</w:t>
      </w:r>
    </w:p>
    <w:p w14:paraId="73BCDEB2" w14:textId="77777777" w:rsidR="00E701CA" w:rsidRDefault="00E701CA" w:rsidP="00714AB9">
      <w:pPr>
        <w:pStyle w:val="Heading6"/>
        <w:rPr>
          <w:ins w:id="732" w:author="Sam Dent" w:date="2022-08-30T10:57:00Z"/>
        </w:rPr>
      </w:pPr>
    </w:p>
    <w:p w14:paraId="6087886C" w14:textId="72424779" w:rsidR="00714AB9" w:rsidRDefault="00714AB9" w:rsidP="00714AB9">
      <w:pPr>
        <w:pStyle w:val="Heading6"/>
        <w:rPr>
          <w:rFonts w:cs="Times New Roman"/>
        </w:rPr>
      </w:pPr>
      <w:r>
        <w:t>Deemed Lifetime of Efficient Equipment</w:t>
      </w:r>
    </w:p>
    <w:p w14:paraId="664080EC" w14:textId="69FA84AC" w:rsidR="00BF6C2B" w:rsidRPr="006A01EC" w:rsidRDefault="00BF6C2B" w:rsidP="00BF6C2B">
      <w:pPr>
        <w:rPr>
          <w:ins w:id="733" w:author="Sam Dent" w:date="2022-07-29T10:33:00Z"/>
          <w:rFonts w:cstheme="minorBidi"/>
        </w:rPr>
      </w:pPr>
      <w:ins w:id="734" w:author="Sam Dent" w:date="2022-07-29T10:33:00Z">
        <w:r w:rsidRPr="006A01EC">
          <w:rPr>
            <w:rFonts w:cstheme="minorBidi"/>
          </w:rPr>
          <w:t xml:space="preserve">VO Energy Savings </w:t>
        </w:r>
      </w:ins>
      <w:ins w:id="735" w:author="Sam Dent" w:date="2022-09-07T10:48:00Z">
        <w:r w:rsidR="004C1E23">
          <w:rPr>
            <w:rFonts w:cstheme="minorBidi"/>
          </w:rPr>
          <w:t>can</w:t>
        </w:r>
      </w:ins>
      <w:ins w:id="736" w:author="Sam Dent" w:date="2022-07-29T10:33:00Z">
        <w:r w:rsidRPr="006A01EC">
          <w:rPr>
            <w:rFonts w:cstheme="minorBidi"/>
          </w:rPr>
          <w:t xml:space="preserve"> be renewed every 15 years and have a maximum measure life of 50 years</w:t>
        </w:r>
        <w:r w:rsidRPr="006A01EC">
          <w:rPr>
            <w:rStyle w:val="FootnoteReference"/>
            <w:rFonts w:eastAsiaTheme="majorEastAsia"/>
          </w:rPr>
          <w:footnoteReference w:id="35"/>
        </w:r>
      </w:ins>
      <w:ins w:id="739" w:author="Sam Dent" w:date="2022-09-07T10:51:00Z">
        <w:r w:rsidR="009D0598">
          <w:rPr>
            <w:rFonts w:cstheme="minorBidi"/>
          </w:rPr>
          <w:t xml:space="preserve"> </w:t>
        </w:r>
        <w:r w:rsidR="009D0598">
          <w:rPr>
            <w:rStyle w:val="FootnoteReference"/>
          </w:rPr>
          <w:footnoteReference w:id="36"/>
        </w:r>
      </w:ins>
      <w:ins w:id="741" w:author="Sam Dent" w:date="2022-07-29T10:33:00Z">
        <w:r w:rsidRPr="006A01EC">
          <w:rPr>
            <w:rFonts w:cstheme="minorBidi"/>
          </w:rPr>
          <w:t>.</w:t>
        </w:r>
      </w:ins>
      <w:ins w:id="742" w:author="Sam Dent" w:date="2022-09-07T10:49:00Z">
        <w:r w:rsidR="00AA67E1">
          <w:rPr>
            <w:rFonts w:cstheme="minorBidi"/>
          </w:rPr>
          <w:t xml:space="preserve"> </w:t>
        </w:r>
        <w:r w:rsidR="00AA67E1" w:rsidRPr="007D6A4D">
          <w:rPr>
            <w:rFonts w:cstheme="minorBidi"/>
            <w:color w:val="FF0000"/>
          </w:rPr>
          <w:t>The renewal would claim the same savings as the original measure for an additional 15 years (up to a maximum of 50 years) after verifying that VO is still operational on the feeder in a manner consistent with the operation that led to the original TRM savings estimate. </w:t>
        </w:r>
      </w:ins>
      <w:ins w:id="743" w:author="Sam Dent" w:date="2022-07-29T10:33:00Z">
        <w:r w:rsidRPr="007D6A4D">
          <w:rPr>
            <w:rFonts w:cstheme="minorBidi"/>
            <w:color w:val="FF0000"/>
          </w:rPr>
          <w:t xml:space="preserve"> </w:t>
        </w:r>
      </w:ins>
      <w:ins w:id="744" w:author="Sam Dent" w:date="2022-09-07T08:39:00Z">
        <w:r w:rsidR="00614D38">
          <w:rPr>
            <w:rFonts w:cstheme="minorBidi"/>
            <w:color w:val="FF0000"/>
          </w:rPr>
          <w:t>This does not preclude future consideration of (and TRM development for) a potential new measure that provides greater savings than the VO measure characterized here.</w:t>
        </w:r>
      </w:ins>
    </w:p>
    <w:p w14:paraId="539ECE80" w14:textId="3DA03B76" w:rsidR="00BF6C2B" w:rsidRPr="006A01EC" w:rsidRDefault="00BF6C2B" w:rsidP="00BF6C2B">
      <w:pPr>
        <w:rPr>
          <w:ins w:id="745" w:author="Sam Dent" w:date="2022-07-29T10:33:00Z"/>
          <w:rFonts w:cstheme="minorBidi"/>
        </w:rPr>
      </w:pPr>
      <w:ins w:id="746" w:author="Sam Dent" w:date="2022-07-29T10:33:00Z">
        <w:r w:rsidRPr="006A01EC">
          <w:rPr>
            <w:rFonts w:cstheme="minorBidi"/>
          </w:rPr>
          <w:t>Within the EE Plan submittal ComEd and Ameren shall prepare a planned activation summary of all feeders whose energy savings are set to expire within the timeframe the EE Plan is active. This planned activation summary will indicate the planned activation status of VO feeders in an ‘enabled’ or ‘disabled’ format along with the total energy savings in MWh of each activation status. This check-in will be performed at the same cadence the EE plan is submitted. Once confirmed, the energy savings shall be credited for 15 years until the next renewal period and for a maximum of 50 years.</w:t>
        </w:r>
      </w:ins>
      <w:ins w:id="747" w:author="Sam Dent" w:date="2022-09-07T08:59:00Z">
        <w:r w:rsidR="008468A2">
          <w:rPr>
            <w:rFonts w:cstheme="minorBidi"/>
          </w:rPr>
          <w:t xml:space="preserve"> </w:t>
        </w:r>
        <w:r w:rsidR="008468A2" w:rsidRPr="008468A2">
          <w:rPr>
            <w:rFonts w:cstheme="minorBidi"/>
          </w:rPr>
          <w:t>However, if the utility ever ceases to operate VO in such a manner on any circuits, it will report such changes to evaluators and stop claiming persisting savings on such circuits in the year following the year in which operations ceased (even if less than the TRM measure life).</w:t>
        </w:r>
      </w:ins>
    </w:p>
    <w:p w14:paraId="4A8993B1" w14:textId="391E9B81" w:rsidR="00714AB9" w:rsidDel="00BF6C2B" w:rsidRDefault="00714AB9" w:rsidP="00714AB9">
      <w:pPr>
        <w:keepNext/>
        <w:rPr>
          <w:del w:id="748" w:author="Sam Dent" w:date="2022-07-29T10:33:00Z"/>
          <w:i/>
        </w:rPr>
      </w:pPr>
      <w:del w:id="749" w:author="Sam Dent" w:date="2022-07-29T10:33:00Z">
        <w:r w:rsidDel="00BF6C2B">
          <w:rPr>
            <w:rFonts w:cstheme="minorHAnsi"/>
          </w:rPr>
          <w:delText>The measure life is assumed to be 15 years</w:delText>
        </w:r>
        <w:r w:rsidR="004C1BB4" w:rsidDel="00BF6C2B">
          <w:rPr>
            <w:rFonts w:cstheme="minorHAnsi"/>
          </w:rPr>
          <w:delText>.</w:delText>
        </w:r>
        <w:r w:rsidDel="00BF6C2B">
          <w:rPr>
            <w:rStyle w:val="FootnoteReference"/>
          </w:rPr>
          <w:footnoteReference w:id="37"/>
        </w:r>
      </w:del>
    </w:p>
    <w:p w14:paraId="1AF3BBD4" w14:textId="77777777" w:rsidR="00714AB9" w:rsidRDefault="00714AB9" w:rsidP="00714AB9">
      <w:pPr>
        <w:pStyle w:val="Heading6"/>
      </w:pPr>
      <w:r>
        <w:t xml:space="preserve">Deemed Measure Cost </w:t>
      </w:r>
    </w:p>
    <w:p w14:paraId="13797548" w14:textId="77777777" w:rsidR="00714AB9" w:rsidRDefault="00714AB9" w:rsidP="00714AB9">
      <w:r>
        <w:t>The costs vary by feeder. Actual costs should be used.</w:t>
      </w:r>
    </w:p>
    <w:p w14:paraId="359506A6" w14:textId="77777777" w:rsidR="00714AB9" w:rsidRDefault="00714AB9" w:rsidP="00714AB9">
      <w:pPr>
        <w:pStyle w:val="Heading6"/>
      </w:pPr>
      <w:proofErr w:type="spellStart"/>
      <w:r>
        <w:t>Loadshape</w:t>
      </w:r>
      <w:proofErr w:type="spellEnd"/>
    </w:p>
    <w:p w14:paraId="312CF0B0" w14:textId="348F9BCF" w:rsidR="00714AB9" w:rsidRDefault="00714AB9" w:rsidP="00714AB9">
      <w:pPr>
        <w:keepNext/>
        <w:rPr>
          <w:rFonts w:cstheme="minorHAnsi"/>
        </w:rPr>
      </w:pPr>
      <w:proofErr w:type="spellStart"/>
      <w:r>
        <w:rPr>
          <w:rFonts w:cstheme="minorHAnsi"/>
        </w:rPr>
        <w:t>Loadshape</w:t>
      </w:r>
      <w:proofErr w:type="spellEnd"/>
      <w:r>
        <w:rPr>
          <w:rFonts w:cstheme="minorHAnsi"/>
        </w:rPr>
        <w:t xml:space="preserve"> </w:t>
      </w:r>
      <w:r w:rsidR="008022F1">
        <w:rPr>
          <w:rFonts w:cstheme="minorHAnsi"/>
        </w:rPr>
        <w:t xml:space="preserve">C67 Voltage Optimization </w:t>
      </w:r>
      <w:r w:rsidR="00277F28">
        <w:rPr>
          <w:rFonts w:cstheme="minorHAnsi"/>
        </w:rPr>
        <w:t>–</w:t>
      </w:r>
      <w:r w:rsidR="008022F1">
        <w:rPr>
          <w:rFonts w:cstheme="minorHAnsi"/>
        </w:rPr>
        <w:t xml:space="preserve"> Ameren</w:t>
      </w:r>
    </w:p>
    <w:p w14:paraId="04E2D0B1" w14:textId="37D6D4BD" w:rsidR="00277F28" w:rsidRDefault="00277F28" w:rsidP="00714AB9">
      <w:pPr>
        <w:keepNext/>
        <w:rPr>
          <w:rFonts w:cstheme="minorHAnsi"/>
        </w:rPr>
      </w:pPr>
      <w:proofErr w:type="spellStart"/>
      <w:r>
        <w:rPr>
          <w:rFonts w:cstheme="minorHAnsi"/>
        </w:rPr>
        <w:t>Loadshape</w:t>
      </w:r>
      <w:proofErr w:type="spellEnd"/>
      <w:r>
        <w:rPr>
          <w:rFonts w:cstheme="minorHAnsi"/>
        </w:rPr>
        <w:t xml:space="preserve"> C68 Voltage Optimization - ComEd</w:t>
      </w:r>
    </w:p>
    <w:p w14:paraId="241A565F" w14:textId="77777777" w:rsidR="00714AB9" w:rsidRDefault="00714AB9" w:rsidP="00714AB9">
      <w:pPr>
        <w:pStyle w:val="Heading6"/>
        <w:rPr>
          <w:rFonts w:cs="Times New Roman"/>
        </w:rPr>
      </w:pPr>
      <w:r>
        <w:t>Coincidence Factor</w:t>
      </w:r>
    </w:p>
    <w:p w14:paraId="21704A76" w14:textId="77777777" w:rsidR="00714AB9" w:rsidRDefault="00714AB9" w:rsidP="00714AB9">
      <w:pPr>
        <w:keepNext/>
        <w:rPr>
          <w:rFonts w:cstheme="minorHAnsi"/>
        </w:rPr>
      </w:pPr>
      <w:r>
        <w:rPr>
          <w:rFonts w:cstheme="minorHAnsi"/>
        </w:rPr>
        <w:t>N/A</w:t>
      </w:r>
    </w:p>
    <w:p w14:paraId="6BE56370" w14:textId="77777777" w:rsidR="00714AB9" w:rsidRDefault="00714AB9" w:rsidP="00714AB9">
      <w:pPr>
        <w:pStyle w:val="AlgorithmHeading"/>
      </w:pPr>
      <w:r>
        <w:t xml:space="preserve">Algorithm </w:t>
      </w:r>
    </w:p>
    <w:p w14:paraId="5A249FF8" w14:textId="77777777" w:rsidR="00714AB9" w:rsidRDefault="00714AB9" w:rsidP="00714AB9">
      <w:pPr>
        <w:pStyle w:val="Heading6"/>
      </w:pPr>
      <w:r>
        <w:lastRenderedPageBreak/>
        <w:t xml:space="preserve">Calculation of Energy Savings </w:t>
      </w:r>
    </w:p>
    <w:p w14:paraId="4A19D6AB" w14:textId="77777777" w:rsidR="00714AB9" w:rsidRDefault="00714AB9" w:rsidP="00714AB9">
      <w:pPr>
        <w:pStyle w:val="Heading6"/>
      </w:pPr>
      <w:r>
        <w:t>Electric Energy Savings</w:t>
      </w:r>
    </w:p>
    <w:p w14:paraId="5C4D3556" w14:textId="75041D7C" w:rsidR="00714AB9" w:rsidRDefault="00714AB9" w:rsidP="00714AB9">
      <w:pPr>
        <w:rPr>
          <w:rFonts w:eastAsiaTheme="majorEastAsia"/>
        </w:rPr>
      </w:pPr>
      <w:r>
        <w:rPr>
          <w:rFonts w:eastAsiaTheme="majorEastAsia"/>
        </w:rPr>
        <w:t xml:space="preserve">Annualized savings should be calculated separately for each VO-enabled feeder. </w:t>
      </w:r>
      <w:r>
        <w:rPr>
          <w:rFonts w:cs="Arial"/>
          <w:szCs w:val="20"/>
        </w:rPr>
        <w:t>The savings reductions during VO On/Off testing shall not be a basis to reduce the estimated savings.</w:t>
      </w:r>
      <w:r>
        <w:rPr>
          <w:rStyle w:val="FootnoteReference"/>
          <w:szCs w:val="20"/>
        </w:rPr>
        <w:footnoteReference w:id="38"/>
      </w:r>
      <w:r>
        <w:rPr>
          <w:rFonts w:cs="Arial"/>
          <w:szCs w:val="20"/>
        </w:rPr>
        <w:t xml:space="preserve"> The off periods from testing shall be treated as if they were on during the evaluation</w:t>
      </w:r>
      <w:r>
        <w:rPr>
          <w:rFonts w:cs="Arial"/>
          <w:spacing w:val="-10"/>
          <w:szCs w:val="20"/>
        </w:rPr>
        <w:t xml:space="preserve"> </w:t>
      </w:r>
      <w:r>
        <w:rPr>
          <w:rFonts w:cs="Arial"/>
          <w:szCs w:val="20"/>
        </w:rPr>
        <w:t>period.</w:t>
      </w:r>
      <w:r>
        <w:rPr>
          <w:rFonts w:eastAsiaTheme="majorEastAsia"/>
        </w:rPr>
        <w:t xml:space="preserve"> </w:t>
      </w:r>
    </w:p>
    <w:p w14:paraId="19040E91" w14:textId="77777777" w:rsidR="00714AB9" w:rsidRDefault="00714AB9" w:rsidP="001F5EC5">
      <w:pPr>
        <w:ind w:firstLine="720"/>
      </w:pPr>
      <w:proofErr w:type="spellStart"/>
      <w:r>
        <w:rPr>
          <w:rFonts w:ascii="Cambria Math" w:eastAsiaTheme="majorEastAsia" w:hAnsi="Cambria Math"/>
        </w:rPr>
        <w:t>Δ</w:t>
      </w:r>
      <w:r>
        <w:rPr>
          <w:rFonts w:eastAsiaTheme="majorEastAsia"/>
        </w:rPr>
        <w:t>kWh</w:t>
      </w:r>
      <w:proofErr w:type="spellEnd"/>
      <w:r>
        <w:rPr>
          <w:rFonts w:eastAsiaTheme="majorEastAsia"/>
        </w:rPr>
        <w:t xml:space="preserve"> = </w:t>
      </w:r>
      <w:proofErr w:type="spellStart"/>
      <w:r>
        <w:rPr>
          <w:rFonts w:eastAsiaTheme="majorEastAsia"/>
        </w:rPr>
        <w:t>kWh</w:t>
      </w:r>
      <w:r>
        <w:rPr>
          <w:rFonts w:eastAsiaTheme="majorEastAsia"/>
          <w:vertAlign w:val="subscript"/>
        </w:rPr>
        <w:t>BASE</w:t>
      </w:r>
      <w:proofErr w:type="spellEnd"/>
      <w:r>
        <w:rPr>
          <w:rFonts w:eastAsiaTheme="majorEastAsia"/>
        </w:rPr>
        <w:t xml:space="preserve"> * </w:t>
      </w:r>
      <w:r>
        <w:rPr>
          <w:rFonts w:ascii="Cambria Math" w:eastAsiaTheme="majorEastAsia" w:hAnsi="Cambria Math"/>
        </w:rPr>
        <w:t>Δ</w:t>
      </w:r>
      <w:r>
        <w:rPr>
          <w:rFonts w:eastAsiaTheme="majorEastAsia"/>
        </w:rPr>
        <w:t xml:space="preserve">V * </w:t>
      </w:r>
      <w:proofErr w:type="spellStart"/>
      <w:r>
        <w:rPr>
          <w:rFonts w:eastAsiaTheme="majorEastAsia"/>
        </w:rPr>
        <w:t>CVR</w:t>
      </w:r>
      <w:r>
        <w:rPr>
          <w:rFonts w:eastAsiaTheme="majorEastAsia"/>
          <w:vertAlign w:val="subscript"/>
        </w:rPr>
        <w:t>f</w:t>
      </w:r>
      <w:proofErr w:type="spellEnd"/>
    </w:p>
    <w:p w14:paraId="4BAFA0D9" w14:textId="4637C05A" w:rsidR="00714AB9" w:rsidRDefault="006320E4" w:rsidP="001F5EC5">
      <w:pPr>
        <w:ind w:firstLine="720"/>
        <w:rPr>
          <w:rFonts w:cstheme="minorHAnsi"/>
        </w:rPr>
      </w:pPr>
      <w:r>
        <w:rPr>
          <w:rFonts w:cstheme="minorHAnsi"/>
        </w:rPr>
        <w:t>W</w:t>
      </w:r>
      <w:r w:rsidR="00714AB9">
        <w:rPr>
          <w:rFonts w:cstheme="minorHAnsi"/>
        </w:rPr>
        <w:t>here:</w:t>
      </w:r>
    </w:p>
    <w:p w14:paraId="2BBA8C4F" w14:textId="58FD5E78" w:rsidR="00714AB9" w:rsidRDefault="00714AB9" w:rsidP="0002515E">
      <w:pPr>
        <w:tabs>
          <w:tab w:val="center" w:pos="2160"/>
        </w:tabs>
        <w:ind w:left="720" w:firstLine="720"/>
        <w:rPr>
          <w:rFonts w:cstheme="minorHAnsi"/>
        </w:rPr>
      </w:pPr>
      <w:proofErr w:type="spellStart"/>
      <w:r>
        <w:rPr>
          <w:rFonts w:cstheme="minorHAnsi"/>
        </w:rPr>
        <w:t>kWh</w:t>
      </w:r>
      <w:r>
        <w:rPr>
          <w:rFonts w:cstheme="minorHAnsi"/>
          <w:vertAlign w:val="subscript"/>
        </w:rPr>
        <w:t>BASE</w:t>
      </w:r>
      <w:proofErr w:type="spellEnd"/>
      <w:r>
        <w:rPr>
          <w:rFonts w:cstheme="minorHAnsi"/>
          <w:vertAlign w:val="subscript"/>
        </w:rPr>
        <w:tab/>
      </w:r>
      <w:r w:rsidR="0002515E">
        <w:rPr>
          <w:rFonts w:cstheme="minorHAnsi"/>
          <w:vertAlign w:val="subscript"/>
        </w:rPr>
        <w:tab/>
      </w:r>
      <w:r>
        <w:rPr>
          <w:i/>
        </w:rPr>
        <w:t>=</w:t>
      </w:r>
      <w:r>
        <w:rPr>
          <w:rFonts w:cstheme="minorHAnsi"/>
          <w:i/>
        </w:rPr>
        <w:t xml:space="preserve"> </w:t>
      </w:r>
      <w:r>
        <w:rPr>
          <w:rFonts w:cstheme="minorHAnsi"/>
        </w:rPr>
        <w:t>Baseline kWh consumption on the feeder per year</w:t>
      </w:r>
      <w:r>
        <w:rPr>
          <w:rStyle w:val="FootnoteReference"/>
        </w:rPr>
        <w:footnoteReference w:id="39"/>
      </w:r>
    </w:p>
    <w:p w14:paraId="2EA5869F" w14:textId="1819CA34" w:rsidR="00714AB9" w:rsidRDefault="00714AB9" w:rsidP="0096206D">
      <w:pPr>
        <w:ind w:left="2880"/>
        <w:rPr>
          <w:rFonts w:cstheme="minorHAnsi"/>
        </w:rPr>
      </w:pPr>
      <w:r>
        <w:rPr>
          <w:rFonts w:cstheme="minorHAnsi"/>
        </w:rPr>
        <w:t>For Ameren territory</w:t>
      </w:r>
      <w:r w:rsidR="004C1BB4">
        <w:rPr>
          <w:rFonts w:cstheme="minorHAnsi"/>
        </w:rPr>
        <w:t>,</w:t>
      </w:r>
      <w:r>
        <w:rPr>
          <w:rFonts w:cstheme="minorHAnsi"/>
        </w:rPr>
        <w:t xml:space="preserve"> use the average annual customer energy use for each feeder over the 2014-2016 timeframe, less energy use by exempt customers.</w:t>
      </w:r>
    </w:p>
    <w:p w14:paraId="1F2A4606" w14:textId="5B3C60B6" w:rsidR="00714AB9" w:rsidRDefault="00714AB9" w:rsidP="0096206D">
      <w:pPr>
        <w:ind w:left="2880"/>
        <w:rPr>
          <w:rFonts w:cstheme="minorHAnsi"/>
        </w:rPr>
      </w:pPr>
      <w:r>
        <w:rPr>
          <w:rFonts w:cstheme="minorHAnsi"/>
        </w:rPr>
        <w:t>For ComEd territory</w:t>
      </w:r>
      <w:r w:rsidR="00EE049A">
        <w:rPr>
          <w:rFonts w:cstheme="minorHAnsi"/>
        </w:rPr>
        <w:t>,</w:t>
      </w:r>
      <w:r>
        <w:rPr>
          <w:rFonts w:cstheme="minorHAnsi"/>
        </w:rPr>
        <w:t xml:space="preserve"> use annual energy consumption </w:t>
      </w:r>
      <w:r w:rsidR="00EE049A">
        <w:rPr>
          <w:rFonts w:cstheme="minorHAnsi"/>
        </w:rPr>
        <w:t>using</w:t>
      </w:r>
      <w:r>
        <w:rPr>
          <w:rFonts w:cstheme="minorHAnsi"/>
        </w:rPr>
        <w:t xml:space="preserve"> the actual energy measurement during the time when VO was off (as appropriate</w:t>
      </w:r>
      <w:r w:rsidR="00FF4174">
        <w:rPr>
          <w:rFonts w:cstheme="minorHAnsi"/>
        </w:rPr>
        <w:t>;</w:t>
      </w:r>
      <w:r>
        <w:rPr>
          <w:rFonts w:cstheme="minorHAnsi"/>
        </w:rPr>
        <w:t xml:space="preserve"> this may include the actual measurements prior to VO activation during the given program year and from prior program years and VO OFF periods from subsequent program years) and a calculated VO OFF value for the time when VO was on. The VO OFF baseline energy for the periods when VO is on shall be calculated using:</w:t>
      </w:r>
    </w:p>
    <w:p w14:paraId="33CD19DD" w14:textId="77777777" w:rsidR="00714AB9" w:rsidRPr="0096206D" w:rsidRDefault="00573A1D" w:rsidP="0096206D">
      <w:pPr>
        <w:tabs>
          <w:tab w:val="left" w:pos="2360"/>
        </w:tabs>
        <w:autoSpaceDE w:val="0"/>
        <w:autoSpaceDN w:val="0"/>
        <w:ind w:right="837"/>
        <w:rPr>
          <w:rFonts w:eastAsiaTheme="minorEastAsia" w:cs="Arial"/>
          <w:szCs w:val="20"/>
        </w:rPr>
      </w:pPr>
      <m:oMathPara>
        <m:oMath>
          <m:sSub>
            <m:sSubPr>
              <m:ctrlPr>
                <w:rPr>
                  <w:rFonts w:ascii="Cambria Math" w:hAnsi="Cambria Math" w:cs="Arial"/>
                  <w:i/>
                </w:rPr>
              </m:ctrlPr>
            </m:sSubPr>
            <m:e>
              <m:r>
                <w:rPr>
                  <w:rFonts w:ascii="Cambria Math" w:hAnsi="Cambria Math" w:cs="Arial"/>
                  <w:szCs w:val="20"/>
                </w:rPr>
                <m:t>E</m:t>
              </m:r>
            </m:e>
            <m:sub>
              <m:r>
                <w:rPr>
                  <w:rFonts w:ascii="Cambria Math" w:hAnsi="Cambria Math" w:cs="Arial"/>
                  <w:szCs w:val="20"/>
                </w:rPr>
                <m:t>VO_OFF</m:t>
              </m:r>
            </m:sub>
          </m:sSub>
          <m:r>
            <w:rPr>
              <w:rFonts w:ascii="Cambria Math" w:hAnsi="Cambria Math" w:cs="Arial"/>
              <w:szCs w:val="20"/>
            </w:rPr>
            <m:t>=</m:t>
          </m:r>
          <m:f>
            <m:fPr>
              <m:ctrlPr>
                <w:rPr>
                  <w:rFonts w:ascii="Cambria Math" w:hAnsi="Cambria Math" w:cs="Arial"/>
                  <w:i/>
                </w:rPr>
              </m:ctrlPr>
            </m:fPr>
            <m:num>
              <m:sSub>
                <m:sSubPr>
                  <m:ctrlPr>
                    <w:rPr>
                      <w:rFonts w:ascii="Cambria Math" w:hAnsi="Cambria Math" w:cs="Arial"/>
                      <w:i/>
                    </w:rPr>
                  </m:ctrlPr>
                </m:sSubPr>
                <m:e>
                  <m:r>
                    <w:rPr>
                      <w:rFonts w:ascii="Cambria Math" w:hAnsi="Cambria Math" w:cs="Arial"/>
                      <w:szCs w:val="20"/>
                    </w:rPr>
                    <m:t>E</m:t>
                  </m:r>
                </m:e>
                <m:sub>
                  <m:r>
                    <w:rPr>
                      <w:rFonts w:ascii="Cambria Math" w:hAnsi="Cambria Math" w:cs="Arial"/>
                      <w:szCs w:val="20"/>
                    </w:rPr>
                    <m:t>VO_ON</m:t>
                  </m:r>
                </m:sub>
              </m:sSub>
            </m:num>
            <m:den>
              <m:r>
                <w:rPr>
                  <w:rFonts w:ascii="Cambria Math" w:hAnsi="Cambria Math" w:cs="Arial"/>
                  <w:szCs w:val="20"/>
                </w:rPr>
                <m:t>1-(CV</m:t>
              </m:r>
              <m:sSub>
                <m:sSubPr>
                  <m:ctrlPr>
                    <w:rPr>
                      <w:rFonts w:ascii="Cambria Math" w:hAnsi="Cambria Math" w:cs="Arial"/>
                      <w:i/>
                    </w:rPr>
                  </m:ctrlPr>
                </m:sSubPr>
                <m:e>
                  <m:r>
                    <w:rPr>
                      <w:rFonts w:ascii="Cambria Math" w:hAnsi="Cambria Math" w:cs="Arial"/>
                      <w:szCs w:val="20"/>
                    </w:rPr>
                    <m:t>R</m:t>
                  </m:r>
                </m:e>
                <m:sub>
                  <m:r>
                    <w:rPr>
                      <w:rFonts w:ascii="Cambria Math" w:hAnsi="Cambria Math" w:cs="Arial"/>
                      <w:szCs w:val="20"/>
                    </w:rPr>
                    <m:t>f</m:t>
                  </m:r>
                </m:sub>
              </m:sSub>
              <m:r>
                <w:rPr>
                  <w:rFonts w:ascii="Cambria Math" w:hAnsi="Cambria Math" w:cs="Arial"/>
                  <w:szCs w:val="20"/>
                </w:rPr>
                <m:t>*∆V)</m:t>
              </m:r>
            </m:den>
          </m:f>
        </m:oMath>
      </m:oMathPara>
    </w:p>
    <w:p w14:paraId="5E660A46" w14:textId="54596250" w:rsidR="00714AB9" w:rsidRDefault="00370310" w:rsidP="00370310">
      <w:pPr>
        <w:autoSpaceDE w:val="0"/>
        <w:autoSpaceDN w:val="0"/>
        <w:spacing w:after="0"/>
        <w:ind w:left="2160" w:right="835" w:firstLine="720"/>
        <w:rPr>
          <w:rFonts w:cs="Arial"/>
          <w:szCs w:val="20"/>
        </w:rPr>
      </w:pPr>
      <w:r>
        <w:rPr>
          <w:rFonts w:cs="Arial"/>
          <w:szCs w:val="20"/>
        </w:rPr>
        <w:t>W</w:t>
      </w:r>
      <w:r w:rsidR="00714AB9">
        <w:rPr>
          <w:rFonts w:cs="Arial"/>
          <w:szCs w:val="20"/>
        </w:rPr>
        <w:t>here:</w:t>
      </w:r>
    </w:p>
    <w:p w14:paraId="0BA51B37" w14:textId="77777777" w:rsidR="00714AB9" w:rsidRDefault="00714AB9" w:rsidP="00714AB9">
      <w:pPr>
        <w:autoSpaceDE w:val="0"/>
        <w:autoSpaceDN w:val="0"/>
        <w:spacing w:after="0"/>
        <w:ind w:left="1440" w:right="835" w:firstLine="720"/>
        <w:rPr>
          <w:rFonts w:cs="Arial"/>
          <w:szCs w:val="20"/>
        </w:rPr>
      </w:pPr>
      <w:r>
        <w:rPr>
          <w:rFonts w:cs="Arial"/>
          <w:szCs w:val="20"/>
        </w:rPr>
        <w:t xml:space="preserve"> </w:t>
      </w:r>
    </w:p>
    <w:p w14:paraId="5811C327" w14:textId="50C46756" w:rsidR="00714AB9" w:rsidRDefault="00573A1D" w:rsidP="00505035">
      <w:pPr>
        <w:spacing w:after="0"/>
        <w:ind w:left="2880" w:right="475"/>
        <w:rPr>
          <w:rFonts w:ascii="Calibri" w:hAnsi="Calibri" w:cs="Calibri"/>
          <w:szCs w:val="20"/>
        </w:rPr>
      </w:pPr>
      <m:oMath>
        <m:sSub>
          <m:sSubPr>
            <m:ctrlPr>
              <w:rPr>
                <w:rFonts w:ascii="Cambria Math" w:hAnsi="Cambria Math" w:cs="Calibri"/>
                <w:i/>
              </w:rPr>
            </m:ctrlPr>
          </m:sSubPr>
          <m:e>
            <m:r>
              <w:rPr>
                <w:rFonts w:ascii="Cambria Math" w:hAnsi="Cambria Math" w:cs="Calibri"/>
                <w:szCs w:val="20"/>
              </w:rPr>
              <m:t>E</m:t>
            </m:r>
          </m:e>
          <m:sub>
            <m:r>
              <w:rPr>
                <w:rFonts w:ascii="Cambria Math" w:hAnsi="Cambria Math" w:cs="Calibri"/>
                <w:szCs w:val="20"/>
              </w:rPr>
              <m:t>VO_OFF</m:t>
            </m:r>
          </m:sub>
        </m:sSub>
      </m:oMath>
      <w:r w:rsidR="00714AB9">
        <w:rPr>
          <w:rFonts w:ascii="Calibri" w:eastAsiaTheme="minorEastAsia" w:hAnsi="Calibri" w:cs="Calibri"/>
          <w:szCs w:val="20"/>
        </w:rPr>
        <w:t xml:space="preserve"> </w:t>
      </w:r>
      <w:r w:rsidR="00505035">
        <w:rPr>
          <w:rFonts w:ascii="Calibri" w:eastAsiaTheme="minorEastAsia" w:hAnsi="Calibri" w:cs="Calibri"/>
          <w:szCs w:val="20"/>
        </w:rPr>
        <w:tab/>
      </w:r>
      <w:r w:rsidR="006320E4">
        <w:rPr>
          <w:rFonts w:ascii="Calibri" w:hAnsi="Calibri" w:cs="Calibri"/>
          <w:szCs w:val="20"/>
        </w:rPr>
        <w:t xml:space="preserve">= </w:t>
      </w:r>
      <w:r w:rsidR="00714AB9">
        <w:rPr>
          <w:rFonts w:ascii="Calibri" w:hAnsi="Calibri" w:cs="Calibri"/>
          <w:szCs w:val="20"/>
        </w:rPr>
        <w:t xml:space="preserve">the calculated </w:t>
      </w:r>
      <w:r w:rsidR="00714AB9">
        <w:rPr>
          <w:rFonts w:ascii="Calibri" w:hAnsi="Calibri" w:cs="Calibri"/>
          <w:w w:val="99"/>
          <w:szCs w:val="20"/>
        </w:rPr>
        <w:t>VO</w:t>
      </w:r>
      <w:r w:rsidR="00714AB9">
        <w:rPr>
          <w:rFonts w:ascii="Calibri" w:hAnsi="Calibri" w:cs="Calibri"/>
          <w:szCs w:val="20"/>
        </w:rPr>
        <w:t xml:space="preserve"> </w:t>
      </w:r>
      <w:r w:rsidR="00714AB9">
        <w:rPr>
          <w:rFonts w:ascii="Calibri" w:hAnsi="Calibri" w:cs="Calibri"/>
          <w:w w:val="99"/>
          <w:szCs w:val="20"/>
        </w:rPr>
        <w:t>OFF</w:t>
      </w:r>
      <w:r w:rsidR="00714AB9">
        <w:rPr>
          <w:rFonts w:ascii="Calibri" w:hAnsi="Calibri" w:cs="Calibri"/>
          <w:szCs w:val="20"/>
        </w:rPr>
        <w:t xml:space="preserve"> energy con</w:t>
      </w:r>
      <w:r w:rsidR="00714AB9">
        <w:rPr>
          <w:rFonts w:ascii="Calibri" w:hAnsi="Calibri" w:cs="Calibri"/>
          <w:w w:val="99"/>
          <w:szCs w:val="20"/>
        </w:rPr>
        <w:t>su</w:t>
      </w:r>
      <w:r w:rsidR="00714AB9">
        <w:rPr>
          <w:rFonts w:ascii="Calibri" w:hAnsi="Calibri" w:cs="Calibri"/>
          <w:szCs w:val="20"/>
        </w:rPr>
        <w:t xml:space="preserve">mption </w:t>
      </w:r>
      <w:r w:rsidR="00714AB9">
        <w:rPr>
          <w:rFonts w:ascii="Calibri" w:hAnsi="Calibri" w:cs="Calibri"/>
          <w:w w:val="99"/>
          <w:szCs w:val="20"/>
        </w:rPr>
        <w:t>w</w:t>
      </w:r>
      <w:r w:rsidR="00714AB9">
        <w:rPr>
          <w:rFonts w:ascii="Calibri" w:hAnsi="Calibri" w:cs="Calibri"/>
          <w:szCs w:val="20"/>
        </w:rPr>
        <w:t xml:space="preserve">hen </w:t>
      </w:r>
      <w:r w:rsidR="00714AB9">
        <w:rPr>
          <w:rFonts w:ascii="Calibri" w:hAnsi="Calibri" w:cs="Calibri"/>
          <w:w w:val="99"/>
          <w:szCs w:val="20"/>
        </w:rPr>
        <w:t>VO</w:t>
      </w:r>
      <w:r w:rsidR="00714AB9">
        <w:rPr>
          <w:rFonts w:ascii="Calibri" w:hAnsi="Calibri" w:cs="Calibri"/>
          <w:szCs w:val="20"/>
        </w:rPr>
        <w:t xml:space="preserve"> i</w:t>
      </w:r>
      <w:r w:rsidR="00714AB9">
        <w:rPr>
          <w:rFonts w:ascii="Calibri" w:hAnsi="Calibri" w:cs="Calibri"/>
          <w:w w:val="99"/>
          <w:szCs w:val="20"/>
        </w:rPr>
        <w:t xml:space="preserve">s </w:t>
      </w:r>
      <w:r w:rsidR="00714AB9">
        <w:rPr>
          <w:rFonts w:ascii="Calibri" w:hAnsi="Calibri" w:cs="Calibri"/>
          <w:szCs w:val="20"/>
        </w:rPr>
        <w:t>on (activated)</w:t>
      </w:r>
    </w:p>
    <w:p w14:paraId="3C789585" w14:textId="165A9BAC" w:rsidR="00714AB9" w:rsidRDefault="00573A1D" w:rsidP="00505035">
      <w:pPr>
        <w:pStyle w:val="BodyText"/>
        <w:spacing w:after="0"/>
        <w:ind w:left="2880" w:right="471"/>
        <w:rPr>
          <w:rFonts w:ascii="Calibri" w:hAnsi="Calibri" w:cs="Calibri"/>
          <w:sz w:val="20"/>
          <w:szCs w:val="20"/>
        </w:rPr>
      </w:pPr>
      <m:oMath>
        <m:sSub>
          <m:sSubPr>
            <m:ctrlPr>
              <w:rPr>
                <w:rFonts w:ascii="Cambria Math" w:hAnsi="Cambria Math" w:cs="Calibri"/>
                <w:i/>
              </w:rPr>
            </m:ctrlPr>
          </m:sSubPr>
          <m:e>
            <m:r>
              <w:rPr>
                <w:rFonts w:ascii="Cambria Math" w:hAnsi="Cambria Math" w:cs="Calibri"/>
                <w:sz w:val="20"/>
                <w:szCs w:val="20"/>
              </w:rPr>
              <m:t>E</m:t>
            </m:r>
          </m:e>
          <m:sub>
            <m:r>
              <w:rPr>
                <w:rFonts w:ascii="Cambria Math" w:hAnsi="Cambria Math" w:cs="Calibri"/>
                <w:sz w:val="20"/>
                <w:szCs w:val="20"/>
              </w:rPr>
              <m:t>VO_ON</m:t>
            </m:r>
          </m:sub>
        </m:sSub>
      </m:oMath>
      <w:r w:rsidR="00714AB9">
        <w:rPr>
          <w:rFonts w:ascii="Calibri" w:eastAsiaTheme="minorEastAsia" w:hAnsi="Calibri" w:cs="Calibri"/>
          <w:sz w:val="20"/>
          <w:szCs w:val="20"/>
        </w:rPr>
        <w:t xml:space="preserve"> </w:t>
      </w:r>
      <w:r w:rsidR="00505035">
        <w:rPr>
          <w:rFonts w:ascii="Calibri" w:eastAsiaTheme="minorEastAsia" w:hAnsi="Calibri" w:cs="Calibri"/>
          <w:sz w:val="20"/>
          <w:szCs w:val="20"/>
        </w:rPr>
        <w:tab/>
      </w:r>
      <w:r w:rsidR="006320E4">
        <w:rPr>
          <w:rFonts w:ascii="Calibri" w:hAnsi="Calibri" w:cs="Calibri"/>
          <w:sz w:val="20"/>
          <w:szCs w:val="20"/>
        </w:rPr>
        <w:t xml:space="preserve">= </w:t>
      </w:r>
      <w:r w:rsidR="00714AB9">
        <w:rPr>
          <w:rFonts w:ascii="Calibri" w:hAnsi="Calibri" w:cs="Calibri"/>
          <w:sz w:val="20"/>
          <w:szCs w:val="20"/>
        </w:rPr>
        <w:t>the actual mea</w:t>
      </w:r>
      <w:r w:rsidR="00714AB9">
        <w:rPr>
          <w:rFonts w:ascii="Calibri" w:hAnsi="Calibri" w:cs="Calibri"/>
          <w:w w:val="99"/>
          <w:sz w:val="20"/>
          <w:szCs w:val="20"/>
        </w:rPr>
        <w:t>sured energy cons</w:t>
      </w:r>
      <w:r w:rsidR="00714AB9">
        <w:rPr>
          <w:rFonts w:ascii="Calibri" w:hAnsi="Calibri" w:cs="Calibri"/>
          <w:sz w:val="20"/>
          <w:szCs w:val="20"/>
        </w:rPr>
        <w:t>umpti</w:t>
      </w:r>
      <w:r w:rsidR="00714AB9">
        <w:rPr>
          <w:rFonts w:ascii="Calibri" w:hAnsi="Calibri" w:cs="Calibri"/>
          <w:w w:val="99"/>
          <w:sz w:val="20"/>
          <w:szCs w:val="20"/>
        </w:rPr>
        <w:t>on</w:t>
      </w:r>
      <w:r w:rsidR="00714AB9">
        <w:rPr>
          <w:rFonts w:ascii="Calibri" w:hAnsi="Calibri" w:cs="Calibri"/>
          <w:sz w:val="20"/>
          <w:szCs w:val="20"/>
        </w:rPr>
        <w:t xml:space="preserve"> during the period when VO is on</w:t>
      </w:r>
    </w:p>
    <w:p w14:paraId="790CEDCC" w14:textId="70C760A6" w:rsidR="00714AB9" w:rsidRDefault="00714AB9" w:rsidP="00370310">
      <w:pPr>
        <w:pStyle w:val="BodyText"/>
        <w:spacing w:after="0"/>
        <w:ind w:left="2160" w:firstLine="720"/>
        <w:rPr>
          <w:rFonts w:ascii="Calibri" w:hAnsi="Calibri" w:cs="Calibri"/>
          <w:sz w:val="20"/>
          <w:szCs w:val="20"/>
        </w:rPr>
      </w:pPr>
      <m:oMath>
        <m:r>
          <w:rPr>
            <w:rFonts w:ascii="Cambria Math" w:hAnsi="Cambria Math" w:cs="Calibri"/>
            <w:sz w:val="20"/>
            <w:szCs w:val="20"/>
          </w:rPr>
          <m:t>∆V</m:t>
        </m:r>
      </m:oMath>
      <w:r>
        <w:rPr>
          <w:rFonts w:ascii="Calibri" w:eastAsiaTheme="minorEastAsia" w:hAnsi="Calibri" w:cs="Calibri"/>
          <w:sz w:val="20"/>
          <w:szCs w:val="20"/>
        </w:rPr>
        <w:t xml:space="preserve"> </w:t>
      </w:r>
      <w:r w:rsidR="00505035">
        <w:rPr>
          <w:rFonts w:ascii="Calibri" w:eastAsiaTheme="minorEastAsia" w:hAnsi="Calibri" w:cs="Calibri"/>
          <w:sz w:val="20"/>
          <w:szCs w:val="20"/>
        </w:rPr>
        <w:tab/>
      </w:r>
      <w:r w:rsidR="00505035">
        <w:rPr>
          <w:rFonts w:ascii="Calibri" w:hAnsi="Calibri" w:cs="Calibri"/>
          <w:sz w:val="20"/>
          <w:szCs w:val="20"/>
        </w:rPr>
        <w:t xml:space="preserve">= </w:t>
      </w:r>
      <w:r>
        <w:rPr>
          <w:rFonts w:ascii="Calibri" w:hAnsi="Calibri" w:cs="Calibri"/>
          <w:sz w:val="20"/>
          <w:szCs w:val="20"/>
        </w:rPr>
        <w:t>the voltage reduction</w:t>
      </w:r>
    </w:p>
    <w:p w14:paraId="000BAD30" w14:textId="061028F2" w:rsidR="00714AB9" w:rsidRDefault="00714AB9" w:rsidP="00370310">
      <w:pPr>
        <w:pStyle w:val="BodyText"/>
        <w:spacing w:after="0"/>
        <w:ind w:left="2160" w:firstLine="720"/>
        <w:rPr>
          <w:rFonts w:ascii="Calibri" w:hAnsi="Calibri" w:cs="Calibri"/>
          <w:sz w:val="20"/>
          <w:szCs w:val="20"/>
        </w:rPr>
      </w:pPr>
      <m:oMath>
        <m:r>
          <w:rPr>
            <w:rFonts w:ascii="Cambria Math" w:hAnsi="Cambria Math" w:cs="Calibri"/>
            <w:sz w:val="20"/>
            <w:szCs w:val="20"/>
          </w:rPr>
          <m:t>CV</m:t>
        </m:r>
        <m:sSub>
          <m:sSubPr>
            <m:ctrlPr>
              <w:rPr>
                <w:rFonts w:ascii="Cambria Math" w:hAnsi="Cambria Math" w:cs="Calibri"/>
                <w:i/>
              </w:rPr>
            </m:ctrlPr>
          </m:sSubPr>
          <m:e>
            <m:r>
              <w:rPr>
                <w:rFonts w:ascii="Cambria Math" w:hAnsi="Cambria Math" w:cs="Calibri"/>
                <w:sz w:val="20"/>
                <w:szCs w:val="20"/>
              </w:rPr>
              <m:t>R</m:t>
            </m:r>
          </m:e>
          <m:sub>
            <m:r>
              <w:rPr>
                <w:rFonts w:ascii="Cambria Math" w:hAnsi="Cambria Math" w:cs="Calibri"/>
                <w:sz w:val="20"/>
                <w:szCs w:val="20"/>
              </w:rPr>
              <m:t>f</m:t>
            </m:r>
          </m:sub>
        </m:sSub>
      </m:oMath>
      <w:r>
        <w:rPr>
          <w:rFonts w:ascii="Calibri" w:eastAsiaTheme="minorEastAsia" w:hAnsi="Calibri" w:cs="Calibri"/>
          <w:sz w:val="20"/>
          <w:szCs w:val="20"/>
        </w:rPr>
        <w:t xml:space="preserve"> </w:t>
      </w:r>
      <w:r w:rsidR="00505035">
        <w:rPr>
          <w:rFonts w:ascii="Calibri" w:eastAsiaTheme="minorEastAsia" w:hAnsi="Calibri" w:cs="Calibri"/>
          <w:sz w:val="20"/>
          <w:szCs w:val="20"/>
        </w:rPr>
        <w:tab/>
      </w:r>
      <w:r w:rsidR="00505035">
        <w:rPr>
          <w:rFonts w:ascii="Calibri" w:hAnsi="Calibri" w:cs="Calibri"/>
          <w:sz w:val="20"/>
          <w:szCs w:val="20"/>
        </w:rPr>
        <w:t xml:space="preserve">= </w:t>
      </w:r>
      <w:r>
        <w:rPr>
          <w:rFonts w:ascii="Calibri" w:hAnsi="Calibri" w:cs="Calibri"/>
          <w:sz w:val="20"/>
          <w:szCs w:val="20"/>
        </w:rPr>
        <w:t>the CVR factor</w:t>
      </w:r>
    </w:p>
    <w:p w14:paraId="5AFFCA80" w14:textId="77777777" w:rsidR="00714AB9" w:rsidRDefault="00714AB9" w:rsidP="0092016D">
      <w:pPr>
        <w:pStyle w:val="ListParagraph"/>
        <w:widowControl/>
        <w:numPr>
          <w:ilvl w:val="3"/>
          <w:numId w:val="87"/>
        </w:numPr>
        <w:tabs>
          <w:tab w:val="left" w:pos="3095"/>
        </w:tabs>
        <w:autoSpaceDE w:val="0"/>
        <w:autoSpaceDN w:val="0"/>
        <w:spacing w:before="120" w:after="0"/>
        <w:ind w:left="3081" w:right="1195" w:hanging="734"/>
        <w:rPr>
          <w:rFonts w:cstheme="minorHAnsi"/>
          <w:szCs w:val="20"/>
        </w:rPr>
      </w:pPr>
      <w:r>
        <w:rPr>
          <w:rFonts w:cstheme="minorHAnsi"/>
          <w:szCs w:val="20"/>
        </w:rPr>
        <w:t>Where power (MW) data has not been established yet, best available data from the feeder line measurement devices should be considered.</w:t>
      </w:r>
    </w:p>
    <w:p w14:paraId="220875F5" w14:textId="25564B28" w:rsidR="00714AB9" w:rsidRDefault="00714AB9" w:rsidP="0092016D">
      <w:pPr>
        <w:pStyle w:val="ListParagraph"/>
        <w:widowControl/>
        <w:numPr>
          <w:ilvl w:val="3"/>
          <w:numId w:val="87"/>
        </w:numPr>
        <w:tabs>
          <w:tab w:val="left" w:pos="3095"/>
        </w:tabs>
        <w:autoSpaceDE w:val="0"/>
        <w:autoSpaceDN w:val="0"/>
        <w:spacing w:before="120" w:after="0"/>
        <w:ind w:left="3081" w:right="1195" w:hanging="734"/>
        <w:rPr>
          <w:rFonts w:cstheme="minorHAnsi"/>
          <w:szCs w:val="20"/>
        </w:rPr>
      </w:pPr>
      <w:bookmarkStart w:id="754" w:name="_Hlk40076537"/>
      <w:bookmarkStart w:id="755" w:name="_Hlk40262258"/>
      <w:r>
        <w:rPr>
          <w:rFonts w:cstheme="minorHAnsi"/>
          <w:szCs w:val="20"/>
        </w:rPr>
        <w:t>Data are clustered into bins according to temperature range</w:t>
      </w:r>
      <w:r w:rsidR="001E3AB3">
        <w:rPr>
          <w:rFonts w:cstheme="minorHAnsi"/>
          <w:szCs w:val="20"/>
        </w:rPr>
        <w:t>,</w:t>
      </w:r>
      <w:r>
        <w:rPr>
          <w:rStyle w:val="FootnoteReference"/>
          <w:rFonts w:cstheme="minorHAnsi"/>
          <w:szCs w:val="20"/>
        </w:rPr>
        <w:footnoteReference w:id="40"/>
      </w:r>
      <w:r>
        <w:rPr>
          <w:rFonts w:cstheme="minorHAnsi"/>
          <w:szCs w:val="20"/>
        </w:rPr>
        <w:t xml:space="preserve"> season</w:t>
      </w:r>
      <w:r w:rsidR="001E3AB3">
        <w:rPr>
          <w:rFonts w:cstheme="minorHAnsi"/>
          <w:szCs w:val="20"/>
        </w:rPr>
        <w:t>,</w:t>
      </w:r>
      <w:r>
        <w:rPr>
          <w:rStyle w:val="FootnoteReference"/>
          <w:rFonts w:cstheme="minorHAnsi"/>
          <w:szCs w:val="20"/>
        </w:rPr>
        <w:footnoteReference w:id="41"/>
      </w:r>
      <w:r>
        <w:rPr>
          <w:rFonts w:cstheme="minorHAnsi"/>
          <w:szCs w:val="20"/>
        </w:rPr>
        <w:t xml:space="preserve"> day type (weekday/weekend)</w:t>
      </w:r>
      <w:r w:rsidR="001E3AB3">
        <w:rPr>
          <w:rFonts w:cstheme="minorHAnsi"/>
          <w:szCs w:val="20"/>
        </w:rPr>
        <w:t>,</w:t>
      </w:r>
      <w:r>
        <w:rPr>
          <w:rStyle w:val="FootnoteReference"/>
          <w:rFonts w:cstheme="minorHAnsi"/>
          <w:szCs w:val="20"/>
        </w:rPr>
        <w:footnoteReference w:id="42"/>
      </w:r>
      <w:r>
        <w:rPr>
          <w:rFonts w:cstheme="minorHAnsi"/>
          <w:spacing w:val="-23"/>
          <w:szCs w:val="20"/>
        </w:rPr>
        <w:t xml:space="preserve"> </w:t>
      </w:r>
      <w:r>
        <w:rPr>
          <w:rFonts w:cstheme="minorHAnsi"/>
          <w:szCs w:val="20"/>
        </w:rPr>
        <w:t>and hour of the day based on the VO OFF and ON statuses to</w:t>
      </w:r>
      <w:r>
        <w:rPr>
          <w:rFonts w:cstheme="minorHAnsi"/>
          <w:spacing w:val="-10"/>
          <w:szCs w:val="20"/>
        </w:rPr>
        <w:t xml:space="preserve"> </w:t>
      </w:r>
      <w:r>
        <w:rPr>
          <w:rFonts w:cstheme="minorHAnsi"/>
          <w:szCs w:val="20"/>
        </w:rPr>
        <w:t>create</w:t>
      </w:r>
      <w:r>
        <w:rPr>
          <w:rFonts w:cstheme="minorHAnsi"/>
          <w:spacing w:val="-8"/>
          <w:szCs w:val="20"/>
        </w:rPr>
        <w:t xml:space="preserve"> </w:t>
      </w:r>
      <w:r>
        <w:rPr>
          <w:rFonts w:cstheme="minorHAnsi"/>
          <w:szCs w:val="20"/>
        </w:rPr>
        <w:t>a</w:t>
      </w:r>
      <w:r>
        <w:rPr>
          <w:rFonts w:cstheme="minorHAnsi"/>
          <w:spacing w:val="-10"/>
          <w:szCs w:val="20"/>
        </w:rPr>
        <w:t xml:space="preserve"> </w:t>
      </w:r>
      <w:r>
        <w:rPr>
          <w:rFonts w:cstheme="minorHAnsi"/>
          <w:szCs w:val="20"/>
        </w:rPr>
        <w:t>lookup</w:t>
      </w:r>
      <w:r>
        <w:rPr>
          <w:rFonts w:cstheme="minorHAnsi"/>
          <w:spacing w:val="-9"/>
          <w:szCs w:val="20"/>
        </w:rPr>
        <w:t xml:space="preserve"> </w:t>
      </w:r>
      <w:r>
        <w:rPr>
          <w:rFonts w:cstheme="minorHAnsi"/>
          <w:szCs w:val="20"/>
        </w:rPr>
        <w:t>table.</w:t>
      </w:r>
      <w:r>
        <w:rPr>
          <w:rFonts w:cstheme="minorHAnsi"/>
          <w:spacing w:val="-10"/>
          <w:szCs w:val="20"/>
        </w:rPr>
        <w:t xml:space="preserve"> </w:t>
      </w:r>
      <w:bookmarkEnd w:id="754"/>
      <w:r>
        <w:rPr>
          <w:rFonts w:cstheme="minorHAnsi"/>
          <w:szCs w:val="20"/>
        </w:rPr>
        <w:t>If</w:t>
      </w:r>
      <w:r>
        <w:rPr>
          <w:rFonts w:cstheme="minorHAnsi"/>
          <w:spacing w:val="-8"/>
          <w:szCs w:val="20"/>
        </w:rPr>
        <w:t xml:space="preserve"> </w:t>
      </w:r>
      <w:r>
        <w:rPr>
          <w:rFonts w:cstheme="minorHAnsi"/>
          <w:szCs w:val="20"/>
        </w:rPr>
        <w:t>multiple</w:t>
      </w:r>
      <w:r>
        <w:rPr>
          <w:rFonts w:cstheme="minorHAnsi"/>
          <w:spacing w:val="-8"/>
          <w:szCs w:val="20"/>
        </w:rPr>
        <w:t xml:space="preserve"> </w:t>
      </w:r>
      <w:r>
        <w:rPr>
          <w:rFonts w:cstheme="minorHAnsi"/>
          <w:szCs w:val="20"/>
        </w:rPr>
        <w:t>data</w:t>
      </w:r>
      <w:r>
        <w:rPr>
          <w:rFonts w:cstheme="minorHAnsi"/>
          <w:spacing w:val="-8"/>
          <w:szCs w:val="20"/>
        </w:rPr>
        <w:t xml:space="preserve"> </w:t>
      </w:r>
      <w:r>
        <w:rPr>
          <w:rFonts w:cstheme="minorHAnsi"/>
          <w:szCs w:val="20"/>
        </w:rPr>
        <w:t>points</w:t>
      </w:r>
      <w:r>
        <w:rPr>
          <w:rFonts w:cstheme="minorHAnsi"/>
          <w:spacing w:val="-8"/>
          <w:szCs w:val="20"/>
        </w:rPr>
        <w:t xml:space="preserve"> </w:t>
      </w:r>
      <w:r>
        <w:rPr>
          <w:rFonts w:cstheme="minorHAnsi"/>
          <w:szCs w:val="20"/>
        </w:rPr>
        <w:t>are</w:t>
      </w:r>
      <w:r>
        <w:rPr>
          <w:rFonts w:cstheme="minorHAnsi"/>
          <w:spacing w:val="-10"/>
          <w:szCs w:val="20"/>
        </w:rPr>
        <w:t xml:space="preserve"> </w:t>
      </w:r>
      <w:r>
        <w:rPr>
          <w:rFonts w:cstheme="minorHAnsi"/>
          <w:szCs w:val="20"/>
        </w:rPr>
        <w:t>found (i.e., same temperature range, same season, same day type, same</w:t>
      </w:r>
      <w:r>
        <w:rPr>
          <w:rFonts w:cstheme="minorHAnsi"/>
          <w:spacing w:val="-19"/>
          <w:szCs w:val="20"/>
        </w:rPr>
        <w:t xml:space="preserve"> </w:t>
      </w:r>
      <w:r>
        <w:rPr>
          <w:rFonts w:cstheme="minorHAnsi"/>
          <w:szCs w:val="20"/>
        </w:rPr>
        <w:t xml:space="preserve">hour of the day, and same VO status), the average </w:t>
      </w:r>
      <w:proofErr w:type="gramStart"/>
      <w:r>
        <w:rPr>
          <w:rFonts w:cstheme="minorHAnsi"/>
          <w:szCs w:val="20"/>
        </w:rPr>
        <w:t xml:space="preserve">of </w:t>
      </w:r>
      <w:r>
        <w:rPr>
          <w:rFonts w:cstheme="minorHAnsi"/>
          <w:spacing w:val="-42"/>
          <w:szCs w:val="20"/>
        </w:rPr>
        <w:t xml:space="preserve"> </w:t>
      </w:r>
      <w:r>
        <w:rPr>
          <w:rFonts w:cstheme="minorHAnsi"/>
          <w:szCs w:val="20"/>
        </w:rPr>
        <w:t>multiple</w:t>
      </w:r>
      <w:proofErr w:type="gramEnd"/>
      <w:r>
        <w:rPr>
          <w:rFonts w:cstheme="minorHAnsi"/>
          <w:szCs w:val="20"/>
        </w:rPr>
        <w:t xml:space="preserve"> references are placed into the lookup</w:t>
      </w:r>
      <w:r>
        <w:rPr>
          <w:rFonts w:cstheme="minorHAnsi"/>
          <w:spacing w:val="-4"/>
          <w:szCs w:val="20"/>
        </w:rPr>
        <w:t xml:space="preserve"> </w:t>
      </w:r>
      <w:r>
        <w:rPr>
          <w:rFonts w:cstheme="minorHAnsi"/>
          <w:szCs w:val="20"/>
        </w:rPr>
        <w:t xml:space="preserve">table. Various combinations of these variables may </w:t>
      </w:r>
      <w:r>
        <w:rPr>
          <w:rFonts w:cstheme="minorHAnsi"/>
          <w:szCs w:val="20"/>
        </w:rPr>
        <w:lastRenderedPageBreak/>
        <w:t>be used in an order of decreasing priority when no data points are found that match all of them.</w:t>
      </w:r>
    </w:p>
    <w:bookmarkEnd w:id="755"/>
    <w:p w14:paraId="39A1F6DF" w14:textId="0F8B3264" w:rsidR="00714AB9" w:rsidRDefault="00714AB9" w:rsidP="0092016D">
      <w:pPr>
        <w:pStyle w:val="ListParagraph"/>
        <w:numPr>
          <w:ilvl w:val="3"/>
          <w:numId w:val="87"/>
        </w:numPr>
        <w:tabs>
          <w:tab w:val="left" w:pos="3095"/>
        </w:tabs>
        <w:autoSpaceDE w:val="0"/>
        <w:autoSpaceDN w:val="0"/>
        <w:spacing w:before="119" w:after="0"/>
        <w:ind w:left="3067" w:right="1195"/>
        <w:rPr>
          <w:rFonts w:cstheme="minorHAnsi"/>
          <w:szCs w:val="20"/>
        </w:rPr>
      </w:pPr>
      <w:r>
        <w:rPr>
          <w:rFonts w:cstheme="minorHAnsi"/>
          <w:szCs w:val="20"/>
        </w:rPr>
        <w:t>The independent evaluator shall use best practices, including an appropriate technique that is transparent, replicable,</w:t>
      </w:r>
      <w:r>
        <w:rPr>
          <w:rFonts w:cstheme="minorHAnsi"/>
          <w:spacing w:val="-6"/>
          <w:szCs w:val="20"/>
        </w:rPr>
        <w:t xml:space="preserve"> </w:t>
      </w:r>
      <w:r>
        <w:rPr>
          <w:rFonts w:cstheme="minorHAnsi"/>
          <w:szCs w:val="20"/>
        </w:rPr>
        <w:t>and</w:t>
      </w:r>
      <w:r>
        <w:rPr>
          <w:rFonts w:cstheme="minorHAnsi"/>
          <w:spacing w:val="-5"/>
          <w:szCs w:val="20"/>
        </w:rPr>
        <w:t xml:space="preserve"> </w:t>
      </w:r>
      <w:r>
        <w:rPr>
          <w:rFonts w:cstheme="minorHAnsi"/>
          <w:szCs w:val="20"/>
        </w:rPr>
        <w:t>most</w:t>
      </w:r>
      <w:r>
        <w:rPr>
          <w:rFonts w:cstheme="minorHAnsi"/>
          <w:spacing w:val="-5"/>
          <w:szCs w:val="20"/>
        </w:rPr>
        <w:t xml:space="preserve"> </w:t>
      </w:r>
      <w:r>
        <w:rPr>
          <w:rFonts w:cstheme="minorHAnsi"/>
          <w:szCs w:val="20"/>
        </w:rPr>
        <w:t>accurate</w:t>
      </w:r>
      <w:r w:rsidR="00B57C5B">
        <w:rPr>
          <w:rFonts w:cstheme="minorHAnsi"/>
          <w:szCs w:val="20"/>
        </w:rPr>
        <w:t>,</w:t>
      </w:r>
      <w:r>
        <w:rPr>
          <w:rFonts w:cstheme="minorHAnsi"/>
          <w:spacing w:val="-6"/>
          <w:szCs w:val="20"/>
        </w:rPr>
        <w:t xml:space="preserve"> </w:t>
      </w:r>
      <w:r>
        <w:rPr>
          <w:rFonts w:cstheme="minorHAnsi"/>
          <w:szCs w:val="20"/>
        </w:rPr>
        <w:t>to</w:t>
      </w:r>
      <w:r>
        <w:rPr>
          <w:rFonts w:cstheme="minorHAnsi"/>
          <w:spacing w:val="-6"/>
          <w:szCs w:val="20"/>
        </w:rPr>
        <w:t xml:space="preserve"> </w:t>
      </w:r>
      <w:r>
        <w:rPr>
          <w:rFonts w:cstheme="minorHAnsi"/>
          <w:szCs w:val="20"/>
        </w:rPr>
        <w:t>address</w:t>
      </w:r>
      <w:r>
        <w:rPr>
          <w:rFonts w:cstheme="minorHAnsi"/>
          <w:spacing w:val="-5"/>
          <w:szCs w:val="20"/>
        </w:rPr>
        <w:t xml:space="preserve"> </w:t>
      </w:r>
      <w:r>
        <w:rPr>
          <w:rFonts w:cstheme="minorHAnsi"/>
          <w:szCs w:val="20"/>
        </w:rPr>
        <w:t>any</w:t>
      </w:r>
      <w:r>
        <w:rPr>
          <w:rFonts w:cstheme="minorHAnsi"/>
          <w:spacing w:val="-5"/>
          <w:szCs w:val="20"/>
        </w:rPr>
        <w:t xml:space="preserve"> </w:t>
      </w:r>
      <w:r>
        <w:rPr>
          <w:rFonts w:cstheme="minorHAnsi"/>
          <w:szCs w:val="20"/>
        </w:rPr>
        <w:t>data</w:t>
      </w:r>
      <w:r>
        <w:rPr>
          <w:rFonts w:cstheme="minorHAnsi"/>
          <w:spacing w:val="-7"/>
          <w:szCs w:val="20"/>
        </w:rPr>
        <w:t xml:space="preserve"> </w:t>
      </w:r>
      <w:r>
        <w:rPr>
          <w:rFonts w:cstheme="minorHAnsi"/>
          <w:szCs w:val="20"/>
        </w:rPr>
        <w:t>quality issues, with input from interested stakeholders, including</w:t>
      </w:r>
      <w:r>
        <w:rPr>
          <w:rFonts w:cstheme="minorHAnsi"/>
          <w:spacing w:val="-1"/>
          <w:szCs w:val="20"/>
        </w:rPr>
        <w:t xml:space="preserve"> </w:t>
      </w:r>
      <w:r>
        <w:rPr>
          <w:rFonts w:cstheme="minorHAnsi"/>
          <w:szCs w:val="20"/>
        </w:rPr>
        <w:t>ComEd.</w:t>
      </w:r>
    </w:p>
    <w:p w14:paraId="3CF95136" w14:textId="77777777" w:rsidR="008202B6" w:rsidRDefault="008202B6" w:rsidP="008202B6">
      <w:pPr>
        <w:pStyle w:val="ListParagraph"/>
        <w:numPr>
          <w:ilvl w:val="3"/>
          <w:numId w:val="87"/>
        </w:numPr>
        <w:tabs>
          <w:tab w:val="left" w:pos="3095"/>
        </w:tabs>
        <w:autoSpaceDE w:val="0"/>
        <w:autoSpaceDN w:val="0"/>
        <w:spacing w:before="119" w:after="0"/>
        <w:ind w:right="1195"/>
        <w:rPr>
          <w:szCs w:val="20"/>
        </w:rPr>
      </w:pPr>
      <w:r>
        <w:rPr>
          <w:rFonts w:cstheme="minorHAnsi"/>
          <w:szCs w:val="20"/>
        </w:rPr>
        <w:t>The following approach will be used f</w:t>
      </w:r>
      <w:r>
        <w:rPr>
          <w:szCs w:val="20"/>
        </w:rPr>
        <w:t xml:space="preserve">or claiming kWh savings from no-load and future feeders. ComEd installs new feeders every year to accommodate area load growth. Some of them are sourced from previously claimed VO-activated substations or exist with no-load on transformers where VO is being activated in a given year. Examples of when a new feeder will be installed include, as part of a new business project to accommodate a new or existing customer’s load addition, or to relieve area loading congestion and contingency planning for the purpose of increasing capacity. ComEd projects load on some of these feeders over a future period, however, there are uncertainties regarding when the projected target loads will materialize. </w:t>
      </w:r>
    </w:p>
    <w:p w14:paraId="43AD58E9" w14:textId="2485F94C" w:rsidR="008202B6" w:rsidRDefault="008202B6" w:rsidP="008202B6">
      <w:pPr>
        <w:pStyle w:val="ListParagraph"/>
        <w:tabs>
          <w:tab w:val="left" w:pos="3095"/>
        </w:tabs>
        <w:autoSpaceDE w:val="0"/>
        <w:autoSpaceDN w:val="0"/>
        <w:spacing w:before="119" w:after="0"/>
        <w:ind w:left="3150" w:right="1195"/>
        <w:rPr>
          <w:szCs w:val="20"/>
        </w:rPr>
      </w:pPr>
      <w:r>
        <w:rPr>
          <w:szCs w:val="20"/>
        </w:rPr>
        <w:t xml:space="preserve">ComEd cannot claim VO savings for a newly commissioned feeder while there is no load but can claim when a pre-defined threshold of the feeder’s projected load is reached. </w:t>
      </w:r>
      <w:ins w:id="756" w:author="Sam Dent" w:date="2022-07-29T10:35:00Z">
        <w:r w:rsidR="009F14F2" w:rsidRPr="009F14F2">
          <w:rPr>
            <w:szCs w:val="20"/>
          </w:rPr>
          <w:t>A threshold of 70% of projected load for 6 months is adopted for ComEd.</w:t>
        </w:r>
        <w:r w:rsidR="009F14F2" w:rsidRPr="009F14F2">
          <w:rPr>
            <w:rStyle w:val="FootnoteReference"/>
            <w:rFonts w:eastAsiaTheme="majorEastAsia"/>
            <w:szCs w:val="20"/>
          </w:rPr>
          <w:footnoteReference w:id="43"/>
        </w:r>
        <w:r w:rsidR="009F14F2" w:rsidRPr="009F14F2">
          <w:rPr>
            <w:szCs w:val="20"/>
          </w:rPr>
          <w:t xml:space="preserve"> </w:t>
        </w:r>
      </w:ins>
      <w:del w:id="759" w:author="Sam Dent" w:date="2022-07-29T10:35:00Z">
        <w:r w:rsidRPr="009F14F2" w:rsidDel="009F14F2">
          <w:rPr>
            <w:szCs w:val="20"/>
          </w:rPr>
          <w:delText>A threshold of 70% of projected load is adopted for ComEd.</w:delText>
        </w:r>
        <w:r w:rsidRPr="009F14F2" w:rsidDel="009F14F2">
          <w:rPr>
            <w:rStyle w:val="FootnoteReference"/>
            <w:szCs w:val="20"/>
          </w:rPr>
          <w:footnoteReference w:id="44"/>
        </w:r>
      </w:del>
      <w:r w:rsidRPr="009F14F2">
        <w:rPr>
          <w:szCs w:val="20"/>
        </w:rPr>
        <w:t xml:space="preserve"> </w:t>
      </w:r>
      <w:r>
        <w:rPr>
          <w:szCs w:val="20"/>
        </w:rPr>
        <w:t xml:space="preserve">To be eligible for savings, the feeder must add load to the substation transformer rather than simply splitting existing load among the feeders sourced from same transformer. </w:t>
      </w:r>
    </w:p>
    <w:p w14:paraId="6C38C9BE" w14:textId="77777777" w:rsidR="008202B6" w:rsidRDefault="008202B6" w:rsidP="008202B6">
      <w:pPr>
        <w:pStyle w:val="ListParagraph"/>
        <w:tabs>
          <w:tab w:val="left" w:pos="3095"/>
        </w:tabs>
        <w:autoSpaceDE w:val="0"/>
        <w:autoSpaceDN w:val="0"/>
        <w:spacing w:before="119" w:after="0"/>
        <w:ind w:left="3150" w:right="1195"/>
        <w:rPr>
          <w:szCs w:val="20"/>
        </w:rPr>
      </w:pPr>
    </w:p>
    <w:p w14:paraId="37612850" w14:textId="77777777" w:rsidR="003826F0" w:rsidRDefault="008202B6" w:rsidP="003826F0">
      <w:pPr>
        <w:pStyle w:val="ListParagraph"/>
        <w:tabs>
          <w:tab w:val="left" w:pos="3095"/>
        </w:tabs>
        <w:autoSpaceDE w:val="0"/>
        <w:autoSpaceDN w:val="0"/>
        <w:spacing w:before="119" w:after="0"/>
        <w:ind w:left="3150" w:right="1195"/>
        <w:rPr>
          <w:ins w:id="762" w:author="Sam Dent" w:date="2022-07-29T10:36:00Z"/>
          <w:rFonts w:cstheme="minorHAnsi"/>
          <w:szCs w:val="20"/>
        </w:rPr>
      </w:pPr>
      <w:r>
        <w:rPr>
          <w:szCs w:val="20"/>
        </w:rPr>
        <w:t xml:space="preserve">ComEd will maintain a list of existing feeders with no-load along with their projected load, to be updated as needed, and will share it with their evaluator so they can make comparisons to the threshold when the feeder is claimed. Changes can be made to the projected load, as needed, with justification. </w:t>
      </w:r>
      <w:ins w:id="763" w:author="Sam Dent" w:date="2022-07-29T10:36:00Z">
        <w:r w:rsidR="003826F0" w:rsidRPr="003826F0">
          <w:rPr>
            <w:szCs w:val="20"/>
          </w:rPr>
          <w:t xml:space="preserve">When such feeders reach the threshold of 70% of their projected load for 6 months, ComEd will notify their evaluator and provide relevant feeder and associated substation transformer data to evaluators for the purpose of verifying savings to claim in the annual impact evaluation report. </w:t>
        </w:r>
      </w:ins>
    </w:p>
    <w:p w14:paraId="6A18EB2F" w14:textId="25545E14" w:rsidR="008202B6" w:rsidRDefault="008202B6" w:rsidP="008202B6">
      <w:pPr>
        <w:pStyle w:val="ListParagraph"/>
        <w:tabs>
          <w:tab w:val="left" w:pos="3095"/>
        </w:tabs>
        <w:autoSpaceDE w:val="0"/>
        <w:autoSpaceDN w:val="0"/>
        <w:spacing w:before="119" w:after="0"/>
        <w:ind w:left="3150" w:right="1195"/>
        <w:rPr>
          <w:rFonts w:cstheme="minorHAnsi"/>
          <w:szCs w:val="20"/>
        </w:rPr>
      </w:pPr>
      <w:del w:id="764" w:author="Sam Dent" w:date="2022-07-29T10:36:00Z">
        <w:r w:rsidDel="003826F0">
          <w:rPr>
            <w:szCs w:val="20"/>
          </w:rPr>
          <w:delText xml:space="preserve">When such feeders reach the threshold of 70% of their projected load, ComEd will notify their evaluator and provide relevant feeder and associated substation transformer data to </w:delText>
        </w:r>
        <w:r w:rsidDel="003826F0">
          <w:rPr>
            <w:szCs w:val="20"/>
          </w:rPr>
          <w:lastRenderedPageBreak/>
          <w:delText xml:space="preserve">evaluators for the purpose of verifying savings to claim in the annual impact evaluation report. </w:delText>
        </w:r>
      </w:del>
    </w:p>
    <w:p w14:paraId="15888BB3" w14:textId="77777777" w:rsidR="00714AB9" w:rsidRDefault="00714AB9" w:rsidP="00714AB9">
      <w:pPr>
        <w:pStyle w:val="ListParagraph"/>
        <w:tabs>
          <w:tab w:val="left" w:pos="3095"/>
        </w:tabs>
        <w:autoSpaceDE w:val="0"/>
        <w:autoSpaceDN w:val="0"/>
        <w:spacing w:before="119" w:after="0"/>
        <w:ind w:left="3067" w:right="1195"/>
        <w:rPr>
          <w:rFonts w:cs="Arial"/>
          <w:szCs w:val="20"/>
        </w:rPr>
      </w:pPr>
    </w:p>
    <w:p w14:paraId="32641ED4" w14:textId="77777777" w:rsidR="00714AB9" w:rsidRDefault="00714AB9" w:rsidP="00B57C5B">
      <w:pPr>
        <w:ind w:left="720" w:firstLine="720"/>
        <w:rPr>
          <w:rFonts w:cstheme="minorHAnsi"/>
        </w:rPr>
      </w:pPr>
      <w:r>
        <w:rPr>
          <w:rFonts w:cstheme="minorHAnsi"/>
        </w:rPr>
        <w:t>ΔV</w:t>
      </w:r>
      <w:r>
        <w:rPr>
          <w:rFonts w:cstheme="minorHAnsi"/>
        </w:rPr>
        <w:tab/>
      </w:r>
      <w:r>
        <w:rPr>
          <w:rFonts w:cstheme="minorHAnsi"/>
        </w:rPr>
        <w:tab/>
        <w:t>= Percentage voltage reduction on the feeder caused by VO</w:t>
      </w:r>
    </w:p>
    <w:p w14:paraId="45FF8BD3" w14:textId="77777777" w:rsidR="00714AB9" w:rsidRDefault="00714AB9" w:rsidP="00B57C5B">
      <w:pPr>
        <w:ind w:left="2880"/>
        <w:rPr>
          <w:rFonts w:cstheme="minorHAnsi"/>
        </w:rPr>
      </w:pPr>
      <w:r>
        <w:rPr>
          <w:rFonts w:cstheme="minorHAnsi"/>
        </w:rPr>
        <w:t>For Ameren territory, voltage reduction shall be calculated using a pre-post regression model (i.e., comparing pre-VO and post-VO installation). The model specification will be selected based on model fit and may vary year to year. The model will be run in accordance with the terms provided in subsections (</w:t>
      </w:r>
      <w:proofErr w:type="spellStart"/>
      <w:r>
        <w:rPr>
          <w:rFonts w:cstheme="minorHAnsi"/>
        </w:rPr>
        <w:t>i</w:t>
      </w:r>
      <w:proofErr w:type="spellEnd"/>
      <w:r>
        <w:rPr>
          <w:rFonts w:cstheme="minorHAnsi"/>
        </w:rPr>
        <w:t>) through (iv) below:</w:t>
      </w:r>
    </w:p>
    <w:p w14:paraId="77A3EB33" w14:textId="77777777" w:rsidR="00714AB9" w:rsidRDefault="00714AB9" w:rsidP="0092016D">
      <w:pPr>
        <w:pStyle w:val="BodyText"/>
        <w:numPr>
          <w:ilvl w:val="0"/>
          <w:numId w:val="88"/>
        </w:numPr>
        <w:spacing w:after="0"/>
        <w:ind w:left="3154" w:right="1166"/>
        <w:rPr>
          <w:rFonts w:cstheme="minorHAnsi"/>
        </w:rPr>
      </w:pPr>
      <w:r>
        <w:rPr>
          <w:rFonts w:cstheme="minorHAnsi"/>
          <w:sz w:val="20"/>
        </w:rPr>
        <w:t>The model utilizes pre-period (VO OFF) data from the feeders in question from the prior calendar year.</w:t>
      </w:r>
    </w:p>
    <w:p w14:paraId="668303A7" w14:textId="73CE4F48" w:rsidR="00714AB9" w:rsidRDefault="00714AB9" w:rsidP="0092016D">
      <w:pPr>
        <w:pStyle w:val="ListParagraph"/>
        <w:numPr>
          <w:ilvl w:val="0"/>
          <w:numId w:val="88"/>
        </w:numPr>
        <w:autoSpaceDE w:val="0"/>
        <w:autoSpaceDN w:val="0"/>
        <w:spacing w:after="0"/>
        <w:ind w:left="3154" w:right="1195"/>
        <w:contextualSpacing w:val="0"/>
        <w:jc w:val="left"/>
        <w:rPr>
          <w:rFonts w:cs="Arial"/>
          <w:szCs w:val="20"/>
        </w:rPr>
      </w:pPr>
      <w:r>
        <w:rPr>
          <w:rFonts w:cs="Arial"/>
          <w:szCs w:val="20"/>
        </w:rPr>
        <w:t>Voltage (V) data is sourced from customer AMI meters. The feeder average voltage is calculated as the average of at least 70% of the AMI meters on the feeder, whenever possible.</w:t>
      </w:r>
      <w:r>
        <w:rPr>
          <w:rStyle w:val="FootnoteReference"/>
          <w:szCs w:val="20"/>
        </w:rPr>
        <w:footnoteReference w:id="45"/>
      </w:r>
      <w:r>
        <w:rPr>
          <w:rFonts w:cs="Arial"/>
          <w:szCs w:val="20"/>
        </w:rPr>
        <w:t xml:space="preserve"> AMI voltage readings are normalized by their nominal voltage before averaging voltage across the AMI meters on a given feeder.</w:t>
      </w:r>
    </w:p>
    <w:p w14:paraId="4B300EE2" w14:textId="40147FBF" w:rsidR="00714AB9" w:rsidRDefault="00714AB9" w:rsidP="0092016D">
      <w:pPr>
        <w:pStyle w:val="ListParagraph"/>
        <w:numPr>
          <w:ilvl w:val="0"/>
          <w:numId w:val="88"/>
        </w:numPr>
        <w:autoSpaceDE w:val="0"/>
        <w:autoSpaceDN w:val="0"/>
        <w:spacing w:before="230" w:after="0"/>
        <w:ind w:right="1197"/>
        <w:rPr>
          <w:rFonts w:cs="Arial"/>
          <w:szCs w:val="20"/>
        </w:rPr>
      </w:pPr>
      <w:r>
        <w:rPr>
          <w:rFonts w:cs="Arial"/>
          <w:szCs w:val="20"/>
        </w:rPr>
        <w:t xml:space="preserve">Ameren and stakeholders have agreed on a list of excludable events, during which Ameren may claim VO savings if the system is down for reasons deemed appropriate. Please see </w:t>
      </w:r>
      <w:r>
        <w:rPr>
          <w:rFonts w:cs="Arial"/>
          <w:szCs w:val="20"/>
        </w:rPr>
        <w:fldChar w:fldCharType="begin"/>
      </w:r>
      <w:r>
        <w:rPr>
          <w:rFonts w:cs="Arial"/>
          <w:szCs w:val="20"/>
        </w:rPr>
        <w:instrText xml:space="preserve"> REF _Ref40258120 \h </w:instrText>
      </w:r>
      <w:r>
        <w:rPr>
          <w:rFonts w:cs="Arial"/>
          <w:szCs w:val="20"/>
        </w:rPr>
      </w:r>
      <w:r>
        <w:rPr>
          <w:rFonts w:cs="Arial"/>
          <w:szCs w:val="20"/>
        </w:rPr>
        <w:fldChar w:fldCharType="separate"/>
      </w:r>
      <w:r w:rsidR="00506A44">
        <w:t xml:space="preserve">Table </w:t>
      </w:r>
      <w:r w:rsidR="00506A44">
        <w:rPr>
          <w:noProof/>
        </w:rPr>
        <w:t>1</w:t>
      </w:r>
      <w:r>
        <w:rPr>
          <w:rFonts w:cs="Arial"/>
          <w:szCs w:val="20"/>
        </w:rPr>
        <w:fldChar w:fldCharType="end"/>
      </w:r>
      <w:r>
        <w:rPr>
          <w:rFonts w:cs="Arial"/>
          <w:szCs w:val="20"/>
        </w:rPr>
        <w:t xml:space="preserve"> below for further explanation and list of excludable and non-excludable events.</w:t>
      </w:r>
    </w:p>
    <w:p w14:paraId="0DB7DF8D" w14:textId="77777777" w:rsidR="00714AB9" w:rsidRDefault="00714AB9" w:rsidP="0092016D">
      <w:pPr>
        <w:pStyle w:val="ListParagraph"/>
        <w:numPr>
          <w:ilvl w:val="0"/>
          <w:numId w:val="88"/>
        </w:numPr>
        <w:autoSpaceDE w:val="0"/>
        <w:autoSpaceDN w:val="0"/>
        <w:spacing w:before="120" w:after="0"/>
        <w:ind w:right="1196"/>
        <w:rPr>
          <w:rFonts w:cs="Arial"/>
          <w:szCs w:val="20"/>
        </w:rPr>
      </w:pPr>
      <w:r>
        <w:rPr>
          <w:rFonts w:cs="Arial"/>
          <w:szCs w:val="20"/>
        </w:rPr>
        <w:t>The independent evaluator shall use best practices, including an appropriate technique that is transparent, replicable,</w:t>
      </w:r>
      <w:r>
        <w:rPr>
          <w:rFonts w:cs="Arial"/>
          <w:spacing w:val="-12"/>
          <w:szCs w:val="20"/>
        </w:rPr>
        <w:t xml:space="preserve"> </w:t>
      </w:r>
      <w:r>
        <w:rPr>
          <w:rFonts w:cs="Arial"/>
          <w:szCs w:val="20"/>
        </w:rPr>
        <w:t>and</w:t>
      </w:r>
      <w:r>
        <w:rPr>
          <w:rFonts w:cs="Arial"/>
          <w:spacing w:val="-11"/>
          <w:szCs w:val="20"/>
        </w:rPr>
        <w:t xml:space="preserve"> </w:t>
      </w:r>
      <w:r>
        <w:rPr>
          <w:rFonts w:cs="Arial"/>
          <w:szCs w:val="20"/>
        </w:rPr>
        <w:t>most</w:t>
      </w:r>
      <w:r>
        <w:rPr>
          <w:rFonts w:cs="Arial"/>
          <w:spacing w:val="-11"/>
          <w:szCs w:val="20"/>
        </w:rPr>
        <w:t xml:space="preserve"> </w:t>
      </w:r>
      <w:r>
        <w:rPr>
          <w:rFonts w:cs="Arial"/>
          <w:szCs w:val="20"/>
        </w:rPr>
        <w:t>accurate,</w:t>
      </w:r>
      <w:r>
        <w:rPr>
          <w:rFonts w:cs="Arial"/>
          <w:spacing w:val="-12"/>
          <w:szCs w:val="20"/>
        </w:rPr>
        <w:t xml:space="preserve"> </w:t>
      </w:r>
      <w:r>
        <w:rPr>
          <w:rFonts w:cs="Arial"/>
          <w:szCs w:val="20"/>
        </w:rPr>
        <w:t>to</w:t>
      </w:r>
      <w:r>
        <w:rPr>
          <w:rFonts w:cs="Arial"/>
          <w:spacing w:val="-12"/>
          <w:szCs w:val="20"/>
        </w:rPr>
        <w:t xml:space="preserve"> </w:t>
      </w:r>
      <w:r>
        <w:rPr>
          <w:rFonts w:cs="Arial"/>
          <w:szCs w:val="20"/>
        </w:rPr>
        <w:t>address</w:t>
      </w:r>
      <w:r>
        <w:rPr>
          <w:rFonts w:cs="Arial"/>
          <w:spacing w:val="-11"/>
          <w:szCs w:val="20"/>
        </w:rPr>
        <w:t xml:space="preserve"> </w:t>
      </w:r>
      <w:r>
        <w:rPr>
          <w:rFonts w:cs="Arial"/>
          <w:szCs w:val="20"/>
        </w:rPr>
        <w:t>any</w:t>
      </w:r>
      <w:r>
        <w:rPr>
          <w:rFonts w:cs="Arial"/>
          <w:spacing w:val="-11"/>
          <w:szCs w:val="20"/>
        </w:rPr>
        <w:t xml:space="preserve"> </w:t>
      </w:r>
      <w:r>
        <w:rPr>
          <w:rFonts w:cs="Arial"/>
          <w:szCs w:val="20"/>
        </w:rPr>
        <w:t>data</w:t>
      </w:r>
      <w:r>
        <w:rPr>
          <w:rFonts w:cs="Arial"/>
          <w:spacing w:val="-12"/>
          <w:szCs w:val="20"/>
        </w:rPr>
        <w:t xml:space="preserve"> </w:t>
      </w:r>
      <w:r>
        <w:rPr>
          <w:rFonts w:cs="Arial"/>
          <w:szCs w:val="20"/>
        </w:rPr>
        <w:t>quality issues, with the input from interested stakeholders, including</w:t>
      </w:r>
      <w:r>
        <w:rPr>
          <w:rFonts w:cs="Arial"/>
          <w:spacing w:val="-1"/>
          <w:szCs w:val="20"/>
        </w:rPr>
        <w:t xml:space="preserve"> </w:t>
      </w:r>
      <w:r>
        <w:rPr>
          <w:rFonts w:cs="Arial"/>
          <w:szCs w:val="20"/>
        </w:rPr>
        <w:t>Ameren.</w:t>
      </w:r>
    </w:p>
    <w:p w14:paraId="6207E9D4" w14:textId="77777777" w:rsidR="00714AB9" w:rsidRDefault="00714AB9" w:rsidP="00714AB9"/>
    <w:p w14:paraId="64A26067" w14:textId="2483661A" w:rsidR="00714AB9" w:rsidRDefault="00714AB9" w:rsidP="00B57C5B">
      <w:pPr>
        <w:tabs>
          <w:tab w:val="left" w:pos="2360"/>
        </w:tabs>
        <w:autoSpaceDE w:val="0"/>
        <w:autoSpaceDN w:val="0"/>
        <w:spacing w:before="68" w:after="0"/>
        <w:ind w:left="3150" w:right="837"/>
        <w:rPr>
          <w:rFonts w:cs="Arial"/>
          <w:szCs w:val="20"/>
        </w:rPr>
      </w:pPr>
      <w:r>
        <w:rPr>
          <w:rFonts w:cstheme="minorHAnsi"/>
        </w:rPr>
        <w:t xml:space="preserve">For ComEd territory, </w:t>
      </w:r>
      <w:r>
        <w:rPr>
          <w:rFonts w:cs="Arial"/>
          <w:szCs w:val="20"/>
        </w:rPr>
        <w:t>voltage reduction shall be calculated from voltage measurements taken from the feeder’s head end primary voltage</w:t>
      </w:r>
      <w:r>
        <w:rPr>
          <w:rFonts w:cs="Arial"/>
          <w:spacing w:val="-2"/>
          <w:szCs w:val="20"/>
        </w:rPr>
        <w:t xml:space="preserve"> </w:t>
      </w:r>
      <w:r>
        <w:rPr>
          <w:rFonts w:cs="Arial"/>
          <w:szCs w:val="20"/>
        </w:rPr>
        <w:t>source using the following equation and in accordance with the terms provided in subsections (</w:t>
      </w:r>
      <w:proofErr w:type="spellStart"/>
      <w:r>
        <w:rPr>
          <w:rFonts w:cs="Arial"/>
          <w:szCs w:val="20"/>
        </w:rPr>
        <w:t>i</w:t>
      </w:r>
      <w:proofErr w:type="spellEnd"/>
      <w:r>
        <w:rPr>
          <w:rFonts w:cs="Arial"/>
          <w:szCs w:val="20"/>
        </w:rPr>
        <w:t>) through (iv)</w:t>
      </w:r>
      <w:r>
        <w:rPr>
          <w:rFonts w:cs="Arial"/>
          <w:spacing w:val="-3"/>
          <w:szCs w:val="20"/>
        </w:rPr>
        <w:t xml:space="preserve"> </w:t>
      </w:r>
      <w:r>
        <w:rPr>
          <w:rFonts w:cs="Arial"/>
          <w:szCs w:val="20"/>
        </w:rPr>
        <w:t>below:</w:t>
      </w:r>
    </w:p>
    <w:p w14:paraId="445928F5" w14:textId="77777777" w:rsidR="00714AB9" w:rsidRPr="00B57C5B" w:rsidRDefault="00714AB9" w:rsidP="00B57C5B">
      <w:pPr>
        <w:tabs>
          <w:tab w:val="left" w:pos="2360"/>
        </w:tabs>
        <w:autoSpaceDE w:val="0"/>
        <w:autoSpaceDN w:val="0"/>
        <w:spacing w:before="68"/>
        <w:ind w:right="837"/>
        <w:rPr>
          <w:rFonts w:cs="Arial"/>
          <w:szCs w:val="20"/>
        </w:rPr>
      </w:pPr>
      <m:oMathPara>
        <m:oMath>
          <m:r>
            <w:rPr>
              <w:rFonts w:ascii="Cambria Math" w:hAnsi="Cambria Math" w:cs="Arial"/>
              <w:szCs w:val="20"/>
            </w:rPr>
            <m:t>∆V=</m:t>
          </m:r>
          <m:d>
            <m:dPr>
              <m:ctrlPr>
                <w:rPr>
                  <w:rFonts w:ascii="Cambria Math" w:hAnsi="Cambria Math" w:cs="Arial"/>
                  <w:i/>
                </w:rPr>
              </m:ctrlPr>
            </m:dPr>
            <m:e>
              <m:f>
                <m:fPr>
                  <m:ctrlPr>
                    <w:rPr>
                      <w:rFonts w:ascii="Cambria Math" w:hAnsi="Cambria Math" w:cs="Arial"/>
                      <w:i/>
                    </w:rPr>
                  </m:ctrlPr>
                </m:fPr>
                <m:num>
                  <m:sSub>
                    <m:sSubPr>
                      <m:ctrlPr>
                        <w:rPr>
                          <w:rFonts w:ascii="Cambria Math" w:hAnsi="Cambria Math" w:cs="Arial"/>
                          <w:i/>
                        </w:rPr>
                      </m:ctrlPr>
                    </m:sSubPr>
                    <m:e>
                      <m:r>
                        <w:rPr>
                          <w:rFonts w:ascii="Cambria Math" w:hAnsi="Cambria Math" w:cs="Arial"/>
                          <w:szCs w:val="20"/>
                        </w:rPr>
                        <m:t>V</m:t>
                      </m:r>
                    </m:e>
                    <m:sub>
                      <m:r>
                        <w:rPr>
                          <w:rFonts w:ascii="Cambria Math" w:hAnsi="Cambria Math" w:cs="Arial"/>
                          <w:szCs w:val="20"/>
                        </w:rPr>
                        <m:t>OFF</m:t>
                      </m:r>
                    </m:sub>
                  </m:sSub>
                  <m:r>
                    <w:rPr>
                      <w:rFonts w:ascii="Cambria Math" w:hAnsi="Cambria Math" w:cs="Arial"/>
                      <w:szCs w:val="20"/>
                    </w:rPr>
                    <m:t>-</m:t>
                  </m:r>
                  <m:sSub>
                    <m:sSubPr>
                      <m:ctrlPr>
                        <w:rPr>
                          <w:rFonts w:ascii="Cambria Math" w:hAnsi="Cambria Math" w:cs="Arial"/>
                          <w:i/>
                        </w:rPr>
                      </m:ctrlPr>
                    </m:sSubPr>
                    <m:e>
                      <m:r>
                        <w:rPr>
                          <w:rFonts w:ascii="Cambria Math" w:hAnsi="Cambria Math" w:cs="Arial"/>
                          <w:szCs w:val="20"/>
                        </w:rPr>
                        <m:t>V</m:t>
                      </m:r>
                    </m:e>
                    <m:sub>
                      <m:r>
                        <w:rPr>
                          <w:rFonts w:ascii="Cambria Math" w:hAnsi="Cambria Math" w:cs="Arial"/>
                          <w:szCs w:val="20"/>
                        </w:rPr>
                        <m:t>ON</m:t>
                      </m:r>
                    </m:sub>
                  </m:sSub>
                </m:num>
                <m:den>
                  <m:sSub>
                    <m:sSubPr>
                      <m:ctrlPr>
                        <w:rPr>
                          <w:rFonts w:ascii="Cambria Math" w:hAnsi="Cambria Math" w:cs="Arial"/>
                          <w:i/>
                        </w:rPr>
                      </m:ctrlPr>
                    </m:sSubPr>
                    <m:e>
                      <m:r>
                        <w:rPr>
                          <w:rFonts w:ascii="Cambria Math" w:hAnsi="Cambria Math" w:cs="Arial"/>
                          <w:szCs w:val="20"/>
                        </w:rPr>
                        <m:t>V</m:t>
                      </m:r>
                    </m:e>
                    <m:sub>
                      <m:r>
                        <w:rPr>
                          <w:rFonts w:ascii="Cambria Math" w:hAnsi="Cambria Math" w:cs="Arial"/>
                          <w:szCs w:val="20"/>
                        </w:rPr>
                        <m:t>OFF</m:t>
                      </m:r>
                    </m:sub>
                  </m:sSub>
                </m:den>
              </m:f>
            </m:e>
          </m:d>
        </m:oMath>
      </m:oMathPara>
    </w:p>
    <w:p w14:paraId="2B851B2B" w14:textId="77777777" w:rsidR="00714AB9" w:rsidRDefault="00714AB9" w:rsidP="0092016D">
      <w:pPr>
        <w:pStyle w:val="ListParagraph"/>
        <w:numPr>
          <w:ilvl w:val="0"/>
          <w:numId w:val="89"/>
        </w:numPr>
        <w:autoSpaceDE w:val="0"/>
        <w:autoSpaceDN w:val="0"/>
        <w:spacing w:before="230" w:after="0"/>
        <w:ind w:right="1197"/>
        <w:rPr>
          <w:rFonts w:cs="Arial"/>
          <w:szCs w:val="20"/>
        </w:rPr>
      </w:pPr>
      <w:r>
        <w:rPr>
          <w:rFonts w:cs="Arial"/>
          <w:szCs w:val="20"/>
        </w:rPr>
        <w:t>When VO is off, the voltage if VO was on needs to be estimated and vice versa. Actual measurements shall be used for the off voltage when VO is off and the on voltage when VO is on.</w:t>
      </w:r>
    </w:p>
    <w:p w14:paraId="2C700422" w14:textId="0EBE2B3F" w:rsidR="00714AB9" w:rsidRDefault="00714AB9" w:rsidP="0092016D">
      <w:pPr>
        <w:pStyle w:val="ListParagraph"/>
        <w:widowControl/>
        <w:numPr>
          <w:ilvl w:val="0"/>
          <w:numId w:val="89"/>
        </w:numPr>
        <w:autoSpaceDE w:val="0"/>
        <w:autoSpaceDN w:val="0"/>
        <w:spacing w:before="120" w:after="0"/>
        <w:ind w:right="1195"/>
        <w:rPr>
          <w:rFonts w:cs="Arial"/>
          <w:szCs w:val="20"/>
        </w:rPr>
      </w:pPr>
      <w:r>
        <w:rPr>
          <w:rFonts w:cs="Arial"/>
          <w:szCs w:val="20"/>
        </w:rPr>
        <w:t>Data are clustered into bins in accordance to temperature range</w:t>
      </w:r>
      <w:r w:rsidR="00B57C5B">
        <w:rPr>
          <w:rFonts w:cs="Arial"/>
          <w:szCs w:val="20"/>
        </w:rPr>
        <w:t>,</w:t>
      </w:r>
      <w:r>
        <w:rPr>
          <w:rStyle w:val="FootnoteReference"/>
          <w:szCs w:val="20"/>
        </w:rPr>
        <w:footnoteReference w:id="46"/>
      </w:r>
      <w:r>
        <w:rPr>
          <w:rFonts w:cs="Arial"/>
          <w:szCs w:val="20"/>
        </w:rPr>
        <w:t xml:space="preserve"> season</w:t>
      </w:r>
      <w:r w:rsidR="00B57C5B">
        <w:rPr>
          <w:rFonts w:cs="Arial"/>
          <w:szCs w:val="20"/>
        </w:rPr>
        <w:t>,</w:t>
      </w:r>
      <w:r>
        <w:rPr>
          <w:rStyle w:val="FootnoteReference"/>
          <w:szCs w:val="20"/>
        </w:rPr>
        <w:footnoteReference w:id="47"/>
      </w:r>
      <w:r>
        <w:rPr>
          <w:rFonts w:cs="Arial"/>
          <w:szCs w:val="20"/>
        </w:rPr>
        <w:t xml:space="preserve"> day type (weekday/weekend)</w:t>
      </w:r>
      <w:r w:rsidR="00B57C5B">
        <w:rPr>
          <w:rFonts w:cs="Arial"/>
          <w:szCs w:val="20"/>
        </w:rPr>
        <w:t>,</w:t>
      </w:r>
      <w:r>
        <w:rPr>
          <w:rStyle w:val="FootnoteReference"/>
          <w:szCs w:val="20"/>
        </w:rPr>
        <w:footnoteReference w:id="48"/>
      </w:r>
      <w:r>
        <w:rPr>
          <w:rFonts w:cs="Arial"/>
          <w:spacing w:val="-23"/>
          <w:szCs w:val="20"/>
        </w:rPr>
        <w:t xml:space="preserve"> </w:t>
      </w:r>
      <w:r>
        <w:rPr>
          <w:rFonts w:cs="Arial"/>
          <w:szCs w:val="20"/>
        </w:rPr>
        <w:t>and hour of the day based on the VO OFF and ON statuses to</w:t>
      </w:r>
      <w:r>
        <w:rPr>
          <w:rFonts w:cs="Arial"/>
          <w:spacing w:val="-10"/>
          <w:szCs w:val="20"/>
        </w:rPr>
        <w:t xml:space="preserve"> </w:t>
      </w:r>
      <w:r>
        <w:rPr>
          <w:rFonts w:cs="Arial"/>
          <w:szCs w:val="20"/>
        </w:rPr>
        <w:t>create</w:t>
      </w:r>
      <w:r>
        <w:rPr>
          <w:rFonts w:cs="Arial"/>
          <w:spacing w:val="-8"/>
          <w:szCs w:val="20"/>
        </w:rPr>
        <w:t xml:space="preserve"> </w:t>
      </w:r>
      <w:r>
        <w:rPr>
          <w:rFonts w:cs="Arial"/>
          <w:szCs w:val="20"/>
        </w:rPr>
        <w:t>a</w:t>
      </w:r>
      <w:r>
        <w:rPr>
          <w:rFonts w:cs="Arial"/>
          <w:spacing w:val="-10"/>
          <w:szCs w:val="20"/>
        </w:rPr>
        <w:t xml:space="preserve"> </w:t>
      </w:r>
      <w:r>
        <w:rPr>
          <w:rFonts w:cs="Arial"/>
          <w:szCs w:val="20"/>
        </w:rPr>
        <w:t>lookup</w:t>
      </w:r>
      <w:r>
        <w:rPr>
          <w:rFonts w:cs="Arial"/>
          <w:spacing w:val="-9"/>
          <w:szCs w:val="20"/>
        </w:rPr>
        <w:t xml:space="preserve"> </w:t>
      </w:r>
      <w:r>
        <w:rPr>
          <w:rFonts w:cs="Arial"/>
          <w:szCs w:val="20"/>
        </w:rPr>
        <w:t>table.</w:t>
      </w:r>
      <w:r>
        <w:rPr>
          <w:rFonts w:cs="Arial"/>
          <w:spacing w:val="-10"/>
          <w:szCs w:val="20"/>
        </w:rPr>
        <w:t xml:space="preserve"> </w:t>
      </w:r>
      <w:r>
        <w:rPr>
          <w:rFonts w:cs="Arial"/>
          <w:szCs w:val="20"/>
        </w:rPr>
        <w:t>If</w:t>
      </w:r>
      <w:r>
        <w:rPr>
          <w:rFonts w:cs="Arial"/>
          <w:spacing w:val="-8"/>
          <w:szCs w:val="20"/>
        </w:rPr>
        <w:t xml:space="preserve"> </w:t>
      </w:r>
      <w:r>
        <w:rPr>
          <w:rFonts w:cs="Arial"/>
          <w:szCs w:val="20"/>
        </w:rPr>
        <w:t>multiple</w:t>
      </w:r>
      <w:r>
        <w:rPr>
          <w:rFonts w:cs="Arial"/>
          <w:spacing w:val="-8"/>
          <w:szCs w:val="20"/>
        </w:rPr>
        <w:t xml:space="preserve"> </w:t>
      </w:r>
      <w:r>
        <w:rPr>
          <w:rFonts w:cs="Arial"/>
          <w:szCs w:val="20"/>
        </w:rPr>
        <w:t>data</w:t>
      </w:r>
      <w:r>
        <w:rPr>
          <w:rFonts w:cs="Arial"/>
          <w:spacing w:val="-8"/>
          <w:szCs w:val="20"/>
        </w:rPr>
        <w:t xml:space="preserve"> </w:t>
      </w:r>
      <w:r>
        <w:rPr>
          <w:rFonts w:cs="Arial"/>
          <w:szCs w:val="20"/>
        </w:rPr>
        <w:t>points</w:t>
      </w:r>
      <w:r>
        <w:rPr>
          <w:rFonts w:cs="Arial"/>
          <w:spacing w:val="-8"/>
          <w:szCs w:val="20"/>
        </w:rPr>
        <w:t xml:space="preserve"> </w:t>
      </w:r>
      <w:r>
        <w:rPr>
          <w:rFonts w:cs="Arial"/>
          <w:szCs w:val="20"/>
        </w:rPr>
        <w:t>are</w:t>
      </w:r>
      <w:r>
        <w:rPr>
          <w:rFonts w:cs="Arial"/>
          <w:spacing w:val="-10"/>
          <w:szCs w:val="20"/>
        </w:rPr>
        <w:t xml:space="preserve"> </w:t>
      </w:r>
      <w:r>
        <w:rPr>
          <w:rFonts w:cs="Arial"/>
          <w:szCs w:val="20"/>
        </w:rPr>
        <w:t>found (i.e., same temperature range, same season, same day type, same</w:t>
      </w:r>
      <w:r>
        <w:rPr>
          <w:rFonts w:cs="Arial"/>
          <w:spacing w:val="-19"/>
          <w:szCs w:val="20"/>
        </w:rPr>
        <w:t xml:space="preserve"> </w:t>
      </w:r>
      <w:r>
        <w:rPr>
          <w:rFonts w:cs="Arial"/>
          <w:szCs w:val="20"/>
        </w:rPr>
        <w:t xml:space="preserve">hour of the day, and same VO status), the average </w:t>
      </w:r>
      <w:proofErr w:type="gramStart"/>
      <w:r>
        <w:rPr>
          <w:rFonts w:cs="Arial"/>
          <w:szCs w:val="20"/>
        </w:rPr>
        <w:t xml:space="preserve">of </w:t>
      </w:r>
      <w:r>
        <w:rPr>
          <w:rFonts w:cs="Arial"/>
          <w:spacing w:val="-42"/>
          <w:szCs w:val="20"/>
        </w:rPr>
        <w:t xml:space="preserve"> </w:t>
      </w:r>
      <w:r>
        <w:rPr>
          <w:rFonts w:cs="Arial"/>
          <w:szCs w:val="20"/>
        </w:rPr>
        <w:t>multiple</w:t>
      </w:r>
      <w:proofErr w:type="gramEnd"/>
      <w:r>
        <w:rPr>
          <w:rFonts w:cs="Arial"/>
          <w:szCs w:val="20"/>
        </w:rPr>
        <w:t xml:space="preserve"> </w:t>
      </w:r>
      <w:r>
        <w:rPr>
          <w:rFonts w:cs="Arial"/>
          <w:szCs w:val="20"/>
        </w:rPr>
        <w:lastRenderedPageBreak/>
        <w:t>references are placed into the lookup</w:t>
      </w:r>
      <w:r>
        <w:rPr>
          <w:rFonts w:cs="Arial"/>
          <w:spacing w:val="-4"/>
          <w:szCs w:val="20"/>
        </w:rPr>
        <w:t xml:space="preserve"> </w:t>
      </w:r>
      <w:r>
        <w:rPr>
          <w:rFonts w:cs="Arial"/>
          <w:szCs w:val="20"/>
        </w:rPr>
        <w:t>table. Various combinations of these variables may be used in an order of decreasing priority when no data points are found that match all of them.</w:t>
      </w:r>
    </w:p>
    <w:p w14:paraId="605B5914" w14:textId="77777777" w:rsidR="00714AB9" w:rsidRDefault="00714AB9" w:rsidP="0092016D">
      <w:pPr>
        <w:pStyle w:val="ListParagraph"/>
        <w:numPr>
          <w:ilvl w:val="0"/>
          <w:numId w:val="89"/>
        </w:numPr>
        <w:autoSpaceDE w:val="0"/>
        <w:autoSpaceDN w:val="0"/>
        <w:spacing w:before="120" w:after="0"/>
        <w:ind w:right="1196"/>
        <w:rPr>
          <w:rFonts w:cs="Arial"/>
          <w:szCs w:val="20"/>
        </w:rPr>
      </w:pPr>
      <w:r>
        <w:rPr>
          <w:rFonts w:cs="Arial"/>
          <w:szCs w:val="20"/>
        </w:rPr>
        <w:t>The independent evaluator shall use best practices, including an appropriate technique that is transparent, replicable,</w:t>
      </w:r>
      <w:r>
        <w:rPr>
          <w:rFonts w:cs="Arial"/>
          <w:spacing w:val="-12"/>
          <w:szCs w:val="20"/>
        </w:rPr>
        <w:t xml:space="preserve"> </w:t>
      </w:r>
      <w:r>
        <w:rPr>
          <w:rFonts w:cs="Arial"/>
          <w:szCs w:val="20"/>
        </w:rPr>
        <w:t>and</w:t>
      </w:r>
      <w:r>
        <w:rPr>
          <w:rFonts w:cs="Arial"/>
          <w:spacing w:val="-11"/>
          <w:szCs w:val="20"/>
        </w:rPr>
        <w:t xml:space="preserve"> </w:t>
      </w:r>
      <w:r>
        <w:rPr>
          <w:rFonts w:cs="Arial"/>
          <w:szCs w:val="20"/>
        </w:rPr>
        <w:t>most</w:t>
      </w:r>
      <w:r>
        <w:rPr>
          <w:rFonts w:cs="Arial"/>
          <w:spacing w:val="-11"/>
          <w:szCs w:val="20"/>
        </w:rPr>
        <w:t xml:space="preserve"> </w:t>
      </w:r>
      <w:r>
        <w:rPr>
          <w:rFonts w:cs="Arial"/>
          <w:szCs w:val="20"/>
        </w:rPr>
        <w:t>accurate,</w:t>
      </w:r>
      <w:r>
        <w:rPr>
          <w:rFonts w:cs="Arial"/>
          <w:spacing w:val="-12"/>
          <w:szCs w:val="20"/>
        </w:rPr>
        <w:t xml:space="preserve"> </w:t>
      </w:r>
      <w:r>
        <w:rPr>
          <w:rFonts w:cs="Arial"/>
          <w:szCs w:val="20"/>
        </w:rPr>
        <w:t>to</w:t>
      </w:r>
      <w:r>
        <w:rPr>
          <w:rFonts w:cs="Arial"/>
          <w:spacing w:val="-12"/>
          <w:szCs w:val="20"/>
        </w:rPr>
        <w:t xml:space="preserve"> </w:t>
      </w:r>
      <w:r>
        <w:rPr>
          <w:rFonts w:cs="Arial"/>
          <w:szCs w:val="20"/>
        </w:rPr>
        <w:t>address</w:t>
      </w:r>
      <w:r>
        <w:rPr>
          <w:rFonts w:cs="Arial"/>
          <w:spacing w:val="-11"/>
          <w:szCs w:val="20"/>
        </w:rPr>
        <w:t xml:space="preserve"> </w:t>
      </w:r>
      <w:r>
        <w:rPr>
          <w:rFonts w:cs="Arial"/>
          <w:szCs w:val="20"/>
        </w:rPr>
        <w:t>any</w:t>
      </w:r>
      <w:r>
        <w:rPr>
          <w:rFonts w:cs="Arial"/>
          <w:spacing w:val="-11"/>
          <w:szCs w:val="20"/>
        </w:rPr>
        <w:t xml:space="preserve"> </w:t>
      </w:r>
      <w:r>
        <w:rPr>
          <w:rFonts w:cs="Arial"/>
          <w:szCs w:val="20"/>
        </w:rPr>
        <w:t>data</w:t>
      </w:r>
      <w:r>
        <w:rPr>
          <w:rFonts w:cs="Arial"/>
          <w:spacing w:val="-12"/>
          <w:szCs w:val="20"/>
        </w:rPr>
        <w:t xml:space="preserve"> </w:t>
      </w:r>
      <w:r>
        <w:rPr>
          <w:rFonts w:cs="Arial"/>
          <w:szCs w:val="20"/>
        </w:rPr>
        <w:t>quality issues, with the input from interested stakeholders, including</w:t>
      </w:r>
      <w:r>
        <w:rPr>
          <w:rFonts w:cs="Arial"/>
          <w:spacing w:val="-1"/>
          <w:szCs w:val="20"/>
        </w:rPr>
        <w:t xml:space="preserve"> </w:t>
      </w:r>
      <w:r>
        <w:rPr>
          <w:rFonts w:cs="Arial"/>
          <w:szCs w:val="20"/>
        </w:rPr>
        <w:t>ComEd.</w:t>
      </w:r>
    </w:p>
    <w:p w14:paraId="2B752E1B" w14:textId="737FD532" w:rsidR="00714AB9" w:rsidRDefault="00714AB9" w:rsidP="0092016D">
      <w:pPr>
        <w:pStyle w:val="ListParagraph"/>
        <w:numPr>
          <w:ilvl w:val="0"/>
          <w:numId w:val="89"/>
        </w:numPr>
        <w:autoSpaceDE w:val="0"/>
        <w:autoSpaceDN w:val="0"/>
        <w:spacing w:before="120" w:after="0"/>
        <w:ind w:right="1197"/>
        <w:rPr>
          <w:rFonts w:cs="Arial"/>
          <w:szCs w:val="20"/>
        </w:rPr>
      </w:pPr>
      <w:r>
        <w:rPr>
          <w:rFonts w:cs="Arial"/>
          <w:szCs w:val="20"/>
        </w:rPr>
        <w:t>The counterfactual VO ON and VO OFF profiles shall be created for each feeder for the</w:t>
      </w:r>
      <w:r>
        <w:rPr>
          <w:rFonts w:cs="Arial"/>
          <w:spacing w:val="-14"/>
          <w:szCs w:val="20"/>
        </w:rPr>
        <w:t xml:space="preserve"> </w:t>
      </w:r>
      <w:r>
        <w:rPr>
          <w:rFonts w:cs="Arial"/>
          <w:szCs w:val="20"/>
        </w:rPr>
        <w:t>entire</w:t>
      </w:r>
      <w:r>
        <w:rPr>
          <w:rFonts w:cs="Arial"/>
          <w:spacing w:val="-14"/>
          <w:szCs w:val="20"/>
        </w:rPr>
        <w:t xml:space="preserve"> </w:t>
      </w:r>
      <w:r>
        <w:rPr>
          <w:rFonts w:cs="Arial"/>
          <w:szCs w:val="20"/>
        </w:rPr>
        <w:t>program</w:t>
      </w:r>
      <w:r>
        <w:rPr>
          <w:rFonts w:cs="Arial"/>
          <w:spacing w:val="-17"/>
          <w:szCs w:val="20"/>
        </w:rPr>
        <w:t xml:space="preserve"> </w:t>
      </w:r>
      <w:r>
        <w:rPr>
          <w:rFonts w:cs="Arial"/>
          <w:szCs w:val="20"/>
        </w:rPr>
        <w:t>year</w:t>
      </w:r>
      <w:r>
        <w:rPr>
          <w:rFonts w:cs="Arial"/>
          <w:spacing w:val="-14"/>
          <w:szCs w:val="20"/>
        </w:rPr>
        <w:t xml:space="preserve"> </w:t>
      </w:r>
      <w:r>
        <w:rPr>
          <w:rFonts w:cs="Arial"/>
          <w:szCs w:val="20"/>
        </w:rPr>
        <w:t>using the lookup table</w:t>
      </w:r>
      <w:r>
        <w:rPr>
          <w:rFonts w:cs="Arial"/>
          <w:spacing w:val="-3"/>
          <w:szCs w:val="20"/>
        </w:rPr>
        <w:t xml:space="preserve"> </w:t>
      </w:r>
      <w:r>
        <w:rPr>
          <w:rFonts w:cs="Arial"/>
          <w:szCs w:val="20"/>
        </w:rPr>
        <w:t>for temperature range</w:t>
      </w:r>
      <w:r w:rsidR="006A0D2B">
        <w:rPr>
          <w:rFonts w:cs="Arial"/>
          <w:szCs w:val="20"/>
        </w:rPr>
        <w:t>,</w:t>
      </w:r>
      <w:r>
        <w:rPr>
          <w:rStyle w:val="FootnoteReference"/>
          <w:szCs w:val="20"/>
        </w:rPr>
        <w:footnoteReference w:id="49"/>
      </w:r>
      <w:r>
        <w:rPr>
          <w:rFonts w:cs="Arial"/>
          <w:szCs w:val="20"/>
        </w:rPr>
        <w:t xml:space="preserve"> season</w:t>
      </w:r>
      <w:r w:rsidR="006A0D2B">
        <w:rPr>
          <w:rFonts w:cs="Arial"/>
          <w:szCs w:val="20"/>
        </w:rPr>
        <w:t>,</w:t>
      </w:r>
      <w:r>
        <w:rPr>
          <w:rStyle w:val="FootnoteReference"/>
          <w:szCs w:val="20"/>
        </w:rPr>
        <w:footnoteReference w:id="50"/>
      </w:r>
      <w:r>
        <w:rPr>
          <w:rFonts w:cs="Arial"/>
          <w:szCs w:val="20"/>
        </w:rPr>
        <w:t xml:space="preserve"> day type (weekday/weekend)</w:t>
      </w:r>
      <w:r w:rsidR="006A0D2B">
        <w:rPr>
          <w:rFonts w:cs="Arial"/>
          <w:szCs w:val="20"/>
        </w:rPr>
        <w:t>,</w:t>
      </w:r>
      <w:r>
        <w:rPr>
          <w:rStyle w:val="FootnoteReference"/>
          <w:szCs w:val="20"/>
        </w:rPr>
        <w:footnoteReference w:id="51"/>
      </w:r>
      <w:r>
        <w:rPr>
          <w:rFonts w:cs="Arial"/>
          <w:spacing w:val="-23"/>
          <w:szCs w:val="20"/>
        </w:rPr>
        <w:t xml:space="preserve"> </w:t>
      </w:r>
      <w:r>
        <w:rPr>
          <w:rFonts w:cs="Arial"/>
          <w:szCs w:val="20"/>
        </w:rPr>
        <w:t>and hour of the day.</w:t>
      </w:r>
    </w:p>
    <w:p w14:paraId="4976937B" w14:textId="08894A8E" w:rsidR="00714AB9" w:rsidRDefault="00714AB9" w:rsidP="0092016D">
      <w:pPr>
        <w:pStyle w:val="ListParagraph"/>
        <w:numPr>
          <w:ilvl w:val="0"/>
          <w:numId w:val="89"/>
        </w:numPr>
        <w:autoSpaceDE w:val="0"/>
        <w:autoSpaceDN w:val="0"/>
        <w:spacing w:before="120" w:after="0"/>
        <w:ind w:right="1197"/>
        <w:rPr>
          <w:rFonts w:cs="Arial"/>
          <w:szCs w:val="20"/>
        </w:rPr>
      </w:pPr>
      <w:bookmarkStart w:id="765" w:name="_Hlk40010981"/>
      <w:r>
        <w:rPr>
          <w:rFonts w:cs="Arial"/>
          <w:szCs w:val="20"/>
        </w:rPr>
        <w:t>If VO is ON in a continuous basis throughout the year, previous year’s voltage data along with temperature, day type, and time of the day can be correlated in accordance to present year’s temperature data, day type, and time of the day to create the VO OFF profile.  This correlation shall use the data created from the most representative feeder or feeders that have undergone testing.</w:t>
      </w:r>
      <w:bookmarkEnd w:id="765"/>
      <w:r>
        <w:rPr>
          <w:rFonts w:cs="Arial"/>
          <w:szCs w:val="20"/>
        </w:rPr>
        <w:t xml:space="preserve"> </w:t>
      </w:r>
    </w:p>
    <w:p w14:paraId="15FDD5B9" w14:textId="60505C12" w:rsidR="003B20AC" w:rsidRPr="003B20AC" w:rsidRDefault="003B20AC" w:rsidP="006F25EF">
      <w:pPr>
        <w:pStyle w:val="ListParagraph"/>
        <w:numPr>
          <w:ilvl w:val="0"/>
          <w:numId w:val="89"/>
        </w:numPr>
        <w:tabs>
          <w:tab w:val="left" w:pos="3095"/>
        </w:tabs>
        <w:autoSpaceDE w:val="0"/>
        <w:autoSpaceDN w:val="0"/>
        <w:spacing w:before="120" w:after="0"/>
        <w:ind w:right="1197"/>
        <w:rPr>
          <w:rFonts w:cs="Arial"/>
          <w:szCs w:val="20"/>
        </w:rPr>
      </w:pPr>
      <w:r w:rsidRPr="003B20AC">
        <w:rPr>
          <w:szCs w:val="20"/>
        </w:rPr>
        <w:t xml:space="preserve">For the no-load and future feeders, </w:t>
      </w:r>
      <w:proofErr w:type="spellStart"/>
      <w:r w:rsidRPr="003B20AC">
        <w:rPr>
          <w:szCs w:val="20"/>
        </w:rPr>
        <w:t>ComEd’s</w:t>
      </w:r>
      <w:proofErr w:type="spellEnd"/>
      <w:r w:rsidRPr="003B20AC">
        <w:rPr>
          <w:szCs w:val="20"/>
        </w:rPr>
        <w:t xml:space="preserve"> evaluator will use the evaluated historical transformer voltage reduction for each feeder going back to the year when the station or transformer was originally VO-enabled.</w:t>
      </w:r>
      <w:r>
        <w:rPr>
          <w:rStyle w:val="FootnoteReference"/>
          <w:szCs w:val="20"/>
        </w:rPr>
        <w:footnoteReference w:id="52"/>
      </w:r>
    </w:p>
    <w:p w14:paraId="6504AF12" w14:textId="77777777" w:rsidR="00714AB9" w:rsidRDefault="00714AB9" w:rsidP="00714AB9">
      <w:pPr>
        <w:pStyle w:val="ListParagraph"/>
        <w:autoSpaceDE w:val="0"/>
        <w:autoSpaceDN w:val="0"/>
        <w:spacing w:before="68" w:after="0"/>
        <w:ind w:left="3150" w:right="1197"/>
        <w:rPr>
          <w:rFonts w:cs="Arial"/>
          <w:szCs w:val="20"/>
        </w:rPr>
      </w:pPr>
    </w:p>
    <w:p w14:paraId="7FBD3A20" w14:textId="77777777" w:rsidR="00714AB9" w:rsidRDefault="00714AB9" w:rsidP="00F52B69">
      <w:pPr>
        <w:ind w:left="2160" w:hanging="720"/>
        <w:rPr>
          <w:rFonts w:cstheme="minorHAnsi"/>
        </w:rPr>
      </w:pPr>
      <w:proofErr w:type="spellStart"/>
      <w:r>
        <w:rPr>
          <w:rFonts w:cstheme="minorHAnsi"/>
        </w:rPr>
        <w:t>CVR</w:t>
      </w:r>
      <w:r>
        <w:rPr>
          <w:rFonts w:cstheme="minorHAnsi"/>
          <w:vertAlign w:val="subscript"/>
        </w:rPr>
        <w:t>f</w:t>
      </w:r>
      <w:proofErr w:type="spellEnd"/>
      <w:r>
        <w:rPr>
          <w:rFonts w:cstheme="minorHAnsi"/>
        </w:rPr>
        <w:tab/>
        <w:t>= conservation voltage reduction factor relating the change in voltage to a change in energy</w:t>
      </w:r>
    </w:p>
    <w:p w14:paraId="196BCFBE" w14:textId="7A7BF401" w:rsidR="00714AB9" w:rsidRDefault="00714AB9" w:rsidP="00714AB9">
      <w:pPr>
        <w:ind w:left="2160" w:hanging="1440"/>
        <w:rPr>
          <w:rFonts w:cstheme="minorHAnsi"/>
        </w:rPr>
      </w:pPr>
      <w:r>
        <w:rPr>
          <w:rFonts w:cstheme="minorHAnsi"/>
        </w:rPr>
        <w:tab/>
        <w:t xml:space="preserve">= </w:t>
      </w:r>
      <w:proofErr w:type="gramStart"/>
      <w:r>
        <w:rPr>
          <w:rFonts w:cstheme="minorHAnsi"/>
        </w:rPr>
        <w:t>0.80</w:t>
      </w:r>
      <w:r w:rsidR="009B579D">
        <w:rPr>
          <w:rFonts w:cstheme="minorHAnsi"/>
        </w:rPr>
        <w:t xml:space="preserve">  (</w:t>
      </w:r>
      <w:proofErr w:type="gramEnd"/>
      <w:r w:rsidR="009B579D">
        <w:rPr>
          <w:rFonts w:cstheme="minorHAnsi"/>
        </w:rPr>
        <w:t>for both Ameren and ComEd territories)</w:t>
      </w:r>
      <w:r>
        <w:rPr>
          <w:rStyle w:val="FootnoteReference"/>
        </w:rPr>
        <w:footnoteReference w:id="53"/>
      </w:r>
    </w:p>
    <w:p w14:paraId="580D7813" w14:textId="77777777" w:rsidR="00714AB9" w:rsidRDefault="00714AB9" w:rsidP="00714AB9">
      <w:pPr>
        <w:pStyle w:val="Heading6"/>
        <w:rPr>
          <w:rFonts w:cs="Times New Roman"/>
        </w:rPr>
      </w:pPr>
      <w:r>
        <w:t>Summer Coincident Peak Demand Savings</w:t>
      </w:r>
    </w:p>
    <w:p w14:paraId="17C458C1" w14:textId="77777777" w:rsidR="00714AB9" w:rsidRDefault="00714AB9" w:rsidP="00714AB9">
      <w:pPr>
        <w:rPr>
          <w:rFonts w:eastAsiaTheme="majorEastAsia"/>
        </w:rPr>
      </w:pPr>
      <w:r>
        <w:rPr>
          <w:rFonts w:eastAsiaTheme="majorEastAsia"/>
        </w:rPr>
        <w:t xml:space="preserve">Peak demand savings should be calculated separately for each VO-enabled feeder. </w:t>
      </w:r>
      <w:r>
        <w:rPr>
          <w:rFonts w:cs="Arial"/>
          <w:szCs w:val="20"/>
        </w:rPr>
        <w:t xml:space="preserve">The savings reductions </w:t>
      </w:r>
      <w:proofErr w:type="gramStart"/>
      <w:r>
        <w:rPr>
          <w:rFonts w:cs="Arial"/>
          <w:szCs w:val="20"/>
        </w:rPr>
        <w:t>during  VO</w:t>
      </w:r>
      <w:proofErr w:type="gramEnd"/>
      <w:r>
        <w:rPr>
          <w:rFonts w:cs="Arial"/>
          <w:szCs w:val="20"/>
        </w:rPr>
        <w:t xml:space="preserve"> On/Off testing shall not be a basis to reduce the estimated savings. The off periods from testing shall be treated as if they were on during the evaluation</w:t>
      </w:r>
      <w:r>
        <w:rPr>
          <w:rFonts w:cs="Arial"/>
          <w:spacing w:val="-10"/>
          <w:szCs w:val="20"/>
        </w:rPr>
        <w:t xml:space="preserve"> </w:t>
      </w:r>
      <w:r>
        <w:rPr>
          <w:rFonts w:cs="Arial"/>
          <w:szCs w:val="20"/>
        </w:rPr>
        <w:t>period.</w:t>
      </w:r>
      <w:r>
        <w:rPr>
          <w:rFonts w:eastAsiaTheme="majorEastAsia"/>
        </w:rPr>
        <w:t xml:space="preserve"> </w:t>
      </w:r>
    </w:p>
    <w:p w14:paraId="628DB482" w14:textId="77777777" w:rsidR="00714AB9" w:rsidRDefault="00714AB9" w:rsidP="009B579D">
      <w:pPr>
        <w:ind w:firstLine="720"/>
      </w:pPr>
      <w:proofErr w:type="spellStart"/>
      <w:r>
        <w:rPr>
          <w:rFonts w:ascii="Cambria Math" w:eastAsiaTheme="majorEastAsia" w:hAnsi="Cambria Math"/>
        </w:rPr>
        <w:t>Δ</w:t>
      </w:r>
      <w:r>
        <w:rPr>
          <w:rFonts w:eastAsiaTheme="majorEastAsia"/>
        </w:rPr>
        <w:t>kW</w:t>
      </w:r>
      <w:proofErr w:type="spellEnd"/>
      <w:r>
        <w:rPr>
          <w:rFonts w:eastAsiaTheme="majorEastAsia"/>
        </w:rPr>
        <w:t xml:space="preserve"> = </w:t>
      </w:r>
      <w:proofErr w:type="spellStart"/>
      <w:r>
        <w:rPr>
          <w:rFonts w:eastAsiaTheme="majorEastAsia"/>
        </w:rPr>
        <w:t>kW</w:t>
      </w:r>
      <w:r>
        <w:rPr>
          <w:rFonts w:eastAsiaTheme="majorEastAsia"/>
          <w:vertAlign w:val="subscript"/>
        </w:rPr>
        <w:t>BASE</w:t>
      </w:r>
      <w:proofErr w:type="spellEnd"/>
      <w:r>
        <w:rPr>
          <w:rFonts w:eastAsiaTheme="majorEastAsia"/>
        </w:rPr>
        <w:t xml:space="preserve"> * </w:t>
      </w:r>
      <w:r>
        <w:rPr>
          <w:rFonts w:ascii="Cambria Math" w:eastAsiaTheme="majorEastAsia" w:hAnsi="Cambria Math"/>
        </w:rPr>
        <w:t>Δ</w:t>
      </w:r>
      <w:r>
        <w:rPr>
          <w:rFonts w:eastAsiaTheme="majorEastAsia"/>
        </w:rPr>
        <w:t>V</w:t>
      </w:r>
      <w:r>
        <w:rPr>
          <w:rFonts w:eastAsiaTheme="majorEastAsia"/>
          <w:vertAlign w:val="subscript"/>
        </w:rPr>
        <w:t>PEAK</w:t>
      </w:r>
      <w:r>
        <w:rPr>
          <w:rFonts w:eastAsiaTheme="majorEastAsia"/>
        </w:rPr>
        <w:t xml:space="preserve"> * </w:t>
      </w:r>
      <w:proofErr w:type="spellStart"/>
      <w:proofErr w:type="gramStart"/>
      <w:r>
        <w:rPr>
          <w:rFonts w:eastAsiaTheme="majorEastAsia"/>
        </w:rPr>
        <w:t>CVR</w:t>
      </w:r>
      <w:r>
        <w:rPr>
          <w:rFonts w:eastAsiaTheme="majorEastAsia"/>
          <w:vertAlign w:val="subscript"/>
        </w:rPr>
        <w:t>f,PEAK</w:t>
      </w:r>
      <w:proofErr w:type="spellEnd"/>
      <w:proofErr w:type="gramEnd"/>
    </w:p>
    <w:p w14:paraId="7152DB9B" w14:textId="77777777" w:rsidR="00714AB9" w:rsidRDefault="00714AB9" w:rsidP="009B579D">
      <w:pPr>
        <w:ind w:firstLine="720"/>
        <w:rPr>
          <w:rFonts w:cstheme="minorHAnsi"/>
        </w:rPr>
      </w:pPr>
      <w:r>
        <w:rPr>
          <w:rFonts w:cstheme="minorHAnsi"/>
        </w:rPr>
        <w:t>Where:</w:t>
      </w:r>
    </w:p>
    <w:p w14:paraId="12BFB73B" w14:textId="143BE223" w:rsidR="00714AB9" w:rsidRDefault="00714AB9" w:rsidP="009B579D">
      <w:pPr>
        <w:ind w:left="2160" w:hanging="720"/>
        <w:rPr>
          <w:rFonts w:cstheme="minorHAnsi"/>
        </w:rPr>
      </w:pPr>
      <w:proofErr w:type="spellStart"/>
      <w:r>
        <w:rPr>
          <w:rFonts w:cstheme="minorHAnsi"/>
        </w:rPr>
        <w:t>kW</w:t>
      </w:r>
      <w:r>
        <w:rPr>
          <w:rFonts w:cstheme="minorHAnsi"/>
          <w:vertAlign w:val="subscript"/>
        </w:rPr>
        <w:t>BASE</w:t>
      </w:r>
      <w:proofErr w:type="spellEnd"/>
      <w:r>
        <w:rPr>
          <w:rFonts w:cstheme="minorHAnsi"/>
          <w:vertAlign w:val="subscript"/>
        </w:rPr>
        <w:tab/>
      </w:r>
      <w:r>
        <w:rPr>
          <w:iCs/>
        </w:rPr>
        <w:t>=</w:t>
      </w:r>
      <w:r>
        <w:rPr>
          <w:rFonts w:cstheme="minorHAnsi"/>
          <w:i/>
        </w:rPr>
        <w:t xml:space="preserve"> </w:t>
      </w:r>
      <w:r>
        <w:rPr>
          <w:rFonts w:cstheme="minorHAnsi"/>
        </w:rPr>
        <w:t>Baseline kW usage on the feeder during the peak period, defined as 1:00-5:00 pm CDT on non-holiday weekdays from June 1 to August 31</w:t>
      </w:r>
      <w:r w:rsidR="00A82221">
        <w:rPr>
          <w:rFonts w:cstheme="minorHAnsi"/>
        </w:rPr>
        <w:t>.</w:t>
      </w:r>
      <w:r>
        <w:rPr>
          <w:rFonts w:cstheme="minorHAnsi"/>
        </w:rPr>
        <w:t xml:space="preserve"> </w:t>
      </w:r>
    </w:p>
    <w:p w14:paraId="5FE517E4" w14:textId="77777777" w:rsidR="00714AB9" w:rsidRDefault="00714AB9" w:rsidP="00714AB9">
      <w:pPr>
        <w:ind w:left="2160"/>
        <w:rPr>
          <w:rFonts w:cstheme="minorHAnsi"/>
        </w:rPr>
      </w:pPr>
      <w:r>
        <w:t>For Ameren territory, this will be calculated as the average demand in the peak hour for each feeder over the 2014-2016 timeframe, adjusted by a calibration factor that describes the relationship between demand in the peak hour and average demand over the peak period (</w:t>
      </w:r>
      <w:r>
        <w:rPr>
          <w:rFonts w:cstheme="minorHAnsi"/>
        </w:rPr>
        <w:t>defined as 1:00-5:00 pm CDT on non-holiday weekdays from June 1 to August 31)</w:t>
      </w:r>
      <w:r>
        <w:t>.  This calibration factor will be calculated based on a sample of feeders for which 2014-</w:t>
      </w:r>
      <w:r>
        <w:lastRenderedPageBreak/>
        <w:t>2016 data is available.</w:t>
      </w:r>
    </w:p>
    <w:p w14:paraId="72D26E46" w14:textId="69A5FEB3" w:rsidR="00714AB9" w:rsidRPr="00A82221" w:rsidRDefault="00714AB9" w:rsidP="00714AB9">
      <w:pPr>
        <w:ind w:left="2160"/>
        <w:rPr>
          <w:rFonts w:cstheme="minorHAnsi"/>
        </w:rPr>
      </w:pPr>
      <w:r w:rsidRPr="00A82221">
        <w:rPr>
          <w:rFonts w:cstheme="minorHAnsi"/>
        </w:rPr>
        <w:t xml:space="preserve">For ComEd territory, this will be calculated in the same manner as </w:t>
      </w:r>
      <w:proofErr w:type="spellStart"/>
      <w:r w:rsidRPr="00A82221">
        <w:rPr>
          <w:rFonts w:cstheme="minorHAnsi"/>
        </w:rPr>
        <w:t>kWh</w:t>
      </w:r>
      <w:r w:rsidRPr="00A82221">
        <w:rPr>
          <w:rFonts w:cstheme="minorHAnsi"/>
          <w:vertAlign w:val="subscript"/>
        </w:rPr>
        <w:t>BASE</w:t>
      </w:r>
      <w:proofErr w:type="spellEnd"/>
      <w:r w:rsidRPr="00A82221">
        <w:rPr>
          <w:rFonts w:cstheme="minorHAnsi"/>
        </w:rPr>
        <w:t xml:space="preserve"> for energy savings but with the intent of estimating the baseline just for the peak period as opposed to for the entire year.</w:t>
      </w:r>
    </w:p>
    <w:p w14:paraId="0DDD7B94" w14:textId="20E7B838" w:rsidR="00714AB9" w:rsidRDefault="00714AB9" w:rsidP="009B579D">
      <w:pPr>
        <w:ind w:left="2160" w:hanging="720"/>
        <w:rPr>
          <w:rFonts w:cstheme="minorHAnsi"/>
        </w:rPr>
      </w:pPr>
      <w:proofErr w:type="spellStart"/>
      <w:r>
        <w:rPr>
          <w:rFonts w:cstheme="minorHAnsi"/>
        </w:rPr>
        <w:t>ΔV</w:t>
      </w:r>
      <w:r>
        <w:rPr>
          <w:rFonts w:cstheme="minorHAnsi"/>
          <w:vertAlign w:val="subscript"/>
        </w:rPr>
        <w:t>Peak</w:t>
      </w:r>
      <w:proofErr w:type="spellEnd"/>
      <w:r>
        <w:rPr>
          <w:rFonts w:cstheme="minorHAnsi"/>
        </w:rPr>
        <w:tab/>
        <w:t>= Percentage voltage reduction on the feeder caused by VO during the peak period, defined as 1:00 – 5:00 pm CDT on non-holiday weekdays from June 1 to August 31</w:t>
      </w:r>
      <w:r w:rsidR="00A82221">
        <w:rPr>
          <w:rFonts w:cstheme="minorHAnsi"/>
        </w:rPr>
        <w:t>.</w:t>
      </w:r>
    </w:p>
    <w:p w14:paraId="04DA91E5" w14:textId="77777777" w:rsidR="00714AB9" w:rsidRPr="00A82221" w:rsidRDefault="00714AB9" w:rsidP="00714AB9">
      <w:pPr>
        <w:ind w:left="2160"/>
        <w:rPr>
          <w:rFonts w:cstheme="minorHAnsi"/>
        </w:rPr>
      </w:pPr>
      <w:r w:rsidRPr="00A82221">
        <w:rPr>
          <w:rFonts w:cstheme="minorHAnsi"/>
        </w:rPr>
        <w:t xml:space="preserve">For Ameren territory, this will be calculated in the same manner as </w:t>
      </w:r>
      <w:r w:rsidRPr="00A82221">
        <w:rPr>
          <w:rFonts w:eastAsiaTheme="majorEastAsia" w:cstheme="minorHAnsi"/>
        </w:rPr>
        <w:t>ΔV</w:t>
      </w:r>
      <w:r w:rsidRPr="00A82221">
        <w:rPr>
          <w:rFonts w:cstheme="minorHAnsi"/>
        </w:rPr>
        <w:t xml:space="preserve"> for energy savings but with the intent of estimating ΔV just for the peak period as opposed to for the entire year. </w:t>
      </w:r>
    </w:p>
    <w:p w14:paraId="501BA959" w14:textId="77777777" w:rsidR="00714AB9" w:rsidRPr="00A82221" w:rsidRDefault="00714AB9" w:rsidP="00714AB9">
      <w:pPr>
        <w:ind w:left="2160"/>
        <w:rPr>
          <w:rFonts w:cstheme="minorHAnsi"/>
        </w:rPr>
      </w:pPr>
      <w:r w:rsidRPr="00A82221">
        <w:rPr>
          <w:rFonts w:cstheme="minorHAnsi"/>
        </w:rPr>
        <w:t xml:space="preserve">For ComEd territory, this will be calculated in the same manner as </w:t>
      </w:r>
      <w:r w:rsidRPr="00A82221">
        <w:rPr>
          <w:rFonts w:eastAsiaTheme="majorEastAsia" w:cstheme="minorHAnsi"/>
        </w:rPr>
        <w:t>ΔV</w:t>
      </w:r>
      <w:r w:rsidRPr="00A82221">
        <w:rPr>
          <w:rFonts w:cstheme="minorHAnsi"/>
        </w:rPr>
        <w:t xml:space="preserve"> for energy savings but with the intent of estimating ΔV just for the peak period as opposed to for the entire year.</w:t>
      </w:r>
    </w:p>
    <w:p w14:paraId="503CAD26" w14:textId="77777777" w:rsidR="00714AB9" w:rsidRDefault="00714AB9" w:rsidP="009B579D">
      <w:pPr>
        <w:ind w:left="2160" w:hanging="720"/>
        <w:rPr>
          <w:rFonts w:cstheme="minorHAnsi"/>
        </w:rPr>
      </w:pPr>
      <w:proofErr w:type="spellStart"/>
      <w:proofErr w:type="gramStart"/>
      <w:r>
        <w:rPr>
          <w:rFonts w:cstheme="minorHAnsi"/>
        </w:rPr>
        <w:t>CVR</w:t>
      </w:r>
      <w:r>
        <w:rPr>
          <w:rFonts w:cstheme="minorHAnsi"/>
          <w:vertAlign w:val="subscript"/>
        </w:rPr>
        <w:t>f,PEAK</w:t>
      </w:r>
      <w:proofErr w:type="spellEnd"/>
      <w:proofErr w:type="gramEnd"/>
      <w:r>
        <w:rPr>
          <w:rFonts w:cstheme="minorHAnsi"/>
        </w:rPr>
        <w:tab/>
        <w:t>= conservation voltage reduction factor relating the change in voltage to a change in energy specifically for the peak period, defined as 1:00 – 5:00 pm CDT on non-holiday weekdays from June 1 to August 31</w:t>
      </w:r>
    </w:p>
    <w:p w14:paraId="42CB6146" w14:textId="05B40E65" w:rsidR="00714AB9" w:rsidRDefault="00714AB9" w:rsidP="00714AB9">
      <w:pPr>
        <w:rPr>
          <w:rFonts w:cstheme="minorHAnsi"/>
        </w:rPr>
      </w:pPr>
      <w:r>
        <w:rPr>
          <w:rFonts w:cstheme="minorHAnsi"/>
        </w:rPr>
        <w:tab/>
      </w:r>
      <w:r>
        <w:rPr>
          <w:rFonts w:cstheme="minorHAnsi"/>
        </w:rPr>
        <w:tab/>
      </w:r>
      <w:r>
        <w:rPr>
          <w:rFonts w:cstheme="minorHAnsi"/>
        </w:rPr>
        <w:tab/>
        <w:t>For Ameren territory, 0.68</w:t>
      </w:r>
      <w:r w:rsidR="00985F8B">
        <w:rPr>
          <w:rFonts w:cstheme="minorHAnsi"/>
        </w:rPr>
        <w:t>.</w:t>
      </w:r>
      <w:r>
        <w:rPr>
          <w:rStyle w:val="FootnoteReference"/>
        </w:rPr>
        <w:footnoteReference w:id="54"/>
      </w:r>
    </w:p>
    <w:p w14:paraId="0F5F8570" w14:textId="048DA3BF" w:rsidR="00714AB9" w:rsidRDefault="00714AB9" w:rsidP="00714AB9">
      <w:r>
        <w:rPr>
          <w:rFonts w:cstheme="minorHAnsi"/>
        </w:rPr>
        <w:tab/>
      </w:r>
      <w:r>
        <w:rPr>
          <w:rFonts w:cstheme="minorHAnsi"/>
        </w:rPr>
        <w:tab/>
      </w:r>
      <w:r>
        <w:rPr>
          <w:rFonts w:cstheme="minorHAnsi"/>
        </w:rPr>
        <w:tab/>
        <w:t>For ComEd territory, 1.02</w:t>
      </w:r>
      <w:r w:rsidR="00985F8B">
        <w:rPr>
          <w:rFonts w:cstheme="minorHAnsi"/>
        </w:rPr>
        <w:t>.</w:t>
      </w:r>
      <w:r>
        <w:rPr>
          <w:rStyle w:val="FootnoteReference"/>
        </w:rPr>
        <w:footnoteReference w:id="55"/>
      </w:r>
    </w:p>
    <w:p w14:paraId="5E8EC658" w14:textId="77777777" w:rsidR="00714AB9" w:rsidRDefault="00714AB9" w:rsidP="00714AB9">
      <w:pPr>
        <w:pStyle w:val="Heading6"/>
      </w:pPr>
      <w:r>
        <w:t>Excludable and Not-Excludable Events In Calculating Electric Savings</w:t>
      </w:r>
    </w:p>
    <w:p w14:paraId="265C01B3" w14:textId="77777777" w:rsidR="00714AB9" w:rsidRDefault="00714AB9" w:rsidP="00714AB9">
      <w:pPr>
        <w:rPr>
          <w:rFonts w:cs="Arial"/>
          <w:szCs w:val="20"/>
        </w:rPr>
      </w:pPr>
      <w:r>
        <w:rPr>
          <w:rFonts w:cs="Arial"/>
          <w:szCs w:val="20"/>
        </w:rPr>
        <w:t>Both Ameren and ComEd have established a set of excludable (where VO is off, but savings can be claimed as if VO is on) and not-excludable (where VO is off, and savings cannot be claimed) events. These events can be accounted for either by: 1) determining the percentage of time non-excludable events occur and de-rating the savings by this percentage (</w:t>
      </w:r>
      <w:proofErr w:type="spellStart"/>
      <w:r>
        <w:rPr>
          <w:rFonts w:cs="Arial"/>
          <w:szCs w:val="20"/>
        </w:rPr>
        <w:t>ComEd’s</w:t>
      </w:r>
      <w:proofErr w:type="spellEnd"/>
      <w:r>
        <w:rPr>
          <w:rFonts w:cs="Arial"/>
          <w:szCs w:val="20"/>
        </w:rPr>
        <w:t xml:space="preserve"> approach), or 2) removing the excludable events from the dataset used to calculate savings (Ameren’s approach).</w:t>
      </w:r>
    </w:p>
    <w:p w14:paraId="32BA00CD" w14:textId="77777777" w:rsidR="00714AB9" w:rsidRDefault="00714AB9" w:rsidP="00714AB9">
      <w:pPr>
        <w:spacing w:after="0"/>
        <w:rPr>
          <w:rFonts w:cs="Arial"/>
          <w:szCs w:val="20"/>
        </w:rPr>
      </w:pPr>
      <w:r>
        <w:rPr>
          <w:rFonts w:cs="Arial"/>
          <w:szCs w:val="20"/>
        </w:rPr>
        <w:t>Below are tables of events each utility has established as excludable and non-excludable. Changes or additions can be made to these tables with the consensus of the utilities, the independent evaluator, and ICC staff (none of whose</w:t>
      </w:r>
    </w:p>
    <w:p w14:paraId="24BD8AF8" w14:textId="77777777" w:rsidR="00714AB9" w:rsidRDefault="00714AB9" w:rsidP="00714AB9">
      <w:pPr>
        <w:rPr>
          <w:rFonts w:cs="Arial"/>
          <w:szCs w:val="20"/>
        </w:rPr>
      </w:pPr>
      <w:r>
        <w:rPr>
          <w:rFonts w:cs="Arial"/>
          <w:szCs w:val="20"/>
        </w:rPr>
        <w:t>consensus shall not be unreasonably withheld).</w:t>
      </w:r>
    </w:p>
    <w:p w14:paraId="16892569" w14:textId="48ABCA16" w:rsidR="00714AB9" w:rsidRDefault="00714AB9" w:rsidP="00714AB9">
      <w:pPr>
        <w:pStyle w:val="Caption"/>
        <w:rPr>
          <w:rFonts w:cs="Arial"/>
          <w:szCs w:val="20"/>
        </w:rPr>
      </w:pPr>
      <w:bookmarkStart w:id="766" w:name="_Ref40258120"/>
      <w:r>
        <w:t xml:space="preserve">Table </w:t>
      </w:r>
      <w:r w:rsidR="00573A1D">
        <w:fldChar w:fldCharType="begin"/>
      </w:r>
      <w:r w:rsidR="00573A1D">
        <w:instrText xml:space="preserve"> SEQ Table \* ARABIC </w:instrText>
      </w:r>
      <w:r w:rsidR="00573A1D">
        <w:fldChar w:fldCharType="separate"/>
      </w:r>
      <w:r w:rsidR="00506A44">
        <w:rPr>
          <w:noProof/>
        </w:rPr>
        <w:t>1</w:t>
      </w:r>
      <w:r w:rsidR="00573A1D">
        <w:rPr>
          <w:noProof/>
        </w:rPr>
        <w:fldChar w:fldCharType="end"/>
      </w:r>
      <w:bookmarkEnd w:id="766"/>
      <w:r>
        <w:t xml:space="preserve">. </w:t>
      </w:r>
      <w:r>
        <w:rPr>
          <w:rFonts w:cs="Arial"/>
          <w:szCs w:val="20"/>
        </w:rPr>
        <w:t>Ameren Excludable and Non-Excludable VO Events</w:t>
      </w:r>
    </w:p>
    <w:tbl>
      <w:tblPr>
        <w:tblW w:w="9355" w:type="dxa"/>
        <w:jc w:val="center"/>
        <w:tblLook w:val="04A0" w:firstRow="1" w:lastRow="0" w:firstColumn="1" w:lastColumn="0" w:noHBand="0" w:noVBand="1"/>
      </w:tblPr>
      <w:tblGrid>
        <w:gridCol w:w="1564"/>
        <w:gridCol w:w="3330"/>
        <w:gridCol w:w="3510"/>
        <w:gridCol w:w="1088"/>
      </w:tblGrid>
      <w:tr w:rsidR="00714AB9" w:rsidRPr="00BA3810" w14:paraId="6ED5C2EB" w14:textId="77777777" w:rsidTr="00062CC9">
        <w:trPr>
          <w:trHeight w:val="180"/>
          <w:tblHeader/>
          <w:jc w:val="center"/>
        </w:trPr>
        <w:tc>
          <w:tcPr>
            <w:tcW w:w="1525" w:type="dxa"/>
            <w:tcBorders>
              <w:top w:val="single" w:sz="4" w:space="0" w:color="auto"/>
              <w:left w:val="single" w:sz="4" w:space="0" w:color="auto"/>
              <w:bottom w:val="single" w:sz="4" w:space="0" w:color="auto"/>
              <w:right w:val="single" w:sz="4" w:space="0" w:color="auto"/>
            </w:tcBorders>
            <w:shd w:val="clear" w:color="auto" w:fill="808080" w:themeFill="background1" w:themeFillShade="80"/>
            <w:noWrap/>
            <w:vAlign w:val="bottom"/>
            <w:hideMark/>
          </w:tcPr>
          <w:p w14:paraId="266CF467" w14:textId="77777777" w:rsidR="00714AB9" w:rsidRPr="00BA3810" w:rsidRDefault="00714AB9">
            <w:pPr>
              <w:widowControl/>
              <w:spacing w:after="0" w:line="276" w:lineRule="auto"/>
              <w:jc w:val="center"/>
              <w:rPr>
                <w:rFonts w:cstheme="minorHAnsi"/>
                <w:b/>
                <w:bCs/>
                <w:color w:val="FFFFFF" w:themeColor="background1"/>
                <w:szCs w:val="20"/>
              </w:rPr>
            </w:pPr>
            <w:r w:rsidRPr="00BA3810">
              <w:rPr>
                <w:rFonts w:cstheme="minorHAnsi"/>
                <w:b/>
                <w:bCs/>
                <w:color w:val="FFFFFF" w:themeColor="background1"/>
                <w:szCs w:val="20"/>
              </w:rPr>
              <w:t>Event</w:t>
            </w:r>
          </w:p>
        </w:tc>
        <w:tc>
          <w:tcPr>
            <w:tcW w:w="3330" w:type="dxa"/>
            <w:tcBorders>
              <w:top w:val="single" w:sz="4" w:space="0" w:color="auto"/>
              <w:left w:val="nil"/>
              <w:bottom w:val="single" w:sz="4" w:space="0" w:color="auto"/>
              <w:right w:val="single" w:sz="4" w:space="0" w:color="auto"/>
            </w:tcBorders>
            <w:shd w:val="clear" w:color="auto" w:fill="808080" w:themeFill="background1" w:themeFillShade="80"/>
            <w:noWrap/>
            <w:vAlign w:val="bottom"/>
            <w:hideMark/>
          </w:tcPr>
          <w:p w14:paraId="3CE8E34B" w14:textId="77777777" w:rsidR="00714AB9" w:rsidRPr="00BA3810" w:rsidRDefault="00714AB9">
            <w:pPr>
              <w:widowControl/>
              <w:spacing w:after="0" w:line="276" w:lineRule="auto"/>
              <w:jc w:val="center"/>
              <w:rPr>
                <w:rFonts w:cstheme="minorHAnsi"/>
                <w:b/>
                <w:bCs/>
                <w:color w:val="FFFFFF" w:themeColor="background1"/>
                <w:szCs w:val="20"/>
              </w:rPr>
            </w:pPr>
            <w:r w:rsidRPr="00BA3810">
              <w:rPr>
                <w:rFonts w:cstheme="minorHAnsi"/>
                <w:b/>
                <w:bCs/>
                <w:color w:val="FFFFFF" w:themeColor="background1"/>
                <w:szCs w:val="20"/>
              </w:rPr>
              <w:t>Description</w:t>
            </w:r>
          </w:p>
        </w:tc>
        <w:tc>
          <w:tcPr>
            <w:tcW w:w="3510" w:type="dxa"/>
            <w:tcBorders>
              <w:top w:val="single" w:sz="4" w:space="0" w:color="auto"/>
              <w:left w:val="nil"/>
              <w:bottom w:val="single" w:sz="4" w:space="0" w:color="auto"/>
              <w:right w:val="single" w:sz="4" w:space="0" w:color="auto"/>
            </w:tcBorders>
            <w:shd w:val="clear" w:color="auto" w:fill="808080" w:themeFill="background1" w:themeFillShade="80"/>
            <w:noWrap/>
            <w:vAlign w:val="bottom"/>
            <w:hideMark/>
          </w:tcPr>
          <w:p w14:paraId="4D647FD9" w14:textId="77777777" w:rsidR="00714AB9" w:rsidRPr="00BA3810" w:rsidRDefault="00714AB9">
            <w:pPr>
              <w:widowControl/>
              <w:spacing w:after="0" w:line="276" w:lineRule="auto"/>
              <w:jc w:val="center"/>
              <w:rPr>
                <w:rFonts w:cstheme="minorHAnsi"/>
                <w:b/>
                <w:bCs/>
                <w:color w:val="FFFFFF" w:themeColor="background1"/>
                <w:szCs w:val="20"/>
              </w:rPr>
            </w:pPr>
            <w:r w:rsidRPr="00BA3810">
              <w:rPr>
                <w:rFonts w:cstheme="minorHAnsi"/>
                <w:b/>
                <w:bCs/>
                <w:color w:val="FFFFFF" w:themeColor="background1"/>
                <w:szCs w:val="20"/>
              </w:rPr>
              <w:t>Reason/Explanation</w:t>
            </w:r>
          </w:p>
        </w:tc>
        <w:tc>
          <w:tcPr>
            <w:tcW w:w="990" w:type="dxa"/>
            <w:tcBorders>
              <w:top w:val="single" w:sz="4" w:space="0" w:color="auto"/>
              <w:left w:val="nil"/>
              <w:bottom w:val="single" w:sz="4" w:space="0" w:color="auto"/>
              <w:right w:val="single" w:sz="4" w:space="0" w:color="auto"/>
            </w:tcBorders>
            <w:shd w:val="clear" w:color="auto" w:fill="808080" w:themeFill="background1" w:themeFillShade="80"/>
            <w:noWrap/>
            <w:vAlign w:val="bottom"/>
            <w:hideMark/>
          </w:tcPr>
          <w:p w14:paraId="23898C3D" w14:textId="77777777" w:rsidR="00714AB9" w:rsidRPr="00BA3810" w:rsidRDefault="00714AB9">
            <w:pPr>
              <w:widowControl/>
              <w:spacing w:after="0" w:line="276" w:lineRule="auto"/>
              <w:jc w:val="center"/>
              <w:rPr>
                <w:rFonts w:cstheme="minorHAnsi"/>
                <w:b/>
                <w:bCs/>
                <w:color w:val="FFFFFF" w:themeColor="background1"/>
                <w:szCs w:val="20"/>
              </w:rPr>
            </w:pPr>
            <w:r w:rsidRPr="00BA3810">
              <w:rPr>
                <w:rFonts w:cstheme="minorHAnsi"/>
                <w:b/>
                <w:bCs/>
                <w:color w:val="FFFFFF" w:themeColor="background1"/>
                <w:szCs w:val="20"/>
              </w:rPr>
              <w:t>Category</w:t>
            </w:r>
          </w:p>
        </w:tc>
      </w:tr>
      <w:tr w:rsidR="00714AB9" w:rsidRPr="00BA3810" w14:paraId="1CFEE83B" w14:textId="77777777" w:rsidTr="00062CC9">
        <w:trPr>
          <w:trHeight w:val="1215"/>
          <w:jc w:val="center"/>
        </w:trPr>
        <w:tc>
          <w:tcPr>
            <w:tcW w:w="1525" w:type="dxa"/>
            <w:tcBorders>
              <w:top w:val="nil"/>
              <w:left w:val="single" w:sz="4" w:space="0" w:color="auto"/>
              <w:bottom w:val="single" w:sz="4" w:space="0" w:color="auto"/>
              <w:right w:val="single" w:sz="4" w:space="0" w:color="auto"/>
            </w:tcBorders>
            <w:noWrap/>
            <w:hideMark/>
          </w:tcPr>
          <w:p w14:paraId="19A3AB82" w14:textId="77777777" w:rsidR="00714AB9" w:rsidRPr="00BA3810" w:rsidRDefault="00714AB9">
            <w:pPr>
              <w:widowControl/>
              <w:spacing w:after="0" w:line="276" w:lineRule="auto"/>
              <w:jc w:val="left"/>
              <w:rPr>
                <w:rFonts w:cstheme="minorHAnsi"/>
                <w:color w:val="000000"/>
                <w:szCs w:val="20"/>
              </w:rPr>
            </w:pPr>
            <w:r w:rsidRPr="00BA3810">
              <w:rPr>
                <w:rFonts w:cstheme="minorHAnsi"/>
                <w:color w:val="000000"/>
                <w:szCs w:val="20"/>
              </w:rPr>
              <w:t>Feeder Outage</w:t>
            </w:r>
          </w:p>
        </w:tc>
        <w:tc>
          <w:tcPr>
            <w:tcW w:w="3330" w:type="dxa"/>
            <w:tcBorders>
              <w:top w:val="nil"/>
              <w:left w:val="nil"/>
              <w:bottom w:val="single" w:sz="4" w:space="0" w:color="auto"/>
              <w:right w:val="single" w:sz="4" w:space="0" w:color="auto"/>
            </w:tcBorders>
            <w:hideMark/>
          </w:tcPr>
          <w:p w14:paraId="36F750B3" w14:textId="77777777" w:rsidR="00714AB9" w:rsidRPr="00BA3810" w:rsidRDefault="00714AB9" w:rsidP="0032344E">
            <w:pPr>
              <w:widowControl/>
              <w:spacing w:after="0"/>
              <w:jc w:val="left"/>
              <w:rPr>
                <w:rFonts w:cstheme="minorHAnsi"/>
                <w:color w:val="000000"/>
                <w:szCs w:val="20"/>
              </w:rPr>
            </w:pPr>
            <w:r w:rsidRPr="00BA3810">
              <w:rPr>
                <w:rFonts w:cstheme="minorHAnsi"/>
                <w:color w:val="000000"/>
                <w:szCs w:val="20"/>
              </w:rPr>
              <w:t>Anytime the majority of a feeder is out due to any reason.</w:t>
            </w:r>
          </w:p>
        </w:tc>
        <w:tc>
          <w:tcPr>
            <w:tcW w:w="3510" w:type="dxa"/>
            <w:tcBorders>
              <w:top w:val="nil"/>
              <w:left w:val="nil"/>
              <w:bottom w:val="single" w:sz="4" w:space="0" w:color="auto"/>
              <w:right w:val="single" w:sz="4" w:space="0" w:color="auto"/>
            </w:tcBorders>
            <w:hideMark/>
          </w:tcPr>
          <w:p w14:paraId="48DFBEE4" w14:textId="77777777" w:rsidR="00714AB9" w:rsidRPr="00BA3810" w:rsidRDefault="00714AB9" w:rsidP="0032344E">
            <w:pPr>
              <w:widowControl/>
              <w:spacing w:after="0"/>
              <w:jc w:val="left"/>
              <w:rPr>
                <w:rFonts w:cstheme="minorHAnsi"/>
                <w:color w:val="000000"/>
                <w:szCs w:val="20"/>
              </w:rPr>
            </w:pPr>
            <w:r w:rsidRPr="00BA3810">
              <w:rPr>
                <w:rFonts w:cstheme="minorHAnsi"/>
                <w:color w:val="000000"/>
                <w:szCs w:val="20"/>
              </w:rPr>
              <w:t>Feeder outages are typically not predictable or planned and are outside of Ameren’s control. They are an anomaly and are not certain to occur on the same feeder in subsequent years.</w:t>
            </w:r>
          </w:p>
        </w:tc>
        <w:tc>
          <w:tcPr>
            <w:tcW w:w="990" w:type="dxa"/>
            <w:tcBorders>
              <w:top w:val="nil"/>
              <w:left w:val="nil"/>
              <w:bottom w:val="single" w:sz="4" w:space="0" w:color="auto"/>
              <w:right w:val="single" w:sz="4" w:space="0" w:color="auto"/>
            </w:tcBorders>
            <w:noWrap/>
            <w:hideMark/>
          </w:tcPr>
          <w:p w14:paraId="4AAAFED4" w14:textId="77777777" w:rsidR="00714AB9" w:rsidRPr="00BA3810" w:rsidRDefault="00714AB9">
            <w:pPr>
              <w:widowControl/>
              <w:spacing w:after="0" w:line="276" w:lineRule="auto"/>
              <w:jc w:val="left"/>
              <w:rPr>
                <w:rFonts w:cstheme="minorHAnsi"/>
                <w:color w:val="000000"/>
                <w:szCs w:val="20"/>
              </w:rPr>
            </w:pPr>
            <w:r w:rsidRPr="00BA3810">
              <w:rPr>
                <w:rFonts w:cstheme="minorHAnsi"/>
                <w:color w:val="000000"/>
                <w:szCs w:val="20"/>
              </w:rPr>
              <w:t>Excludable</w:t>
            </w:r>
          </w:p>
        </w:tc>
      </w:tr>
      <w:tr w:rsidR="00714AB9" w:rsidRPr="00BA3810" w14:paraId="23C73E54" w14:textId="77777777" w:rsidTr="00062CC9">
        <w:trPr>
          <w:trHeight w:val="1200"/>
          <w:jc w:val="center"/>
        </w:trPr>
        <w:tc>
          <w:tcPr>
            <w:tcW w:w="1525" w:type="dxa"/>
            <w:tcBorders>
              <w:top w:val="nil"/>
              <w:left w:val="single" w:sz="4" w:space="0" w:color="auto"/>
              <w:bottom w:val="single" w:sz="4" w:space="0" w:color="auto"/>
              <w:right w:val="single" w:sz="4" w:space="0" w:color="auto"/>
            </w:tcBorders>
            <w:noWrap/>
            <w:hideMark/>
          </w:tcPr>
          <w:p w14:paraId="7A1FD168" w14:textId="77777777" w:rsidR="00714AB9" w:rsidRPr="00BA3810" w:rsidRDefault="00714AB9">
            <w:pPr>
              <w:widowControl/>
              <w:spacing w:after="0" w:line="276" w:lineRule="auto"/>
              <w:jc w:val="left"/>
              <w:rPr>
                <w:rFonts w:cstheme="minorHAnsi"/>
                <w:color w:val="000000"/>
                <w:szCs w:val="20"/>
              </w:rPr>
            </w:pPr>
            <w:r w:rsidRPr="00BA3810">
              <w:rPr>
                <w:rFonts w:cstheme="minorHAnsi"/>
                <w:color w:val="000000"/>
                <w:szCs w:val="20"/>
              </w:rPr>
              <w:t>Repair / Maintenance</w:t>
            </w:r>
          </w:p>
        </w:tc>
        <w:tc>
          <w:tcPr>
            <w:tcW w:w="3330" w:type="dxa"/>
            <w:tcBorders>
              <w:top w:val="nil"/>
              <w:left w:val="nil"/>
              <w:bottom w:val="single" w:sz="4" w:space="0" w:color="auto"/>
              <w:right w:val="single" w:sz="4" w:space="0" w:color="auto"/>
            </w:tcBorders>
            <w:hideMark/>
          </w:tcPr>
          <w:p w14:paraId="31B188E7" w14:textId="77777777" w:rsidR="00714AB9" w:rsidRPr="00BA3810" w:rsidRDefault="00714AB9" w:rsidP="0032344E">
            <w:pPr>
              <w:widowControl/>
              <w:spacing w:after="0"/>
              <w:jc w:val="left"/>
              <w:rPr>
                <w:rFonts w:cstheme="minorHAnsi"/>
                <w:color w:val="000000"/>
                <w:szCs w:val="20"/>
              </w:rPr>
            </w:pPr>
            <w:r w:rsidRPr="00BA3810">
              <w:rPr>
                <w:rFonts w:cstheme="minorHAnsi"/>
                <w:color w:val="000000"/>
                <w:szCs w:val="20"/>
              </w:rPr>
              <w:t>Repair or maintenance work is performed on a VO feeder causing VO to be disabled.</w:t>
            </w:r>
          </w:p>
        </w:tc>
        <w:tc>
          <w:tcPr>
            <w:tcW w:w="3510" w:type="dxa"/>
            <w:tcBorders>
              <w:top w:val="nil"/>
              <w:left w:val="nil"/>
              <w:bottom w:val="single" w:sz="4" w:space="0" w:color="auto"/>
              <w:right w:val="single" w:sz="4" w:space="0" w:color="auto"/>
            </w:tcBorders>
            <w:hideMark/>
          </w:tcPr>
          <w:p w14:paraId="02DDE528" w14:textId="77777777" w:rsidR="00714AB9" w:rsidRPr="00BA3810" w:rsidRDefault="00714AB9" w:rsidP="0032344E">
            <w:pPr>
              <w:widowControl/>
              <w:spacing w:after="0"/>
              <w:jc w:val="left"/>
              <w:rPr>
                <w:rFonts w:cstheme="minorHAnsi"/>
                <w:color w:val="000000"/>
                <w:szCs w:val="20"/>
              </w:rPr>
            </w:pPr>
            <w:r w:rsidRPr="00BA3810">
              <w:rPr>
                <w:rFonts w:cstheme="minorHAnsi"/>
                <w:color w:val="000000"/>
                <w:szCs w:val="20"/>
              </w:rPr>
              <w:t>Repair and maintenance of Ameren’s system is an operational necessity to provide customers with safe and reliable electric service. These events are not certain to occur on the same feeder in subsequent years.</w:t>
            </w:r>
          </w:p>
        </w:tc>
        <w:tc>
          <w:tcPr>
            <w:tcW w:w="990" w:type="dxa"/>
            <w:tcBorders>
              <w:top w:val="nil"/>
              <w:left w:val="nil"/>
              <w:bottom w:val="single" w:sz="4" w:space="0" w:color="auto"/>
              <w:right w:val="single" w:sz="4" w:space="0" w:color="auto"/>
            </w:tcBorders>
            <w:noWrap/>
            <w:hideMark/>
          </w:tcPr>
          <w:p w14:paraId="15ACDDD7" w14:textId="77777777" w:rsidR="00714AB9" w:rsidRPr="00BA3810" w:rsidRDefault="00714AB9">
            <w:pPr>
              <w:widowControl/>
              <w:spacing w:after="0" w:line="276" w:lineRule="auto"/>
              <w:jc w:val="left"/>
              <w:rPr>
                <w:rFonts w:cstheme="minorHAnsi"/>
                <w:color w:val="000000"/>
                <w:szCs w:val="20"/>
              </w:rPr>
            </w:pPr>
            <w:r w:rsidRPr="00BA3810">
              <w:rPr>
                <w:rFonts w:cstheme="minorHAnsi"/>
                <w:color w:val="000000"/>
                <w:szCs w:val="20"/>
              </w:rPr>
              <w:t>Excludable</w:t>
            </w:r>
          </w:p>
        </w:tc>
      </w:tr>
      <w:tr w:rsidR="00714AB9" w:rsidRPr="00BA3810" w14:paraId="107B4F11" w14:textId="77777777" w:rsidTr="00062CC9">
        <w:trPr>
          <w:trHeight w:val="1245"/>
          <w:jc w:val="center"/>
        </w:trPr>
        <w:tc>
          <w:tcPr>
            <w:tcW w:w="1525" w:type="dxa"/>
            <w:tcBorders>
              <w:top w:val="nil"/>
              <w:left w:val="single" w:sz="4" w:space="0" w:color="auto"/>
              <w:bottom w:val="single" w:sz="4" w:space="0" w:color="auto"/>
              <w:right w:val="single" w:sz="4" w:space="0" w:color="auto"/>
            </w:tcBorders>
            <w:noWrap/>
            <w:hideMark/>
          </w:tcPr>
          <w:p w14:paraId="2DAECFFE" w14:textId="77777777" w:rsidR="00714AB9" w:rsidRPr="00BA3810" w:rsidRDefault="00714AB9">
            <w:pPr>
              <w:widowControl/>
              <w:spacing w:after="0" w:line="276" w:lineRule="auto"/>
              <w:jc w:val="left"/>
              <w:rPr>
                <w:rFonts w:cstheme="minorHAnsi"/>
                <w:color w:val="000000"/>
                <w:szCs w:val="20"/>
              </w:rPr>
            </w:pPr>
            <w:r w:rsidRPr="00BA3810">
              <w:rPr>
                <w:rFonts w:cstheme="minorHAnsi"/>
                <w:color w:val="000000"/>
                <w:szCs w:val="20"/>
              </w:rPr>
              <w:lastRenderedPageBreak/>
              <w:t>Switching</w:t>
            </w:r>
          </w:p>
        </w:tc>
        <w:tc>
          <w:tcPr>
            <w:tcW w:w="3330" w:type="dxa"/>
            <w:tcBorders>
              <w:top w:val="nil"/>
              <w:left w:val="nil"/>
              <w:bottom w:val="single" w:sz="4" w:space="0" w:color="auto"/>
              <w:right w:val="single" w:sz="4" w:space="0" w:color="auto"/>
            </w:tcBorders>
            <w:hideMark/>
          </w:tcPr>
          <w:p w14:paraId="266E14F2" w14:textId="77777777" w:rsidR="00714AB9" w:rsidRPr="00BA3810" w:rsidRDefault="00714AB9" w:rsidP="0032344E">
            <w:pPr>
              <w:widowControl/>
              <w:spacing w:after="0"/>
              <w:jc w:val="left"/>
              <w:rPr>
                <w:rFonts w:cstheme="minorHAnsi"/>
                <w:color w:val="000000"/>
                <w:szCs w:val="20"/>
              </w:rPr>
            </w:pPr>
            <w:r w:rsidRPr="00BA3810">
              <w:rPr>
                <w:rFonts w:cstheme="minorHAnsi"/>
                <w:color w:val="000000"/>
                <w:szCs w:val="20"/>
              </w:rPr>
              <w:t>Dispatch disables VO on the feeder for any necessary switching event.</w:t>
            </w:r>
          </w:p>
        </w:tc>
        <w:tc>
          <w:tcPr>
            <w:tcW w:w="3510" w:type="dxa"/>
            <w:tcBorders>
              <w:top w:val="nil"/>
              <w:left w:val="nil"/>
              <w:bottom w:val="single" w:sz="4" w:space="0" w:color="auto"/>
              <w:right w:val="single" w:sz="4" w:space="0" w:color="auto"/>
            </w:tcBorders>
            <w:hideMark/>
          </w:tcPr>
          <w:p w14:paraId="6826614D" w14:textId="77777777" w:rsidR="00714AB9" w:rsidRPr="00BA3810" w:rsidRDefault="00714AB9" w:rsidP="0032344E">
            <w:pPr>
              <w:widowControl/>
              <w:spacing w:after="0"/>
              <w:jc w:val="left"/>
              <w:rPr>
                <w:rFonts w:cstheme="minorHAnsi"/>
                <w:color w:val="000000"/>
                <w:szCs w:val="20"/>
              </w:rPr>
            </w:pPr>
            <w:r w:rsidRPr="00BA3810">
              <w:rPr>
                <w:rFonts w:cstheme="minorHAnsi"/>
                <w:color w:val="000000"/>
                <w:szCs w:val="20"/>
              </w:rPr>
              <w:t>Ameren will perform switching for storms, outages, repair, maintenance, safety, and work to support new customer growth. These events are not certain to occur on the same feeder in subsequent years.</w:t>
            </w:r>
          </w:p>
        </w:tc>
        <w:tc>
          <w:tcPr>
            <w:tcW w:w="990" w:type="dxa"/>
            <w:tcBorders>
              <w:top w:val="nil"/>
              <w:left w:val="nil"/>
              <w:bottom w:val="single" w:sz="4" w:space="0" w:color="auto"/>
              <w:right w:val="single" w:sz="4" w:space="0" w:color="auto"/>
            </w:tcBorders>
            <w:noWrap/>
            <w:hideMark/>
          </w:tcPr>
          <w:p w14:paraId="236FBB90" w14:textId="77777777" w:rsidR="00714AB9" w:rsidRPr="00BA3810" w:rsidRDefault="00714AB9">
            <w:pPr>
              <w:widowControl/>
              <w:spacing w:after="0" w:line="276" w:lineRule="auto"/>
              <w:jc w:val="left"/>
              <w:rPr>
                <w:rFonts w:cstheme="minorHAnsi"/>
                <w:color w:val="000000"/>
                <w:szCs w:val="20"/>
              </w:rPr>
            </w:pPr>
            <w:r w:rsidRPr="00BA3810">
              <w:rPr>
                <w:rFonts w:cstheme="minorHAnsi"/>
                <w:color w:val="000000"/>
                <w:szCs w:val="20"/>
              </w:rPr>
              <w:t>Excludable</w:t>
            </w:r>
          </w:p>
        </w:tc>
      </w:tr>
      <w:tr w:rsidR="00714AB9" w:rsidRPr="00BA3810" w14:paraId="4462B3B3" w14:textId="77777777" w:rsidTr="00062CC9">
        <w:trPr>
          <w:trHeight w:val="2145"/>
          <w:jc w:val="center"/>
        </w:trPr>
        <w:tc>
          <w:tcPr>
            <w:tcW w:w="1525" w:type="dxa"/>
            <w:tcBorders>
              <w:top w:val="nil"/>
              <w:left w:val="single" w:sz="4" w:space="0" w:color="auto"/>
              <w:bottom w:val="single" w:sz="4" w:space="0" w:color="auto"/>
              <w:right w:val="single" w:sz="4" w:space="0" w:color="auto"/>
            </w:tcBorders>
            <w:noWrap/>
            <w:hideMark/>
          </w:tcPr>
          <w:p w14:paraId="65950B27" w14:textId="77777777" w:rsidR="00714AB9" w:rsidRPr="00BA3810" w:rsidRDefault="00714AB9">
            <w:pPr>
              <w:widowControl/>
              <w:spacing w:after="0" w:line="276" w:lineRule="auto"/>
              <w:jc w:val="left"/>
              <w:rPr>
                <w:rFonts w:cstheme="minorHAnsi"/>
                <w:color w:val="000000"/>
                <w:szCs w:val="20"/>
              </w:rPr>
            </w:pPr>
            <w:r w:rsidRPr="00BA3810">
              <w:rPr>
                <w:rFonts w:cstheme="minorHAnsi"/>
                <w:color w:val="000000"/>
                <w:szCs w:val="20"/>
              </w:rPr>
              <w:t>Technology</w:t>
            </w:r>
          </w:p>
        </w:tc>
        <w:tc>
          <w:tcPr>
            <w:tcW w:w="3330" w:type="dxa"/>
            <w:tcBorders>
              <w:top w:val="nil"/>
              <w:left w:val="nil"/>
              <w:bottom w:val="single" w:sz="4" w:space="0" w:color="auto"/>
              <w:right w:val="single" w:sz="4" w:space="0" w:color="auto"/>
            </w:tcBorders>
            <w:hideMark/>
          </w:tcPr>
          <w:p w14:paraId="21D9B80D" w14:textId="77777777" w:rsidR="00714AB9" w:rsidRPr="00BA3810" w:rsidRDefault="00714AB9" w:rsidP="0032344E">
            <w:pPr>
              <w:widowControl/>
              <w:spacing w:after="0"/>
              <w:jc w:val="left"/>
              <w:rPr>
                <w:rFonts w:cstheme="minorHAnsi"/>
                <w:color w:val="000000"/>
                <w:szCs w:val="20"/>
              </w:rPr>
            </w:pPr>
            <w:r w:rsidRPr="00BA3810">
              <w:rPr>
                <w:rFonts w:cstheme="minorHAnsi"/>
                <w:color w:val="000000"/>
                <w:szCs w:val="20"/>
              </w:rPr>
              <w:t>A failure of the Information and/or Communication Technology which results in "all" VO feeders being disabled simultaneously due to events outside of Ameren’s control.</w:t>
            </w:r>
          </w:p>
        </w:tc>
        <w:tc>
          <w:tcPr>
            <w:tcW w:w="3510" w:type="dxa"/>
            <w:tcBorders>
              <w:top w:val="nil"/>
              <w:left w:val="nil"/>
              <w:bottom w:val="single" w:sz="4" w:space="0" w:color="auto"/>
              <w:right w:val="single" w:sz="4" w:space="0" w:color="auto"/>
            </w:tcBorders>
            <w:hideMark/>
          </w:tcPr>
          <w:p w14:paraId="38769F3E" w14:textId="77777777" w:rsidR="00714AB9" w:rsidRPr="00BA3810" w:rsidRDefault="00714AB9" w:rsidP="0032344E">
            <w:pPr>
              <w:widowControl/>
              <w:spacing w:after="0"/>
              <w:jc w:val="left"/>
              <w:rPr>
                <w:rFonts w:cstheme="minorHAnsi"/>
                <w:color w:val="000000"/>
                <w:szCs w:val="20"/>
              </w:rPr>
            </w:pPr>
            <w:r w:rsidRPr="00BA3810">
              <w:rPr>
                <w:rFonts w:cstheme="minorHAnsi"/>
                <w:color w:val="000000"/>
                <w:szCs w:val="20"/>
              </w:rPr>
              <w:t xml:space="preserve">VO is dependent upon third party infrastructure that Ameren has no control over. Examples include the loss of the cellular communications network (AT&amp;T and Verizon), the failure of the VO Software provided by the outside vendor, or a Cyber event. Events of this nature are an anomaly and are not certain to occur year after year. This event is not predictable or planned and is outside of Ameren’s control. </w:t>
            </w:r>
          </w:p>
        </w:tc>
        <w:tc>
          <w:tcPr>
            <w:tcW w:w="990" w:type="dxa"/>
            <w:tcBorders>
              <w:top w:val="nil"/>
              <w:left w:val="nil"/>
              <w:bottom w:val="single" w:sz="4" w:space="0" w:color="auto"/>
              <w:right w:val="single" w:sz="4" w:space="0" w:color="auto"/>
            </w:tcBorders>
            <w:noWrap/>
            <w:hideMark/>
          </w:tcPr>
          <w:p w14:paraId="39C7E32B" w14:textId="77777777" w:rsidR="00714AB9" w:rsidRPr="00BA3810" w:rsidRDefault="00714AB9">
            <w:pPr>
              <w:widowControl/>
              <w:spacing w:after="0" w:line="276" w:lineRule="auto"/>
              <w:jc w:val="left"/>
              <w:rPr>
                <w:rFonts w:cstheme="minorHAnsi"/>
                <w:color w:val="000000"/>
                <w:szCs w:val="20"/>
              </w:rPr>
            </w:pPr>
            <w:r w:rsidRPr="00BA3810">
              <w:rPr>
                <w:rFonts w:cstheme="minorHAnsi"/>
                <w:color w:val="000000"/>
                <w:szCs w:val="20"/>
              </w:rPr>
              <w:t>Excludable</w:t>
            </w:r>
          </w:p>
        </w:tc>
      </w:tr>
      <w:tr w:rsidR="00714AB9" w:rsidRPr="00BA3810" w14:paraId="1F1E078D" w14:textId="77777777" w:rsidTr="00062CC9">
        <w:trPr>
          <w:trHeight w:val="1365"/>
          <w:jc w:val="center"/>
        </w:trPr>
        <w:tc>
          <w:tcPr>
            <w:tcW w:w="1525" w:type="dxa"/>
            <w:tcBorders>
              <w:top w:val="nil"/>
              <w:left w:val="single" w:sz="4" w:space="0" w:color="auto"/>
              <w:bottom w:val="single" w:sz="4" w:space="0" w:color="auto"/>
              <w:right w:val="single" w:sz="4" w:space="0" w:color="auto"/>
            </w:tcBorders>
            <w:hideMark/>
          </w:tcPr>
          <w:p w14:paraId="1994B405" w14:textId="77777777" w:rsidR="00714AB9" w:rsidRPr="00BA3810" w:rsidRDefault="00714AB9">
            <w:pPr>
              <w:widowControl/>
              <w:spacing w:after="0" w:line="276" w:lineRule="auto"/>
              <w:jc w:val="left"/>
              <w:rPr>
                <w:rFonts w:cstheme="minorHAnsi"/>
                <w:color w:val="000000"/>
                <w:szCs w:val="20"/>
              </w:rPr>
            </w:pPr>
            <w:r w:rsidRPr="00BA3810">
              <w:rPr>
                <w:rFonts w:cstheme="minorHAnsi"/>
                <w:color w:val="000000"/>
                <w:szCs w:val="20"/>
              </w:rPr>
              <w:t>Worldwide Pandemic / Orders by Civil Authorities</w:t>
            </w:r>
          </w:p>
        </w:tc>
        <w:tc>
          <w:tcPr>
            <w:tcW w:w="3330" w:type="dxa"/>
            <w:tcBorders>
              <w:top w:val="nil"/>
              <w:left w:val="nil"/>
              <w:bottom w:val="single" w:sz="4" w:space="0" w:color="auto"/>
              <w:right w:val="single" w:sz="4" w:space="0" w:color="auto"/>
            </w:tcBorders>
            <w:hideMark/>
          </w:tcPr>
          <w:p w14:paraId="78CADD0F" w14:textId="77777777" w:rsidR="00714AB9" w:rsidRPr="00BA3810" w:rsidRDefault="00714AB9" w:rsidP="0032344E">
            <w:pPr>
              <w:widowControl/>
              <w:spacing w:after="0"/>
              <w:jc w:val="left"/>
              <w:rPr>
                <w:rFonts w:cstheme="minorHAnsi"/>
                <w:color w:val="000000"/>
                <w:szCs w:val="20"/>
              </w:rPr>
            </w:pPr>
            <w:r w:rsidRPr="00BA3810">
              <w:rPr>
                <w:rFonts w:cstheme="minorHAnsi"/>
                <w:color w:val="000000"/>
                <w:szCs w:val="20"/>
              </w:rPr>
              <w:t>Repairs and maintenance may take longer due to limited crew availability or other restrictions/priorities. Example: COVID-19</w:t>
            </w:r>
          </w:p>
        </w:tc>
        <w:tc>
          <w:tcPr>
            <w:tcW w:w="3510" w:type="dxa"/>
            <w:tcBorders>
              <w:top w:val="nil"/>
              <w:left w:val="nil"/>
              <w:bottom w:val="single" w:sz="4" w:space="0" w:color="auto"/>
              <w:right w:val="single" w:sz="4" w:space="0" w:color="auto"/>
            </w:tcBorders>
            <w:hideMark/>
          </w:tcPr>
          <w:p w14:paraId="198F7FF6" w14:textId="77777777" w:rsidR="00714AB9" w:rsidRPr="00BA3810" w:rsidRDefault="00714AB9" w:rsidP="0032344E">
            <w:pPr>
              <w:widowControl/>
              <w:spacing w:after="0"/>
              <w:jc w:val="left"/>
              <w:rPr>
                <w:rFonts w:cstheme="minorHAnsi"/>
                <w:color w:val="000000"/>
                <w:szCs w:val="20"/>
              </w:rPr>
            </w:pPr>
            <w:r w:rsidRPr="00BA3810">
              <w:rPr>
                <w:rFonts w:cstheme="minorHAnsi"/>
                <w:color w:val="000000"/>
                <w:szCs w:val="20"/>
              </w:rPr>
              <w:t>Due to restrictions, repairs and maintenance may take longer. This reasonable delay is outside the control of Ameren.</w:t>
            </w:r>
          </w:p>
        </w:tc>
        <w:tc>
          <w:tcPr>
            <w:tcW w:w="990" w:type="dxa"/>
            <w:tcBorders>
              <w:top w:val="nil"/>
              <w:left w:val="nil"/>
              <w:bottom w:val="single" w:sz="4" w:space="0" w:color="auto"/>
              <w:right w:val="single" w:sz="4" w:space="0" w:color="auto"/>
            </w:tcBorders>
            <w:noWrap/>
            <w:hideMark/>
          </w:tcPr>
          <w:p w14:paraId="312CCF6B" w14:textId="77777777" w:rsidR="00714AB9" w:rsidRPr="00BA3810" w:rsidRDefault="00714AB9">
            <w:pPr>
              <w:widowControl/>
              <w:spacing w:after="0" w:line="276" w:lineRule="auto"/>
              <w:jc w:val="left"/>
              <w:rPr>
                <w:rFonts w:cstheme="minorHAnsi"/>
                <w:color w:val="000000"/>
                <w:szCs w:val="20"/>
              </w:rPr>
            </w:pPr>
            <w:r w:rsidRPr="00BA3810">
              <w:rPr>
                <w:rFonts w:cstheme="minorHAnsi"/>
                <w:color w:val="000000"/>
                <w:szCs w:val="20"/>
              </w:rPr>
              <w:t>Excludable</w:t>
            </w:r>
          </w:p>
        </w:tc>
      </w:tr>
      <w:tr w:rsidR="00714AB9" w:rsidRPr="00BA3810" w14:paraId="485C5154" w14:textId="77777777" w:rsidTr="00062CC9">
        <w:trPr>
          <w:trHeight w:val="915"/>
          <w:jc w:val="center"/>
        </w:trPr>
        <w:tc>
          <w:tcPr>
            <w:tcW w:w="1525" w:type="dxa"/>
            <w:tcBorders>
              <w:top w:val="nil"/>
              <w:left w:val="single" w:sz="4" w:space="0" w:color="auto"/>
              <w:bottom w:val="single" w:sz="4" w:space="0" w:color="auto"/>
              <w:right w:val="single" w:sz="4" w:space="0" w:color="auto"/>
            </w:tcBorders>
            <w:noWrap/>
            <w:hideMark/>
          </w:tcPr>
          <w:p w14:paraId="5E14713B" w14:textId="77777777" w:rsidR="00714AB9" w:rsidRPr="00BA3810" w:rsidRDefault="00714AB9">
            <w:pPr>
              <w:widowControl/>
              <w:spacing w:after="0" w:line="276" w:lineRule="auto"/>
              <w:jc w:val="left"/>
              <w:rPr>
                <w:rFonts w:cstheme="minorHAnsi"/>
                <w:color w:val="000000"/>
                <w:szCs w:val="20"/>
              </w:rPr>
            </w:pPr>
            <w:r w:rsidRPr="00BA3810">
              <w:rPr>
                <w:rFonts w:cstheme="minorHAnsi"/>
                <w:color w:val="000000"/>
                <w:szCs w:val="20"/>
              </w:rPr>
              <w:t>Disaster Recovery (DR) Testing</w:t>
            </w:r>
          </w:p>
        </w:tc>
        <w:tc>
          <w:tcPr>
            <w:tcW w:w="3330" w:type="dxa"/>
            <w:tcBorders>
              <w:top w:val="nil"/>
              <w:left w:val="nil"/>
              <w:bottom w:val="single" w:sz="4" w:space="0" w:color="auto"/>
              <w:right w:val="single" w:sz="4" w:space="0" w:color="auto"/>
            </w:tcBorders>
            <w:hideMark/>
          </w:tcPr>
          <w:p w14:paraId="5148C970" w14:textId="77777777" w:rsidR="00714AB9" w:rsidRPr="00BA3810" w:rsidRDefault="00714AB9" w:rsidP="0032344E">
            <w:pPr>
              <w:widowControl/>
              <w:spacing w:after="0"/>
              <w:jc w:val="left"/>
              <w:rPr>
                <w:rFonts w:cstheme="minorHAnsi"/>
                <w:color w:val="000000"/>
                <w:szCs w:val="20"/>
              </w:rPr>
            </w:pPr>
            <w:r w:rsidRPr="00BA3810">
              <w:rPr>
                <w:rFonts w:cstheme="minorHAnsi"/>
                <w:color w:val="000000"/>
                <w:szCs w:val="20"/>
              </w:rPr>
              <w:t xml:space="preserve">Ameren periodically performs Disaster Recovery testing on systems (AMI, ADMS, VO, etc.) which could result in VO disabling. </w:t>
            </w:r>
            <w:proofErr w:type="gramStart"/>
            <w:r w:rsidRPr="00BA3810">
              <w:rPr>
                <w:rFonts w:cstheme="minorHAnsi"/>
                <w:color w:val="000000"/>
                <w:szCs w:val="20"/>
              </w:rPr>
              <w:t>Typically</w:t>
            </w:r>
            <w:proofErr w:type="gramEnd"/>
            <w:r w:rsidRPr="00BA3810">
              <w:rPr>
                <w:rFonts w:cstheme="minorHAnsi"/>
                <w:color w:val="000000"/>
                <w:szCs w:val="20"/>
              </w:rPr>
              <w:t xml:space="preserve"> all VO feeders would be affected during DR testing.</w:t>
            </w:r>
          </w:p>
        </w:tc>
        <w:tc>
          <w:tcPr>
            <w:tcW w:w="3510" w:type="dxa"/>
            <w:tcBorders>
              <w:top w:val="nil"/>
              <w:left w:val="nil"/>
              <w:bottom w:val="single" w:sz="4" w:space="0" w:color="auto"/>
              <w:right w:val="single" w:sz="4" w:space="0" w:color="auto"/>
            </w:tcBorders>
            <w:hideMark/>
          </w:tcPr>
          <w:p w14:paraId="7064A1D4" w14:textId="77777777" w:rsidR="00714AB9" w:rsidRPr="00BA3810" w:rsidRDefault="00714AB9" w:rsidP="0032344E">
            <w:pPr>
              <w:widowControl/>
              <w:spacing w:after="0"/>
              <w:jc w:val="left"/>
              <w:rPr>
                <w:rFonts w:cstheme="minorHAnsi"/>
                <w:color w:val="000000"/>
                <w:szCs w:val="20"/>
              </w:rPr>
            </w:pPr>
            <w:r w:rsidRPr="00BA3810">
              <w:rPr>
                <w:rFonts w:cstheme="minorHAnsi"/>
                <w:color w:val="000000"/>
                <w:szCs w:val="20"/>
              </w:rPr>
              <w:t>Disaster Recovery is necessary and critical to ensure that Ameren can operate safely and effectively during an unforeseen event.</w:t>
            </w:r>
          </w:p>
        </w:tc>
        <w:tc>
          <w:tcPr>
            <w:tcW w:w="990" w:type="dxa"/>
            <w:tcBorders>
              <w:top w:val="nil"/>
              <w:left w:val="nil"/>
              <w:bottom w:val="single" w:sz="4" w:space="0" w:color="auto"/>
              <w:right w:val="single" w:sz="4" w:space="0" w:color="auto"/>
            </w:tcBorders>
            <w:noWrap/>
            <w:hideMark/>
          </w:tcPr>
          <w:p w14:paraId="5FA1418B" w14:textId="77777777" w:rsidR="00714AB9" w:rsidRPr="00BA3810" w:rsidRDefault="00714AB9">
            <w:pPr>
              <w:widowControl/>
              <w:spacing w:after="0" w:line="276" w:lineRule="auto"/>
              <w:jc w:val="left"/>
              <w:rPr>
                <w:rFonts w:cstheme="minorHAnsi"/>
                <w:color w:val="000000"/>
                <w:szCs w:val="20"/>
              </w:rPr>
            </w:pPr>
            <w:r w:rsidRPr="00BA3810">
              <w:rPr>
                <w:rFonts w:cstheme="minorHAnsi"/>
                <w:color w:val="000000"/>
                <w:szCs w:val="20"/>
              </w:rPr>
              <w:t>Not-Excludable</w:t>
            </w:r>
          </w:p>
        </w:tc>
      </w:tr>
      <w:tr w:rsidR="00714AB9" w:rsidRPr="00BA3810" w14:paraId="4C89C424" w14:textId="77777777" w:rsidTr="00062CC9">
        <w:trPr>
          <w:trHeight w:val="885"/>
          <w:jc w:val="center"/>
        </w:trPr>
        <w:tc>
          <w:tcPr>
            <w:tcW w:w="1525" w:type="dxa"/>
            <w:tcBorders>
              <w:top w:val="nil"/>
              <w:left w:val="single" w:sz="4" w:space="0" w:color="auto"/>
              <w:bottom w:val="single" w:sz="4" w:space="0" w:color="auto"/>
              <w:right w:val="single" w:sz="4" w:space="0" w:color="auto"/>
            </w:tcBorders>
            <w:noWrap/>
            <w:hideMark/>
          </w:tcPr>
          <w:p w14:paraId="18A8E992" w14:textId="77777777" w:rsidR="00714AB9" w:rsidRPr="00BA3810" w:rsidRDefault="00714AB9">
            <w:pPr>
              <w:widowControl/>
              <w:spacing w:after="0" w:line="276" w:lineRule="auto"/>
              <w:jc w:val="left"/>
              <w:rPr>
                <w:rFonts w:cstheme="minorHAnsi"/>
                <w:color w:val="000000"/>
                <w:szCs w:val="20"/>
              </w:rPr>
            </w:pPr>
            <w:r w:rsidRPr="00BA3810">
              <w:rPr>
                <w:rFonts w:cstheme="minorHAnsi"/>
                <w:color w:val="000000"/>
                <w:szCs w:val="20"/>
              </w:rPr>
              <w:t>Server patching/issues</w:t>
            </w:r>
          </w:p>
        </w:tc>
        <w:tc>
          <w:tcPr>
            <w:tcW w:w="3330" w:type="dxa"/>
            <w:tcBorders>
              <w:top w:val="nil"/>
              <w:left w:val="nil"/>
              <w:bottom w:val="single" w:sz="4" w:space="0" w:color="auto"/>
              <w:right w:val="single" w:sz="4" w:space="0" w:color="auto"/>
            </w:tcBorders>
            <w:hideMark/>
          </w:tcPr>
          <w:p w14:paraId="231548A7" w14:textId="77777777" w:rsidR="00714AB9" w:rsidRPr="00BA3810" w:rsidRDefault="00714AB9" w:rsidP="0032344E">
            <w:pPr>
              <w:widowControl/>
              <w:spacing w:after="0"/>
              <w:jc w:val="left"/>
              <w:rPr>
                <w:rFonts w:cstheme="minorHAnsi"/>
                <w:color w:val="000000"/>
                <w:szCs w:val="20"/>
              </w:rPr>
            </w:pPr>
            <w:r w:rsidRPr="00BA3810">
              <w:rPr>
                <w:rFonts w:cstheme="minorHAnsi"/>
                <w:color w:val="000000"/>
                <w:szCs w:val="20"/>
              </w:rPr>
              <w:t>Anytime servers go down or patching takes place and the VO system does not come back online due to servers not rebooting correctly.</w:t>
            </w:r>
          </w:p>
        </w:tc>
        <w:tc>
          <w:tcPr>
            <w:tcW w:w="3510" w:type="dxa"/>
            <w:tcBorders>
              <w:top w:val="nil"/>
              <w:left w:val="nil"/>
              <w:bottom w:val="single" w:sz="4" w:space="0" w:color="auto"/>
              <w:right w:val="single" w:sz="4" w:space="0" w:color="auto"/>
            </w:tcBorders>
            <w:hideMark/>
          </w:tcPr>
          <w:p w14:paraId="0290F481" w14:textId="77777777" w:rsidR="00714AB9" w:rsidRPr="00BA3810" w:rsidRDefault="00714AB9" w:rsidP="0032344E">
            <w:pPr>
              <w:widowControl/>
              <w:spacing w:after="0"/>
              <w:jc w:val="left"/>
              <w:rPr>
                <w:rFonts w:cstheme="minorHAnsi"/>
                <w:color w:val="000000"/>
                <w:szCs w:val="20"/>
              </w:rPr>
            </w:pPr>
            <w:r w:rsidRPr="00BA3810">
              <w:rPr>
                <w:rFonts w:cstheme="minorHAnsi"/>
                <w:color w:val="000000"/>
                <w:szCs w:val="20"/>
              </w:rPr>
              <w:t>Events of this nature are unavoidable, but should be addressed by Ameren in a timely fashion. This should result in negligible impacts to energy savings.</w:t>
            </w:r>
          </w:p>
        </w:tc>
        <w:tc>
          <w:tcPr>
            <w:tcW w:w="990" w:type="dxa"/>
            <w:tcBorders>
              <w:top w:val="nil"/>
              <w:left w:val="nil"/>
              <w:bottom w:val="single" w:sz="4" w:space="0" w:color="auto"/>
              <w:right w:val="single" w:sz="4" w:space="0" w:color="auto"/>
            </w:tcBorders>
            <w:noWrap/>
            <w:hideMark/>
          </w:tcPr>
          <w:p w14:paraId="0E00B76F" w14:textId="77777777" w:rsidR="00714AB9" w:rsidRPr="00BA3810" w:rsidRDefault="00714AB9">
            <w:pPr>
              <w:widowControl/>
              <w:spacing w:after="0" w:line="276" w:lineRule="auto"/>
              <w:jc w:val="left"/>
              <w:rPr>
                <w:rFonts w:cstheme="minorHAnsi"/>
                <w:color w:val="000000"/>
                <w:szCs w:val="20"/>
              </w:rPr>
            </w:pPr>
            <w:r w:rsidRPr="00BA3810">
              <w:rPr>
                <w:rFonts w:cstheme="minorHAnsi"/>
                <w:color w:val="000000"/>
                <w:szCs w:val="20"/>
              </w:rPr>
              <w:t>Not-Excludable</w:t>
            </w:r>
          </w:p>
        </w:tc>
      </w:tr>
      <w:tr w:rsidR="00714AB9" w:rsidRPr="00BA3810" w14:paraId="0DFEE9E3" w14:textId="77777777" w:rsidTr="00062CC9">
        <w:trPr>
          <w:trHeight w:val="900"/>
          <w:jc w:val="center"/>
        </w:trPr>
        <w:tc>
          <w:tcPr>
            <w:tcW w:w="1525" w:type="dxa"/>
            <w:tcBorders>
              <w:top w:val="nil"/>
              <w:left w:val="single" w:sz="4" w:space="0" w:color="auto"/>
              <w:bottom w:val="single" w:sz="4" w:space="0" w:color="auto"/>
              <w:right w:val="single" w:sz="4" w:space="0" w:color="auto"/>
            </w:tcBorders>
            <w:noWrap/>
            <w:hideMark/>
          </w:tcPr>
          <w:p w14:paraId="5C366701" w14:textId="77777777" w:rsidR="00714AB9" w:rsidRPr="00BA3810" w:rsidRDefault="00714AB9">
            <w:pPr>
              <w:widowControl/>
              <w:spacing w:after="0" w:line="276" w:lineRule="auto"/>
              <w:jc w:val="left"/>
              <w:rPr>
                <w:rFonts w:cstheme="minorHAnsi"/>
                <w:color w:val="000000"/>
                <w:szCs w:val="20"/>
              </w:rPr>
            </w:pPr>
            <w:r w:rsidRPr="00BA3810">
              <w:rPr>
                <w:rFonts w:cstheme="minorHAnsi"/>
                <w:color w:val="000000"/>
                <w:szCs w:val="20"/>
              </w:rPr>
              <w:t>Configuration Changes</w:t>
            </w:r>
          </w:p>
        </w:tc>
        <w:tc>
          <w:tcPr>
            <w:tcW w:w="3330" w:type="dxa"/>
            <w:tcBorders>
              <w:top w:val="nil"/>
              <w:left w:val="nil"/>
              <w:bottom w:val="single" w:sz="4" w:space="0" w:color="auto"/>
              <w:right w:val="single" w:sz="4" w:space="0" w:color="auto"/>
            </w:tcBorders>
            <w:hideMark/>
          </w:tcPr>
          <w:p w14:paraId="2E1A679B" w14:textId="77777777" w:rsidR="00714AB9" w:rsidRPr="00BA3810" w:rsidRDefault="00714AB9" w:rsidP="0032344E">
            <w:pPr>
              <w:widowControl/>
              <w:spacing w:after="0"/>
              <w:jc w:val="left"/>
              <w:rPr>
                <w:rFonts w:cstheme="minorHAnsi"/>
                <w:color w:val="000000"/>
                <w:szCs w:val="20"/>
              </w:rPr>
            </w:pPr>
            <w:r w:rsidRPr="00BA3810">
              <w:rPr>
                <w:rFonts w:cstheme="minorHAnsi"/>
                <w:color w:val="000000"/>
                <w:szCs w:val="20"/>
              </w:rPr>
              <w:t>Anytime VO is disabled for making updates to the Orion, go-live testing, or to make changes on the system resulting in shutting down services.</w:t>
            </w:r>
          </w:p>
        </w:tc>
        <w:tc>
          <w:tcPr>
            <w:tcW w:w="3510" w:type="dxa"/>
            <w:tcBorders>
              <w:top w:val="nil"/>
              <w:left w:val="nil"/>
              <w:bottom w:val="single" w:sz="4" w:space="0" w:color="auto"/>
              <w:right w:val="single" w:sz="4" w:space="0" w:color="auto"/>
            </w:tcBorders>
            <w:hideMark/>
          </w:tcPr>
          <w:p w14:paraId="460581C5" w14:textId="77777777" w:rsidR="00714AB9" w:rsidRPr="00BA3810" w:rsidRDefault="00714AB9" w:rsidP="0032344E">
            <w:pPr>
              <w:widowControl/>
              <w:spacing w:after="0"/>
              <w:jc w:val="left"/>
              <w:rPr>
                <w:rFonts w:cstheme="minorHAnsi"/>
                <w:color w:val="000000"/>
                <w:szCs w:val="20"/>
              </w:rPr>
            </w:pPr>
            <w:r w:rsidRPr="00BA3810">
              <w:rPr>
                <w:rFonts w:cstheme="minorHAnsi"/>
                <w:color w:val="000000"/>
                <w:szCs w:val="20"/>
              </w:rPr>
              <w:t xml:space="preserve">Events of this nature are </w:t>
            </w:r>
            <w:proofErr w:type="gramStart"/>
            <w:r w:rsidRPr="00BA3810">
              <w:rPr>
                <w:rFonts w:cstheme="minorHAnsi"/>
                <w:color w:val="000000"/>
                <w:szCs w:val="20"/>
              </w:rPr>
              <w:t>unavoidable,  but</w:t>
            </w:r>
            <w:proofErr w:type="gramEnd"/>
            <w:r w:rsidRPr="00BA3810">
              <w:rPr>
                <w:rFonts w:cstheme="minorHAnsi"/>
                <w:color w:val="000000"/>
                <w:szCs w:val="20"/>
              </w:rPr>
              <w:t xml:space="preserve">  should be addressed by Ameren in a timely fashion. This should result in negligible impacts to energy savings.</w:t>
            </w:r>
          </w:p>
        </w:tc>
        <w:tc>
          <w:tcPr>
            <w:tcW w:w="990" w:type="dxa"/>
            <w:tcBorders>
              <w:top w:val="nil"/>
              <w:left w:val="nil"/>
              <w:bottom w:val="single" w:sz="4" w:space="0" w:color="auto"/>
              <w:right w:val="single" w:sz="4" w:space="0" w:color="auto"/>
            </w:tcBorders>
            <w:noWrap/>
            <w:hideMark/>
          </w:tcPr>
          <w:p w14:paraId="5C5041F3" w14:textId="77777777" w:rsidR="00714AB9" w:rsidRPr="00BA3810" w:rsidRDefault="00714AB9">
            <w:pPr>
              <w:widowControl/>
              <w:spacing w:after="0" w:line="276" w:lineRule="auto"/>
              <w:jc w:val="left"/>
              <w:rPr>
                <w:rFonts w:cstheme="minorHAnsi"/>
                <w:color w:val="000000"/>
                <w:szCs w:val="20"/>
              </w:rPr>
            </w:pPr>
            <w:r w:rsidRPr="00BA3810">
              <w:rPr>
                <w:rFonts w:cstheme="minorHAnsi"/>
                <w:color w:val="000000"/>
                <w:szCs w:val="20"/>
              </w:rPr>
              <w:t>Not-Excludable</w:t>
            </w:r>
          </w:p>
        </w:tc>
      </w:tr>
      <w:tr w:rsidR="00714AB9" w:rsidRPr="00BA3810" w14:paraId="36C7D9B4" w14:textId="77777777" w:rsidTr="00062CC9">
        <w:trPr>
          <w:trHeight w:val="915"/>
          <w:jc w:val="center"/>
        </w:trPr>
        <w:tc>
          <w:tcPr>
            <w:tcW w:w="1525" w:type="dxa"/>
            <w:tcBorders>
              <w:top w:val="nil"/>
              <w:left w:val="single" w:sz="4" w:space="0" w:color="auto"/>
              <w:bottom w:val="single" w:sz="4" w:space="0" w:color="auto"/>
              <w:right w:val="single" w:sz="4" w:space="0" w:color="auto"/>
            </w:tcBorders>
            <w:noWrap/>
            <w:hideMark/>
          </w:tcPr>
          <w:p w14:paraId="075F5E71" w14:textId="77777777" w:rsidR="00714AB9" w:rsidRPr="00BA3810" w:rsidRDefault="00714AB9">
            <w:pPr>
              <w:widowControl/>
              <w:spacing w:after="0" w:line="276" w:lineRule="auto"/>
              <w:jc w:val="left"/>
              <w:rPr>
                <w:rFonts w:cstheme="minorHAnsi"/>
                <w:color w:val="000000"/>
                <w:szCs w:val="20"/>
              </w:rPr>
            </w:pPr>
            <w:r w:rsidRPr="00BA3810">
              <w:rPr>
                <w:rFonts w:cstheme="minorHAnsi"/>
                <w:color w:val="000000"/>
                <w:szCs w:val="20"/>
              </w:rPr>
              <w:t>VO field hardware failures</w:t>
            </w:r>
          </w:p>
        </w:tc>
        <w:tc>
          <w:tcPr>
            <w:tcW w:w="3330" w:type="dxa"/>
            <w:tcBorders>
              <w:top w:val="nil"/>
              <w:left w:val="nil"/>
              <w:bottom w:val="single" w:sz="4" w:space="0" w:color="auto"/>
              <w:right w:val="single" w:sz="4" w:space="0" w:color="auto"/>
            </w:tcBorders>
            <w:hideMark/>
          </w:tcPr>
          <w:p w14:paraId="70B6D8A2" w14:textId="77777777" w:rsidR="00714AB9" w:rsidRPr="00BA3810" w:rsidRDefault="00714AB9" w:rsidP="0032344E">
            <w:pPr>
              <w:widowControl/>
              <w:spacing w:after="0"/>
              <w:jc w:val="left"/>
              <w:rPr>
                <w:rFonts w:cstheme="minorHAnsi"/>
                <w:color w:val="000000"/>
                <w:szCs w:val="20"/>
              </w:rPr>
            </w:pPr>
            <w:r w:rsidRPr="00BA3810">
              <w:rPr>
                <w:rFonts w:cstheme="minorHAnsi"/>
                <w:color w:val="000000"/>
                <w:szCs w:val="20"/>
              </w:rPr>
              <w:t>The loss or failure of a voltage regulator control, LTC control, or switched capacitor control on a feeder.</w:t>
            </w:r>
          </w:p>
        </w:tc>
        <w:tc>
          <w:tcPr>
            <w:tcW w:w="3510" w:type="dxa"/>
            <w:tcBorders>
              <w:top w:val="nil"/>
              <w:left w:val="nil"/>
              <w:bottom w:val="single" w:sz="4" w:space="0" w:color="auto"/>
              <w:right w:val="single" w:sz="4" w:space="0" w:color="auto"/>
            </w:tcBorders>
            <w:hideMark/>
          </w:tcPr>
          <w:p w14:paraId="31A1B8E9" w14:textId="77777777" w:rsidR="00714AB9" w:rsidRPr="00BA3810" w:rsidRDefault="00714AB9" w:rsidP="0032344E">
            <w:pPr>
              <w:widowControl/>
              <w:spacing w:after="0"/>
              <w:jc w:val="left"/>
              <w:rPr>
                <w:rFonts w:cstheme="minorHAnsi"/>
                <w:color w:val="000000"/>
                <w:szCs w:val="20"/>
              </w:rPr>
            </w:pPr>
            <w:r w:rsidRPr="00BA3810">
              <w:rPr>
                <w:rFonts w:cstheme="minorHAnsi"/>
                <w:color w:val="000000"/>
                <w:szCs w:val="20"/>
              </w:rPr>
              <w:t xml:space="preserve">Events of this nature are </w:t>
            </w:r>
            <w:proofErr w:type="gramStart"/>
            <w:r w:rsidRPr="00BA3810">
              <w:rPr>
                <w:rFonts w:cstheme="minorHAnsi"/>
                <w:color w:val="000000"/>
                <w:szCs w:val="20"/>
              </w:rPr>
              <w:t>unavoidable,  but</w:t>
            </w:r>
            <w:proofErr w:type="gramEnd"/>
            <w:r w:rsidRPr="00BA3810">
              <w:rPr>
                <w:rFonts w:cstheme="minorHAnsi"/>
                <w:color w:val="000000"/>
                <w:szCs w:val="20"/>
              </w:rPr>
              <w:t xml:space="preserve">  should be addressed by Ameren in a timely fashion. This should result in negligible impacts to energy savings.</w:t>
            </w:r>
          </w:p>
        </w:tc>
        <w:tc>
          <w:tcPr>
            <w:tcW w:w="990" w:type="dxa"/>
            <w:tcBorders>
              <w:top w:val="nil"/>
              <w:left w:val="nil"/>
              <w:bottom w:val="single" w:sz="4" w:space="0" w:color="auto"/>
              <w:right w:val="single" w:sz="4" w:space="0" w:color="auto"/>
            </w:tcBorders>
            <w:noWrap/>
            <w:hideMark/>
          </w:tcPr>
          <w:p w14:paraId="243F9870" w14:textId="77777777" w:rsidR="00714AB9" w:rsidRPr="00BA3810" w:rsidRDefault="00714AB9">
            <w:pPr>
              <w:widowControl/>
              <w:spacing w:after="0" w:line="276" w:lineRule="auto"/>
              <w:jc w:val="left"/>
              <w:rPr>
                <w:rFonts w:cstheme="minorHAnsi"/>
                <w:color w:val="000000"/>
                <w:szCs w:val="20"/>
              </w:rPr>
            </w:pPr>
            <w:r w:rsidRPr="00BA3810">
              <w:rPr>
                <w:rFonts w:cstheme="minorHAnsi"/>
                <w:color w:val="000000"/>
                <w:szCs w:val="20"/>
              </w:rPr>
              <w:t>Not-Excludable</w:t>
            </w:r>
          </w:p>
        </w:tc>
      </w:tr>
      <w:tr w:rsidR="00714AB9" w:rsidRPr="00BA3810" w14:paraId="0B398805" w14:textId="77777777" w:rsidTr="00062CC9">
        <w:trPr>
          <w:trHeight w:val="975"/>
          <w:jc w:val="center"/>
        </w:trPr>
        <w:tc>
          <w:tcPr>
            <w:tcW w:w="1525" w:type="dxa"/>
            <w:tcBorders>
              <w:top w:val="nil"/>
              <w:left w:val="single" w:sz="4" w:space="0" w:color="auto"/>
              <w:bottom w:val="single" w:sz="4" w:space="0" w:color="auto"/>
              <w:right w:val="single" w:sz="4" w:space="0" w:color="auto"/>
            </w:tcBorders>
            <w:noWrap/>
            <w:hideMark/>
          </w:tcPr>
          <w:p w14:paraId="2BF7A024" w14:textId="77777777" w:rsidR="00714AB9" w:rsidRPr="00BA3810" w:rsidRDefault="00714AB9">
            <w:pPr>
              <w:widowControl/>
              <w:spacing w:after="0" w:line="276" w:lineRule="auto"/>
              <w:jc w:val="left"/>
              <w:rPr>
                <w:rFonts w:cstheme="minorHAnsi"/>
                <w:color w:val="000000"/>
                <w:szCs w:val="20"/>
              </w:rPr>
            </w:pPr>
            <w:r w:rsidRPr="00BA3810">
              <w:rPr>
                <w:rFonts w:cstheme="minorHAnsi"/>
                <w:color w:val="000000"/>
                <w:szCs w:val="20"/>
              </w:rPr>
              <w:t>Loss of communications</w:t>
            </w:r>
          </w:p>
        </w:tc>
        <w:tc>
          <w:tcPr>
            <w:tcW w:w="3330" w:type="dxa"/>
            <w:tcBorders>
              <w:top w:val="nil"/>
              <w:left w:val="nil"/>
              <w:bottom w:val="single" w:sz="4" w:space="0" w:color="auto"/>
              <w:right w:val="single" w:sz="4" w:space="0" w:color="auto"/>
            </w:tcBorders>
            <w:hideMark/>
          </w:tcPr>
          <w:p w14:paraId="55C73F12" w14:textId="77777777" w:rsidR="00714AB9" w:rsidRPr="00BA3810" w:rsidRDefault="00714AB9" w:rsidP="0032344E">
            <w:pPr>
              <w:widowControl/>
              <w:spacing w:after="0"/>
              <w:jc w:val="left"/>
              <w:rPr>
                <w:rFonts w:cstheme="minorHAnsi"/>
                <w:color w:val="000000"/>
                <w:szCs w:val="20"/>
              </w:rPr>
            </w:pPr>
            <w:r w:rsidRPr="00BA3810">
              <w:rPr>
                <w:rFonts w:cstheme="minorHAnsi"/>
                <w:color w:val="000000"/>
                <w:szCs w:val="20"/>
              </w:rPr>
              <w:t>Anytime a device has a communications failure that would result in VO disabling. This event does not include 3</w:t>
            </w:r>
            <w:r w:rsidRPr="00BA3810">
              <w:rPr>
                <w:rFonts w:cstheme="minorHAnsi"/>
                <w:color w:val="000000"/>
                <w:szCs w:val="20"/>
                <w:vertAlign w:val="superscript"/>
              </w:rPr>
              <w:t>rd</w:t>
            </w:r>
            <w:r w:rsidRPr="00BA3810">
              <w:rPr>
                <w:rFonts w:cstheme="minorHAnsi"/>
                <w:color w:val="000000"/>
                <w:szCs w:val="20"/>
              </w:rPr>
              <w:t xml:space="preserve"> party cellular communications network (AT&amp;T and Verizon) failures.</w:t>
            </w:r>
          </w:p>
        </w:tc>
        <w:tc>
          <w:tcPr>
            <w:tcW w:w="3510" w:type="dxa"/>
            <w:tcBorders>
              <w:top w:val="nil"/>
              <w:left w:val="nil"/>
              <w:bottom w:val="single" w:sz="4" w:space="0" w:color="auto"/>
              <w:right w:val="single" w:sz="4" w:space="0" w:color="auto"/>
            </w:tcBorders>
            <w:hideMark/>
          </w:tcPr>
          <w:p w14:paraId="57CB8601" w14:textId="77777777" w:rsidR="00714AB9" w:rsidRPr="00BA3810" w:rsidRDefault="00714AB9" w:rsidP="0032344E">
            <w:pPr>
              <w:widowControl/>
              <w:spacing w:after="0"/>
              <w:jc w:val="left"/>
              <w:rPr>
                <w:rFonts w:cstheme="minorHAnsi"/>
                <w:color w:val="000000"/>
                <w:szCs w:val="20"/>
              </w:rPr>
            </w:pPr>
            <w:r w:rsidRPr="00BA3810">
              <w:rPr>
                <w:rFonts w:cstheme="minorHAnsi"/>
                <w:color w:val="000000"/>
                <w:szCs w:val="20"/>
              </w:rPr>
              <w:t xml:space="preserve">Events of this nature are </w:t>
            </w:r>
            <w:proofErr w:type="gramStart"/>
            <w:r w:rsidRPr="00BA3810">
              <w:rPr>
                <w:rFonts w:cstheme="minorHAnsi"/>
                <w:color w:val="000000"/>
                <w:szCs w:val="20"/>
              </w:rPr>
              <w:t>unavoidable,  but</w:t>
            </w:r>
            <w:proofErr w:type="gramEnd"/>
            <w:r w:rsidRPr="00BA3810">
              <w:rPr>
                <w:rFonts w:cstheme="minorHAnsi"/>
                <w:color w:val="000000"/>
                <w:szCs w:val="20"/>
              </w:rPr>
              <w:t xml:space="preserve">  should be addressed by Ameren in a  timely fashion. This should result in negligible impacts to energy savings.</w:t>
            </w:r>
          </w:p>
        </w:tc>
        <w:tc>
          <w:tcPr>
            <w:tcW w:w="990" w:type="dxa"/>
            <w:tcBorders>
              <w:top w:val="nil"/>
              <w:left w:val="nil"/>
              <w:bottom w:val="single" w:sz="4" w:space="0" w:color="auto"/>
              <w:right w:val="single" w:sz="4" w:space="0" w:color="auto"/>
            </w:tcBorders>
            <w:noWrap/>
            <w:hideMark/>
          </w:tcPr>
          <w:p w14:paraId="35E0C6DB" w14:textId="77777777" w:rsidR="00714AB9" w:rsidRPr="00BA3810" w:rsidRDefault="00714AB9">
            <w:pPr>
              <w:widowControl/>
              <w:spacing w:after="0" w:line="276" w:lineRule="auto"/>
              <w:jc w:val="left"/>
              <w:rPr>
                <w:rFonts w:cstheme="minorHAnsi"/>
                <w:color w:val="000000"/>
                <w:szCs w:val="20"/>
              </w:rPr>
            </w:pPr>
            <w:r w:rsidRPr="00BA3810">
              <w:rPr>
                <w:rFonts w:cstheme="minorHAnsi"/>
                <w:color w:val="000000"/>
                <w:szCs w:val="20"/>
              </w:rPr>
              <w:t>Not-Excludable</w:t>
            </w:r>
          </w:p>
        </w:tc>
      </w:tr>
    </w:tbl>
    <w:p w14:paraId="3923CDBB" w14:textId="77777777" w:rsidR="00714AB9" w:rsidRDefault="00714AB9" w:rsidP="00714AB9">
      <w:pPr>
        <w:rPr>
          <w:rFonts w:cs="Arial"/>
          <w:szCs w:val="20"/>
        </w:rPr>
      </w:pPr>
    </w:p>
    <w:p w14:paraId="2D985554" w14:textId="59AD4298" w:rsidR="00714AB9" w:rsidRDefault="00714AB9" w:rsidP="00714AB9">
      <w:pPr>
        <w:pStyle w:val="Caption"/>
        <w:rPr>
          <w:rFonts w:cs="Arial"/>
          <w:szCs w:val="20"/>
        </w:rPr>
      </w:pPr>
      <w:r>
        <w:lastRenderedPageBreak/>
        <w:t xml:space="preserve">Table </w:t>
      </w:r>
      <w:r w:rsidR="00573A1D">
        <w:fldChar w:fldCharType="begin"/>
      </w:r>
      <w:r w:rsidR="00573A1D">
        <w:instrText xml:space="preserve"> SEQ Table \* ARABIC </w:instrText>
      </w:r>
      <w:r w:rsidR="00573A1D">
        <w:fldChar w:fldCharType="separate"/>
      </w:r>
      <w:r w:rsidR="00506A44">
        <w:rPr>
          <w:noProof/>
        </w:rPr>
        <w:t>2</w:t>
      </w:r>
      <w:r w:rsidR="00573A1D">
        <w:rPr>
          <w:noProof/>
        </w:rPr>
        <w:fldChar w:fldCharType="end"/>
      </w:r>
      <w:r>
        <w:t xml:space="preserve">. </w:t>
      </w:r>
      <w:r>
        <w:rPr>
          <w:rFonts w:cs="Arial"/>
          <w:szCs w:val="20"/>
        </w:rPr>
        <w:t>ComEd Excludable and Non-Excludable VO Events</w:t>
      </w:r>
    </w:p>
    <w:tbl>
      <w:tblPr>
        <w:tblW w:w="9535" w:type="dxa"/>
        <w:jc w:val="center"/>
        <w:tblLook w:val="04A0" w:firstRow="1" w:lastRow="0" w:firstColumn="1" w:lastColumn="0" w:noHBand="0" w:noVBand="1"/>
      </w:tblPr>
      <w:tblGrid>
        <w:gridCol w:w="1486"/>
        <w:gridCol w:w="1843"/>
        <w:gridCol w:w="5041"/>
        <w:gridCol w:w="1165"/>
      </w:tblGrid>
      <w:tr w:rsidR="00714AB9" w:rsidRPr="00BA3810" w14:paraId="0ECB869E" w14:textId="77777777" w:rsidTr="00062CC9">
        <w:trPr>
          <w:trHeight w:val="378"/>
          <w:tblHeader/>
          <w:jc w:val="center"/>
        </w:trPr>
        <w:tc>
          <w:tcPr>
            <w:tcW w:w="1486" w:type="dxa"/>
            <w:tcBorders>
              <w:top w:val="single" w:sz="4" w:space="0" w:color="auto"/>
              <w:left w:val="single" w:sz="4" w:space="0" w:color="auto"/>
              <w:bottom w:val="single" w:sz="4" w:space="0" w:color="auto"/>
              <w:right w:val="single" w:sz="4" w:space="0" w:color="auto"/>
            </w:tcBorders>
            <w:shd w:val="clear" w:color="auto" w:fill="808080" w:themeFill="background1" w:themeFillShade="80"/>
            <w:vAlign w:val="bottom"/>
            <w:hideMark/>
          </w:tcPr>
          <w:p w14:paraId="480E3B8D" w14:textId="77777777" w:rsidR="00714AB9" w:rsidRPr="00BA3810" w:rsidRDefault="00714AB9">
            <w:pPr>
              <w:spacing w:after="0" w:line="276" w:lineRule="auto"/>
              <w:jc w:val="center"/>
              <w:rPr>
                <w:rFonts w:cs="Arial"/>
                <w:b/>
                <w:bCs/>
                <w:color w:val="FFFFFF" w:themeColor="background1"/>
                <w:szCs w:val="20"/>
              </w:rPr>
            </w:pPr>
            <w:r w:rsidRPr="00BA3810">
              <w:rPr>
                <w:b/>
                <w:bCs/>
                <w:color w:val="FFFFFF" w:themeColor="background1"/>
                <w:szCs w:val="20"/>
              </w:rPr>
              <w:t>Event</w:t>
            </w:r>
          </w:p>
        </w:tc>
        <w:tc>
          <w:tcPr>
            <w:tcW w:w="1843" w:type="dxa"/>
            <w:tcBorders>
              <w:top w:val="single" w:sz="4" w:space="0" w:color="auto"/>
              <w:left w:val="single" w:sz="4" w:space="0" w:color="auto"/>
              <w:bottom w:val="single" w:sz="4" w:space="0" w:color="auto"/>
              <w:right w:val="single" w:sz="4" w:space="0" w:color="auto"/>
            </w:tcBorders>
            <w:shd w:val="clear" w:color="auto" w:fill="808080" w:themeFill="background1" w:themeFillShade="80"/>
            <w:vAlign w:val="bottom"/>
            <w:hideMark/>
          </w:tcPr>
          <w:p w14:paraId="650F675D" w14:textId="77777777" w:rsidR="00714AB9" w:rsidRPr="00BA3810" w:rsidRDefault="00714AB9">
            <w:pPr>
              <w:spacing w:after="0" w:line="276" w:lineRule="auto"/>
              <w:jc w:val="center"/>
              <w:rPr>
                <w:rFonts w:cs="Arial"/>
                <w:b/>
                <w:bCs/>
                <w:color w:val="FFFFFF" w:themeColor="background1"/>
                <w:szCs w:val="20"/>
              </w:rPr>
            </w:pPr>
            <w:r w:rsidRPr="00BA3810">
              <w:rPr>
                <w:b/>
                <w:bCs/>
                <w:color w:val="FFFFFF" w:themeColor="background1"/>
                <w:szCs w:val="20"/>
              </w:rPr>
              <w:t>Description</w:t>
            </w:r>
          </w:p>
        </w:tc>
        <w:tc>
          <w:tcPr>
            <w:tcW w:w="5041" w:type="dxa"/>
            <w:tcBorders>
              <w:top w:val="single" w:sz="4" w:space="0" w:color="auto"/>
              <w:left w:val="single" w:sz="4" w:space="0" w:color="auto"/>
              <w:bottom w:val="single" w:sz="4" w:space="0" w:color="auto"/>
              <w:right w:val="single" w:sz="4" w:space="0" w:color="auto"/>
            </w:tcBorders>
            <w:shd w:val="clear" w:color="auto" w:fill="808080" w:themeFill="background1" w:themeFillShade="80"/>
            <w:vAlign w:val="bottom"/>
            <w:hideMark/>
          </w:tcPr>
          <w:p w14:paraId="1AFD3E25" w14:textId="77777777" w:rsidR="00714AB9" w:rsidRPr="00BA3810" w:rsidRDefault="00714AB9">
            <w:pPr>
              <w:spacing w:after="0" w:line="276" w:lineRule="auto"/>
              <w:jc w:val="center"/>
              <w:rPr>
                <w:rFonts w:cs="Arial"/>
                <w:b/>
                <w:bCs/>
                <w:color w:val="FFFFFF" w:themeColor="background1"/>
                <w:szCs w:val="20"/>
              </w:rPr>
            </w:pPr>
            <w:r w:rsidRPr="00BA3810">
              <w:rPr>
                <w:b/>
                <w:bCs/>
                <w:color w:val="FFFFFF" w:themeColor="background1"/>
                <w:szCs w:val="20"/>
              </w:rPr>
              <w:t>Reason/Explanation</w:t>
            </w:r>
          </w:p>
        </w:tc>
        <w:tc>
          <w:tcPr>
            <w:tcW w:w="1165" w:type="dxa"/>
            <w:tcBorders>
              <w:top w:val="single" w:sz="4" w:space="0" w:color="auto"/>
              <w:left w:val="single" w:sz="4" w:space="0" w:color="auto"/>
              <w:bottom w:val="single" w:sz="4" w:space="0" w:color="auto"/>
              <w:right w:val="single" w:sz="4" w:space="0" w:color="auto"/>
            </w:tcBorders>
            <w:shd w:val="clear" w:color="auto" w:fill="808080" w:themeFill="background1" w:themeFillShade="80"/>
            <w:vAlign w:val="bottom"/>
            <w:hideMark/>
          </w:tcPr>
          <w:p w14:paraId="0045BF60" w14:textId="77777777" w:rsidR="00714AB9" w:rsidRPr="00BA3810" w:rsidRDefault="00714AB9">
            <w:pPr>
              <w:spacing w:after="0" w:line="276" w:lineRule="auto"/>
              <w:jc w:val="center"/>
              <w:rPr>
                <w:rFonts w:cs="Arial"/>
                <w:b/>
                <w:bCs/>
                <w:color w:val="FFFFFF" w:themeColor="background1"/>
                <w:szCs w:val="20"/>
              </w:rPr>
            </w:pPr>
            <w:r w:rsidRPr="00BA3810">
              <w:rPr>
                <w:b/>
                <w:bCs/>
                <w:color w:val="FFFFFF" w:themeColor="background1"/>
                <w:szCs w:val="20"/>
              </w:rPr>
              <w:t>Category</w:t>
            </w:r>
          </w:p>
        </w:tc>
      </w:tr>
      <w:tr w:rsidR="00714AB9" w:rsidRPr="00BA3810" w14:paraId="54B4551E" w14:textId="77777777" w:rsidTr="00062CC9">
        <w:trPr>
          <w:trHeight w:val="312"/>
          <w:jc w:val="center"/>
        </w:trPr>
        <w:tc>
          <w:tcPr>
            <w:tcW w:w="1486" w:type="dxa"/>
            <w:tcBorders>
              <w:top w:val="single" w:sz="4" w:space="0" w:color="auto"/>
              <w:left w:val="single" w:sz="4" w:space="0" w:color="auto"/>
              <w:bottom w:val="single" w:sz="4" w:space="0" w:color="auto"/>
              <w:right w:val="single" w:sz="4" w:space="0" w:color="auto"/>
            </w:tcBorders>
            <w:noWrap/>
            <w:hideMark/>
          </w:tcPr>
          <w:p w14:paraId="30F80C7B" w14:textId="77777777" w:rsidR="00714AB9" w:rsidRPr="00BA3810" w:rsidRDefault="00714AB9">
            <w:pPr>
              <w:spacing w:after="0" w:line="276" w:lineRule="auto"/>
              <w:jc w:val="left"/>
              <w:rPr>
                <w:color w:val="000000"/>
                <w:szCs w:val="20"/>
              </w:rPr>
            </w:pPr>
            <w:r w:rsidRPr="00BA3810">
              <w:rPr>
                <w:szCs w:val="20"/>
              </w:rPr>
              <w:t>System Operational Requirements</w:t>
            </w:r>
          </w:p>
        </w:tc>
        <w:tc>
          <w:tcPr>
            <w:tcW w:w="1843" w:type="dxa"/>
            <w:tcBorders>
              <w:top w:val="single" w:sz="4" w:space="0" w:color="auto"/>
              <w:left w:val="single" w:sz="4" w:space="0" w:color="auto"/>
              <w:bottom w:val="single" w:sz="4" w:space="0" w:color="auto"/>
              <w:right w:val="single" w:sz="4" w:space="0" w:color="auto"/>
            </w:tcBorders>
            <w:noWrap/>
            <w:hideMark/>
          </w:tcPr>
          <w:p w14:paraId="37038B8E" w14:textId="77777777" w:rsidR="00714AB9" w:rsidRPr="00BA3810" w:rsidRDefault="00714AB9" w:rsidP="00062CC9">
            <w:pPr>
              <w:spacing w:after="0"/>
              <w:jc w:val="left"/>
              <w:rPr>
                <w:color w:val="000000"/>
                <w:szCs w:val="20"/>
              </w:rPr>
            </w:pPr>
            <w:r w:rsidRPr="00BA3810">
              <w:rPr>
                <w:szCs w:val="20"/>
              </w:rPr>
              <w:t>OCC takes control and disables VO due to station/feeder out of configuration, major alarm, repair/maintenance or switching events.</w:t>
            </w:r>
          </w:p>
        </w:tc>
        <w:tc>
          <w:tcPr>
            <w:tcW w:w="5041" w:type="dxa"/>
            <w:tcBorders>
              <w:top w:val="single" w:sz="4" w:space="0" w:color="auto"/>
              <w:left w:val="single" w:sz="4" w:space="0" w:color="auto"/>
              <w:bottom w:val="single" w:sz="4" w:space="0" w:color="auto"/>
              <w:right w:val="single" w:sz="4" w:space="0" w:color="auto"/>
            </w:tcBorders>
            <w:noWrap/>
            <w:hideMark/>
          </w:tcPr>
          <w:p w14:paraId="1E0D8D78" w14:textId="77777777" w:rsidR="00714AB9" w:rsidRPr="00BA3810" w:rsidRDefault="00714AB9" w:rsidP="00062CC9">
            <w:pPr>
              <w:spacing w:after="0"/>
              <w:jc w:val="left"/>
              <w:rPr>
                <w:color w:val="000000"/>
                <w:szCs w:val="20"/>
              </w:rPr>
            </w:pPr>
            <w:r w:rsidRPr="00BA3810">
              <w:rPr>
                <w:szCs w:val="20"/>
              </w:rPr>
              <w:t>Feeder outages are typically not predictable</w:t>
            </w:r>
            <w:r w:rsidRPr="00BA3810">
              <w:rPr>
                <w:color w:val="000000"/>
                <w:szCs w:val="20"/>
              </w:rPr>
              <w:t xml:space="preserve"> or </w:t>
            </w:r>
            <w:r w:rsidRPr="00BA3810">
              <w:rPr>
                <w:szCs w:val="20"/>
              </w:rPr>
              <w:t>planned and are outside of ComEd control. ComEd will take necessary steps to ensure the reliability and safety of the system during storms</w:t>
            </w:r>
            <w:r w:rsidRPr="00BA3810">
              <w:rPr>
                <w:color w:val="000000"/>
                <w:szCs w:val="20"/>
              </w:rPr>
              <w:t xml:space="preserve"> and </w:t>
            </w:r>
            <w:r w:rsidRPr="00BA3810">
              <w:rPr>
                <w:szCs w:val="20"/>
              </w:rPr>
              <w:t>outages, maintenance, and work to support new customer growth. These events are not certain to occur on the same feeder in subsequent years.</w:t>
            </w:r>
          </w:p>
        </w:tc>
        <w:tc>
          <w:tcPr>
            <w:tcW w:w="1165" w:type="dxa"/>
            <w:tcBorders>
              <w:top w:val="single" w:sz="4" w:space="0" w:color="auto"/>
              <w:left w:val="single" w:sz="4" w:space="0" w:color="auto"/>
              <w:bottom w:val="single" w:sz="4" w:space="0" w:color="auto"/>
              <w:right w:val="single" w:sz="4" w:space="0" w:color="auto"/>
            </w:tcBorders>
            <w:hideMark/>
          </w:tcPr>
          <w:p w14:paraId="08F907FE" w14:textId="77777777" w:rsidR="00714AB9" w:rsidRPr="00BA3810" w:rsidRDefault="00714AB9">
            <w:pPr>
              <w:spacing w:after="0" w:line="276" w:lineRule="auto"/>
              <w:jc w:val="left"/>
              <w:rPr>
                <w:color w:val="000000"/>
                <w:szCs w:val="20"/>
              </w:rPr>
            </w:pPr>
            <w:r w:rsidRPr="00BA3810">
              <w:rPr>
                <w:color w:val="000000"/>
                <w:szCs w:val="20"/>
              </w:rPr>
              <w:t>Excludable</w:t>
            </w:r>
          </w:p>
        </w:tc>
      </w:tr>
      <w:tr w:rsidR="00714AB9" w:rsidRPr="00BA3810" w14:paraId="029213CE" w14:textId="77777777" w:rsidTr="00062CC9">
        <w:trPr>
          <w:trHeight w:val="300"/>
          <w:jc w:val="center"/>
        </w:trPr>
        <w:tc>
          <w:tcPr>
            <w:tcW w:w="1486" w:type="dxa"/>
            <w:tcBorders>
              <w:top w:val="single" w:sz="4" w:space="0" w:color="auto"/>
              <w:left w:val="single" w:sz="4" w:space="0" w:color="auto"/>
              <w:bottom w:val="single" w:sz="4" w:space="0" w:color="auto"/>
              <w:right w:val="single" w:sz="4" w:space="0" w:color="auto"/>
            </w:tcBorders>
            <w:noWrap/>
            <w:hideMark/>
          </w:tcPr>
          <w:p w14:paraId="2532426E" w14:textId="77777777" w:rsidR="00714AB9" w:rsidRPr="00BA3810" w:rsidRDefault="00714AB9">
            <w:pPr>
              <w:spacing w:after="0" w:line="276" w:lineRule="auto"/>
              <w:jc w:val="left"/>
              <w:rPr>
                <w:color w:val="000000"/>
                <w:szCs w:val="20"/>
              </w:rPr>
            </w:pPr>
            <w:r w:rsidRPr="00BA3810">
              <w:rPr>
                <w:szCs w:val="20"/>
              </w:rPr>
              <w:t>Loss of communication</w:t>
            </w:r>
          </w:p>
        </w:tc>
        <w:tc>
          <w:tcPr>
            <w:tcW w:w="1843" w:type="dxa"/>
            <w:tcBorders>
              <w:top w:val="single" w:sz="4" w:space="0" w:color="auto"/>
              <w:left w:val="single" w:sz="4" w:space="0" w:color="auto"/>
              <w:bottom w:val="single" w:sz="4" w:space="0" w:color="auto"/>
              <w:right w:val="single" w:sz="4" w:space="0" w:color="auto"/>
            </w:tcBorders>
            <w:noWrap/>
            <w:hideMark/>
          </w:tcPr>
          <w:p w14:paraId="142B4A55" w14:textId="77777777" w:rsidR="00714AB9" w:rsidRPr="00BA3810" w:rsidRDefault="00714AB9" w:rsidP="00062CC9">
            <w:pPr>
              <w:spacing w:after="0"/>
              <w:jc w:val="left"/>
              <w:rPr>
                <w:color w:val="000000"/>
                <w:szCs w:val="20"/>
              </w:rPr>
            </w:pPr>
            <w:r w:rsidRPr="00BA3810">
              <w:rPr>
                <w:szCs w:val="20"/>
              </w:rPr>
              <w:t>Any unplanned interruption to the communication network</w:t>
            </w:r>
            <w:r w:rsidRPr="00BA3810">
              <w:rPr>
                <w:color w:val="000000"/>
                <w:szCs w:val="20"/>
              </w:rPr>
              <w:t>.</w:t>
            </w:r>
          </w:p>
        </w:tc>
        <w:tc>
          <w:tcPr>
            <w:tcW w:w="5041" w:type="dxa"/>
            <w:tcBorders>
              <w:top w:val="single" w:sz="4" w:space="0" w:color="auto"/>
              <w:left w:val="single" w:sz="4" w:space="0" w:color="auto"/>
              <w:bottom w:val="single" w:sz="4" w:space="0" w:color="auto"/>
              <w:right w:val="single" w:sz="4" w:space="0" w:color="auto"/>
            </w:tcBorders>
            <w:noWrap/>
            <w:hideMark/>
          </w:tcPr>
          <w:p w14:paraId="5BCF6695" w14:textId="77777777" w:rsidR="00714AB9" w:rsidRPr="00BA3810" w:rsidRDefault="00714AB9" w:rsidP="00062CC9">
            <w:pPr>
              <w:spacing w:after="0"/>
              <w:jc w:val="left"/>
              <w:rPr>
                <w:szCs w:val="20"/>
              </w:rPr>
            </w:pPr>
            <w:r w:rsidRPr="00BA3810">
              <w:rPr>
                <w:szCs w:val="20"/>
              </w:rPr>
              <w:t>Natural causes or unplanned repair due to equipment failure occasionally disrupting communication network.</w:t>
            </w:r>
          </w:p>
        </w:tc>
        <w:tc>
          <w:tcPr>
            <w:tcW w:w="1165" w:type="dxa"/>
            <w:tcBorders>
              <w:top w:val="single" w:sz="4" w:space="0" w:color="auto"/>
              <w:left w:val="single" w:sz="4" w:space="0" w:color="auto"/>
              <w:bottom w:val="single" w:sz="4" w:space="0" w:color="auto"/>
              <w:right w:val="single" w:sz="4" w:space="0" w:color="auto"/>
            </w:tcBorders>
            <w:hideMark/>
          </w:tcPr>
          <w:p w14:paraId="3E9F5BD0" w14:textId="77777777" w:rsidR="00714AB9" w:rsidRPr="00BA3810" w:rsidRDefault="00714AB9">
            <w:pPr>
              <w:spacing w:after="0" w:line="276" w:lineRule="auto"/>
              <w:jc w:val="left"/>
              <w:rPr>
                <w:color w:val="000000"/>
                <w:szCs w:val="20"/>
              </w:rPr>
            </w:pPr>
            <w:r w:rsidRPr="00BA3810">
              <w:rPr>
                <w:color w:val="000000"/>
                <w:szCs w:val="20"/>
              </w:rPr>
              <w:t>Excludable</w:t>
            </w:r>
          </w:p>
        </w:tc>
      </w:tr>
      <w:tr w:rsidR="00714AB9" w:rsidRPr="00BA3810" w14:paraId="05D8416B" w14:textId="77777777" w:rsidTr="00062CC9">
        <w:trPr>
          <w:trHeight w:val="300"/>
          <w:jc w:val="center"/>
        </w:trPr>
        <w:tc>
          <w:tcPr>
            <w:tcW w:w="1486" w:type="dxa"/>
            <w:tcBorders>
              <w:top w:val="single" w:sz="4" w:space="0" w:color="auto"/>
              <w:left w:val="single" w:sz="4" w:space="0" w:color="auto"/>
              <w:bottom w:val="single" w:sz="4" w:space="0" w:color="auto"/>
              <w:right w:val="single" w:sz="4" w:space="0" w:color="auto"/>
            </w:tcBorders>
            <w:noWrap/>
            <w:hideMark/>
          </w:tcPr>
          <w:p w14:paraId="390E8620" w14:textId="77777777" w:rsidR="00714AB9" w:rsidRPr="00BA3810" w:rsidRDefault="00714AB9">
            <w:pPr>
              <w:spacing w:after="0" w:line="276" w:lineRule="auto"/>
              <w:jc w:val="left"/>
              <w:rPr>
                <w:color w:val="000000"/>
                <w:szCs w:val="20"/>
              </w:rPr>
            </w:pPr>
            <w:r w:rsidRPr="00BA3810">
              <w:rPr>
                <w:szCs w:val="20"/>
              </w:rPr>
              <w:t>VO Control System</w:t>
            </w:r>
          </w:p>
        </w:tc>
        <w:tc>
          <w:tcPr>
            <w:tcW w:w="1843" w:type="dxa"/>
            <w:tcBorders>
              <w:top w:val="single" w:sz="4" w:space="0" w:color="auto"/>
              <w:left w:val="single" w:sz="4" w:space="0" w:color="auto"/>
              <w:bottom w:val="single" w:sz="4" w:space="0" w:color="auto"/>
              <w:right w:val="single" w:sz="4" w:space="0" w:color="auto"/>
            </w:tcBorders>
            <w:noWrap/>
            <w:hideMark/>
          </w:tcPr>
          <w:p w14:paraId="7D3C4D9E" w14:textId="77777777" w:rsidR="00714AB9" w:rsidRPr="00BA3810" w:rsidRDefault="00714AB9" w:rsidP="00062CC9">
            <w:pPr>
              <w:spacing w:after="0"/>
              <w:jc w:val="left"/>
              <w:rPr>
                <w:color w:val="000000"/>
                <w:szCs w:val="20"/>
              </w:rPr>
            </w:pPr>
            <w:r w:rsidRPr="00BA3810">
              <w:rPr>
                <w:szCs w:val="20"/>
              </w:rPr>
              <w:t>System component failure requires vendor upgrade or revision</w:t>
            </w:r>
            <w:r w:rsidRPr="00BA3810">
              <w:rPr>
                <w:color w:val="000000"/>
                <w:szCs w:val="20"/>
              </w:rPr>
              <w:t>.</w:t>
            </w:r>
          </w:p>
        </w:tc>
        <w:tc>
          <w:tcPr>
            <w:tcW w:w="5041" w:type="dxa"/>
            <w:tcBorders>
              <w:top w:val="single" w:sz="4" w:space="0" w:color="auto"/>
              <w:left w:val="single" w:sz="4" w:space="0" w:color="auto"/>
              <w:bottom w:val="single" w:sz="4" w:space="0" w:color="auto"/>
              <w:right w:val="single" w:sz="4" w:space="0" w:color="auto"/>
            </w:tcBorders>
            <w:noWrap/>
            <w:hideMark/>
          </w:tcPr>
          <w:p w14:paraId="0D7AAEFF" w14:textId="77777777" w:rsidR="00714AB9" w:rsidRPr="00BA3810" w:rsidRDefault="00714AB9" w:rsidP="00062CC9">
            <w:pPr>
              <w:spacing w:after="0"/>
              <w:jc w:val="left"/>
              <w:rPr>
                <w:color w:val="000000"/>
                <w:szCs w:val="20"/>
              </w:rPr>
            </w:pPr>
            <w:r w:rsidRPr="00BA3810">
              <w:rPr>
                <w:szCs w:val="20"/>
              </w:rPr>
              <w:t>The failure of the VO Software provided by the outside vendor (OSI), or a Cyber event. Events of this nature are an anomaly and are not certain to occur year after year. This event is not predictable</w:t>
            </w:r>
            <w:r w:rsidRPr="00BA3810">
              <w:rPr>
                <w:color w:val="000000"/>
                <w:szCs w:val="20"/>
              </w:rPr>
              <w:t xml:space="preserve"> or </w:t>
            </w:r>
            <w:r w:rsidRPr="00BA3810">
              <w:rPr>
                <w:szCs w:val="20"/>
              </w:rPr>
              <w:t xml:space="preserve">planned and is outside of </w:t>
            </w:r>
            <w:proofErr w:type="spellStart"/>
            <w:r w:rsidRPr="00BA3810">
              <w:rPr>
                <w:szCs w:val="20"/>
              </w:rPr>
              <w:t>ComEd’s</w:t>
            </w:r>
            <w:proofErr w:type="spellEnd"/>
            <w:r w:rsidRPr="00BA3810">
              <w:rPr>
                <w:szCs w:val="20"/>
              </w:rPr>
              <w:t xml:space="preserve"> control.</w:t>
            </w:r>
          </w:p>
        </w:tc>
        <w:tc>
          <w:tcPr>
            <w:tcW w:w="1165" w:type="dxa"/>
            <w:tcBorders>
              <w:top w:val="single" w:sz="4" w:space="0" w:color="auto"/>
              <w:left w:val="single" w:sz="4" w:space="0" w:color="auto"/>
              <w:bottom w:val="single" w:sz="4" w:space="0" w:color="auto"/>
              <w:right w:val="single" w:sz="4" w:space="0" w:color="auto"/>
            </w:tcBorders>
            <w:hideMark/>
          </w:tcPr>
          <w:p w14:paraId="36982535" w14:textId="77777777" w:rsidR="00714AB9" w:rsidRPr="00BA3810" w:rsidRDefault="00714AB9">
            <w:pPr>
              <w:spacing w:after="0" w:line="276" w:lineRule="auto"/>
              <w:jc w:val="left"/>
              <w:rPr>
                <w:color w:val="000000"/>
                <w:szCs w:val="20"/>
              </w:rPr>
            </w:pPr>
            <w:r w:rsidRPr="00BA3810">
              <w:rPr>
                <w:color w:val="000000"/>
                <w:szCs w:val="20"/>
              </w:rPr>
              <w:t>Excludable</w:t>
            </w:r>
          </w:p>
        </w:tc>
      </w:tr>
      <w:tr w:rsidR="00714AB9" w:rsidRPr="00BA3810" w14:paraId="175CA587" w14:textId="77777777" w:rsidTr="00062CC9">
        <w:trPr>
          <w:trHeight w:val="300"/>
          <w:jc w:val="center"/>
        </w:trPr>
        <w:tc>
          <w:tcPr>
            <w:tcW w:w="1486" w:type="dxa"/>
            <w:tcBorders>
              <w:top w:val="single" w:sz="4" w:space="0" w:color="auto"/>
              <w:left w:val="single" w:sz="4" w:space="0" w:color="auto"/>
              <w:bottom w:val="single" w:sz="4" w:space="0" w:color="auto"/>
              <w:right w:val="single" w:sz="4" w:space="0" w:color="auto"/>
            </w:tcBorders>
            <w:noWrap/>
            <w:hideMark/>
          </w:tcPr>
          <w:p w14:paraId="54524D35" w14:textId="77777777" w:rsidR="00714AB9" w:rsidRPr="00BA3810" w:rsidRDefault="00714AB9">
            <w:pPr>
              <w:spacing w:after="0" w:line="276" w:lineRule="auto"/>
              <w:jc w:val="left"/>
              <w:rPr>
                <w:color w:val="000000"/>
                <w:szCs w:val="20"/>
              </w:rPr>
            </w:pPr>
            <w:r w:rsidRPr="00BA3810">
              <w:rPr>
                <w:szCs w:val="20"/>
              </w:rPr>
              <w:t>VO On/Off Cycling Schedule</w:t>
            </w:r>
          </w:p>
        </w:tc>
        <w:tc>
          <w:tcPr>
            <w:tcW w:w="1843" w:type="dxa"/>
            <w:tcBorders>
              <w:top w:val="single" w:sz="4" w:space="0" w:color="auto"/>
              <w:left w:val="single" w:sz="4" w:space="0" w:color="auto"/>
              <w:bottom w:val="single" w:sz="4" w:space="0" w:color="auto"/>
              <w:right w:val="single" w:sz="4" w:space="0" w:color="auto"/>
            </w:tcBorders>
            <w:noWrap/>
            <w:hideMark/>
          </w:tcPr>
          <w:p w14:paraId="7468D1F4" w14:textId="77777777" w:rsidR="00714AB9" w:rsidRPr="00BA3810" w:rsidRDefault="00714AB9" w:rsidP="00062CC9">
            <w:pPr>
              <w:spacing w:after="0"/>
              <w:jc w:val="left"/>
              <w:rPr>
                <w:color w:val="000000"/>
                <w:szCs w:val="20"/>
              </w:rPr>
            </w:pPr>
            <w:r w:rsidRPr="00BA3810">
              <w:rPr>
                <w:szCs w:val="20"/>
              </w:rPr>
              <w:t>Supervision over the transitional states from on to off, and vice versa</w:t>
            </w:r>
            <w:r w:rsidRPr="00BA3810">
              <w:rPr>
                <w:color w:val="000000"/>
                <w:szCs w:val="20"/>
              </w:rPr>
              <w:t>.</w:t>
            </w:r>
          </w:p>
        </w:tc>
        <w:tc>
          <w:tcPr>
            <w:tcW w:w="5041" w:type="dxa"/>
            <w:tcBorders>
              <w:top w:val="single" w:sz="4" w:space="0" w:color="auto"/>
              <w:left w:val="single" w:sz="4" w:space="0" w:color="auto"/>
              <w:bottom w:val="single" w:sz="4" w:space="0" w:color="auto"/>
              <w:right w:val="single" w:sz="4" w:space="0" w:color="auto"/>
            </w:tcBorders>
            <w:noWrap/>
            <w:hideMark/>
          </w:tcPr>
          <w:p w14:paraId="744B6676" w14:textId="77777777" w:rsidR="00714AB9" w:rsidRPr="00BA3810" w:rsidRDefault="00714AB9" w:rsidP="00062CC9">
            <w:pPr>
              <w:spacing w:after="0"/>
              <w:jc w:val="left"/>
              <w:rPr>
                <w:color w:val="000000"/>
                <w:szCs w:val="20"/>
              </w:rPr>
            </w:pPr>
            <w:r w:rsidRPr="00BA3810">
              <w:rPr>
                <w:color w:val="000000" w:themeColor="text1"/>
                <w:szCs w:val="20"/>
              </w:rPr>
              <w:t>When adding</w:t>
            </w:r>
            <w:r w:rsidRPr="00BA3810">
              <w:rPr>
                <w:color w:val="000000"/>
                <w:szCs w:val="20"/>
              </w:rPr>
              <w:t xml:space="preserve"> or </w:t>
            </w:r>
            <w:r w:rsidRPr="00BA3810">
              <w:rPr>
                <w:color w:val="000000" w:themeColor="text1"/>
                <w:szCs w:val="20"/>
              </w:rPr>
              <w:t>commissioning substations</w:t>
            </w:r>
            <w:r w:rsidRPr="00BA3810">
              <w:rPr>
                <w:color w:val="000000"/>
                <w:szCs w:val="20"/>
              </w:rPr>
              <w:t xml:space="preserve"> or </w:t>
            </w:r>
            <w:r w:rsidRPr="00BA3810">
              <w:rPr>
                <w:color w:val="000000" w:themeColor="text1"/>
                <w:szCs w:val="20"/>
              </w:rPr>
              <w:t>feeders to the VO Control system</w:t>
            </w:r>
            <w:r w:rsidRPr="00BA3810">
              <w:rPr>
                <w:color w:val="000000"/>
                <w:szCs w:val="20"/>
              </w:rPr>
              <w:t>.</w:t>
            </w:r>
          </w:p>
        </w:tc>
        <w:tc>
          <w:tcPr>
            <w:tcW w:w="1165" w:type="dxa"/>
            <w:tcBorders>
              <w:top w:val="single" w:sz="4" w:space="0" w:color="auto"/>
              <w:left w:val="single" w:sz="4" w:space="0" w:color="auto"/>
              <w:bottom w:val="single" w:sz="4" w:space="0" w:color="auto"/>
              <w:right w:val="single" w:sz="4" w:space="0" w:color="auto"/>
            </w:tcBorders>
            <w:hideMark/>
          </w:tcPr>
          <w:p w14:paraId="0BA6C192" w14:textId="77777777" w:rsidR="00714AB9" w:rsidRPr="00BA3810" w:rsidRDefault="00714AB9">
            <w:pPr>
              <w:spacing w:after="0" w:line="276" w:lineRule="auto"/>
              <w:jc w:val="left"/>
              <w:rPr>
                <w:color w:val="000000"/>
                <w:szCs w:val="20"/>
              </w:rPr>
            </w:pPr>
            <w:r w:rsidRPr="00BA3810">
              <w:rPr>
                <w:color w:val="000000"/>
                <w:szCs w:val="20"/>
              </w:rPr>
              <w:t>Excludable</w:t>
            </w:r>
          </w:p>
        </w:tc>
      </w:tr>
      <w:tr w:rsidR="00714AB9" w:rsidRPr="00BA3810" w14:paraId="7C576B2D" w14:textId="77777777" w:rsidTr="00062CC9">
        <w:trPr>
          <w:trHeight w:val="300"/>
          <w:jc w:val="center"/>
        </w:trPr>
        <w:tc>
          <w:tcPr>
            <w:tcW w:w="1486" w:type="dxa"/>
            <w:tcBorders>
              <w:top w:val="single" w:sz="4" w:space="0" w:color="auto"/>
              <w:left w:val="single" w:sz="4" w:space="0" w:color="auto"/>
              <w:bottom w:val="single" w:sz="4" w:space="0" w:color="auto"/>
              <w:right w:val="single" w:sz="4" w:space="0" w:color="auto"/>
            </w:tcBorders>
            <w:noWrap/>
            <w:hideMark/>
          </w:tcPr>
          <w:p w14:paraId="5846FB51" w14:textId="77777777" w:rsidR="00714AB9" w:rsidRPr="00BA3810" w:rsidRDefault="00714AB9">
            <w:pPr>
              <w:spacing w:after="0" w:line="276" w:lineRule="auto"/>
              <w:jc w:val="left"/>
              <w:rPr>
                <w:color w:val="000000"/>
                <w:szCs w:val="20"/>
              </w:rPr>
            </w:pPr>
            <w:r w:rsidRPr="00BA3810">
              <w:rPr>
                <w:szCs w:val="20"/>
              </w:rPr>
              <w:t>Customer Maintenance</w:t>
            </w:r>
          </w:p>
        </w:tc>
        <w:tc>
          <w:tcPr>
            <w:tcW w:w="1843" w:type="dxa"/>
            <w:tcBorders>
              <w:top w:val="single" w:sz="4" w:space="0" w:color="auto"/>
              <w:left w:val="single" w:sz="4" w:space="0" w:color="auto"/>
              <w:bottom w:val="single" w:sz="4" w:space="0" w:color="auto"/>
              <w:right w:val="single" w:sz="4" w:space="0" w:color="auto"/>
            </w:tcBorders>
            <w:noWrap/>
            <w:hideMark/>
          </w:tcPr>
          <w:p w14:paraId="36243302" w14:textId="77777777" w:rsidR="00714AB9" w:rsidRPr="00BA3810" w:rsidRDefault="00714AB9" w:rsidP="00062CC9">
            <w:pPr>
              <w:spacing w:after="0"/>
              <w:jc w:val="left"/>
              <w:rPr>
                <w:color w:val="000000"/>
                <w:szCs w:val="20"/>
              </w:rPr>
            </w:pPr>
            <w:r w:rsidRPr="00BA3810">
              <w:rPr>
                <w:szCs w:val="20"/>
              </w:rPr>
              <w:t>VO is disabled to investigate power quality issues</w:t>
            </w:r>
            <w:r w:rsidRPr="00BA3810">
              <w:rPr>
                <w:color w:val="000000"/>
                <w:szCs w:val="20"/>
              </w:rPr>
              <w:t>.</w:t>
            </w:r>
          </w:p>
        </w:tc>
        <w:tc>
          <w:tcPr>
            <w:tcW w:w="5041" w:type="dxa"/>
            <w:tcBorders>
              <w:top w:val="single" w:sz="4" w:space="0" w:color="auto"/>
              <w:left w:val="single" w:sz="4" w:space="0" w:color="auto"/>
              <w:bottom w:val="single" w:sz="4" w:space="0" w:color="auto"/>
              <w:right w:val="single" w:sz="4" w:space="0" w:color="auto"/>
            </w:tcBorders>
            <w:noWrap/>
            <w:hideMark/>
          </w:tcPr>
          <w:p w14:paraId="25C5B2BD" w14:textId="77777777" w:rsidR="00714AB9" w:rsidRPr="00BA3810" w:rsidRDefault="00714AB9" w:rsidP="00062CC9">
            <w:pPr>
              <w:spacing w:after="0"/>
              <w:jc w:val="left"/>
              <w:rPr>
                <w:color w:val="000000"/>
                <w:szCs w:val="20"/>
              </w:rPr>
            </w:pPr>
            <w:r w:rsidRPr="00BA3810">
              <w:rPr>
                <w:szCs w:val="20"/>
              </w:rPr>
              <w:t>Possible VO deactivation may be required to facilitate certain investigation requirements</w:t>
            </w:r>
            <w:r w:rsidRPr="00BA3810">
              <w:rPr>
                <w:color w:val="000000"/>
                <w:szCs w:val="20"/>
              </w:rPr>
              <w:t>.</w:t>
            </w:r>
          </w:p>
        </w:tc>
        <w:tc>
          <w:tcPr>
            <w:tcW w:w="1165" w:type="dxa"/>
            <w:tcBorders>
              <w:top w:val="single" w:sz="4" w:space="0" w:color="auto"/>
              <w:left w:val="single" w:sz="4" w:space="0" w:color="auto"/>
              <w:bottom w:val="single" w:sz="4" w:space="0" w:color="auto"/>
              <w:right w:val="single" w:sz="4" w:space="0" w:color="auto"/>
            </w:tcBorders>
            <w:hideMark/>
          </w:tcPr>
          <w:p w14:paraId="2C66BC6D" w14:textId="77777777" w:rsidR="00714AB9" w:rsidRPr="00BA3810" w:rsidRDefault="00714AB9">
            <w:pPr>
              <w:spacing w:after="0" w:line="276" w:lineRule="auto"/>
              <w:jc w:val="left"/>
              <w:rPr>
                <w:color w:val="000000"/>
                <w:szCs w:val="20"/>
              </w:rPr>
            </w:pPr>
            <w:r w:rsidRPr="00BA3810">
              <w:rPr>
                <w:szCs w:val="20"/>
              </w:rPr>
              <w:t>Not-Excludable</w:t>
            </w:r>
          </w:p>
        </w:tc>
      </w:tr>
      <w:tr w:rsidR="00714AB9" w:rsidRPr="00BA3810" w14:paraId="33BD1533" w14:textId="77777777" w:rsidTr="00062CC9">
        <w:trPr>
          <w:trHeight w:val="300"/>
          <w:jc w:val="center"/>
        </w:trPr>
        <w:tc>
          <w:tcPr>
            <w:tcW w:w="1486" w:type="dxa"/>
            <w:tcBorders>
              <w:top w:val="single" w:sz="4" w:space="0" w:color="auto"/>
              <w:left w:val="single" w:sz="4" w:space="0" w:color="auto"/>
              <w:bottom w:val="single" w:sz="4" w:space="0" w:color="auto"/>
              <w:right w:val="single" w:sz="4" w:space="0" w:color="auto"/>
            </w:tcBorders>
            <w:noWrap/>
            <w:hideMark/>
          </w:tcPr>
          <w:p w14:paraId="40B7856C" w14:textId="77777777" w:rsidR="00714AB9" w:rsidRPr="00BA3810" w:rsidRDefault="00714AB9">
            <w:pPr>
              <w:spacing w:after="0" w:line="276" w:lineRule="auto"/>
              <w:jc w:val="left"/>
              <w:rPr>
                <w:color w:val="000000"/>
                <w:szCs w:val="20"/>
              </w:rPr>
            </w:pPr>
            <w:r w:rsidRPr="00BA3810">
              <w:rPr>
                <w:szCs w:val="20"/>
              </w:rPr>
              <w:t>Worldwide Pandemic / Orders by Civil Authorities</w:t>
            </w:r>
          </w:p>
        </w:tc>
        <w:tc>
          <w:tcPr>
            <w:tcW w:w="1843" w:type="dxa"/>
            <w:tcBorders>
              <w:top w:val="single" w:sz="4" w:space="0" w:color="auto"/>
              <w:left w:val="single" w:sz="4" w:space="0" w:color="auto"/>
              <w:bottom w:val="single" w:sz="4" w:space="0" w:color="auto"/>
              <w:right w:val="single" w:sz="4" w:space="0" w:color="auto"/>
            </w:tcBorders>
            <w:noWrap/>
            <w:hideMark/>
          </w:tcPr>
          <w:p w14:paraId="5B86659C" w14:textId="77777777" w:rsidR="00714AB9" w:rsidRPr="00BA3810" w:rsidRDefault="00714AB9" w:rsidP="00062CC9">
            <w:pPr>
              <w:spacing w:after="0"/>
              <w:jc w:val="left"/>
              <w:rPr>
                <w:color w:val="000000"/>
                <w:szCs w:val="20"/>
              </w:rPr>
            </w:pPr>
            <w:r w:rsidRPr="00BA3810">
              <w:rPr>
                <w:szCs w:val="20"/>
              </w:rPr>
              <w:t>Repairs and maintenance may take longer due to limited crew availability or other restrictions</w:t>
            </w:r>
            <w:r w:rsidRPr="00BA3810">
              <w:rPr>
                <w:color w:val="000000"/>
                <w:szCs w:val="20"/>
              </w:rPr>
              <w:t xml:space="preserve"> and </w:t>
            </w:r>
            <w:r w:rsidRPr="00BA3810">
              <w:rPr>
                <w:szCs w:val="20"/>
              </w:rPr>
              <w:t>priorities. Example: COVID-19</w:t>
            </w:r>
          </w:p>
        </w:tc>
        <w:tc>
          <w:tcPr>
            <w:tcW w:w="5041" w:type="dxa"/>
            <w:tcBorders>
              <w:top w:val="single" w:sz="4" w:space="0" w:color="auto"/>
              <w:left w:val="single" w:sz="4" w:space="0" w:color="auto"/>
              <w:bottom w:val="single" w:sz="4" w:space="0" w:color="auto"/>
              <w:right w:val="single" w:sz="4" w:space="0" w:color="auto"/>
            </w:tcBorders>
            <w:noWrap/>
            <w:hideMark/>
          </w:tcPr>
          <w:p w14:paraId="4DF508A8" w14:textId="77777777" w:rsidR="00714AB9" w:rsidRPr="00BA3810" w:rsidRDefault="00714AB9" w:rsidP="00062CC9">
            <w:pPr>
              <w:spacing w:after="0"/>
              <w:jc w:val="left"/>
              <w:rPr>
                <w:color w:val="000000"/>
                <w:szCs w:val="20"/>
              </w:rPr>
            </w:pPr>
            <w:r w:rsidRPr="00BA3810">
              <w:rPr>
                <w:szCs w:val="20"/>
              </w:rPr>
              <w:t>Due to restrictions, repairs and maintenance may take longer. This reasonable delay is outside the control of ComEd.</w:t>
            </w:r>
          </w:p>
        </w:tc>
        <w:tc>
          <w:tcPr>
            <w:tcW w:w="1165" w:type="dxa"/>
            <w:tcBorders>
              <w:top w:val="single" w:sz="4" w:space="0" w:color="auto"/>
              <w:left w:val="single" w:sz="4" w:space="0" w:color="auto"/>
              <w:bottom w:val="single" w:sz="4" w:space="0" w:color="auto"/>
              <w:right w:val="single" w:sz="4" w:space="0" w:color="auto"/>
            </w:tcBorders>
            <w:hideMark/>
          </w:tcPr>
          <w:p w14:paraId="4C59FFF4" w14:textId="77777777" w:rsidR="00714AB9" w:rsidRPr="00BA3810" w:rsidRDefault="00714AB9">
            <w:pPr>
              <w:spacing w:after="0" w:line="276" w:lineRule="auto"/>
              <w:jc w:val="left"/>
              <w:rPr>
                <w:color w:val="000000"/>
                <w:szCs w:val="20"/>
              </w:rPr>
            </w:pPr>
            <w:r w:rsidRPr="00BA3810">
              <w:rPr>
                <w:color w:val="000000"/>
                <w:szCs w:val="20"/>
              </w:rPr>
              <w:t>Excludable</w:t>
            </w:r>
          </w:p>
        </w:tc>
      </w:tr>
      <w:tr w:rsidR="00714AB9" w:rsidRPr="00BA3810" w14:paraId="1F06AF3E" w14:textId="77777777" w:rsidTr="00062CC9">
        <w:trPr>
          <w:trHeight w:val="300"/>
          <w:jc w:val="center"/>
        </w:trPr>
        <w:tc>
          <w:tcPr>
            <w:tcW w:w="1486" w:type="dxa"/>
            <w:tcBorders>
              <w:top w:val="single" w:sz="4" w:space="0" w:color="auto"/>
              <w:left w:val="single" w:sz="4" w:space="0" w:color="auto"/>
              <w:bottom w:val="single" w:sz="4" w:space="0" w:color="auto"/>
              <w:right w:val="single" w:sz="4" w:space="0" w:color="auto"/>
            </w:tcBorders>
            <w:noWrap/>
            <w:hideMark/>
          </w:tcPr>
          <w:p w14:paraId="77E30C08" w14:textId="77777777" w:rsidR="00714AB9" w:rsidRPr="00BA3810" w:rsidRDefault="00714AB9">
            <w:pPr>
              <w:spacing w:after="0" w:line="276" w:lineRule="auto"/>
              <w:jc w:val="left"/>
              <w:rPr>
                <w:color w:val="000000"/>
                <w:szCs w:val="20"/>
              </w:rPr>
            </w:pPr>
            <w:r w:rsidRPr="00BA3810">
              <w:rPr>
                <w:szCs w:val="20"/>
              </w:rPr>
              <w:t>VO Control System</w:t>
            </w:r>
          </w:p>
        </w:tc>
        <w:tc>
          <w:tcPr>
            <w:tcW w:w="1843" w:type="dxa"/>
            <w:tcBorders>
              <w:top w:val="single" w:sz="4" w:space="0" w:color="auto"/>
              <w:left w:val="single" w:sz="4" w:space="0" w:color="auto"/>
              <w:bottom w:val="single" w:sz="4" w:space="0" w:color="auto"/>
              <w:right w:val="single" w:sz="4" w:space="0" w:color="auto"/>
            </w:tcBorders>
            <w:noWrap/>
            <w:hideMark/>
          </w:tcPr>
          <w:p w14:paraId="5C518C2F" w14:textId="77777777" w:rsidR="00714AB9" w:rsidRPr="00BA3810" w:rsidRDefault="00714AB9" w:rsidP="00E4417E">
            <w:pPr>
              <w:spacing w:after="0"/>
              <w:jc w:val="left"/>
              <w:rPr>
                <w:color w:val="000000"/>
                <w:szCs w:val="20"/>
              </w:rPr>
            </w:pPr>
            <w:r w:rsidRPr="00BA3810">
              <w:rPr>
                <w:szCs w:val="20"/>
              </w:rPr>
              <w:t>Anytime VO system fails to operate due to model error in VO software, or inappropriate manual settings (human error)</w:t>
            </w:r>
            <w:r w:rsidRPr="00BA3810">
              <w:rPr>
                <w:color w:val="000000"/>
                <w:szCs w:val="20"/>
              </w:rPr>
              <w:t>.</w:t>
            </w:r>
          </w:p>
        </w:tc>
        <w:tc>
          <w:tcPr>
            <w:tcW w:w="5041" w:type="dxa"/>
            <w:tcBorders>
              <w:top w:val="single" w:sz="4" w:space="0" w:color="auto"/>
              <w:left w:val="single" w:sz="4" w:space="0" w:color="auto"/>
              <w:bottom w:val="single" w:sz="4" w:space="0" w:color="auto"/>
              <w:right w:val="single" w:sz="4" w:space="0" w:color="auto"/>
            </w:tcBorders>
            <w:noWrap/>
            <w:hideMark/>
          </w:tcPr>
          <w:p w14:paraId="3F7BDBE3" w14:textId="77777777" w:rsidR="00714AB9" w:rsidRPr="00BA3810" w:rsidRDefault="00714AB9" w:rsidP="00E4417E">
            <w:pPr>
              <w:spacing w:after="0"/>
              <w:jc w:val="left"/>
              <w:rPr>
                <w:color w:val="000000"/>
                <w:szCs w:val="20"/>
              </w:rPr>
            </w:pPr>
            <w:r w:rsidRPr="00BA3810">
              <w:rPr>
                <w:szCs w:val="20"/>
              </w:rPr>
              <w:t>Event</w:t>
            </w:r>
            <w:r w:rsidRPr="00BA3810">
              <w:rPr>
                <w:color w:val="000000"/>
                <w:szCs w:val="20"/>
              </w:rPr>
              <w:t>s</w:t>
            </w:r>
            <w:r w:rsidRPr="00BA3810">
              <w:rPr>
                <w:szCs w:val="20"/>
              </w:rPr>
              <w:t xml:space="preserve"> of this nature should be addressed by ComEd in</w:t>
            </w:r>
            <w:r w:rsidRPr="00BA3810">
              <w:rPr>
                <w:color w:val="000000"/>
                <w:szCs w:val="20"/>
              </w:rPr>
              <w:t xml:space="preserve"> a</w:t>
            </w:r>
            <w:r w:rsidRPr="00BA3810">
              <w:rPr>
                <w:szCs w:val="20"/>
              </w:rPr>
              <w:t xml:space="preserve"> timely manner, resulting </w:t>
            </w:r>
            <w:r w:rsidRPr="00BA3810">
              <w:rPr>
                <w:color w:val="000000"/>
                <w:szCs w:val="20"/>
              </w:rPr>
              <w:t xml:space="preserve">in </w:t>
            </w:r>
            <w:r w:rsidRPr="00BA3810">
              <w:rPr>
                <w:szCs w:val="20"/>
              </w:rPr>
              <w:t>negligible impacts to energy savings.</w:t>
            </w:r>
          </w:p>
        </w:tc>
        <w:tc>
          <w:tcPr>
            <w:tcW w:w="1165" w:type="dxa"/>
            <w:tcBorders>
              <w:top w:val="single" w:sz="4" w:space="0" w:color="auto"/>
              <w:left w:val="single" w:sz="4" w:space="0" w:color="auto"/>
              <w:bottom w:val="single" w:sz="4" w:space="0" w:color="auto"/>
              <w:right w:val="single" w:sz="4" w:space="0" w:color="auto"/>
            </w:tcBorders>
            <w:hideMark/>
          </w:tcPr>
          <w:p w14:paraId="0DAF7420" w14:textId="77777777" w:rsidR="00714AB9" w:rsidRPr="00BA3810" w:rsidRDefault="00714AB9">
            <w:pPr>
              <w:spacing w:after="0" w:line="276" w:lineRule="auto"/>
              <w:jc w:val="left"/>
              <w:rPr>
                <w:color w:val="000000"/>
                <w:szCs w:val="20"/>
              </w:rPr>
            </w:pPr>
            <w:r w:rsidRPr="00BA3810">
              <w:rPr>
                <w:color w:val="000000"/>
                <w:szCs w:val="20"/>
              </w:rPr>
              <w:t>Not-Excludable</w:t>
            </w:r>
          </w:p>
        </w:tc>
      </w:tr>
      <w:tr w:rsidR="00714AB9" w:rsidRPr="00BA3810" w14:paraId="3CAA62EB" w14:textId="77777777" w:rsidTr="00062CC9">
        <w:trPr>
          <w:trHeight w:val="300"/>
          <w:jc w:val="center"/>
        </w:trPr>
        <w:tc>
          <w:tcPr>
            <w:tcW w:w="1486" w:type="dxa"/>
            <w:tcBorders>
              <w:top w:val="single" w:sz="4" w:space="0" w:color="auto"/>
              <w:left w:val="single" w:sz="4" w:space="0" w:color="auto"/>
              <w:bottom w:val="single" w:sz="4" w:space="0" w:color="auto"/>
              <w:right w:val="single" w:sz="4" w:space="0" w:color="auto"/>
            </w:tcBorders>
            <w:noWrap/>
            <w:hideMark/>
          </w:tcPr>
          <w:p w14:paraId="5E7D992A" w14:textId="77777777" w:rsidR="00714AB9" w:rsidRPr="00BA3810" w:rsidRDefault="00714AB9">
            <w:pPr>
              <w:spacing w:after="0" w:line="276" w:lineRule="auto"/>
              <w:jc w:val="left"/>
              <w:rPr>
                <w:color w:val="000000"/>
                <w:szCs w:val="20"/>
              </w:rPr>
            </w:pPr>
            <w:r w:rsidRPr="00BA3810">
              <w:rPr>
                <w:szCs w:val="20"/>
              </w:rPr>
              <w:t>Loss of communication</w:t>
            </w:r>
          </w:p>
        </w:tc>
        <w:tc>
          <w:tcPr>
            <w:tcW w:w="1843" w:type="dxa"/>
            <w:tcBorders>
              <w:top w:val="single" w:sz="4" w:space="0" w:color="auto"/>
              <w:left w:val="single" w:sz="4" w:space="0" w:color="auto"/>
              <w:bottom w:val="single" w:sz="4" w:space="0" w:color="auto"/>
              <w:right w:val="single" w:sz="4" w:space="0" w:color="auto"/>
            </w:tcBorders>
            <w:noWrap/>
            <w:hideMark/>
          </w:tcPr>
          <w:p w14:paraId="1369D094" w14:textId="77777777" w:rsidR="00714AB9" w:rsidRPr="00BA3810" w:rsidRDefault="00714AB9" w:rsidP="00E4417E">
            <w:pPr>
              <w:spacing w:after="0"/>
              <w:jc w:val="left"/>
              <w:rPr>
                <w:color w:val="000000"/>
                <w:szCs w:val="20"/>
              </w:rPr>
            </w:pPr>
            <w:r w:rsidRPr="00BA3810">
              <w:rPr>
                <w:szCs w:val="20"/>
              </w:rPr>
              <w:t xml:space="preserve">Any planned system </w:t>
            </w:r>
            <w:proofErr w:type="gramStart"/>
            <w:r w:rsidRPr="00BA3810">
              <w:rPr>
                <w:szCs w:val="20"/>
              </w:rPr>
              <w:t>upgrade</w:t>
            </w:r>
            <w:proofErr w:type="gramEnd"/>
            <w:r w:rsidRPr="00BA3810">
              <w:rPr>
                <w:szCs w:val="20"/>
              </w:rPr>
              <w:t xml:space="preserve"> that interrupts communication</w:t>
            </w:r>
            <w:r w:rsidRPr="00BA3810">
              <w:rPr>
                <w:color w:val="000000"/>
                <w:szCs w:val="20"/>
              </w:rPr>
              <w:t>.</w:t>
            </w:r>
          </w:p>
        </w:tc>
        <w:tc>
          <w:tcPr>
            <w:tcW w:w="5041" w:type="dxa"/>
            <w:tcBorders>
              <w:top w:val="single" w:sz="4" w:space="0" w:color="auto"/>
              <w:left w:val="single" w:sz="4" w:space="0" w:color="auto"/>
              <w:bottom w:val="single" w:sz="4" w:space="0" w:color="auto"/>
              <w:right w:val="single" w:sz="4" w:space="0" w:color="auto"/>
            </w:tcBorders>
            <w:noWrap/>
            <w:hideMark/>
          </w:tcPr>
          <w:p w14:paraId="5D737BF4" w14:textId="77777777" w:rsidR="00714AB9" w:rsidRPr="00BA3810" w:rsidRDefault="00714AB9" w:rsidP="00E4417E">
            <w:pPr>
              <w:spacing w:after="0"/>
              <w:jc w:val="left"/>
              <w:rPr>
                <w:color w:val="000000"/>
                <w:szCs w:val="20"/>
              </w:rPr>
            </w:pPr>
            <w:r w:rsidRPr="00BA3810">
              <w:rPr>
                <w:szCs w:val="20"/>
              </w:rPr>
              <w:t xml:space="preserve">Planned </w:t>
            </w:r>
            <w:r w:rsidRPr="00BA3810">
              <w:rPr>
                <w:color w:val="000000"/>
                <w:szCs w:val="20"/>
              </w:rPr>
              <w:t>s</w:t>
            </w:r>
            <w:r w:rsidRPr="00BA3810">
              <w:rPr>
                <w:szCs w:val="20"/>
              </w:rPr>
              <w:t>ystem patching or upgrades interfere with the communication network and disable VO. This should be addressed by ComEd in</w:t>
            </w:r>
            <w:r w:rsidRPr="00BA3810">
              <w:rPr>
                <w:color w:val="000000"/>
                <w:szCs w:val="20"/>
              </w:rPr>
              <w:t xml:space="preserve"> a</w:t>
            </w:r>
            <w:r w:rsidRPr="00BA3810">
              <w:rPr>
                <w:szCs w:val="20"/>
              </w:rPr>
              <w:t xml:space="preserve"> timely manner, resulting </w:t>
            </w:r>
            <w:r w:rsidRPr="00BA3810">
              <w:rPr>
                <w:color w:val="000000"/>
                <w:szCs w:val="20"/>
              </w:rPr>
              <w:t xml:space="preserve">in </w:t>
            </w:r>
            <w:r w:rsidRPr="00BA3810">
              <w:rPr>
                <w:szCs w:val="20"/>
              </w:rPr>
              <w:t>negligible impacts to energy savings.</w:t>
            </w:r>
          </w:p>
        </w:tc>
        <w:tc>
          <w:tcPr>
            <w:tcW w:w="1165" w:type="dxa"/>
            <w:tcBorders>
              <w:top w:val="single" w:sz="4" w:space="0" w:color="auto"/>
              <w:left w:val="single" w:sz="4" w:space="0" w:color="auto"/>
              <w:bottom w:val="single" w:sz="4" w:space="0" w:color="auto"/>
              <w:right w:val="single" w:sz="4" w:space="0" w:color="auto"/>
            </w:tcBorders>
            <w:hideMark/>
          </w:tcPr>
          <w:p w14:paraId="326736B4" w14:textId="77777777" w:rsidR="00714AB9" w:rsidRPr="00BA3810" w:rsidRDefault="00714AB9">
            <w:pPr>
              <w:spacing w:after="0" w:line="276" w:lineRule="auto"/>
              <w:jc w:val="left"/>
              <w:rPr>
                <w:color w:val="000000"/>
                <w:szCs w:val="20"/>
              </w:rPr>
            </w:pPr>
            <w:r w:rsidRPr="00BA3810">
              <w:rPr>
                <w:color w:val="000000"/>
                <w:szCs w:val="20"/>
              </w:rPr>
              <w:t>Not-Excludable</w:t>
            </w:r>
          </w:p>
        </w:tc>
      </w:tr>
      <w:tr w:rsidR="00714AB9" w:rsidRPr="00BA3810" w14:paraId="7BA90546" w14:textId="77777777" w:rsidTr="00062CC9">
        <w:trPr>
          <w:trHeight w:val="300"/>
          <w:jc w:val="center"/>
        </w:trPr>
        <w:tc>
          <w:tcPr>
            <w:tcW w:w="1486" w:type="dxa"/>
            <w:tcBorders>
              <w:top w:val="single" w:sz="4" w:space="0" w:color="auto"/>
              <w:left w:val="single" w:sz="4" w:space="0" w:color="auto"/>
              <w:bottom w:val="single" w:sz="4" w:space="0" w:color="auto"/>
              <w:right w:val="single" w:sz="4" w:space="0" w:color="auto"/>
            </w:tcBorders>
            <w:noWrap/>
            <w:hideMark/>
          </w:tcPr>
          <w:p w14:paraId="6FA1AECE" w14:textId="77777777" w:rsidR="00714AB9" w:rsidRPr="00BA3810" w:rsidRDefault="00714AB9">
            <w:pPr>
              <w:spacing w:after="0" w:line="276" w:lineRule="auto"/>
              <w:jc w:val="left"/>
              <w:rPr>
                <w:color w:val="000000"/>
                <w:szCs w:val="20"/>
              </w:rPr>
            </w:pPr>
            <w:r w:rsidRPr="00BA3810">
              <w:rPr>
                <w:szCs w:val="20"/>
              </w:rPr>
              <w:t>Equipment</w:t>
            </w:r>
          </w:p>
        </w:tc>
        <w:tc>
          <w:tcPr>
            <w:tcW w:w="1843" w:type="dxa"/>
            <w:tcBorders>
              <w:top w:val="single" w:sz="4" w:space="0" w:color="auto"/>
              <w:left w:val="single" w:sz="4" w:space="0" w:color="auto"/>
              <w:bottom w:val="single" w:sz="4" w:space="0" w:color="auto"/>
              <w:right w:val="single" w:sz="4" w:space="0" w:color="auto"/>
            </w:tcBorders>
            <w:noWrap/>
            <w:hideMark/>
          </w:tcPr>
          <w:p w14:paraId="28BC0215" w14:textId="77777777" w:rsidR="00714AB9" w:rsidRPr="00BA3810" w:rsidRDefault="00714AB9" w:rsidP="00E4417E">
            <w:pPr>
              <w:spacing w:after="0"/>
              <w:jc w:val="left"/>
              <w:rPr>
                <w:color w:val="000000"/>
                <w:szCs w:val="20"/>
              </w:rPr>
            </w:pPr>
            <w:r w:rsidRPr="00BA3810">
              <w:rPr>
                <w:szCs w:val="20"/>
              </w:rPr>
              <w:t>Equipment failure that results in VO feeders being disabled (MJ5/DCIAB)</w:t>
            </w:r>
            <w:r w:rsidRPr="00BA3810">
              <w:rPr>
                <w:color w:val="000000"/>
                <w:szCs w:val="20"/>
              </w:rPr>
              <w:t>.</w:t>
            </w:r>
          </w:p>
        </w:tc>
        <w:tc>
          <w:tcPr>
            <w:tcW w:w="5041" w:type="dxa"/>
            <w:tcBorders>
              <w:top w:val="single" w:sz="4" w:space="0" w:color="auto"/>
              <w:left w:val="single" w:sz="4" w:space="0" w:color="auto"/>
              <w:bottom w:val="single" w:sz="4" w:space="0" w:color="auto"/>
              <w:right w:val="single" w:sz="4" w:space="0" w:color="auto"/>
            </w:tcBorders>
            <w:noWrap/>
            <w:hideMark/>
          </w:tcPr>
          <w:p w14:paraId="4FA8B32C" w14:textId="77777777" w:rsidR="00714AB9" w:rsidRPr="00BA3810" w:rsidRDefault="00714AB9" w:rsidP="00E4417E">
            <w:pPr>
              <w:spacing w:after="0"/>
              <w:jc w:val="left"/>
              <w:rPr>
                <w:color w:val="000000"/>
                <w:szCs w:val="20"/>
              </w:rPr>
            </w:pPr>
            <w:r w:rsidRPr="00BA3810">
              <w:rPr>
                <w:szCs w:val="20"/>
              </w:rPr>
              <w:t>The equipment failure should be addressed by ComEd in</w:t>
            </w:r>
            <w:r w:rsidRPr="00BA3810">
              <w:rPr>
                <w:color w:val="000000"/>
                <w:szCs w:val="20"/>
              </w:rPr>
              <w:t xml:space="preserve"> a</w:t>
            </w:r>
            <w:r w:rsidRPr="00BA3810">
              <w:rPr>
                <w:szCs w:val="20"/>
              </w:rPr>
              <w:t xml:space="preserve"> timely manner. This should result in negligible impacts to energy savings.</w:t>
            </w:r>
          </w:p>
        </w:tc>
        <w:tc>
          <w:tcPr>
            <w:tcW w:w="1165" w:type="dxa"/>
            <w:tcBorders>
              <w:top w:val="single" w:sz="4" w:space="0" w:color="auto"/>
              <w:left w:val="single" w:sz="4" w:space="0" w:color="auto"/>
              <w:bottom w:val="single" w:sz="4" w:space="0" w:color="auto"/>
              <w:right w:val="single" w:sz="4" w:space="0" w:color="auto"/>
            </w:tcBorders>
            <w:hideMark/>
          </w:tcPr>
          <w:p w14:paraId="15EE8D22" w14:textId="77777777" w:rsidR="00714AB9" w:rsidRPr="00BA3810" w:rsidRDefault="00714AB9">
            <w:pPr>
              <w:spacing w:after="0" w:line="276" w:lineRule="auto"/>
              <w:jc w:val="left"/>
              <w:rPr>
                <w:color w:val="000000"/>
                <w:szCs w:val="20"/>
              </w:rPr>
            </w:pPr>
            <w:r w:rsidRPr="00BA3810">
              <w:rPr>
                <w:color w:val="000000"/>
                <w:szCs w:val="20"/>
              </w:rPr>
              <w:t>Not-Excludable</w:t>
            </w:r>
          </w:p>
        </w:tc>
      </w:tr>
      <w:tr w:rsidR="00714AB9" w:rsidRPr="00BA3810" w14:paraId="67E141E0" w14:textId="77777777" w:rsidTr="00062CC9">
        <w:trPr>
          <w:trHeight w:val="300"/>
          <w:jc w:val="center"/>
        </w:trPr>
        <w:tc>
          <w:tcPr>
            <w:tcW w:w="1486" w:type="dxa"/>
            <w:tcBorders>
              <w:top w:val="single" w:sz="4" w:space="0" w:color="auto"/>
              <w:left w:val="single" w:sz="4" w:space="0" w:color="auto"/>
              <w:bottom w:val="single" w:sz="4" w:space="0" w:color="auto"/>
              <w:right w:val="single" w:sz="4" w:space="0" w:color="auto"/>
            </w:tcBorders>
            <w:noWrap/>
            <w:hideMark/>
          </w:tcPr>
          <w:p w14:paraId="1E3C49EA" w14:textId="77777777" w:rsidR="00714AB9" w:rsidRPr="00BA3810" w:rsidRDefault="00714AB9">
            <w:pPr>
              <w:spacing w:after="0" w:line="276" w:lineRule="auto"/>
              <w:jc w:val="left"/>
              <w:rPr>
                <w:color w:val="000000"/>
                <w:szCs w:val="20"/>
              </w:rPr>
            </w:pPr>
            <w:r w:rsidRPr="00BA3810">
              <w:rPr>
                <w:color w:val="000000"/>
                <w:szCs w:val="20"/>
              </w:rPr>
              <w:t xml:space="preserve">Server </w:t>
            </w:r>
            <w:r w:rsidRPr="00BA3810">
              <w:rPr>
                <w:color w:val="000000"/>
                <w:szCs w:val="20"/>
              </w:rPr>
              <w:lastRenderedPageBreak/>
              <w:t>patching/</w:t>
            </w:r>
          </w:p>
          <w:p w14:paraId="09EC56AD" w14:textId="77777777" w:rsidR="00714AB9" w:rsidRPr="00BA3810" w:rsidRDefault="00714AB9">
            <w:pPr>
              <w:spacing w:after="0" w:line="276" w:lineRule="auto"/>
              <w:jc w:val="left"/>
              <w:rPr>
                <w:color w:val="000000"/>
                <w:szCs w:val="20"/>
              </w:rPr>
            </w:pPr>
            <w:r w:rsidRPr="00BA3810">
              <w:rPr>
                <w:color w:val="000000"/>
                <w:szCs w:val="20"/>
              </w:rPr>
              <w:t>issues</w:t>
            </w:r>
          </w:p>
        </w:tc>
        <w:tc>
          <w:tcPr>
            <w:tcW w:w="1843" w:type="dxa"/>
            <w:tcBorders>
              <w:top w:val="single" w:sz="4" w:space="0" w:color="auto"/>
              <w:left w:val="single" w:sz="4" w:space="0" w:color="auto"/>
              <w:bottom w:val="single" w:sz="4" w:space="0" w:color="auto"/>
              <w:right w:val="single" w:sz="4" w:space="0" w:color="auto"/>
            </w:tcBorders>
            <w:noWrap/>
            <w:hideMark/>
          </w:tcPr>
          <w:p w14:paraId="4AC5D4F5" w14:textId="77777777" w:rsidR="00714AB9" w:rsidRPr="00BA3810" w:rsidRDefault="00714AB9" w:rsidP="00E4417E">
            <w:pPr>
              <w:spacing w:after="0"/>
              <w:jc w:val="left"/>
              <w:rPr>
                <w:color w:val="000000"/>
                <w:szCs w:val="20"/>
              </w:rPr>
            </w:pPr>
            <w:r w:rsidRPr="00BA3810">
              <w:rPr>
                <w:color w:val="000000"/>
                <w:szCs w:val="20"/>
              </w:rPr>
              <w:lastRenderedPageBreak/>
              <w:t xml:space="preserve">Anytime servers </w:t>
            </w:r>
            <w:r w:rsidRPr="00BA3810">
              <w:rPr>
                <w:color w:val="000000"/>
                <w:szCs w:val="20"/>
              </w:rPr>
              <w:lastRenderedPageBreak/>
              <w:t>would go down or if patching took place and VO system did not come back online due to servers not rebooting correctly.</w:t>
            </w:r>
          </w:p>
        </w:tc>
        <w:tc>
          <w:tcPr>
            <w:tcW w:w="5041" w:type="dxa"/>
            <w:tcBorders>
              <w:top w:val="single" w:sz="4" w:space="0" w:color="auto"/>
              <w:left w:val="single" w:sz="4" w:space="0" w:color="auto"/>
              <w:bottom w:val="single" w:sz="4" w:space="0" w:color="auto"/>
              <w:right w:val="single" w:sz="4" w:space="0" w:color="auto"/>
            </w:tcBorders>
            <w:noWrap/>
            <w:hideMark/>
          </w:tcPr>
          <w:p w14:paraId="228797FE" w14:textId="77777777" w:rsidR="00714AB9" w:rsidRPr="00BA3810" w:rsidRDefault="00714AB9" w:rsidP="00E4417E">
            <w:pPr>
              <w:spacing w:after="0"/>
              <w:jc w:val="left"/>
              <w:rPr>
                <w:color w:val="000000"/>
                <w:szCs w:val="20"/>
              </w:rPr>
            </w:pPr>
            <w:r w:rsidRPr="00BA3810">
              <w:rPr>
                <w:color w:val="000000"/>
                <w:szCs w:val="20"/>
              </w:rPr>
              <w:lastRenderedPageBreak/>
              <w:t xml:space="preserve">Events of this nature are unavoidable but should be </w:t>
            </w:r>
            <w:r w:rsidRPr="00BA3810">
              <w:rPr>
                <w:color w:val="000000"/>
                <w:szCs w:val="20"/>
              </w:rPr>
              <w:lastRenderedPageBreak/>
              <w:t>addressed by ComEd in a timely manner. This should result in negligible impacts to energy savings.</w:t>
            </w:r>
          </w:p>
        </w:tc>
        <w:tc>
          <w:tcPr>
            <w:tcW w:w="1165" w:type="dxa"/>
            <w:tcBorders>
              <w:top w:val="single" w:sz="4" w:space="0" w:color="auto"/>
              <w:left w:val="single" w:sz="4" w:space="0" w:color="auto"/>
              <w:bottom w:val="single" w:sz="4" w:space="0" w:color="auto"/>
              <w:right w:val="single" w:sz="4" w:space="0" w:color="auto"/>
            </w:tcBorders>
            <w:hideMark/>
          </w:tcPr>
          <w:p w14:paraId="46DEAEB5" w14:textId="77777777" w:rsidR="00714AB9" w:rsidRPr="00BA3810" w:rsidRDefault="00714AB9">
            <w:pPr>
              <w:spacing w:after="0" w:line="276" w:lineRule="auto"/>
              <w:jc w:val="left"/>
              <w:rPr>
                <w:color w:val="000000"/>
                <w:szCs w:val="20"/>
              </w:rPr>
            </w:pPr>
            <w:r w:rsidRPr="00BA3810">
              <w:rPr>
                <w:rFonts w:cs="Arial"/>
                <w:color w:val="000000"/>
                <w:szCs w:val="20"/>
              </w:rPr>
              <w:lastRenderedPageBreak/>
              <w:t>Not-</w:t>
            </w:r>
            <w:r w:rsidRPr="00BA3810">
              <w:rPr>
                <w:rFonts w:cs="Arial"/>
                <w:color w:val="000000"/>
                <w:szCs w:val="20"/>
              </w:rPr>
              <w:lastRenderedPageBreak/>
              <w:t>Excludable</w:t>
            </w:r>
          </w:p>
        </w:tc>
      </w:tr>
    </w:tbl>
    <w:p w14:paraId="47A90C56" w14:textId="77777777" w:rsidR="00714AB9" w:rsidRDefault="00714AB9" w:rsidP="00714AB9">
      <w:pPr>
        <w:rPr>
          <w:rFonts w:cstheme="minorHAnsi"/>
          <w:vertAlign w:val="subscript"/>
        </w:rPr>
      </w:pPr>
    </w:p>
    <w:p w14:paraId="3B4B108A" w14:textId="5410EC84" w:rsidR="00714AB9" w:rsidRDefault="00714AB9" w:rsidP="00714AB9">
      <w:pPr>
        <w:pStyle w:val="Heading6"/>
        <w:rPr>
          <w:rFonts w:cs="Times New Roman"/>
        </w:rPr>
      </w:pPr>
      <w:del w:id="767" w:author="Sam Dent" w:date="2022-06-22T11:27:00Z">
        <w:r w:rsidDel="0069047C">
          <w:delText>Natural Gas</w:delText>
        </w:r>
      </w:del>
      <w:ins w:id="768" w:author="Sam Dent" w:date="2022-06-22T11:27:00Z">
        <w:r w:rsidR="0069047C">
          <w:t>Fossil Fuel</w:t>
        </w:r>
      </w:ins>
      <w:r>
        <w:t xml:space="preserve"> Savings</w:t>
      </w:r>
    </w:p>
    <w:p w14:paraId="49C65B0B" w14:textId="77777777" w:rsidR="00714AB9" w:rsidRDefault="00714AB9" w:rsidP="00714AB9">
      <w:r>
        <w:t>N/A</w:t>
      </w:r>
    </w:p>
    <w:p w14:paraId="599F97D3" w14:textId="77777777" w:rsidR="00714AB9" w:rsidRDefault="00714AB9" w:rsidP="00714AB9">
      <w:pPr>
        <w:pStyle w:val="Heading6"/>
      </w:pPr>
      <w:r>
        <w:t xml:space="preserve">Water and Other Non-Energy Impact Descriptions and Calculation  </w:t>
      </w:r>
    </w:p>
    <w:p w14:paraId="5A9069E5" w14:textId="77777777" w:rsidR="00714AB9" w:rsidRDefault="00714AB9" w:rsidP="00714AB9">
      <w:r>
        <w:t>VO may provide non-monetized energy benefits in the form of improved ability to manage the grid “downstream” of the substation. This could result in improved reliability, lower spending on other grid improvements, or both. Further research is needed to understand the scope and impact of these potential benefits. There are no water savings or non-energy impacts from VO.</w:t>
      </w:r>
    </w:p>
    <w:p w14:paraId="713B53C6" w14:textId="77777777" w:rsidR="00714AB9" w:rsidRDefault="00714AB9" w:rsidP="00714AB9">
      <w:pPr>
        <w:pStyle w:val="Heading6"/>
      </w:pPr>
      <w:r>
        <w:t>Deemed O&amp;M Cost Adjustment Calculation</w:t>
      </w:r>
    </w:p>
    <w:p w14:paraId="6E655379" w14:textId="700AC017" w:rsidR="00ED54BF" w:rsidRPr="00ED54BF" w:rsidRDefault="00ED54BF" w:rsidP="00ED54BF">
      <w:bookmarkStart w:id="769" w:name="_Hlk43973804"/>
      <w:r w:rsidRPr="00ED54BF">
        <w:t>There are annual O&amp;M costs incurred by the utility as a result of implementation of VO. Cost-effectiveness analysis should include estimates of annual O&amp;M costs over the</w:t>
      </w:r>
      <w:ins w:id="770" w:author="Sam Dent" w:date="2022-08-31T07:56:00Z">
        <w:r w:rsidR="0093731A">
          <w:t xml:space="preserve"> initial</w:t>
        </w:r>
      </w:ins>
      <w:r w:rsidRPr="00ED54BF">
        <w:t xml:space="preserve"> 15-year </w:t>
      </w:r>
      <w:ins w:id="771" w:author="Sam Dent" w:date="2022-08-31T07:56:00Z">
        <w:r w:rsidR="00AF6081">
          <w:t>period</w:t>
        </w:r>
        <w:r w:rsidR="00AF6081" w:rsidRPr="00ED54BF">
          <w:t xml:space="preserve"> </w:t>
        </w:r>
        <w:r w:rsidR="00AF6081">
          <w:t xml:space="preserve">and then for each incremental renewal period up to 50 years </w:t>
        </w:r>
      </w:ins>
      <w:del w:id="772" w:author="Sam Dent" w:date="2022-08-31T07:56:00Z">
        <w:r w:rsidRPr="00ED54BF" w:rsidDel="00AF6081">
          <w:delText xml:space="preserve">life </w:delText>
        </w:r>
      </w:del>
      <w:r w:rsidRPr="00ED54BF">
        <w:t>of the VO investment, discounted to present value for the year in which the VO investment is being analyzed. O&amp;M cost estimates should include (a) labor and equipment costs to maintain the system and (b) third-party software costs.</w:t>
      </w:r>
    </w:p>
    <w:p w14:paraId="7BEE83FE" w14:textId="46735707" w:rsidR="006229B4" w:rsidRDefault="006229B4" w:rsidP="006229B4">
      <w:pPr>
        <w:pStyle w:val="Heading6"/>
        <w:rPr>
          <w:rFonts w:eastAsia="Franklin Gothic Book"/>
        </w:rPr>
      </w:pPr>
      <w:r w:rsidRPr="004E1A44">
        <w:t>Measure Code: CC-</w:t>
      </w:r>
      <w:r w:rsidR="004C148F">
        <w:t>SYS</w:t>
      </w:r>
      <w:r w:rsidRPr="004E1A44">
        <w:t>-</w:t>
      </w:r>
      <w:r w:rsidR="00727A80">
        <w:t>VOPT</w:t>
      </w:r>
      <w:r w:rsidRPr="004E1A44">
        <w:t>-V0</w:t>
      </w:r>
      <w:del w:id="773" w:author="Sam Dent" w:date="2022-07-29T10:36:00Z">
        <w:r w:rsidR="003F41F4" w:rsidDel="009B4E3E">
          <w:delText>2</w:delText>
        </w:r>
      </w:del>
      <w:ins w:id="774" w:author="Sam Dent" w:date="2022-07-29T10:36:00Z">
        <w:r w:rsidR="009B4E3E">
          <w:t>3</w:t>
        </w:r>
      </w:ins>
      <w:r w:rsidRPr="004E1A44">
        <w:t>-</w:t>
      </w:r>
      <w:r>
        <w:t>2</w:t>
      </w:r>
      <w:del w:id="775" w:author="Sam Dent" w:date="2022-07-29T10:36:00Z">
        <w:r w:rsidR="003F41F4" w:rsidDel="009B4E3E">
          <w:delText>2</w:delText>
        </w:r>
      </w:del>
      <w:ins w:id="776" w:author="Sam Dent" w:date="2022-07-29T10:36:00Z">
        <w:r w:rsidR="009B4E3E">
          <w:t>3</w:t>
        </w:r>
      </w:ins>
      <w:r>
        <w:t>01</w:t>
      </w:r>
      <w:r w:rsidRPr="004E1A44">
        <w:t>01</w:t>
      </w:r>
    </w:p>
    <w:p w14:paraId="77A49645" w14:textId="27667192" w:rsidR="006C2C70" w:rsidRDefault="006229B4" w:rsidP="006C2C70">
      <w:pPr>
        <w:pStyle w:val="Heading6"/>
        <w:rPr>
          <w:rFonts w:eastAsia="Franklin Gothic Book"/>
        </w:rPr>
      </w:pPr>
      <w:r>
        <w:rPr>
          <w:rFonts w:eastAsia="Franklin Gothic Book"/>
        </w:rPr>
        <w:t>Review Deadline: 1/1/</w:t>
      </w:r>
      <w:del w:id="777" w:author="Sam Dent" w:date="2022-07-29T10:38:00Z">
        <w:r w:rsidDel="002E3906">
          <w:rPr>
            <w:rFonts w:eastAsia="Franklin Gothic Book"/>
          </w:rPr>
          <w:delText>20</w:delText>
        </w:r>
        <w:r w:rsidR="003D2F10" w:rsidDel="002E3906">
          <w:rPr>
            <w:rFonts w:eastAsia="Franklin Gothic Book"/>
          </w:rPr>
          <w:delText>23</w:delText>
        </w:r>
      </w:del>
      <w:ins w:id="778" w:author="Sam Dent" w:date="2022-07-29T10:38:00Z">
        <w:r w:rsidR="002E3906">
          <w:rPr>
            <w:rFonts w:eastAsia="Franklin Gothic Book"/>
          </w:rPr>
          <w:t>202</w:t>
        </w:r>
      </w:ins>
      <w:ins w:id="779" w:author="Sam Dent" w:date="2022-08-19T08:18:00Z">
        <w:r w:rsidR="009A3E7C">
          <w:rPr>
            <w:rFonts w:eastAsia="Franklin Gothic Book"/>
          </w:rPr>
          <w:t>8</w:t>
        </w:r>
      </w:ins>
    </w:p>
    <w:p w14:paraId="7739FC1E" w14:textId="398BD11A" w:rsidR="009A4C3B" w:rsidRDefault="00C9010A" w:rsidP="006C2C70">
      <w:pPr>
        <w:rPr>
          <w:ins w:id="780" w:author="Sam Dent" w:date="2022-06-23T05:28:00Z"/>
          <w:rFonts w:eastAsia="Franklin Gothic Book"/>
        </w:rPr>
        <w:sectPr w:rsidR="009A4C3B" w:rsidSect="000A7F94">
          <w:pgSz w:w="12240" w:h="15840"/>
          <w:pgMar w:top="1440" w:right="1440" w:bottom="1440" w:left="1440" w:header="720" w:footer="720" w:gutter="0"/>
          <w:cols w:space="720"/>
          <w:docGrid w:linePitch="360"/>
        </w:sectPr>
      </w:pPr>
      <w:r>
        <w:rPr>
          <w:rFonts w:eastAsia="Franklin Gothic Book"/>
        </w:rPr>
        <w:t xml:space="preserve">Consistent with the </w:t>
      </w:r>
      <w:r w:rsidR="00AB41DB">
        <w:rPr>
          <w:rFonts w:eastAsia="Franklin Gothic Book"/>
        </w:rPr>
        <w:t>definition of Review Deadline in</w:t>
      </w:r>
      <w:r w:rsidR="00D94457">
        <w:rPr>
          <w:rFonts w:eastAsia="Franklin Gothic Book"/>
        </w:rPr>
        <w:t xml:space="preserve"> TRM Volume 1 (Overview</w:t>
      </w:r>
      <w:r w:rsidR="00C32550">
        <w:rPr>
          <w:rFonts w:eastAsia="Franklin Gothic Book"/>
        </w:rPr>
        <w:t>), the</w:t>
      </w:r>
      <w:r w:rsidR="00647166">
        <w:rPr>
          <w:rFonts w:eastAsia="Franklin Gothic Book"/>
        </w:rPr>
        <w:t xml:space="preserve"> Voltage Optimization working group colle</w:t>
      </w:r>
      <w:r w:rsidR="000E092A">
        <w:rPr>
          <w:rFonts w:eastAsia="Franklin Gothic Book"/>
        </w:rPr>
        <w:t xml:space="preserve">ctively </w:t>
      </w:r>
      <w:r w:rsidR="00B454F4">
        <w:rPr>
          <w:rFonts w:eastAsia="Franklin Gothic Book"/>
        </w:rPr>
        <w:t>acknowledges that</w:t>
      </w:r>
      <w:r w:rsidR="000E092A">
        <w:rPr>
          <w:rFonts w:eastAsia="Franklin Gothic Book"/>
        </w:rPr>
        <w:t xml:space="preserve"> this date does not </w:t>
      </w:r>
      <w:r w:rsidR="00977E2B">
        <w:rPr>
          <w:rFonts w:eastAsia="Franklin Gothic Book"/>
        </w:rPr>
        <w:t xml:space="preserve">represent </w:t>
      </w:r>
      <w:r w:rsidR="003F0455">
        <w:rPr>
          <w:rFonts w:eastAsia="Franklin Gothic Book"/>
        </w:rPr>
        <w:t xml:space="preserve">a </w:t>
      </w:r>
      <w:r w:rsidR="00977E2B">
        <w:rPr>
          <w:rFonts w:eastAsia="Franklin Gothic Book"/>
        </w:rPr>
        <w:t>commitment or obligation</w:t>
      </w:r>
      <w:r w:rsidR="00D867E8">
        <w:rPr>
          <w:rFonts w:eastAsia="Franklin Gothic Book"/>
        </w:rPr>
        <w:t xml:space="preserve"> to </w:t>
      </w:r>
      <w:r w:rsidR="00071D8E">
        <w:rPr>
          <w:rFonts w:eastAsia="Franklin Gothic Book"/>
        </w:rPr>
        <w:t>revise TRM</w:t>
      </w:r>
      <w:r w:rsidR="00D867E8">
        <w:rPr>
          <w:rFonts w:eastAsia="Franklin Gothic Book"/>
        </w:rPr>
        <w:t xml:space="preserve"> content</w:t>
      </w:r>
      <w:r w:rsidR="003864D0">
        <w:rPr>
          <w:rFonts w:eastAsia="Franklin Gothic Book"/>
        </w:rPr>
        <w:t xml:space="preserve"> by this date</w:t>
      </w:r>
      <w:r w:rsidR="009E5759">
        <w:rPr>
          <w:rFonts w:eastAsia="Franklin Gothic Book"/>
        </w:rPr>
        <w:t xml:space="preserve">. </w:t>
      </w:r>
      <w:r w:rsidR="003864D0">
        <w:rPr>
          <w:rFonts w:eastAsia="Franklin Gothic Book"/>
        </w:rPr>
        <w:t xml:space="preserve"> </w:t>
      </w:r>
      <w:del w:id="781" w:author="Sam Dent" w:date="2022-08-31T07:56:00Z">
        <w:r w:rsidR="009E5759" w:rsidDel="0093731A">
          <w:rPr>
            <w:rFonts w:eastAsia="Franklin Gothic Book"/>
          </w:rPr>
          <w:delText>R</w:delText>
        </w:r>
        <w:r w:rsidR="003864D0" w:rsidDel="0093731A">
          <w:rPr>
            <w:rFonts w:eastAsia="Franklin Gothic Book"/>
          </w:rPr>
          <w:delText>ather</w:delText>
        </w:r>
        <w:r w:rsidR="009E5759" w:rsidDel="0093731A">
          <w:rPr>
            <w:rFonts w:eastAsia="Franklin Gothic Book"/>
          </w:rPr>
          <w:delText xml:space="preserve">, it serves </w:delText>
        </w:r>
        <w:r w:rsidR="00C32550" w:rsidDel="0093731A">
          <w:rPr>
            <w:rFonts w:eastAsia="Franklin Gothic Book"/>
          </w:rPr>
          <w:delText>as a</w:delText>
        </w:r>
        <w:r w:rsidR="003D5FFE" w:rsidDel="0093731A">
          <w:rPr>
            <w:rFonts w:eastAsia="Franklin Gothic Book"/>
          </w:rPr>
          <w:delText xml:space="preserve"> pledge to </w:delText>
        </w:r>
        <w:r w:rsidR="00CC7FE0" w:rsidDel="0093731A">
          <w:rPr>
            <w:rFonts w:eastAsia="Franklin Gothic Book"/>
          </w:rPr>
          <w:delText xml:space="preserve">reconvene as a working group </w:delText>
        </w:r>
        <w:r w:rsidR="00C32550" w:rsidDel="0093731A">
          <w:rPr>
            <w:rFonts w:eastAsia="Franklin Gothic Book"/>
          </w:rPr>
          <w:delText xml:space="preserve">prior </w:delText>
        </w:r>
        <w:r w:rsidR="0006133E" w:rsidDel="0093731A">
          <w:rPr>
            <w:rFonts w:eastAsia="Franklin Gothic Book"/>
          </w:rPr>
          <w:delText>to the deadline date</w:delText>
        </w:r>
        <w:r w:rsidR="006E0643" w:rsidDel="0093731A">
          <w:rPr>
            <w:rFonts w:eastAsia="Franklin Gothic Book"/>
          </w:rPr>
          <w:delText xml:space="preserve"> to </w:delText>
        </w:r>
        <w:r w:rsidR="008A638B" w:rsidDel="0093731A">
          <w:rPr>
            <w:rFonts w:eastAsia="Franklin Gothic Book"/>
          </w:rPr>
          <w:delText xml:space="preserve">discuss and </w:delText>
        </w:r>
        <w:r w:rsidR="00C06A8C" w:rsidDel="0093731A">
          <w:rPr>
            <w:rFonts w:eastAsia="Franklin Gothic Book"/>
          </w:rPr>
          <w:delText xml:space="preserve">review the TRM </w:delText>
        </w:r>
        <w:r w:rsidR="007D6A27" w:rsidDel="0093731A">
          <w:rPr>
            <w:rFonts w:eastAsia="Franklin Gothic Book"/>
          </w:rPr>
          <w:delText xml:space="preserve">as part </w:delText>
        </w:r>
        <w:r w:rsidR="00071D8E" w:rsidDel="0093731A">
          <w:rPr>
            <w:rFonts w:eastAsia="Franklin Gothic Book"/>
          </w:rPr>
          <w:delText>of ongoing</w:delText>
        </w:r>
        <w:r w:rsidR="00B454F4" w:rsidDel="0093731A">
          <w:rPr>
            <w:rFonts w:eastAsia="Franklin Gothic Book"/>
          </w:rPr>
          <w:delText xml:space="preserve"> efforts to ensure </w:delText>
        </w:r>
        <w:r w:rsidR="008A638B" w:rsidDel="0093731A">
          <w:rPr>
            <w:rFonts w:eastAsia="Franklin Gothic Book"/>
          </w:rPr>
          <w:delText xml:space="preserve">it </w:delText>
        </w:r>
        <w:r w:rsidR="00B95C8F" w:rsidDel="0093731A">
          <w:rPr>
            <w:rFonts w:eastAsia="Franklin Gothic Book"/>
          </w:rPr>
          <w:delText xml:space="preserve">performs </w:delText>
        </w:r>
        <w:r w:rsidR="000E44E2" w:rsidDel="0093731A">
          <w:rPr>
            <w:rFonts w:eastAsia="Franklin Gothic Book"/>
          </w:rPr>
          <w:delText>as reliabl</w:delText>
        </w:r>
        <w:r w:rsidR="001C4FD4" w:rsidDel="0093731A">
          <w:rPr>
            <w:rFonts w:eastAsia="Franklin Gothic Book"/>
          </w:rPr>
          <w:delText>y</w:delText>
        </w:r>
        <w:r w:rsidR="000E44E2" w:rsidDel="0093731A">
          <w:rPr>
            <w:rFonts w:eastAsia="Franklin Gothic Book"/>
          </w:rPr>
          <w:delText xml:space="preserve"> as possible.</w:delText>
        </w:r>
      </w:del>
    </w:p>
    <w:p w14:paraId="16D2B982" w14:textId="77777777" w:rsidR="009A4C3B" w:rsidRDefault="009A4C3B" w:rsidP="009A4C3B">
      <w:pPr>
        <w:pStyle w:val="Heading2"/>
        <w:numPr>
          <w:ilvl w:val="1"/>
          <w:numId w:val="57"/>
        </w:numPr>
        <w:rPr>
          <w:ins w:id="782" w:author="Sam Dent" w:date="2022-06-23T05:28:00Z"/>
        </w:rPr>
      </w:pPr>
      <w:bookmarkStart w:id="783" w:name="_Toc113619771"/>
      <w:ins w:id="784" w:author="Sam Dent" w:date="2022-06-23T05:28:00Z">
        <w:r>
          <w:lastRenderedPageBreak/>
          <w:t>Purchasing Tools</w:t>
        </w:r>
        <w:bookmarkEnd w:id="783"/>
      </w:ins>
    </w:p>
    <w:p w14:paraId="43EB0896" w14:textId="77777777" w:rsidR="009A4C3B" w:rsidRPr="009A4C3B" w:rsidRDefault="009A4C3B" w:rsidP="009A4C3B">
      <w:pPr>
        <w:pStyle w:val="Heading3"/>
        <w:numPr>
          <w:ilvl w:val="2"/>
          <w:numId w:val="57"/>
        </w:numPr>
        <w:rPr>
          <w:ins w:id="785" w:author="Sam Dent" w:date="2022-06-23T05:28:00Z"/>
        </w:rPr>
      </w:pPr>
      <w:bookmarkStart w:id="786" w:name="_Toc113619772"/>
      <w:ins w:id="787" w:author="Sam Dent" w:date="2022-06-23T05:28:00Z">
        <w:r w:rsidRPr="009A4C3B">
          <w:t>Efficient Choice Tool</w:t>
        </w:r>
        <w:bookmarkEnd w:id="786"/>
      </w:ins>
    </w:p>
    <w:p w14:paraId="5DE27FA8" w14:textId="77777777" w:rsidR="00B220A6" w:rsidRDefault="00B220A6" w:rsidP="00B220A6">
      <w:pPr>
        <w:pStyle w:val="Heading6"/>
        <w:rPr>
          <w:ins w:id="788" w:author="Sam Dent" w:date="2022-09-08T11:49:00Z"/>
        </w:rPr>
      </w:pPr>
      <w:ins w:id="789" w:author="Sam Dent" w:date="2022-09-08T11:49:00Z">
        <w:r>
          <w:t>Description</w:t>
        </w:r>
      </w:ins>
    </w:p>
    <w:p w14:paraId="5548375B" w14:textId="77777777" w:rsidR="00B220A6" w:rsidRPr="001E442F" w:rsidRDefault="00B220A6" w:rsidP="00B220A6">
      <w:pPr>
        <w:rPr>
          <w:ins w:id="790" w:author="Sam Dent" w:date="2022-09-08T11:49:00Z"/>
          <w:rFonts w:cstheme="minorHAnsi"/>
          <w:iCs/>
          <w:szCs w:val="20"/>
        </w:rPr>
      </w:pPr>
      <w:bookmarkStart w:id="791" w:name="_Hlk109749847"/>
      <w:ins w:id="792" w:author="Sam Dent" w:date="2022-09-08T11:49:00Z">
        <w:r w:rsidRPr="001E442F">
          <w:rPr>
            <w:rFonts w:eastAsia="Lato" w:cstheme="minorHAnsi"/>
            <w:szCs w:val="20"/>
          </w:rPr>
          <w:t>Efficient Choice (EC) is an online platform that facilitates energy efficient retail purchases. Users</w:t>
        </w:r>
        <w:r>
          <w:rPr>
            <w:rStyle w:val="FootnoteReference"/>
            <w:rFonts w:eastAsia="Lato"/>
            <w:szCs w:val="20"/>
          </w:rPr>
          <w:footnoteReference w:id="56"/>
        </w:r>
        <w:r w:rsidRPr="001E442F">
          <w:rPr>
            <w:rFonts w:eastAsia="Lato" w:cstheme="minorHAnsi"/>
            <w:szCs w:val="20"/>
          </w:rPr>
          <w:t xml:space="preserve"> can compare products in a wide range of electric and gas residential product categories, including but not limited to home appliances, consumer electronics and heating and cooling equipment. Users may choose from among current retail offers and are redirected to retailer websites to purchase.</w:t>
        </w:r>
        <w:r>
          <w:rPr>
            <w:rFonts w:eastAsia="Lato" w:cstheme="minorHAnsi"/>
            <w:szCs w:val="20"/>
          </w:rPr>
          <w:t xml:space="preserve"> EC is designed to eliminate market, cognitive, and psychological barriers to the adoption of energy efficient products through comparisons that include product specifications, pricing, information on energy consumption, and a number of other pieces of information.</w:t>
        </w:r>
      </w:ins>
    </w:p>
    <w:p w14:paraId="4E808A68" w14:textId="77777777" w:rsidR="00B220A6" w:rsidRDefault="00B220A6" w:rsidP="00B220A6">
      <w:pPr>
        <w:rPr>
          <w:ins w:id="795" w:author="Sam Dent" w:date="2022-09-08T11:49:00Z"/>
          <w:rFonts w:cstheme="minorHAnsi"/>
          <w:iCs/>
          <w:szCs w:val="20"/>
        </w:rPr>
      </w:pPr>
      <w:ins w:id="796" w:author="Sam Dent" w:date="2022-09-08T11:49:00Z">
        <w:r w:rsidRPr="001E442F">
          <w:rPr>
            <w:rFonts w:cstheme="minorHAnsi"/>
            <w:iCs/>
            <w:szCs w:val="20"/>
          </w:rPr>
          <w:t xml:space="preserve">Because EC does not track “participants,” estimation of savings is reliant on a combination of observed website traffic and surveys of </w:t>
        </w:r>
        <w:r>
          <w:rPr>
            <w:rFonts w:cstheme="minorHAnsi"/>
            <w:iCs/>
            <w:szCs w:val="20"/>
          </w:rPr>
          <w:t xml:space="preserve">utility </w:t>
        </w:r>
        <w:r w:rsidRPr="001E442F">
          <w:rPr>
            <w:rFonts w:cstheme="minorHAnsi"/>
            <w:iCs/>
            <w:szCs w:val="20"/>
          </w:rPr>
          <w:t>customers who may have engaged with the website.</w:t>
        </w:r>
        <w:r>
          <w:rPr>
            <w:rStyle w:val="FootnoteReference"/>
            <w:rFonts w:eastAsiaTheme="majorEastAsia"/>
            <w:iCs/>
            <w:szCs w:val="20"/>
          </w:rPr>
          <w:footnoteReference w:id="57"/>
        </w:r>
        <w:r w:rsidRPr="001E442F">
          <w:rPr>
            <w:rFonts w:cstheme="minorHAnsi"/>
            <w:szCs w:val="20"/>
          </w:rPr>
          <w:t xml:space="preserve"> Program tracking data and s</w:t>
        </w:r>
        <w:r w:rsidRPr="001E442F">
          <w:rPr>
            <w:rFonts w:cstheme="minorHAnsi"/>
            <w:iCs/>
            <w:szCs w:val="20"/>
          </w:rPr>
          <w:t xml:space="preserve">urvey responses are used to identify </w:t>
        </w:r>
        <w:r>
          <w:rPr>
            <w:rFonts w:cstheme="minorHAnsi"/>
            <w:iCs/>
            <w:szCs w:val="20"/>
          </w:rPr>
          <w:t xml:space="preserve">utility </w:t>
        </w:r>
        <w:r w:rsidRPr="001E442F">
          <w:rPr>
            <w:rFonts w:cstheme="minorHAnsi"/>
            <w:iCs/>
            <w:szCs w:val="20"/>
          </w:rPr>
          <w:t>customers who engaged with EC, estimate those customers’ purchase rates for product categories found on the site, and the proportions of those purchases that were energy-efficient and did not receive an incentive through another energy efficiency program. Whenever available, program tracking data should be used before self-reported survey results. Surveys include a verification component to validate energy-efficient purchases reported by</w:t>
        </w:r>
        <w:r>
          <w:rPr>
            <w:rFonts w:cstheme="minorHAnsi"/>
            <w:iCs/>
            <w:szCs w:val="20"/>
          </w:rPr>
          <w:t xml:space="preserve"> survey</w:t>
        </w:r>
        <w:r w:rsidRPr="001E442F">
          <w:rPr>
            <w:rFonts w:cstheme="minorHAnsi"/>
            <w:iCs/>
            <w:szCs w:val="20"/>
          </w:rPr>
          <w:t xml:space="preserve"> respondents.</w:t>
        </w:r>
      </w:ins>
    </w:p>
    <w:p w14:paraId="344A8449" w14:textId="77777777" w:rsidR="00B220A6" w:rsidRPr="001E442F" w:rsidRDefault="00B220A6" w:rsidP="00B220A6">
      <w:pPr>
        <w:rPr>
          <w:ins w:id="799" w:author="Sam Dent" w:date="2022-09-08T11:49:00Z"/>
          <w:rFonts w:cstheme="minorHAnsi"/>
          <w:iCs/>
          <w:szCs w:val="20"/>
        </w:rPr>
      </w:pPr>
      <w:ins w:id="800" w:author="Sam Dent" w:date="2022-09-08T11:49:00Z">
        <w:r>
          <w:rPr>
            <w:rFonts w:cstheme="minorHAnsi"/>
            <w:iCs/>
            <w:szCs w:val="20"/>
          </w:rPr>
          <w:t>Observed website traffic is then used to estimate the number of unique customers who have engaged with the website, referred to as “unique active shoppers” (for further detail, please see the Unique Active Shoppers section of this measure).</w:t>
        </w:r>
        <w:r w:rsidRPr="001E442F">
          <w:rPr>
            <w:rFonts w:cstheme="minorHAnsi"/>
            <w:iCs/>
            <w:szCs w:val="20"/>
          </w:rPr>
          <w:t xml:space="preserve"> </w:t>
        </w:r>
        <w:r>
          <w:rPr>
            <w:rFonts w:cstheme="minorHAnsi"/>
            <w:iCs/>
            <w:szCs w:val="20"/>
          </w:rPr>
          <w:t>U</w:t>
        </w:r>
        <w:r w:rsidRPr="001E442F">
          <w:rPr>
            <w:rFonts w:cstheme="minorHAnsi"/>
            <w:iCs/>
            <w:szCs w:val="20"/>
          </w:rPr>
          <w:t xml:space="preserve">nique active shopper counts are then used to scale estimated energy-efficient purchase quantities to the population of </w:t>
        </w:r>
        <w:r>
          <w:rPr>
            <w:rFonts w:cstheme="minorHAnsi"/>
            <w:iCs/>
            <w:szCs w:val="20"/>
          </w:rPr>
          <w:t>unique active shoppers</w:t>
        </w:r>
        <w:r w:rsidRPr="001E442F">
          <w:rPr>
            <w:rFonts w:cstheme="minorHAnsi"/>
            <w:iCs/>
            <w:szCs w:val="20"/>
          </w:rPr>
          <w:t xml:space="preserve"> to estimate the total number of energy-efficient products purchased by </w:t>
        </w:r>
        <w:r>
          <w:rPr>
            <w:rFonts w:cstheme="minorHAnsi"/>
            <w:iCs/>
            <w:szCs w:val="20"/>
          </w:rPr>
          <w:t>unique active shoppers</w:t>
        </w:r>
        <w:r w:rsidRPr="001E442F">
          <w:rPr>
            <w:rFonts w:cstheme="minorHAnsi"/>
            <w:iCs/>
            <w:szCs w:val="20"/>
          </w:rPr>
          <w:t>. Per-unit savings are then estimated using the most appropriate measure-specific IL-TRM specifications.</w:t>
        </w:r>
      </w:ins>
    </w:p>
    <w:bookmarkEnd w:id="791"/>
    <w:p w14:paraId="29C1A975" w14:textId="77777777" w:rsidR="00B220A6" w:rsidRDefault="00B220A6" w:rsidP="00B220A6">
      <w:pPr>
        <w:pStyle w:val="Heading6"/>
        <w:rPr>
          <w:ins w:id="801" w:author="Sam Dent" w:date="2022-09-08T11:49:00Z"/>
        </w:rPr>
      </w:pPr>
      <w:ins w:id="802" w:author="Sam Dent" w:date="2022-09-08T11:49:00Z">
        <w:r>
          <w:t>Definition of Efficient Equipment</w:t>
        </w:r>
      </w:ins>
    </w:p>
    <w:p w14:paraId="058EA52E" w14:textId="77777777" w:rsidR="00B220A6" w:rsidRPr="00DE22EE" w:rsidRDefault="00B220A6" w:rsidP="00B220A6">
      <w:pPr>
        <w:rPr>
          <w:ins w:id="803" w:author="Sam Dent" w:date="2022-09-08T11:49:00Z"/>
          <w:rFonts w:cstheme="minorHAnsi"/>
          <w:szCs w:val="20"/>
        </w:rPr>
      </w:pPr>
      <w:ins w:id="804" w:author="Sam Dent" w:date="2022-09-08T11:49:00Z">
        <w:r>
          <w:rPr>
            <w:rFonts w:cstheme="minorHAnsi"/>
            <w:szCs w:val="20"/>
          </w:rPr>
          <w:t>The specific definitions of the efficient case vary by type of equipment purchased. For many common product categories (for example, clothes washers), definitions of the efficient case are provided in Volume 3 of the IL-TRM, and should be used. For categories of equipment not yet characterized in the IL-TRM, provisional efficient case definitions can be used at evaluation discretion.</w:t>
        </w:r>
      </w:ins>
    </w:p>
    <w:p w14:paraId="4C63879D" w14:textId="77777777" w:rsidR="00B220A6" w:rsidRDefault="00B220A6" w:rsidP="00B220A6">
      <w:pPr>
        <w:pStyle w:val="Heading6"/>
        <w:rPr>
          <w:ins w:id="805" w:author="Sam Dent" w:date="2022-09-08T11:49:00Z"/>
        </w:rPr>
      </w:pPr>
      <w:ins w:id="806" w:author="Sam Dent" w:date="2022-09-08T11:49:00Z">
        <w:r>
          <w:t>Definition of Baseline Equipment</w:t>
        </w:r>
      </w:ins>
    </w:p>
    <w:p w14:paraId="21566AD4" w14:textId="77777777" w:rsidR="00B220A6" w:rsidRPr="00DE22EE" w:rsidRDefault="00B220A6" w:rsidP="00B220A6">
      <w:pPr>
        <w:rPr>
          <w:ins w:id="807" w:author="Sam Dent" w:date="2022-09-08T11:49:00Z"/>
          <w:rFonts w:cstheme="minorHAnsi"/>
          <w:szCs w:val="20"/>
        </w:rPr>
      </w:pPr>
      <w:ins w:id="808" w:author="Sam Dent" w:date="2022-09-08T11:49:00Z">
        <w:r>
          <w:rPr>
            <w:rFonts w:cstheme="minorHAnsi"/>
            <w:szCs w:val="20"/>
          </w:rPr>
          <w:t>The specific definitions of the baseline case vary by type of equipment purchased. For many common product categories (for example, clothes washers), definitions of the baseline case are provided in Volume 3 of the IL-TRM, and should be used. For categories of equipment not yet characterized in the IL-TRM, provisional baseline case definitions can be used at evaluation discretion.</w:t>
        </w:r>
      </w:ins>
    </w:p>
    <w:p w14:paraId="0B4D03DC" w14:textId="77777777" w:rsidR="00B220A6" w:rsidRDefault="00B220A6" w:rsidP="00B220A6">
      <w:pPr>
        <w:pStyle w:val="Heading6"/>
        <w:rPr>
          <w:ins w:id="809" w:author="Sam Dent" w:date="2022-09-08T11:49:00Z"/>
        </w:rPr>
      </w:pPr>
      <w:ins w:id="810" w:author="Sam Dent" w:date="2022-09-08T11:49:00Z">
        <w:r>
          <w:t>Deemed Lifetime of Efficient Equipment</w:t>
        </w:r>
      </w:ins>
    </w:p>
    <w:p w14:paraId="2499D548" w14:textId="77777777" w:rsidR="00B220A6" w:rsidRPr="00DE22EE" w:rsidRDefault="00B220A6" w:rsidP="00B220A6">
      <w:pPr>
        <w:rPr>
          <w:ins w:id="811" w:author="Sam Dent" w:date="2022-09-08T11:49:00Z"/>
          <w:rFonts w:ascii="Calibri" w:hAnsi="Calibri" w:cs="Calibri"/>
          <w:szCs w:val="20"/>
        </w:rPr>
      </w:pPr>
      <w:ins w:id="812" w:author="Sam Dent" w:date="2022-09-08T11:49:00Z">
        <w:r w:rsidRPr="00DE22EE">
          <w:rPr>
            <w:rFonts w:ascii="Calibri" w:hAnsi="Calibri" w:cs="Calibri"/>
            <w:szCs w:val="20"/>
          </w:rPr>
          <w:t xml:space="preserve">Measure lives should be sourced from the product category’s corresponding measure in </w:t>
        </w:r>
        <w:r>
          <w:rPr>
            <w:rFonts w:ascii="Calibri" w:hAnsi="Calibri" w:cs="Calibri"/>
            <w:szCs w:val="20"/>
          </w:rPr>
          <w:t>Volume 3 of the</w:t>
        </w:r>
        <w:r w:rsidRPr="00DE22EE">
          <w:rPr>
            <w:rFonts w:ascii="Calibri" w:hAnsi="Calibri" w:cs="Calibri"/>
            <w:szCs w:val="20"/>
          </w:rPr>
          <w:t xml:space="preserve"> IL-TRM. </w:t>
        </w:r>
        <w:r>
          <w:rPr>
            <w:rFonts w:cstheme="minorHAnsi"/>
            <w:szCs w:val="20"/>
          </w:rPr>
          <w:t>For categories of equipment not yet characterized in the IL-TRM, provisional measure lives can be used at evaluation discretion.</w:t>
        </w:r>
      </w:ins>
    </w:p>
    <w:p w14:paraId="3C97F423" w14:textId="77777777" w:rsidR="00B220A6" w:rsidRDefault="00B220A6" w:rsidP="00B220A6">
      <w:pPr>
        <w:pStyle w:val="Heading6"/>
        <w:rPr>
          <w:ins w:id="813" w:author="Sam Dent" w:date="2022-09-08T11:49:00Z"/>
        </w:rPr>
      </w:pPr>
      <w:ins w:id="814" w:author="Sam Dent" w:date="2022-09-08T11:49:00Z">
        <w:r>
          <w:t xml:space="preserve">Deemed Measure Cost </w:t>
        </w:r>
      </w:ins>
    </w:p>
    <w:p w14:paraId="2C7DB969" w14:textId="77777777" w:rsidR="00B220A6" w:rsidRPr="00DE22EE" w:rsidRDefault="00B220A6" w:rsidP="00B220A6">
      <w:pPr>
        <w:rPr>
          <w:ins w:id="815" w:author="Sam Dent" w:date="2022-09-08T11:49:00Z"/>
          <w:rFonts w:cstheme="minorHAnsi"/>
          <w:szCs w:val="20"/>
        </w:rPr>
      </w:pPr>
      <w:ins w:id="816" w:author="Sam Dent" w:date="2022-09-08T11:49:00Z">
        <w:r w:rsidRPr="00DE22EE">
          <w:rPr>
            <w:rFonts w:cstheme="minorHAnsi"/>
            <w:szCs w:val="20"/>
          </w:rPr>
          <w:t xml:space="preserve">Incremental costs </w:t>
        </w:r>
        <w:r>
          <w:rPr>
            <w:rFonts w:cstheme="minorHAnsi"/>
            <w:szCs w:val="20"/>
          </w:rPr>
          <w:t xml:space="preserve">should be sourced from the product category’s corresponding measure in Volume 3 of the IL-TRM by default. At evaluation discretion, deviations from IL-TRM specified incremental costs can be made with sufficient </w:t>
        </w:r>
        <w:r>
          <w:rPr>
            <w:rFonts w:cstheme="minorHAnsi"/>
            <w:szCs w:val="20"/>
          </w:rPr>
          <w:lastRenderedPageBreak/>
          <w:t xml:space="preserve">justification. </w:t>
        </w:r>
      </w:ins>
    </w:p>
    <w:p w14:paraId="6E3EAAB0" w14:textId="77777777" w:rsidR="00B220A6" w:rsidRDefault="00B220A6" w:rsidP="00B220A6">
      <w:pPr>
        <w:pStyle w:val="Heading6"/>
        <w:rPr>
          <w:ins w:id="817" w:author="Sam Dent" w:date="2022-09-08T11:49:00Z"/>
        </w:rPr>
      </w:pPr>
      <w:proofErr w:type="spellStart"/>
      <w:ins w:id="818" w:author="Sam Dent" w:date="2022-09-08T11:49:00Z">
        <w:r>
          <w:t>Loadshape</w:t>
        </w:r>
        <w:proofErr w:type="spellEnd"/>
      </w:ins>
    </w:p>
    <w:p w14:paraId="75270EF5" w14:textId="77777777" w:rsidR="00B220A6" w:rsidRPr="00145A57" w:rsidRDefault="00B220A6" w:rsidP="00B220A6">
      <w:pPr>
        <w:rPr>
          <w:ins w:id="819" w:author="Sam Dent" w:date="2022-09-08T11:49:00Z"/>
          <w:iCs/>
        </w:rPr>
      </w:pPr>
      <w:ins w:id="820" w:author="Sam Dent" w:date="2022-09-08T11:49:00Z">
        <w:r>
          <w:t>N/A</w:t>
        </w:r>
        <w:r w:rsidRPr="00145A57">
          <w:rPr>
            <w:iCs/>
          </w:rPr>
          <w:t xml:space="preserve"> </w:t>
        </w:r>
      </w:ins>
    </w:p>
    <w:p w14:paraId="7675B1EE" w14:textId="77777777" w:rsidR="00B220A6" w:rsidRDefault="00B220A6" w:rsidP="00B220A6">
      <w:pPr>
        <w:pStyle w:val="Heading6"/>
        <w:rPr>
          <w:ins w:id="821" w:author="Sam Dent" w:date="2022-09-08T11:49:00Z"/>
        </w:rPr>
      </w:pPr>
      <w:ins w:id="822" w:author="Sam Dent" w:date="2022-09-08T11:49:00Z">
        <w:r>
          <w:t>Coincidence Factor</w:t>
        </w:r>
      </w:ins>
    </w:p>
    <w:p w14:paraId="1C37EB14" w14:textId="77777777" w:rsidR="00B220A6" w:rsidRPr="00145A57" w:rsidRDefault="00B220A6" w:rsidP="00B220A6">
      <w:pPr>
        <w:rPr>
          <w:ins w:id="823" w:author="Sam Dent" w:date="2022-09-08T11:49:00Z"/>
          <w:iCs/>
        </w:rPr>
      </w:pPr>
      <w:ins w:id="824" w:author="Sam Dent" w:date="2022-09-08T11:49:00Z">
        <w:r>
          <w:t>P</w:t>
        </w:r>
        <w:r w:rsidRPr="00BA366E">
          <w:t xml:space="preserve">er-unit </w:t>
        </w:r>
        <w:r>
          <w:t xml:space="preserve">demand savings for each product category should apply coincidence factors from </w:t>
        </w:r>
        <w:r w:rsidRPr="005A1F9A">
          <w:t>corresponding measure in</w:t>
        </w:r>
        <w:r>
          <w:t xml:space="preserve"> Volume 3 of</w:t>
        </w:r>
        <w:r w:rsidRPr="005A1F9A">
          <w:t xml:space="preserve"> the IL-</w:t>
        </w:r>
        <w:r>
          <w:t>TRM.</w:t>
        </w:r>
      </w:ins>
    </w:p>
    <w:p w14:paraId="28421C3C" w14:textId="77777777" w:rsidR="00B220A6" w:rsidRDefault="00B220A6" w:rsidP="00B220A6">
      <w:pPr>
        <w:rPr>
          <w:ins w:id="825" w:author="Sam Dent" w:date="2022-09-08T11:49:00Z"/>
          <w:iCs/>
        </w:rPr>
      </w:pPr>
    </w:p>
    <w:p w14:paraId="0B41E598" w14:textId="77777777" w:rsidR="00B220A6" w:rsidRPr="008E074F" w:rsidRDefault="00B220A6" w:rsidP="00B220A6">
      <w:pPr>
        <w:pStyle w:val="Heading6"/>
        <w:rPr>
          <w:ins w:id="826" w:author="Sam Dent" w:date="2022-09-08T11:49:00Z"/>
          <w:rFonts w:ascii="Times New Roman" w:hAnsi="Times New Roman"/>
          <w:sz w:val="24"/>
          <w:szCs w:val="24"/>
        </w:rPr>
      </w:pPr>
      <w:ins w:id="827" w:author="Sam Dent" w:date="2022-09-08T11:49:00Z">
        <w:r>
          <w:t>Purchase Rates</w:t>
        </w:r>
        <w:r w:rsidRPr="00DE22EE">
          <w:rPr>
            <w:rFonts w:ascii="Times New Roman" w:hAnsi="Times New Roman"/>
            <w:sz w:val="24"/>
            <w:szCs w:val="24"/>
          </w:rPr>
          <w:t xml:space="preserve"> </w:t>
        </w:r>
      </w:ins>
    </w:p>
    <w:p w14:paraId="7A11A9BE" w14:textId="77777777" w:rsidR="00B220A6" w:rsidRDefault="00B220A6" w:rsidP="00B220A6">
      <w:pPr>
        <w:rPr>
          <w:ins w:id="828" w:author="Sam Dent" w:date="2022-09-08T11:49:00Z"/>
          <w:iCs/>
        </w:rPr>
      </w:pPr>
      <w:ins w:id="829" w:author="Sam Dent" w:date="2022-09-08T11:49:00Z">
        <w:r>
          <w:rPr>
            <w:iCs/>
          </w:rPr>
          <w:t>Survey research should inform purchase rates for each product category and each utility’s EC. These rates, broadly, reflect the portion of customers who engaged with each product category and went on to purchase non-rebated energy-efficient products. Purchase rates should not count rebated or non-energy efficient products as EC purchased measures.</w:t>
        </w:r>
        <w:r w:rsidRPr="00146EE3">
          <w:rPr>
            <w:iCs/>
          </w:rPr>
          <w:t xml:space="preserve"> </w:t>
        </w:r>
        <w:r>
          <w:rPr>
            <w:iCs/>
          </w:rPr>
          <w:t xml:space="preserve">Purchase rates should be calculated as the product of the four survey-based response ratios from EC participants that actively engaged with the EC site. These include: </w:t>
        </w:r>
      </w:ins>
    </w:p>
    <w:p w14:paraId="12A9E0B4" w14:textId="77777777" w:rsidR="00B220A6" w:rsidRPr="001918F4" w:rsidRDefault="00B220A6">
      <w:pPr>
        <w:pStyle w:val="ListParagraph"/>
        <w:numPr>
          <w:ilvl w:val="0"/>
          <w:numId w:val="97"/>
        </w:numPr>
        <w:spacing w:after="240"/>
        <w:rPr>
          <w:ins w:id="830" w:author="Sam Dent" w:date="2022-09-08T11:49:00Z"/>
          <w:iCs/>
        </w:rPr>
      </w:pPr>
      <w:ins w:id="831" w:author="Sam Dent" w:date="2022-09-08T11:49:00Z">
        <w:r w:rsidRPr="001918F4">
          <w:rPr>
            <w:iCs/>
          </w:rPr>
          <w:t xml:space="preserve">The portion of </w:t>
        </w:r>
        <w:r w:rsidRPr="001918F4">
          <w:rPr>
            <w:rFonts w:cstheme="minorHAnsi"/>
            <w:iCs/>
            <w:szCs w:val="20"/>
          </w:rPr>
          <w:t>EC</w:t>
        </w:r>
        <w:r w:rsidRPr="001918F4">
          <w:rPr>
            <w:iCs/>
          </w:rPr>
          <w:t xml:space="preserve"> users who reported purchasing a product of any efficiency level after engaging with the respective product category on the EC website</w:t>
        </w:r>
      </w:ins>
    </w:p>
    <w:p w14:paraId="1A1E047A" w14:textId="77777777" w:rsidR="00B220A6" w:rsidRPr="001918F4" w:rsidRDefault="00B220A6">
      <w:pPr>
        <w:pStyle w:val="ListParagraph"/>
        <w:numPr>
          <w:ilvl w:val="0"/>
          <w:numId w:val="97"/>
        </w:numPr>
        <w:spacing w:after="240"/>
        <w:rPr>
          <w:ins w:id="832" w:author="Sam Dent" w:date="2022-09-08T11:49:00Z"/>
          <w:iCs/>
        </w:rPr>
      </w:pPr>
      <w:ins w:id="833" w:author="Sam Dent" w:date="2022-09-08T11:49:00Z">
        <w:r w:rsidRPr="001918F4">
          <w:rPr>
            <w:iCs/>
          </w:rPr>
          <w:t xml:space="preserve">The portion of customers who purchased a product of any efficiency level who reported purchasing a product that did not receive any form of utility rebate; </w:t>
        </w:r>
      </w:ins>
    </w:p>
    <w:p w14:paraId="0C9E80CF" w14:textId="77777777" w:rsidR="00B220A6" w:rsidRPr="001918F4" w:rsidRDefault="00B220A6">
      <w:pPr>
        <w:pStyle w:val="ListParagraph"/>
        <w:numPr>
          <w:ilvl w:val="0"/>
          <w:numId w:val="97"/>
        </w:numPr>
        <w:spacing w:after="240"/>
        <w:rPr>
          <w:ins w:id="834" w:author="Sam Dent" w:date="2022-09-08T11:49:00Z"/>
          <w:iCs/>
        </w:rPr>
      </w:pPr>
      <w:ins w:id="835" w:author="Sam Dent" w:date="2022-09-08T11:49:00Z">
        <w:r w:rsidRPr="001918F4">
          <w:rPr>
            <w:iCs/>
          </w:rPr>
          <w:t>The portion of customers who purchased a non-rebated product who reported purchasing an efficient product; and</w:t>
        </w:r>
      </w:ins>
    </w:p>
    <w:p w14:paraId="37C0396D" w14:textId="77777777" w:rsidR="00B220A6" w:rsidRPr="001918F4" w:rsidRDefault="00B220A6">
      <w:pPr>
        <w:pStyle w:val="ListParagraph"/>
        <w:numPr>
          <w:ilvl w:val="0"/>
          <w:numId w:val="97"/>
        </w:numPr>
        <w:spacing w:after="240"/>
        <w:rPr>
          <w:ins w:id="836" w:author="Sam Dent" w:date="2022-09-08T11:49:00Z"/>
          <w:iCs/>
        </w:rPr>
      </w:pPr>
      <w:ins w:id="837" w:author="Sam Dent" w:date="2022-09-08T11:49:00Z">
        <w:r w:rsidRPr="001918F4">
          <w:rPr>
            <w:iCs/>
          </w:rPr>
          <w:t>The portion of customers who reported an efficient purchase who were able to verify the efficiency of this product by providing the manufacturer model number or SKU.</w:t>
        </w:r>
      </w:ins>
    </w:p>
    <w:p w14:paraId="6467D539" w14:textId="77777777" w:rsidR="00B220A6" w:rsidRDefault="00B220A6" w:rsidP="00B220A6">
      <w:pPr>
        <w:rPr>
          <w:ins w:id="838" w:author="Sam Dent" w:date="2022-09-08T11:49:00Z"/>
          <w:iCs/>
        </w:rPr>
      </w:pPr>
      <w:ins w:id="839" w:author="Sam Dent" w:date="2022-09-08T11:49:00Z">
        <w:r>
          <w:rPr>
            <w:iCs/>
          </w:rPr>
          <w:t xml:space="preserve">The equation below describes the calculation of product level a purchase rate </w:t>
        </w:r>
        <w:r w:rsidRPr="00446097">
          <w:rPr>
            <w:iCs/>
          </w:rPr>
          <w:t>formulaically</w:t>
        </w:r>
        <w:r>
          <w:rPr>
            <w:iCs/>
          </w:rPr>
          <w:t>.</w:t>
        </w:r>
      </w:ins>
    </w:p>
    <w:p w14:paraId="7E6BE89C" w14:textId="77777777" w:rsidR="00B220A6" w:rsidRPr="0030038B" w:rsidRDefault="00B220A6" w:rsidP="00B220A6">
      <w:pPr>
        <w:rPr>
          <w:ins w:id="840" w:author="Sam Dent" w:date="2022-09-08T11:49:00Z"/>
          <w:iCs/>
          <w:szCs w:val="20"/>
        </w:rPr>
      </w:pPr>
      <w:ins w:id="841" w:author="Sam Dent" w:date="2022-09-08T11:49:00Z">
        <w:r>
          <w:rPr>
            <w:iCs/>
          </w:rPr>
          <w:t xml:space="preserve"> </w:t>
        </w:r>
      </w:ins>
      <m:oMath>
        <m:r>
          <w:ins w:id="842" w:author="Sam Dent" w:date="2022-09-08T11:49:00Z">
            <w:rPr>
              <w:rFonts w:ascii="Cambria Math" w:hAnsi="Cambria Math"/>
              <w:szCs w:val="20"/>
            </w:rPr>
            <m:t xml:space="preserve">Purchase Rate = </m:t>
          </w:ins>
        </m:r>
        <m:f>
          <m:fPr>
            <m:ctrlPr>
              <w:ins w:id="843" w:author="Sam Dent" w:date="2022-09-08T11:49:00Z">
                <w:rPr>
                  <w:rFonts w:ascii="Cambria Math" w:hAnsi="Cambria Math"/>
                  <w:i/>
                  <w:iCs/>
                  <w:szCs w:val="20"/>
                </w:rPr>
              </w:ins>
            </m:ctrlPr>
          </m:fPr>
          <m:num>
            <m:eqArr>
              <m:eqArrPr>
                <m:ctrlPr>
                  <w:ins w:id="844" w:author="Sam Dent" w:date="2022-09-08T11:49:00Z">
                    <w:rPr>
                      <w:rFonts w:ascii="Cambria Math" w:hAnsi="Cambria Math"/>
                      <w:i/>
                      <w:szCs w:val="20"/>
                    </w:rPr>
                  </w:ins>
                </m:ctrlPr>
              </m:eqArrPr>
              <m:e>
                <m:r>
                  <w:ins w:id="845" w:author="Sam Dent" w:date="2022-09-08T11:49:00Z">
                    <w:rPr>
                      <w:rFonts w:ascii="Cambria Math" w:hAnsi="Cambria Math"/>
                      <w:szCs w:val="20"/>
                    </w:rPr>
                    <m:t xml:space="preserve">Number of self </m:t>
                  </w:ins>
                </m:r>
              </m:e>
              <m:e>
                <m:r>
                  <w:ins w:id="846" w:author="Sam Dent" w:date="2022-09-08T11:49:00Z">
                    <w:rPr>
                      <w:rFonts w:ascii="Cambria Math" w:hAnsi="Cambria Math"/>
                      <w:szCs w:val="20"/>
                    </w:rPr>
                    <m:t>reported purchases</m:t>
                  </w:ins>
                </m:r>
              </m:e>
            </m:eqArr>
          </m:num>
          <m:den>
            <m:eqArr>
              <m:eqArrPr>
                <m:ctrlPr>
                  <w:ins w:id="847" w:author="Sam Dent" w:date="2022-09-08T11:49:00Z">
                    <w:rPr>
                      <w:rFonts w:ascii="Cambria Math" w:hAnsi="Cambria Math"/>
                      <w:i/>
                      <w:szCs w:val="20"/>
                    </w:rPr>
                  </w:ins>
                </m:ctrlPr>
              </m:eqArrPr>
              <m:e>
                <m:r>
                  <w:ins w:id="848" w:author="Sam Dent" w:date="2022-09-08T11:49:00Z">
                    <w:rPr>
                      <w:rFonts w:ascii="Cambria Math" w:hAnsi="Cambria Math"/>
                      <w:szCs w:val="20"/>
                    </w:rPr>
                    <m:t>Total number of</m:t>
                  </w:ins>
                </m:r>
              </m:e>
              <m:e>
                <m:r>
                  <w:ins w:id="849" w:author="Sam Dent" w:date="2022-09-08T11:49:00Z">
                    <w:rPr>
                      <w:rFonts w:ascii="Cambria Math" w:hAnsi="Cambria Math"/>
                      <w:szCs w:val="20"/>
                    </w:rPr>
                    <m:t xml:space="preserve">self reported EC users who </m:t>
                  </w:ins>
                </m:r>
                <m:ctrlPr>
                  <w:ins w:id="850" w:author="Sam Dent" w:date="2022-09-08T11:49:00Z">
                    <w:rPr>
                      <w:rFonts w:ascii="Cambria Math" w:eastAsia="Cambria Math" w:hAnsi="Cambria Math" w:cs="Cambria Math"/>
                      <w:i/>
                      <w:szCs w:val="20"/>
                    </w:rPr>
                  </w:ins>
                </m:ctrlPr>
              </m:e>
              <m:e>
                <m:r>
                  <w:ins w:id="851" w:author="Sam Dent" w:date="2022-09-08T11:49:00Z">
                    <w:rPr>
                      <w:rFonts w:ascii="Cambria Math" w:hAnsi="Cambria Math"/>
                      <w:szCs w:val="20"/>
                    </w:rPr>
                    <m:t>engaged with the respective product category</m:t>
                  </w:ins>
                </m:r>
              </m:e>
            </m:eqArr>
          </m:den>
        </m:f>
        <m:r>
          <w:ins w:id="852" w:author="Sam Dent" w:date="2022-09-08T11:49:00Z">
            <w:rPr>
              <w:rFonts w:ascii="Cambria Math" w:hAnsi="Cambria Math"/>
              <w:szCs w:val="20"/>
            </w:rPr>
            <m:t xml:space="preserve"> X </m:t>
          </w:ins>
        </m:r>
        <m:f>
          <m:fPr>
            <m:ctrlPr>
              <w:ins w:id="853" w:author="Sam Dent" w:date="2022-09-08T11:49:00Z">
                <w:rPr>
                  <w:rFonts w:ascii="Cambria Math" w:hAnsi="Cambria Math"/>
                  <w:i/>
                  <w:iCs/>
                  <w:szCs w:val="20"/>
                </w:rPr>
              </w:ins>
            </m:ctrlPr>
          </m:fPr>
          <m:num>
            <m:eqArr>
              <m:eqArrPr>
                <m:ctrlPr>
                  <w:ins w:id="854" w:author="Sam Dent" w:date="2022-09-08T11:49:00Z">
                    <w:rPr>
                      <w:rFonts w:ascii="Cambria Math" w:hAnsi="Cambria Math"/>
                      <w:i/>
                      <w:szCs w:val="20"/>
                    </w:rPr>
                  </w:ins>
                </m:ctrlPr>
              </m:eqArrPr>
              <m:e>
                <m:r>
                  <w:ins w:id="855" w:author="Sam Dent" w:date="2022-09-08T11:49:00Z">
                    <w:rPr>
                      <w:rFonts w:ascii="Cambria Math" w:hAnsi="Cambria Math"/>
                      <w:szCs w:val="20"/>
                    </w:rPr>
                    <m:t>Number of purchases</m:t>
                  </w:ins>
                </m:r>
              </m:e>
              <m:e>
                <m:r>
                  <w:ins w:id="856" w:author="Sam Dent" w:date="2022-09-08T11:49:00Z">
                    <w:rPr>
                      <w:rFonts w:ascii="Cambria Math" w:hAnsi="Cambria Math"/>
                      <w:szCs w:val="20"/>
                    </w:rPr>
                    <m:t xml:space="preserve"> without a utility rebate</m:t>
                  </w:ins>
                </m:r>
              </m:e>
            </m:eqArr>
          </m:num>
          <m:den>
            <m:eqArr>
              <m:eqArrPr>
                <m:ctrlPr>
                  <w:ins w:id="857" w:author="Sam Dent" w:date="2022-09-08T11:49:00Z">
                    <w:rPr>
                      <w:rFonts w:ascii="Cambria Math" w:hAnsi="Cambria Math"/>
                      <w:i/>
                      <w:szCs w:val="20"/>
                    </w:rPr>
                  </w:ins>
                </m:ctrlPr>
              </m:eqArrPr>
              <m:e>
                <m:r>
                  <w:ins w:id="858" w:author="Sam Dent" w:date="2022-09-08T11:49:00Z">
                    <w:rPr>
                      <w:rFonts w:ascii="Cambria Math" w:hAnsi="Cambria Math"/>
                      <w:szCs w:val="20"/>
                    </w:rPr>
                    <m:t>Number of self</m:t>
                  </w:ins>
                </m:r>
              </m:e>
              <m:e>
                <m:r>
                  <w:ins w:id="859" w:author="Sam Dent" w:date="2022-09-08T11:49:00Z">
                    <w:rPr>
                      <w:rFonts w:ascii="Cambria Math" w:hAnsi="Cambria Math"/>
                      <w:szCs w:val="20"/>
                    </w:rPr>
                    <m:t>reported purchases</m:t>
                  </w:ins>
                </m:r>
                <m:ctrlPr>
                  <w:ins w:id="860" w:author="Sam Dent" w:date="2022-09-08T11:49:00Z">
                    <w:rPr>
                      <w:rFonts w:ascii="Cambria Math" w:eastAsia="Cambria Math" w:hAnsi="Cambria Math" w:cs="Cambria Math"/>
                      <w:i/>
                      <w:szCs w:val="20"/>
                    </w:rPr>
                  </w:ins>
                </m:ctrlPr>
              </m:e>
              <m:e>
                <m:r>
                  <w:ins w:id="861" w:author="Sam Dent" w:date="2022-09-08T11:49:00Z">
                    <w:rPr>
                      <w:rFonts w:ascii="Cambria Math" w:hAnsi="Cambria Math"/>
                      <w:szCs w:val="20"/>
                    </w:rPr>
                    <m:t xml:space="preserve"> </m:t>
                  </w:ins>
                </m:r>
              </m:e>
            </m:eqArr>
          </m:den>
        </m:f>
        <m:r>
          <w:ins w:id="862" w:author="Sam Dent" w:date="2022-09-08T11:49:00Z">
            <w:rPr>
              <w:rFonts w:ascii="Cambria Math" w:hAnsi="Cambria Math"/>
              <w:szCs w:val="20"/>
            </w:rPr>
            <m:t xml:space="preserve"> X </m:t>
          </w:ins>
        </m:r>
        <m:f>
          <m:fPr>
            <m:ctrlPr>
              <w:ins w:id="863" w:author="Sam Dent" w:date="2022-09-08T11:49:00Z">
                <w:rPr>
                  <w:rFonts w:ascii="Cambria Math" w:hAnsi="Cambria Math"/>
                  <w:i/>
                  <w:iCs/>
                  <w:szCs w:val="20"/>
                </w:rPr>
              </w:ins>
            </m:ctrlPr>
          </m:fPr>
          <m:num>
            <m:eqArr>
              <m:eqArrPr>
                <m:ctrlPr>
                  <w:ins w:id="864" w:author="Sam Dent" w:date="2022-09-08T11:49:00Z">
                    <w:rPr>
                      <w:rFonts w:ascii="Cambria Math" w:hAnsi="Cambria Math"/>
                      <w:i/>
                      <w:szCs w:val="20"/>
                    </w:rPr>
                  </w:ins>
                </m:ctrlPr>
              </m:eqArrPr>
              <m:e>
                <m:r>
                  <w:ins w:id="865" w:author="Sam Dent" w:date="2022-09-08T11:49:00Z">
                    <w:rPr>
                      <w:rFonts w:ascii="Cambria Math" w:hAnsi="Cambria Math"/>
                      <w:szCs w:val="20"/>
                    </w:rPr>
                    <m:t>Number of self reported</m:t>
                  </w:ins>
                </m:r>
              </m:e>
              <m:e>
                <m:r>
                  <w:ins w:id="866" w:author="Sam Dent" w:date="2022-09-08T11:49:00Z">
                    <w:rPr>
                      <w:rFonts w:ascii="Cambria Math" w:hAnsi="Cambria Math"/>
                      <w:szCs w:val="20"/>
                    </w:rPr>
                    <m:t xml:space="preserve"> efficient purchases</m:t>
                  </w:ins>
                </m:r>
              </m:e>
            </m:eqArr>
          </m:num>
          <m:den>
            <m:eqArr>
              <m:eqArrPr>
                <m:ctrlPr>
                  <w:ins w:id="867" w:author="Sam Dent" w:date="2022-09-08T11:49:00Z">
                    <w:rPr>
                      <w:rFonts w:ascii="Cambria Math" w:hAnsi="Cambria Math"/>
                      <w:i/>
                      <w:szCs w:val="20"/>
                    </w:rPr>
                  </w:ins>
                </m:ctrlPr>
              </m:eqArrPr>
              <m:e>
                <m:r>
                  <w:ins w:id="868" w:author="Sam Dent" w:date="2022-09-08T11:49:00Z">
                    <w:rPr>
                      <w:rFonts w:ascii="Cambria Math" w:hAnsi="Cambria Math"/>
                      <w:szCs w:val="20"/>
                    </w:rPr>
                    <m:t xml:space="preserve">Number of purchases </m:t>
                  </w:ins>
                </m:r>
              </m:e>
              <m:e>
                <m:r>
                  <w:ins w:id="869" w:author="Sam Dent" w:date="2022-09-08T11:49:00Z">
                    <w:rPr>
                      <w:rFonts w:ascii="Cambria Math" w:hAnsi="Cambria Math"/>
                      <w:szCs w:val="20"/>
                    </w:rPr>
                    <m:t>without a utility rebate</m:t>
                  </w:ins>
                </m:r>
                <m:ctrlPr>
                  <w:ins w:id="870" w:author="Sam Dent" w:date="2022-09-08T11:49:00Z">
                    <w:rPr>
                      <w:rFonts w:ascii="Cambria Math" w:eastAsia="Cambria Math" w:hAnsi="Cambria Math" w:cs="Cambria Math"/>
                      <w:i/>
                      <w:szCs w:val="20"/>
                    </w:rPr>
                  </w:ins>
                </m:ctrlPr>
              </m:e>
              <m:e>
                <m:r>
                  <w:ins w:id="871" w:author="Sam Dent" w:date="2022-09-08T11:49:00Z">
                    <w:rPr>
                      <w:rFonts w:ascii="Cambria Math" w:hAnsi="Cambria Math"/>
                      <w:szCs w:val="20"/>
                    </w:rPr>
                    <m:t xml:space="preserve"> </m:t>
                  </w:ins>
                </m:r>
              </m:e>
            </m:eqArr>
          </m:den>
        </m:f>
        <m:r>
          <w:ins w:id="872" w:author="Sam Dent" w:date="2022-09-08T11:49:00Z">
            <w:rPr>
              <w:rFonts w:ascii="Cambria Math" w:hAnsi="Cambria Math"/>
              <w:szCs w:val="20"/>
            </w:rPr>
            <m:t xml:space="preserve"> X </m:t>
          </w:ins>
        </m:r>
        <m:f>
          <m:fPr>
            <m:ctrlPr>
              <w:ins w:id="873" w:author="Sam Dent" w:date="2022-09-08T11:49:00Z">
                <w:rPr>
                  <w:rFonts w:ascii="Cambria Math" w:hAnsi="Cambria Math"/>
                  <w:i/>
                  <w:iCs/>
                  <w:szCs w:val="20"/>
                </w:rPr>
              </w:ins>
            </m:ctrlPr>
          </m:fPr>
          <m:num>
            <m:eqArr>
              <m:eqArrPr>
                <m:ctrlPr>
                  <w:ins w:id="874" w:author="Sam Dent" w:date="2022-09-08T11:49:00Z">
                    <w:rPr>
                      <w:rFonts w:ascii="Cambria Math" w:hAnsi="Cambria Math"/>
                      <w:i/>
                      <w:szCs w:val="20"/>
                    </w:rPr>
                  </w:ins>
                </m:ctrlPr>
              </m:eqArrPr>
              <m:e>
                <m:r>
                  <w:ins w:id="875" w:author="Sam Dent" w:date="2022-09-08T11:49:00Z">
                    <w:rPr>
                      <w:rFonts w:ascii="Cambria Math" w:hAnsi="Cambria Math"/>
                      <w:szCs w:val="20"/>
                    </w:rPr>
                    <m:t>Number of verified </m:t>
                  </w:ins>
                </m:r>
              </m:e>
              <m:e>
                <m:r>
                  <w:ins w:id="876" w:author="Sam Dent" w:date="2022-09-08T11:49:00Z">
                    <w:rPr>
                      <w:rFonts w:ascii="Cambria Math" w:hAnsi="Cambria Math"/>
                      <w:szCs w:val="20"/>
                    </w:rPr>
                    <m:t>efficient purchases </m:t>
                  </w:ins>
                </m:r>
              </m:e>
            </m:eqArr>
          </m:num>
          <m:den>
            <m:eqArr>
              <m:eqArrPr>
                <m:ctrlPr>
                  <w:ins w:id="877" w:author="Sam Dent" w:date="2022-09-08T11:49:00Z">
                    <w:rPr>
                      <w:rFonts w:ascii="Cambria Math" w:hAnsi="Cambria Math"/>
                      <w:i/>
                      <w:szCs w:val="20"/>
                    </w:rPr>
                  </w:ins>
                </m:ctrlPr>
              </m:eqArrPr>
              <m:e>
                <m:r>
                  <w:ins w:id="878" w:author="Sam Dent" w:date="2022-09-08T11:49:00Z">
                    <w:rPr>
                      <w:rFonts w:ascii="Cambria Math" w:hAnsi="Cambria Math"/>
                      <w:szCs w:val="20"/>
                    </w:rPr>
                    <m:t xml:space="preserve">Number of self reported </m:t>
                  </w:ins>
                </m:r>
              </m:e>
              <m:e>
                <m:r>
                  <w:ins w:id="879" w:author="Sam Dent" w:date="2022-09-08T11:49:00Z">
                    <w:rPr>
                      <w:rFonts w:ascii="Cambria Math" w:hAnsi="Cambria Math"/>
                      <w:szCs w:val="20"/>
                    </w:rPr>
                    <m:t xml:space="preserve">efficient purchases with </m:t>
                  </w:ins>
                </m:r>
                <m:ctrlPr>
                  <w:ins w:id="880" w:author="Sam Dent" w:date="2022-09-08T11:49:00Z">
                    <w:rPr>
                      <w:rFonts w:ascii="Cambria Math" w:eastAsia="Cambria Math" w:hAnsi="Cambria Math" w:cs="Cambria Math"/>
                      <w:i/>
                      <w:szCs w:val="20"/>
                    </w:rPr>
                  </w:ins>
                </m:ctrlPr>
              </m:e>
              <m:e>
                <m:r>
                  <w:ins w:id="881" w:author="Sam Dent" w:date="2022-09-08T11:49:00Z">
                    <w:rPr>
                      <w:rFonts w:ascii="Cambria Math" w:hAnsi="Cambria Math"/>
                    </w:rPr>
                    <m:t xml:space="preserve">verifiable </m:t>
                  </w:ins>
                </m:r>
                <m:r>
                  <w:ins w:id="882" w:author="Sam Dent" w:date="2022-09-08T11:49:00Z">
                    <w:rPr>
                      <w:rFonts w:ascii="Cambria Math" w:hAnsi="Cambria Math"/>
                      <w:szCs w:val="20"/>
                    </w:rPr>
                    <m:t xml:space="preserve">efficiency </m:t>
                  </w:ins>
                </m:r>
                <m:ctrlPr>
                  <w:ins w:id="883" w:author="Sam Dent" w:date="2022-09-08T11:49:00Z">
                    <w:rPr>
                      <w:rFonts w:ascii="Cambria Math" w:eastAsia="Cambria Math" w:hAnsi="Cambria Math" w:cs="Cambria Math"/>
                      <w:i/>
                      <w:szCs w:val="20"/>
                    </w:rPr>
                  </w:ins>
                </m:ctrlPr>
              </m:e>
              <m:e>
                <m:r>
                  <w:ins w:id="884" w:author="Sam Dent" w:date="2022-09-08T11:49:00Z">
                    <w:rPr>
                      <w:rFonts w:ascii="Cambria Math" w:hAnsi="Cambria Math"/>
                      <w:szCs w:val="20"/>
                    </w:rPr>
                    <m:t>ratings</m:t>
                  </w:ins>
                </m:r>
                <m:ctrlPr>
                  <w:ins w:id="885" w:author="Sam Dent" w:date="2022-09-08T11:49:00Z">
                    <w:rPr>
                      <w:rFonts w:ascii="Cambria Math" w:eastAsia="Cambria Math" w:hAnsi="Cambria Math" w:cs="Cambria Math"/>
                      <w:i/>
                      <w:szCs w:val="20"/>
                    </w:rPr>
                  </w:ins>
                </m:ctrlPr>
              </m:e>
              <m:e>
                <m:r>
                  <w:ins w:id="886" w:author="Sam Dent" w:date="2022-09-08T11:49:00Z">
                    <w:rPr>
                      <w:rFonts w:ascii="Cambria Math" w:hAnsi="Cambria Math"/>
                      <w:szCs w:val="20"/>
                    </w:rPr>
                    <m:t xml:space="preserve"> </m:t>
                  </w:ins>
                </m:r>
              </m:e>
            </m:eqArr>
          </m:den>
        </m:f>
      </m:oMath>
      <w:ins w:id="887" w:author="Sam Dent" w:date="2022-09-08T11:49:00Z">
        <w:r>
          <w:rPr>
            <w:iCs/>
            <w:szCs w:val="20"/>
          </w:rPr>
          <w:t xml:space="preserve"> </w:t>
        </w:r>
      </w:ins>
    </w:p>
    <w:p w14:paraId="0CC7A103" w14:textId="77777777" w:rsidR="00B220A6" w:rsidRDefault="00B220A6" w:rsidP="00B220A6">
      <w:pPr>
        <w:rPr>
          <w:ins w:id="888" w:author="Sam Dent" w:date="2022-09-08T11:49:00Z"/>
          <w:iCs/>
        </w:rPr>
      </w:pPr>
      <w:ins w:id="889" w:author="Sam Dent" w:date="2022-09-08T11:49:00Z">
        <w:r>
          <w:rPr>
            <w:iCs/>
          </w:rPr>
          <w:t xml:space="preserve">Purchase rates should be determined through evaluation. The targeted confidence and precision for purchase rates should also be determined by the evaluator. </w:t>
        </w:r>
      </w:ins>
    </w:p>
    <w:p w14:paraId="617898C6" w14:textId="77777777" w:rsidR="00B220A6" w:rsidRDefault="00B220A6" w:rsidP="00B220A6">
      <w:pPr>
        <w:rPr>
          <w:ins w:id="890" w:author="Sam Dent" w:date="2022-09-08T11:49:00Z"/>
          <w:iCs/>
        </w:rPr>
      </w:pPr>
      <w:ins w:id="891" w:author="Sam Dent" w:date="2022-09-08T11:49:00Z">
        <w:r>
          <w:rPr>
            <w:iCs/>
          </w:rPr>
          <w:t xml:space="preserve">In some cases, like measures may be grouped together if there is not enough EC activity for individual evaluation. For example, televisions and monitors can be grouped under an overall electronics purchase rate. The grouping of measures under a single purchase rate should be determined by the evaluator. </w:t>
        </w:r>
      </w:ins>
    </w:p>
    <w:p w14:paraId="6A89D5F8" w14:textId="77777777" w:rsidR="00B220A6" w:rsidRDefault="00B220A6" w:rsidP="00B220A6">
      <w:pPr>
        <w:rPr>
          <w:ins w:id="892" w:author="Sam Dent" w:date="2022-09-08T11:49:00Z"/>
          <w:iCs/>
        </w:rPr>
      </w:pPr>
      <w:ins w:id="893" w:author="Sam Dent" w:date="2022-09-08T11:49:00Z">
        <w:r>
          <w:rPr>
            <w:iCs/>
          </w:rPr>
          <w:t>Purchase rates may be deemed for future use after research of specific product categories. Deemed purchase rates should be reevaluated as determined by evaluators and/or the TAC.</w:t>
        </w:r>
      </w:ins>
    </w:p>
    <w:p w14:paraId="44E27677" w14:textId="77777777" w:rsidR="00B220A6" w:rsidRDefault="00B220A6" w:rsidP="00B220A6">
      <w:pPr>
        <w:pStyle w:val="Heading6"/>
        <w:rPr>
          <w:ins w:id="894" w:author="Sam Dent" w:date="2022-09-08T11:49:00Z"/>
        </w:rPr>
      </w:pPr>
      <w:ins w:id="895" w:author="Sam Dent" w:date="2022-09-08T11:49:00Z">
        <w:r>
          <w:t>Purchase Quantity</w:t>
        </w:r>
      </w:ins>
    </w:p>
    <w:p w14:paraId="3EE7983C" w14:textId="77777777" w:rsidR="00B220A6" w:rsidRDefault="00B220A6" w:rsidP="00B220A6">
      <w:pPr>
        <w:rPr>
          <w:ins w:id="896" w:author="Sam Dent" w:date="2022-09-08T11:49:00Z"/>
          <w:iCs/>
        </w:rPr>
      </w:pPr>
      <w:ins w:id="897" w:author="Sam Dent" w:date="2022-09-08T11:49:00Z">
        <w:r w:rsidRPr="001E442F">
          <w:rPr>
            <w:iCs/>
          </w:rPr>
          <w:t xml:space="preserve">For some measures presented </w:t>
        </w:r>
        <w:r w:rsidRPr="00DE22EE">
          <w:rPr>
            <w:rFonts w:cstheme="minorHAnsi"/>
            <w:iCs/>
            <w:szCs w:val="20"/>
          </w:rPr>
          <w:t>on EC, customers can purchase</w:t>
        </w:r>
        <w:r w:rsidRPr="001E442F">
          <w:rPr>
            <w:iCs/>
          </w:rPr>
          <w:t xml:space="preserve"> multiple units. </w:t>
        </w:r>
        <w:r>
          <w:rPr>
            <w:iCs/>
          </w:rPr>
          <w:t>Purchase quantities should be determined through evaluation.</w:t>
        </w:r>
      </w:ins>
    </w:p>
    <w:p w14:paraId="55C809F1" w14:textId="77777777" w:rsidR="00B220A6" w:rsidRDefault="00B220A6" w:rsidP="00B220A6">
      <w:pPr>
        <w:rPr>
          <w:ins w:id="898" w:author="Sam Dent" w:date="2022-09-08T11:49:00Z"/>
          <w:iCs/>
        </w:rPr>
      </w:pPr>
      <w:ins w:id="899" w:author="Sam Dent" w:date="2022-09-08T11:49:00Z">
        <w:r>
          <w:rPr>
            <w:iCs/>
          </w:rPr>
          <w:t xml:space="preserve">For measures purchased with utility rebates, their associated energy, demand, water and natural gas savings should be claimed by the program incentivizing the measure. Savings from measures receiving rebates should not be claimed by EC as detailed in the purchase rate section above.  </w:t>
        </w:r>
      </w:ins>
    </w:p>
    <w:p w14:paraId="76323BB6" w14:textId="77777777" w:rsidR="00B220A6" w:rsidRDefault="00B220A6" w:rsidP="00B220A6">
      <w:pPr>
        <w:pStyle w:val="Heading6"/>
        <w:rPr>
          <w:ins w:id="900" w:author="Sam Dent" w:date="2022-09-08T11:49:00Z"/>
        </w:rPr>
      </w:pPr>
      <w:ins w:id="901" w:author="Sam Dent" w:date="2022-09-08T11:49:00Z">
        <w:r>
          <w:lastRenderedPageBreak/>
          <w:t>Unique Active Shopper Count</w:t>
        </w:r>
      </w:ins>
    </w:p>
    <w:p w14:paraId="0029BB2B" w14:textId="77777777" w:rsidR="00B220A6" w:rsidRPr="00113BA1" w:rsidRDefault="00B220A6" w:rsidP="00B220A6">
      <w:pPr>
        <w:rPr>
          <w:ins w:id="902" w:author="Sam Dent" w:date="2022-09-08T11:49:00Z"/>
          <w:rFonts w:cstheme="minorHAnsi"/>
          <w:iCs/>
          <w:szCs w:val="20"/>
        </w:rPr>
      </w:pPr>
      <w:ins w:id="903" w:author="Sam Dent" w:date="2022-09-08T11:49:00Z">
        <w:r w:rsidRPr="00113BA1">
          <w:rPr>
            <w:rFonts w:cstheme="minorHAnsi"/>
            <w:iCs/>
            <w:szCs w:val="20"/>
          </w:rPr>
          <w:t>The count of unique active shoppers is based on observed web traffic associated with each product category and should reflect the total number of EC visitors that actively engaged with the product. Active engagement is defined as an EC visitor who conducted at least one of ten specific actions on the site.</w:t>
        </w:r>
        <w:r w:rsidRPr="00113BA1">
          <w:rPr>
            <w:rStyle w:val="FootnoteReference"/>
            <w:rFonts w:eastAsiaTheme="majorEastAsia" w:cstheme="minorHAnsi"/>
            <w:iCs/>
            <w:szCs w:val="20"/>
          </w:rPr>
          <w:footnoteReference w:id="58"/>
        </w:r>
        <w:r w:rsidRPr="00113BA1">
          <w:rPr>
            <w:rFonts w:cstheme="minorHAnsi"/>
            <w:iCs/>
            <w:szCs w:val="20"/>
          </w:rPr>
          <w:t xml:space="preserve"> These values should be provided by implementer staff for the duration of the participation period and verified through evaluation.</w:t>
        </w:r>
      </w:ins>
    </w:p>
    <w:p w14:paraId="5BFE1272" w14:textId="77777777" w:rsidR="00B220A6" w:rsidRDefault="00B220A6" w:rsidP="00B220A6">
      <w:pPr>
        <w:pStyle w:val="AlgorithmHeading"/>
        <w:rPr>
          <w:ins w:id="906" w:author="Sam Dent" w:date="2022-09-08T11:49:00Z"/>
        </w:rPr>
      </w:pPr>
      <w:ins w:id="907" w:author="Sam Dent" w:date="2022-09-08T11:49:00Z">
        <w:r>
          <w:t xml:space="preserve">Algorithm </w:t>
        </w:r>
      </w:ins>
    </w:p>
    <w:p w14:paraId="3D16979A" w14:textId="77777777" w:rsidR="00B220A6" w:rsidRDefault="00B220A6" w:rsidP="00B220A6">
      <w:pPr>
        <w:pStyle w:val="Heading6"/>
        <w:rPr>
          <w:ins w:id="908" w:author="Sam Dent" w:date="2022-09-08T11:49:00Z"/>
        </w:rPr>
      </w:pPr>
      <w:ins w:id="909" w:author="Sam Dent" w:date="2022-09-08T11:49:00Z">
        <w:r>
          <w:t xml:space="preserve">Calculation of Energy Savings </w:t>
        </w:r>
      </w:ins>
    </w:p>
    <w:p w14:paraId="26C2BE4C" w14:textId="77777777" w:rsidR="00B220A6" w:rsidRDefault="00B220A6" w:rsidP="00B220A6">
      <w:pPr>
        <w:pStyle w:val="Heading6"/>
        <w:rPr>
          <w:ins w:id="910" w:author="Sam Dent" w:date="2022-09-08T11:49:00Z"/>
        </w:rPr>
      </w:pPr>
      <w:ins w:id="911" w:author="Sam Dent" w:date="2022-09-08T11:49:00Z">
        <w:r>
          <w:t>Electric Energy Savings</w:t>
        </w:r>
      </w:ins>
    </w:p>
    <w:p w14:paraId="180B2ACD" w14:textId="77777777" w:rsidR="00B220A6" w:rsidRDefault="00B220A6" w:rsidP="00B220A6">
      <w:pPr>
        <w:rPr>
          <w:ins w:id="912" w:author="Sam Dent" w:date="2022-09-08T11:49:00Z"/>
        </w:rPr>
      </w:pPr>
      <w:bookmarkStart w:id="913" w:name="_Hlk103080903"/>
      <m:oMathPara>
        <m:oMath>
          <m:r>
            <w:ins w:id="914" w:author="Sam Dent" w:date="2022-09-08T11:49:00Z">
              <w:rPr>
                <w:rFonts w:ascii="Cambria Math" w:hAnsi="Cambria Math"/>
              </w:rPr>
              <m:t>ΔkWh</m:t>
            </w:ins>
          </m:r>
          <w:bookmarkEnd w:id="913"/>
          <m:r>
            <w:ins w:id="915" w:author="Sam Dent" w:date="2022-09-08T11:49:00Z">
              <w:rPr>
                <w:rFonts w:ascii="Cambria Math" w:hAnsi="Cambria Math"/>
              </w:rPr>
              <m:t>=PR</m:t>
            </w:ins>
          </m:r>
          <m:r>
            <w:ins w:id="916" w:author="Sam Dent" w:date="2022-09-08T11:49:00Z">
              <w:rPr>
                <w:rFonts w:ascii="Cambria Math" w:eastAsia="Calibri" w:hAnsi="Cambria Math"/>
              </w:rPr>
              <m:t>×Qty×</m:t>
            </w:ins>
          </m:r>
          <m:r>
            <w:ins w:id="917" w:author="Sam Dent" w:date="2022-09-08T11:49:00Z">
              <w:rPr>
                <w:rFonts w:ascii="Cambria Math" w:hAnsi="Cambria Math"/>
              </w:rPr>
              <m:t>UAS</m:t>
            </w:ins>
          </m:r>
          <m:r>
            <w:ins w:id="918" w:author="Sam Dent" w:date="2022-09-08T11:49:00Z">
              <w:rPr>
                <w:rFonts w:ascii="Cambria Math" w:eastAsia="Calibri" w:hAnsi="Cambria Math"/>
              </w:rPr>
              <m:t>×</m:t>
            </w:ins>
          </m:r>
          <m:sSub>
            <m:sSubPr>
              <m:ctrlPr>
                <w:ins w:id="919" w:author="Sam Dent" w:date="2022-09-08T11:49:00Z">
                  <w:rPr>
                    <w:rFonts w:ascii="Cambria Math" w:hAnsi="Cambria Math"/>
                    <w:i/>
                  </w:rPr>
                </w:ins>
              </m:ctrlPr>
            </m:sSubPr>
            <m:e>
              <m:r>
                <w:ins w:id="920" w:author="Sam Dent" w:date="2022-09-08T11:49:00Z">
                  <w:rPr>
                    <w:rFonts w:ascii="Cambria Math" w:hAnsi="Cambria Math"/>
                  </w:rPr>
                  <m:t>kWh</m:t>
                </w:ins>
              </m:r>
            </m:e>
            <m:sub>
              <m:r>
                <w:ins w:id="921" w:author="Sam Dent" w:date="2022-09-08T11:49:00Z">
                  <w:rPr>
                    <w:rFonts w:ascii="Cambria Math" w:hAnsi="Cambria Math"/>
                  </w:rPr>
                  <m:t>per</m:t>
                </w:ins>
              </m:r>
            </m:sub>
          </m:sSub>
        </m:oMath>
      </m:oMathPara>
    </w:p>
    <w:p w14:paraId="7F75AEFE" w14:textId="77777777" w:rsidR="00B220A6" w:rsidRDefault="00B220A6" w:rsidP="00B220A6">
      <w:pPr>
        <w:ind w:left="720" w:hanging="720"/>
        <w:rPr>
          <w:ins w:id="922" w:author="Sam Dent" w:date="2022-09-08T11:49:00Z"/>
        </w:rPr>
      </w:pPr>
      <w:ins w:id="923" w:author="Sam Dent" w:date="2022-09-08T11:49:00Z">
        <w:r>
          <w:t>PR</w:t>
        </w:r>
        <w:r>
          <w:tab/>
          <w:t>= Purchase rate (defined above).</w:t>
        </w:r>
      </w:ins>
    </w:p>
    <w:p w14:paraId="60C75323" w14:textId="77777777" w:rsidR="00B220A6" w:rsidRDefault="00B220A6" w:rsidP="00B220A6">
      <w:pPr>
        <w:rPr>
          <w:ins w:id="924" w:author="Sam Dent" w:date="2022-09-08T11:49:00Z"/>
        </w:rPr>
      </w:pPr>
      <w:ins w:id="925" w:author="Sam Dent" w:date="2022-09-08T11:49:00Z">
        <w:r>
          <w:t>Qty</w:t>
        </w:r>
        <w:r>
          <w:tab/>
        </w:r>
        <w:r>
          <w:tab/>
          <w:t>= Average purchase quantity</w:t>
        </w:r>
      </w:ins>
    </w:p>
    <w:p w14:paraId="59CD5223" w14:textId="77777777" w:rsidR="00B220A6" w:rsidRDefault="00B220A6" w:rsidP="00B220A6">
      <w:pPr>
        <w:rPr>
          <w:ins w:id="926" w:author="Sam Dent" w:date="2022-09-08T11:49:00Z"/>
        </w:rPr>
      </w:pPr>
      <w:ins w:id="927" w:author="Sam Dent" w:date="2022-09-08T11:49:00Z">
        <w:r w:rsidRPr="0017415D">
          <w:t>UAS</w:t>
        </w:r>
        <w:r>
          <w:tab/>
        </w:r>
        <w:r>
          <w:tab/>
          <w:t>= Count of Unique Active Shoppers for each product category</w:t>
        </w:r>
      </w:ins>
    </w:p>
    <w:p w14:paraId="34D4DC30" w14:textId="77777777" w:rsidR="00B220A6" w:rsidRDefault="00B220A6" w:rsidP="00B220A6">
      <w:pPr>
        <w:ind w:left="1440" w:hanging="1440"/>
        <w:rPr>
          <w:ins w:id="928" w:author="Sam Dent" w:date="2022-09-08T11:49:00Z"/>
        </w:rPr>
      </w:pPr>
      <w:proofErr w:type="spellStart"/>
      <w:ins w:id="929" w:author="Sam Dent" w:date="2022-09-08T11:49:00Z">
        <w:r w:rsidRPr="0017415D">
          <w:t>kWh</w:t>
        </w:r>
        <w:r w:rsidRPr="005355F4">
          <w:rPr>
            <w:vertAlign w:val="subscript"/>
          </w:rPr>
          <w:t>per</w:t>
        </w:r>
        <w:proofErr w:type="spellEnd"/>
        <w:r>
          <w:tab/>
          <w:t>= Develop unitary electric energy savings based on the measure’s corresponding TRM section</w:t>
        </w:r>
      </w:ins>
    </w:p>
    <w:p w14:paraId="650FDE40" w14:textId="77777777" w:rsidR="00B220A6" w:rsidRPr="00672D61" w:rsidRDefault="00B220A6" w:rsidP="00B220A6">
      <w:pPr>
        <w:ind w:left="1440" w:hanging="1440"/>
        <w:rPr>
          <w:ins w:id="930" w:author="Sam Dent" w:date="2022-09-08T11:49:00Z"/>
        </w:rPr>
      </w:pPr>
      <w:ins w:id="931" w:author="Sam Dent" w:date="2022-09-08T11:49:00Z">
        <w:r>
          <w:tab/>
        </w:r>
        <w:proofErr w:type="spellStart"/>
        <w:r>
          <w:t>kWh</w:t>
        </w:r>
        <w:r>
          <w:rPr>
            <w:vertAlign w:val="subscript"/>
          </w:rPr>
          <w:t>per</w:t>
        </w:r>
        <w:proofErr w:type="spellEnd"/>
        <w:r>
          <w:t xml:space="preserve"> should include secondary kWh savings where appropriate.</w:t>
        </w:r>
      </w:ins>
    </w:p>
    <w:p w14:paraId="2CCE1BA9" w14:textId="77777777" w:rsidR="00B220A6" w:rsidRDefault="00B220A6" w:rsidP="00B220A6">
      <w:pPr>
        <w:rPr>
          <w:ins w:id="932" w:author="Sam Dent" w:date="2022-09-08T11:49:00Z"/>
        </w:rPr>
      </w:pPr>
      <w:ins w:id="933" w:author="Sam Dent" w:date="2022-09-08T11:49:00Z">
        <w:r>
          <w:t>Summer Coincident Peak Demand Savings</w:t>
        </w:r>
      </w:ins>
    </w:p>
    <w:p w14:paraId="7A07F723" w14:textId="77777777" w:rsidR="00B220A6" w:rsidRDefault="00B220A6" w:rsidP="00B220A6">
      <w:pPr>
        <w:rPr>
          <w:ins w:id="934" w:author="Sam Dent" w:date="2022-09-08T11:49:00Z"/>
        </w:rPr>
      </w:pPr>
      <m:oMathPara>
        <m:oMath>
          <m:r>
            <w:ins w:id="935" w:author="Sam Dent" w:date="2022-09-08T11:49:00Z">
              <w:rPr>
                <w:rFonts w:ascii="Cambria Math" w:hAnsi="Cambria Math"/>
              </w:rPr>
              <m:t>ΔkW=PR</m:t>
            </w:ins>
          </m:r>
          <m:r>
            <w:ins w:id="936" w:author="Sam Dent" w:date="2022-09-08T11:49:00Z">
              <w:rPr>
                <w:rFonts w:ascii="Cambria Math" w:eastAsia="Calibri" w:hAnsi="Cambria Math"/>
              </w:rPr>
              <m:t>×Qty×</m:t>
            </w:ins>
          </m:r>
          <m:r>
            <w:ins w:id="937" w:author="Sam Dent" w:date="2022-09-08T11:49:00Z">
              <w:rPr>
                <w:rFonts w:ascii="Cambria Math" w:hAnsi="Cambria Math"/>
              </w:rPr>
              <m:t>UAS</m:t>
            </w:ins>
          </m:r>
          <m:r>
            <w:ins w:id="938" w:author="Sam Dent" w:date="2022-09-08T11:49:00Z">
              <w:rPr>
                <w:rFonts w:ascii="Cambria Math" w:eastAsia="Calibri" w:hAnsi="Cambria Math"/>
              </w:rPr>
              <m:t>×</m:t>
            </w:ins>
          </m:r>
          <m:sSub>
            <m:sSubPr>
              <m:ctrlPr>
                <w:ins w:id="939" w:author="Sam Dent" w:date="2022-09-08T11:49:00Z">
                  <w:rPr>
                    <w:rFonts w:ascii="Cambria Math" w:hAnsi="Cambria Math"/>
                    <w:i/>
                  </w:rPr>
                </w:ins>
              </m:ctrlPr>
            </m:sSubPr>
            <m:e>
              <m:r>
                <w:ins w:id="940" w:author="Sam Dent" w:date="2022-09-08T11:49:00Z">
                  <w:rPr>
                    <w:rFonts w:ascii="Cambria Math" w:hAnsi="Cambria Math"/>
                  </w:rPr>
                  <m:t>kW</m:t>
                </w:ins>
              </m:r>
            </m:e>
            <m:sub>
              <m:r>
                <w:ins w:id="941" w:author="Sam Dent" w:date="2022-09-08T11:49:00Z">
                  <w:rPr>
                    <w:rFonts w:ascii="Cambria Math" w:hAnsi="Cambria Math"/>
                  </w:rPr>
                  <m:t>per</m:t>
                </w:ins>
              </m:r>
            </m:sub>
          </m:sSub>
        </m:oMath>
      </m:oMathPara>
    </w:p>
    <w:p w14:paraId="1EA0E444" w14:textId="77777777" w:rsidR="00B220A6" w:rsidRDefault="00B220A6" w:rsidP="00B220A6">
      <w:pPr>
        <w:ind w:left="1440" w:hanging="1440"/>
        <w:rPr>
          <w:ins w:id="942" w:author="Sam Dent" w:date="2022-09-08T11:49:00Z"/>
        </w:rPr>
      </w:pPr>
      <w:proofErr w:type="spellStart"/>
      <w:ins w:id="943" w:author="Sam Dent" w:date="2022-09-08T11:49:00Z">
        <w:r w:rsidRPr="0017415D">
          <w:t>kW</w:t>
        </w:r>
        <w:r w:rsidRPr="005355F4">
          <w:rPr>
            <w:vertAlign w:val="subscript"/>
          </w:rPr>
          <w:t>per</w:t>
        </w:r>
        <w:proofErr w:type="spellEnd"/>
        <w:r>
          <w:tab/>
          <w:t>= Develop unitary demand savings based on the measure’s corresponding TRM section.</w:t>
        </w:r>
      </w:ins>
    </w:p>
    <w:p w14:paraId="1D61C392" w14:textId="77777777" w:rsidR="00B220A6" w:rsidRDefault="00B220A6" w:rsidP="00B220A6">
      <w:pPr>
        <w:pStyle w:val="Heading6"/>
        <w:rPr>
          <w:ins w:id="944" w:author="Sam Dent" w:date="2022-09-08T11:49:00Z"/>
        </w:rPr>
      </w:pPr>
      <w:ins w:id="945" w:author="Sam Dent" w:date="2022-09-08T11:49:00Z">
        <w:r>
          <w:t>Natural Gas Savings</w:t>
        </w:r>
      </w:ins>
    </w:p>
    <w:p w14:paraId="4A987ABA" w14:textId="77777777" w:rsidR="00B220A6" w:rsidRDefault="00B220A6" w:rsidP="00B220A6">
      <w:pPr>
        <w:rPr>
          <w:ins w:id="946" w:author="Sam Dent" w:date="2022-09-08T11:49:00Z"/>
        </w:rPr>
      </w:pPr>
      <m:oMathPara>
        <m:oMath>
          <m:r>
            <w:ins w:id="947" w:author="Sam Dent" w:date="2022-09-08T11:49:00Z">
              <w:rPr>
                <w:rFonts w:ascii="Cambria Math" w:hAnsi="Cambria Math"/>
              </w:rPr>
              <m:t>ΔTherms=PR</m:t>
            </w:ins>
          </m:r>
          <m:r>
            <w:ins w:id="948" w:author="Sam Dent" w:date="2022-09-08T11:49:00Z">
              <w:rPr>
                <w:rFonts w:ascii="Cambria Math" w:eastAsia="Calibri" w:hAnsi="Cambria Math"/>
              </w:rPr>
              <m:t>×Qty×</m:t>
            </w:ins>
          </m:r>
          <m:r>
            <w:ins w:id="949" w:author="Sam Dent" w:date="2022-09-08T11:49:00Z">
              <w:rPr>
                <w:rFonts w:ascii="Cambria Math" w:hAnsi="Cambria Math"/>
              </w:rPr>
              <m:t>UAS</m:t>
            </w:ins>
          </m:r>
          <m:r>
            <w:ins w:id="950" w:author="Sam Dent" w:date="2022-09-08T11:49:00Z">
              <w:rPr>
                <w:rFonts w:ascii="Cambria Math" w:eastAsia="Calibri" w:hAnsi="Cambria Math"/>
              </w:rPr>
              <m:t>×</m:t>
            </w:ins>
          </m:r>
          <m:sSub>
            <m:sSubPr>
              <m:ctrlPr>
                <w:ins w:id="951" w:author="Sam Dent" w:date="2022-09-08T11:49:00Z">
                  <w:rPr>
                    <w:rFonts w:ascii="Cambria Math" w:hAnsi="Cambria Math"/>
                    <w:i/>
                  </w:rPr>
                </w:ins>
              </m:ctrlPr>
            </m:sSubPr>
            <m:e>
              <m:r>
                <w:ins w:id="952" w:author="Sam Dent" w:date="2022-09-08T11:49:00Z">
                  <w:rPr>
                    <w:rFonts w:ascii="Cambria Math" w:hAnsi="Cambria Math"/>
                  </w:rPr>
                  <m:t>Therms</m:t>
                </w:ins>
              </m:r>
            </m:e>
            <m:sub>
              <m:r>
                <w:ins w:id="953" w:author="Sam Dent" w:date="2022-09-08T11:49:00Z">
                  <w:rPr>
                    <w:rFonts w:ascii="Cambria Math" w:hAnsi="Cambria Math"/>
                  </w:rPr>
                  <m:t>per</m:t>
                </w:ins>
              </m:r>
            </m:sub>
          </m:sSub>
        </m:oMath>
      </m:oMathPara>
    </w:p>
    <w:p w14:paraId="56A8FE5F" w14:textId="77777777" w:rsidR="00B220A6" w:rsidRDefault="00B220A6" w:rsidP="00B220A6">
      <w:pPr>
        <w:ind w:left="1440" w:hanging="1440"/>
        <w:rPr>
          <w:ins w:id="954" w:author="Sam Dent" w:date="2022-09-08T11:49:00Z"/>
        </w:rPr>
      </w:pPr>
      <w:proofErr w:type="spellStart"/>
      <w:ins w:id="955" w:author="Sam Dent" w:date="2022-09-08T11:49:00Z">
        <w:r>
          <w:t>Therms</w:t>
        </w:r>
        <w:r w:rsidRPr="005355F4">
          <w:rPr>
            <w:vertAlign w:val="subscript"/>
          </w:rPr>
          <w:t>per</w:t>
        </w:r>
        <w:proofErr w:type="spellEnd"/>
        <w:r>
          <w:tab/>
          <w:t xml:space="preserve">= Develop unitary </w:t>
        </w:r>
        <w:proofErr w:type="spellStart"/>
        <w:r>
          <w:t>therm</w:t>
        </w:r>
        <w:proofErr w:type="spellEnd"/>
        <w:r>
          <w:t xml:space="preserve"> savings based on the measure’s corresponding TRM section.</w:t>
        </w:r>
      </w:ins>
    </w:p>
    <w:p w14:paraId="2C336352" w14:textId="77777777" w:rsidR="00B220A6" w:rsidRDefault="00B220A6" w:rsidP="00B220A6">
      <w:pPr>
        <w:pStyle w:val="Heading6"/>
        <w:rPr>
          <w:ins w:id="956" w:author="Sam Dent" w:date="2022-09-08T11:49:00Z"/>
        </w:rPr>
      </w:pPr>
      <w:ins w:id="957" w:author="Sam Dent" w:date="2022-09-08T11:49:00Z">
        <w:r>
          <w:t xml:space="preserve">Water and Other Non-Energy Impact Descriptions and Calculation  </w:t>
        </w:r>
      </w:ins>
    </w:p>
    <w:p w14:paraId="4A760E57" w14:textId="77777777" w:rsidR="00B220A6" w:rsidRDefault="00B220A6" w:rsidP="00B220A6">
      <w:pPr>
        <w:rPr>
          <w:ins w:id="958" w:author="Sam Dent" w:date="2022-09-08T11:49:00Z"/>
        </w:rPr>
      </w:pPr>
      <m:oMathPara>
        <m:oMath>
          <m:r>
            <w:ins w:id="959" w:author="Sam Dent" w:date="2022-09-08T11:49:00Z">
              <w:rPr>
                <w:rFonts w:ascii="Cambria Math" w:hAnsi="Cambria Math"/>
              </w:rPr>
              <m:t xml:space="preserve">∆Water </m:t>
            </w:ins>
          </m:r>
          <m:d>
            <m:dPr>
              <m:ctrlPr>
                <w:ins w:id="960" w:author="Sam Dent" w:date="2022-09-08T11:49:00Z">
                  <w:rPr>
                    <w:rFonts w:ascii="Cambria Math" w:hAnsi="Cambria Math"/>
                    <w:i/>
                  </w:rPr>
                </w:ins>
              </m:ctrlPr>
            </m:dPr>
            <m:e>
              <m:r>
                <w:ins w:id="961" w:author="Sam Dent" w:date="2022-09-08T11:49:00Z">
                  <w:rPr>
                    <w:rFonts w:ascii="Cambria Math" w:hAnsi="Cambria Math"/>
                  </w:rPr>
                  <m:t>gallons</m:t>
                </w:ins>
              </m:r>
            </m:e>
          </m:d>
          <m:r>
            <w:ins w:id="962" w:author="Sam Dent" w:date="2022-09-08T11:49:00Z">
              <w:rPr>
                <w:rFonts w:ascii="Cambria Math" w:hAnsi="Cambria Math"/>
              </w:rPr>
              <m:t>=PR</m:t>
            </w:ins>
          </m:r>
          <m:r>
            <w:ins w:id="963" w:author="Sam Dent" w:date="2022-09-08T11:49:00Z">
              <w:rPr>
                <w:rFonts w:ascii="Cambria Math" w:eastAsia="Calibri" w:hAnsi="Cambria Math"/>
              </w:rPr>
              <m:t>×Qty×</m:t>
            </w:ins>
          </m:r>
          <m:r>
            <w:ins w:id="964" w:author="Sam Dent" w:date="2022-09-08T11:49:00Z">
              <w:rPr>
                <w:rFonts w:ascii="Cambria Math" w:hAnsi="Cambria Math"/>
              </w:rPr>
              <m:t>UAS</m:t>
            </w:ins>
          </m:r>
          <m:r>
            <w:ins w:id="965" w:author="Sam Dent" w:date="2022-09-08T11:49:00Z">
              <w:rPr>
                <w:rFonts w:ascii="Cambria Math" w:eastAsia="Calibri" w:hAnsi="Cambria Math"/>
              </w:rPr>
              <m:t>×</m:t>
            </w:ins>
          </m:r>
          <m:sSub>
            <m:sSubPr>
              <m:ctrlPr>
                <w:ins w:id="966" w:author="Sam Dent" w:date="2022-09-08T11:49:00Z">
                  <w:rPr>
                    <w:rFonts w:ascii="Cambria Math" w:hAnsi="Cambria Math"/>
                    <w:i/>
                  </w:rPr>
                </w:ins>
              </m:ctrlPr>
            </m:sSubPr>
            <m:e>
              <m:r>
                <w:ins w:id="967" w:author="Sam Dent" w:date="2022-09-08T11:49:00Z">
                  <w:rPr>
                    <w:rFonts w:ascii="Cambria Math" w:hAnsi="Cambria Math"/>
                  </w:rPr>
                  <m:t>∆Water</m:t>
                </w:ins>
              </m:r>
            </m:e>
            <m:sub>
              <m:r>
                <w:ins w:id="968" w:author="Sam Dent" w:date="2022-09-08T11:49:00Z">
                  <w:rPr>
                    <w:rFonts w:ascii="Cambria Math" w:hAnsi="Cambria Math"/>
                  </w:rPr>
                  <m:t>per</m:t>
                </w:ins>
              </m:r>
            </m:sub>
          </m:sSub>
        </m:oMath>
      </m:oMathPara>
    </w:p>
    <w:p w14:paraId="2E10F95F" w14:textId="77777777" w:rsidR="00B220A6" w:rsidRDefault="00B220A6" w:rsidP="00B220A6">
      <w:pPr>
        <w:rPr>
          <w:ins w:id="969" w:author="Sam Dent" w:date="2022-09-08T11:49:00Z"/>
        </w:rPr>
      </w:pPr>
      <w:proofErr w:type="gramStart"/>
      <w:ins w:id="970" w:author="Sam Dent" w:date="2022-09-08T11:49:00Z">
        <w:r>
          <w:t>Where</w:t>
        </w:r>
        <w:proofErr w:type="gramEnd"/>
      </w:ins>
    </w:p>
    <w:p w14:paraId="5C3B7C37" w14:textId="77777777" w:rsidR="00B220A6" w:rsidRDefault="00B220A6" w:rsidP="00B220A6">
      <w:pPr>
        <w:ind w:firstLine="720"/>
        <w:rPr>
          <w:ins w:id="971" w:author="Sam Dent" w:date="2022-09-08T11:49:00Z"/>
        </w:rPr>
      </w:pPr>
      <w:ins w:id="972" w:author="Sam Dent" w:date="2022-09-08T11:49:00Z">
        <w:r w:rsidRPr="00C3733F">
          <w:t>∆Water (gallons)</w:t>
        </w:r>
        <w:r w:rsidRPr="00C3733F">
          <w:tab/>
          <w:t xml:space="preserve">= Water saved, in gallons </w:t>
        </w:r>
      </w:ins>
    </w:p>
    <w:p w14:paraId="7119277D" w14:textId="77777777" w:rsidR="00B220A6" w:rsidRDefault="00B220A6" w:rsidP="00B220A6">
      <w:pPr>
        <w:ind w:left="2160" w:hanging="1440"/>
        <w:rPr>
          <w:ins w:id="973" w:author="Sam Dent" w:date="2022-09-08T11:49:00Z"/>
        </w:rPr>
      </w:pPr>
      <w:ins w:id="974" w:author="Sam Dent" w:date="2022-09-08T11:49:00Z">
        <w:r w:rsidRPr="00C3733F">
          <w:t>∆</w:t>
        </w:r>
        <w:proofErr w:type="spellStart"/>
        <w:r w:rsidRPr="00C3733F">
          <w:t>Water</w:t>
        </w:r>
        <w:r w:rsidRPr="00C3733F">
          <w:rPr>
            <w:vertAlign w:val="subscript"/>
          </w:rPr>
          <w:t>per</w:t>
        </w:r>
        <w:proofErr w:type="spellEnd"/>
        <w:r w:rsidRPr="00C3733F">
          <w:t xml:space="preserve"> </w:t>
        </w:r>
        <w:r>
          <w:tab/>
        </w:r>
        <w:r w:rsidRPr="00C3733F">
          <w:t xml:space="preserve">= </w:t>
        </w:r>
        <w:r>
          <w:t>Develop unitary water savings based on the measure’s corresponding TRM section.</w:t>
        </w:r>
      </w:ins>
    </w:p>
    <w:p w14:paraId="6D0CDA9F" w14:textId="77777777" w:rsidR="00B220A6" w:rsidRDefault="00B220A6" w:rsidP="00B220A6">
      <w:pPr>
        <w:pStyle w:val="Heading6"/>
        <w:rPr>
          <w:ins w:id="975" w:author="Sam Dent" w:date="2022-09-08T11:49:00Z"/>
        </w:rPr>
      </w:pPr>
      <w:ins w:id="976" w:author="Sam Dent" w:date="2022-09-08T11:49:00Z">
        <w:r>
          <w:t>Deemed O&amp;M Cost Adjustment Calculation</w:t>
        </w:r>
      </w:ins>
    </w:p>
    <w:p w14:paraId="212BFB7A" w14:textId="77777777" w:rsidR="00B220A6" w:rsidRDefault="00B220A6" w:rsidP="00B220A6">
      <w:pPr>
        <w:rPr>
          <w:ins w:id="977" w:author="Sam Dent" w:date="2022-09-08T11:49:00Z"/>
          <w:rFonts w:cstheme="minorHAnsi"/>
        </w:rPr>
      </w:pPr>
      <w:ins w:id="978" w:author="Sam Dent" w:date="2022-09-08T11:49:00Z">
        <w:r>
          <w:rPr>
            <w:rFonts w:cstheme="minorHAnsi"/>
          </w:rPr>
          <w:t>N/A</w:t>
        </w:r>
      </w:ins>
    </w:p>
    <w:p w14:paraId="6742D88B" w14:textId="2948130F" w:rsidR="00314F69" w:rsidRDefault="00314F69" w:rsidP="00314F69">
      <w:pPr>
        <w:pStyle w:val="Heading6"/>
        <w:rPr>
          <w:ins w:id="979" w:author="Sam Dent" w:date="2022-06-23T05:31:00Z"/>
          <w:rFonts w:eastAsia="Franklin Gothic Book"/>
        </w:rPr>
      </w:pPr>
      <w:ins w:id="980" w:author="Sam Dent" w:date="2022-06-23T05:31:00Z">
        <w:r w:rsidRPr="004E1A44">
          <w:t>Measure Code: CC-</w:t>
        </w:r>
      </w:ins>
      <w:ins w:id="981" w:author="Sam Dent" w:date="2022-06-23T05:38:00Z">
        <w:r w:rsidR="00243706">
          <w:t>PTS</w:t>
        </w:r>
      </w:ins>
      <w:ins w:id="982" w:author="Sam Dent" w:date="2022-06-23T05:31:00Z">
        <w:r w:rsidRPr="004E1A44">
          <w:t>-</w:t>
        </w:r>
        <w:r>
          <w:t>ECT</w:t>
        </w:r>
        <w:r w:rsidRPr="004E1A44">
          <w:t>-V0</w:t>
        </w:r>
        <w:r>
          <w:t>1</w:t>
        </w:r>
        <w:r w:rsidRPr="004E1A44">
          <w:t>-</w:t>
        </w:r>
        <w:r>
          <w:t>2301</w:t>
        </w:r>
        <w:r w:rsidRPr="004E1A44">
          <w:t>01</w:t>
        </w:r>
      </w:ins>
    </w:p>
    <w:p w14:paraId="084AA109" w14:textId="113267B1" w:rsidR="00871BCC" w:rsidRPr="006C2C70" w:rsidRDefault="00314F69" w:rsidP="004D1B5D">
      <w:pPr>
        <w:pStyle w:val="Heading6"/>
        <w:rPr>
          <w:rFonts w:eastAsia="Franklin Gothic Book"/>
        </w:rPr>
        <w:sectPr w:rsidR="00871BCC" w:rsidRPr="006C2C70" w:rsidSect="000A7F94">
          <w:headerReference w:type="default" r:id="rId38"/>
          <w:pgSz w:w="12240" w:h="15840"/>
          <w:pgMar w:top="1440" w:right="1440" w:bottom="1440" w:left="1440" w:header="720" w:footer="720" w:gutter="0"/>
          <w:cols w:space="720"/>
          <w:docGrid w:linePitch="360"/>
        </w:sectPr>
      </w:pPr>
      <w:ins w:id="983" w:author="Sam Dent" w:date="2022-06-23T05:31:00Z">
        <w:r>
          <w:rPr>
            <w:rFonts w:eastAsia="Franklin Gothic Book"/>
          </w:rPr>
          <w:t>Review Deadline: 1/1/2025</w:t>
        </w:r>
      </w:ins>
    </w:p>
    <w:p w14:paraId="4789DACB" w14:textId="1A867B77" w:rsidR="00D34C6E" w:rsidRPr="00B622E5" w:rsidRDefault="00D34C6E" w:rsidP="00D34C6E">
      <w:pPr>
        <w:jc w:val="center"/>
        <w:rPr>
          <w:rFonts w:eastAsia="Franklin Gothic Book"/>
          <w:b/>
          <w:sz w:val="56"/>
          <w:szCs w:val="40"/>
        </w:rPr>
      </w:pPr>
      <w:bookmarkStart w:id="984" w:name="_Toc401839534"/>
      <w:bookmarkEnd w:id="16"/>
      <w:bookmarkEnd w:id="17"/>
      <w:bookmarkEnd w:id="769"/>
      <w:r>
        <w:rPr>
          <w:rFonts w:eastAsia="Franklin Gothic Book"/>
          <w:b/>
          <w:sz w:val="56"/>
          <w:szCs w:val="40"/>
        </w:rPr>
        <w:lastRenderedPageBreak/>
        <w:t>20</w:t>
      </w:r>
      <w:r w:rsidR="00566238">
        <w:rPr>
          <w:rFonts w:eastAsia="Franklin Gothic Book"/>
          <w:b/>
          <w:sz w:val="56"/>
          <w:szCs w:val="40"/>
        </w:rPr>
        <w:t>2</w:t>
      </w:r>
      <w:del w:id="985" w:author="Kalee Whitehouse" w:date="2022-06-21T15:27:00Z">
        <w:r w:rsidR="00566238" w:rsidDel="00BB7592">
          <w:rPr>
            <w:rFonts w:eastAsia="Franklin Gothic Book"/>
            <w:b/>
            <w:sz w:val="56"/>
            <w:szCs w:val="40"/>
          </w:rPr>
          <w:delText>1</w:delText>
        </w:r>
      </w:del>
      <w:ins w:id="986" w:author="Kalee Whitehouse" w:date="2022-06-21T15:27:00Z">
        <w:r w:rsidR="00FF629E">
          <w:rPr>
            <w:rFonts w:eastAsia="Franklin Gothic Book"/>
            <w:b/>
            <w:sz w:val="56"/>
            <w:szCs w:val="40"/>
          </w:rPr>
          <w:t>3</w:t>
        </w:r>
      </w:ins>
      <w:r>
        <w:rPr>
          <w:rFonts w:eastAsia="Franklin Gothic Book"/>
          <w:b/>
          <w:sz w:val="56"/>
          <w:szCs w:val="40"/>
        </w:rPr>
        <w:t xml:space="preserve"> </w:t>
      </w:r>
      <w:r w:rsidRPr="00B622E5">
        <w:rPr>
          <w:rFonts w:eastAsia="Franklin Gothic Book"/>
          <w:b/>
          <w:sz w:val="56"/>
          <w:szCs w:val="40"/>
        </w:rPr>
        <w:t>Illinois Statewide</w:t>
      </w:r>
    </w:p>
    <w:p w14:paraId="0E9B7471" w14:textId="77777777" w:rsidR="00D34C6E" w:rsidRPr="00B622E5" w:rsidRDefault="00D34C6E" w:rsidP="00D34C6E">
      <w:pPr>
        <w:jc w:val="center"/>
        <w:rPr>
          <w:rFonts w:eastAsia="Franklin Gothic Book"/>
          <w:b/>
          <w:sz w:val="56"/>
          <w:szCs w:val="40"/>
        </w:rPr>
      </w:pPr>
      <w:r w:rsidRPr="00B622E5">
        <w:rPr>
          <w:rFonts w:eastAsia="Franklin Gothic Book"/>
          <w:b/>
          <w:sz w:val="56"/>
          <w:szCs w:val="40"/>
        </w:rPr>
        <w:t>Technical Reference Manual</w:t>
      </w:r>
    </w:p>
    <w:p w14:paraId="47E1C608" w14:textId="77777777" w:rsidR="00FF629E" w:rsidRDefault="00D34C6E" w:rsidP="00D34C6E">
      <w:pPr>
        <w:jc w:val="center"/>
        <w:rPr>
          <w:ins w:id="987" w:author="Kalee Whitehouse" w:date="2022-06-21T15:58:00Z"/>
          <w:rFonts w:eastAsia="Franklin Gothic Book"/>
          <w:b/>
          <w:sz w:val="56"/>
          <w:szCs w:val="40"/>
        </w:rPr>
      </w:pPr>
      <w:r w:rsidRPr="00B622E5">
        <w:rPr>
          <w:rFonts w:eastAsia="Franklin Gothic Book"/>
          <w:b/>
          <w:sz w:val="56"/>
          <w:szCs w:val="40"/>
        </w:rPr>
        <w:t xml:space="preserve">for Energy Efficiency Version </w:t>
      </w:r>
      <w:ins w:id="988" w:author="Kalee Whitehouse" w:date="2022-06-21T15:58:00Z">
        <w:r w:rsidR="00FF629E">
          <w:rPr>
            <w:rFonts w:eastAsia="Franklin Gothic Book"/>
            <w:b/>
            <w:sz w:val="56"/>
            <w:szCs w:val="40"/>
          </w:rPr>
          <w:t>\</w:t>
        </w:r>
      </w:ins>
    </w:p>
    <w:p w14:paraId="7CCECC98" w14:textId="77F9DEB5" w:rsidR="00D34C6E" w:rsidRPr="00B622E5" w:rsidRDefault="00566238" w:rsidP="00D34C6E">
      <w:pPr>
        <w:jc w:val="center"/>
        <w:rPr>
          <w:rFonts w:eastAsia="Franklin Gothic Book"/>
          <w:b/>
          <w:sz w:val="56"/>
          <w:szCs w:val="40"/>
        </w:rPr>
      </w:pPr>
      <w:r>
        <w:rPr>
          <w:rFonts w:eastAsia="Franklin Gothic Book"/>
          <w:b/>
          <w:sz w:val="56"/>
          <w:szCs w:val="40"/>
        </w:rPr>
        <w:t>9</w:t>
      </w:r>
      <w:r w:rsidR="00D34C6E" w:rsidRPr="00B622E5">
        <w:rPr>
          <w:rFonts w:eastAsia="Franklin Gothic Book"/>
          <w:b/>
          <w:sz w:val="56"/>
          <w:szCs w:val="40"/>
        </w:rPr>
        <w:t>.0</w:t>
      </w:r>
    </w:p>
    <w:p w14:paraId="248BD03E" w14:textId="77777777" w:rsidR="00D34C6E" w:rsidRPr="006039C4" w:rsidRDefault="00D34C6E" w:rsidP="00D34C6E">
      <w:pPr>
        <w:jc w:val="center"/>
        <w:rPr>
          <w:rFonts w:eastAsia="Franklin Gothic Book"/>
          <w:b/>
          <w:sz w:val="56"/>
          <w:szCs w:val="56"/>
        </w:rPr>
      </w:pPr>
    </w:p>
    <w:p w14:paraId="22C09917" w14:textId="77777777" w:rsidR="00D34C6E" w:rsidRPr="00B622E5" w:rsidRDefault="00D34C6E" w:rsidP="00D34C6E">
      <w:pPr>
        <w:jc w:val="center"/>
        <w:rPr>
          <w:rFonts w:eastAsia="Franklin Gothic Book"/>
          <w:b/>
          <w:sz w:val="56"/>
          <w:szCs w:val="72"/>
        </w:rPr>
      </w:pPr>
      <w:r w:rsidRPr="00B622E5">
        <w:rPr>
          <w:rFonts w:eastAsia="Franklin Gothic Book"/>
          <w:b/>
          <w:sz w:val="56"/>
          <w:szCs w:val="72"/>
        </w:rPr>
        <w:t>Attachment A</w:t>
      </w:r>
    </w:p>
    <w:p w14:paraId="51BDD488" w14:textId="77777777" w:rsidR="00D34C6E" w:rsidRDefault="00D34C6E" w:rsidP="00D34C6E">
      <w:pPr>
        <w:jc w:val="center"/>
        <w:rPr>
          <w:rFonts w:eastAsia="Franklin Gothic Book"/>
          <w:b/>
          <w:sz w:val="28"/>
        </w:rPr>
      </w:pPr>
    </w:p>
    <w:p w14:paraId="7A8F42B0" w14:textId="77777777" w:rsidR="00D34C6E" w:rsidRPr="00B622E5" w:rsidRDefault="00D34C6E" w:rsidP="00D34C6E">
      <w:pPr>
        <w:jc w:val="center"/>
        <w:rPr>
          <w:rFonts w:eastAsia="Franklin Gothic Book"/>
          <w:b/>
          <w:sz w:val="56"/>
          <w:szCs w:val="72"/>
        </w:rPr>
      </w:pPr>
      <w:r>
        <w:rPr>
          <w:rFonts w:eastAsia="Franklin Gothic Book"/>
          <w:b/>
          <w:sz w:val="56"/>
          <w:szCs w:val="72"/>
        </w:rPr>
        <w:t xml:space="preserve">Illinois Statewide </w:t>
      </w:r>
      <w:r w:rsidRPr="00B622E5">
        <w:rPr>
          <w:rFonts w:eastAsia="Franklin Gothic Book"/>
          <w:b/>
          <w:sz w:val="56"/>
          <w:szCs w:val="72"/>
        </w:rPr>
        <w:t>Net-to-Gross</w:t>
      </w:r>
    </w:p>
    <w:p w14:paraId="64FE5F9C" w14:textId="77777777" w:rsidR="00D34C6E" w:rsidRPr="00B622E5" w:rsidRDefault="00D34C6E" w:rsidP="00D34C6E">
      <w:pPr>
        <w:jc w:val="center"/>
        <w:rPr>
          <w:rFonts w:eastAsia="Franklin Gothic Book"/>
          <w:b/>
          <w:color w:val="8496B0" w:themeColor="text2" w:themeTint="99"/>
          <w:sz w:val="36"/>
        </w:rPr>
      </w:pPr>
      <w:r w:rsidRPr="00B622E5">
        <w:rPr>
          <w:rFonts w:eastAsia="Franklin Gothic Book"/>
          <w:b/>
          <w:sz w:val="56"/>
          <w:szCs w:val="72"/>
        </w:rPr>
        <w:t>Methodologies</w:t>
      </w:r>
    </w:p>
    <w:p w14:paraId="0DA6BF50" w14:textId="77777777" w:rsidR="00D34C6E" w:rsidRPr="00D53CEE" w:rsidRDefault="00D34C6E" w:rsidP="00D34C6E">
      <w:pPr>
        <w:jc w:val="center"/>
        <w:rPr>
          <w:rFonts w:eastAsia="Franklin Gothic Book"/>
          <w:b/>
          <w:sz w:val="28"/>
        </w:rPr>
      </w:pPr>
    </w:p>
    <w:p w14:paraId="51061928" w14:textId="77777777" w:rsidR="00D34C6E" w:rsidRDefault="00D34C6E" w:rsidP="00D34C6E">
      <w:pPr>
        <w:jc w:val="center"/>
        <w:rPr>
          <w:rFonts w:eastAsia="Franklin Gothic Book"/>
          <w:b/>
          <w:sz w:val="48"/>
          <w:szCs w:val="48"/>
        </w:rPr>
      </w:pPr>
    </w:p>
    <w:p w14:paraId="71FFFD1A" w14:textId="77777777" w:rsidR="00D34C6E" w:rsidRPr="00B622E5" w:rsidRDefault="00D34C6E" w:rsidP="00D34C6E">
      <w:pPr>
        <w:jc w:val="center"/>
        <w:rPr>
          <w:rFonts w:eastAsia="Franklin Gothic Book"/>
          <w:b/>
          <w:sz w:val="56"/>
          <w:szCs w:val="48"/>
        </w:rPr>
      </w:pPr>
    </w:p>
    <w:p w14:paraId="049DCC07" w14:textId="77777777" w:rsidR="00D34C6E" w:rsidRDefault="00D34C6E" w:rsidP="00D34C6E">
      <w:pPr>
        <w:rPr>
          <w:rFonts w:eastAsia="Franklin Gothic Book"/>
          <w:b/>
          <w:sz w:val="28"/>
        </w:rPr>
      </w:pPr>
    </w:p>
    <w:p w14:paraId="34A8EC81" w14:textId="77777777" w:rsidR="00D34C6E" w:rsidRDefault="00D34C6E" w:rsidP="00D34C6E">
      <w:pPr>
        <w:rPr>
          <w:rFonts w:eastAsia="Franklin Gothic Book"/>
          <w:b/>
          <w:sz w:val="28"/>
        </w:rPr>
      </w:pPr>
    </w:p>
    <w:p w14:paraId="4F85E109" w14:textId="77777777" w:rsidR="00D34C6E" w:rsidRPr="00E40261" w:rsidRDefault="00D34C6E" w:rsidP="00D34C6E">
      <w:pPr>
        <w:jc w:val="center"/>
        <w:rPr>
          <w:rFonts w:eastAsia="Franklin Gothic Book"/>
          <w:b/>
          <w:sz w:val="56"/>
          <w:szCs w:val="48"/>
        </w:rPr>
      </w:pPr>
      <w:r w:rsidRPr="00E40261">
        <w:rPr>
          <w:rFonts w:eastAsia="Franklin Gothic Book"/>
          <w:b/>
          <w:sz w:val="56"/>
          <w:szCs w:val="48"/>
        </w:rPr>
        <w:t>Effective for Evaluation</w:t>
      </w:r>
    </w:p>
    <w:p w14:paraId="5E16FDBE" w14:textId="77777777" w:rsidR="00D34C6E" w:rsidRDefault="00D34C6E" w:rsidP="00D34C6E">
      <w:pPr>
        <w:spacing w:after="200" w:line="276" w:lineRule="auto"/>
        <w:jc w:val="center"/>
        <w:rPr>
          <w:rFonts w:eastAsia="Franklin Gothic Book"/>
          <w:sz w:val="28"/>
        </w:rPr>
        <w:sectPr w:rsidR="00D34C6E" w:rsidSect="00482E90">
          <w:headerReference w:type="default" r:id="rId39"/>
          <w:pgSz w:w="12240" w:h="15840"/>
          <w:pgMar w:top="1440" w:right="1440" w:bottom="1440" w:left="1440" w:header="720" w:footer="720" w:gutter="0"/>
          <w:cols w:space="720"/>
          <w:docGrid w:linePitch="360"/>
        </w:sectPr>
      </w:pPr>
      <w:r w:rsidRPr="0044296F">
        <w:rPr>
          <w:rFonts w:eastAsia="Franklin Gothic Book"/>
          <w:sz w:val="28"/>
        </w:rPr>
        <w:t>All NTG data collection and analysis activities for the program types covered by this document shall conform to the NTG methods set forth herein.</w:t>
      </w:r>
    </w:p>
    <w:p w14:paraId="33115C4F" w14:textId="77777777" w:rsidR="00D34C6E" w:rsidRDefault="00D34C6E" w:rsidP="00D34C6E">
      <w:pPr>
        <w:pStyle w:val="Heading1"/>
        <w:keepLines w:val="0"/>
        <w:widowControl/>
        <w:jc w:val="left"/>
        <w:rPr>
          <w:rFonts w:eastAsia="Franklin Gothic Book"/>
        </w:rPr>
      </w:pPr>
      <w:bookmarkStart w:id="989" w:name="_Toc431526431"/>
      <w:bookmarkStart w:id="990" w:name="_Toc442804214"/>
      <w:bookmarkStart w:id="991" w:name="_Toc442805431"/>
      <w:bookmarkStart w:id="992" w:name="_Toc411554693"/>
      <w:bookmarkStart w:id="993" w:name="_Toc520462883"/>
      <w:bookmarkStart w:id="994" w:name="_Toc473108027"/>
      <w:bookmarkStart w:id="995" w:name="_Toc520824138"/>
      <w:bookmarkStart w:id="996" w:name="_Toc16619922"/>
      <w:bookmarkStart w:id="997" w:name="_Toc113619773"/>
      <w:r>
        <w:rPr>
          <w:rFonts w:eastAsia="Franklin Gothic Book"/>
        </w:rPr>
        <w:lastRenderedPageBreak/>
        <w:t xml:space="preserve">Attachment A: </w:t>
      </w:r>
      <w:r w:rsidRPr="009B67BF">
        <w:rPr>
          <w:rFonts w:eastAsia="Franklin Gothic Book"/>
        </w:rPr>
        <w:t>Illinois Statewide Net-to-Gross Methodologies</w:t>
      </w:r>
      <w:bookmarkEnd w:id="989"/>
      <w:bookmarkEnd w:id="990"/>
      <w:bookmarkEnd w:id="991"/>
      <w:bookmarkEnd w:id="992"/>
      <w:bookmarkEnd w:id="993"/>
      <w:bookmarkEnd w:id="994"/>
      <w:bookmarkEnd w:id="995"/>
      <w:bookmarkEnd w:id="996"/>
      <w:bookmarkEnd w:id="997"/>
    </w:p>
    <w:p w14:paraId="3C0F06F6" w14:textId="46A6FC96" w:rsidR="00D34C6E" w:rsidRPr="00343360" w:rsidRDefault="001B4EEC" w:rsidP="001B4EEC">
      <w:pPr>
        <w:pStyle w:val="Heading1"/>
      </w:pPr>
      <w:bookmarkStart w:id="998" w:name="_Toc113619774"/>
      <w:r>
        <w:t>1</w:t>
      </w:r>
      <w:r w:rsidR="000A0927">
        <w:tab/>
      </w:r>
      <w:r w:rsidR="00D34C6E" w:rsidRPr="00343360">
        <w:t>Policy Context for this Information</w:t>
      </w:r>
      <w:bookmarkEnd w:id="998"/>
    </w:p>
    <w:p w14:paraId="4D4F0D5F" w14:textId="4619ED8D" w:rsidR="004A1CB8" w:rsidRPr="009B67BF" w:rsidRDefault="004A1CB8" w:rsidP="004A1CB8">
      <w:pPr>
        <w:rPr>
          <w:rFonts w:eastAsia="Franklin Gothic Book"/>
        </w:rPr>
      </w:pPr>
      <w:bookmarkStart w:id="999" w:name="_Toc411599467"/>
      <w:bookmarkStart w:id="1000" w:name="_Toc472494767"/>
      <w:bookmarkStart w:id="1001" w:name="_Toc473108154"/>
      <w:bookmarkStart w:id="1002" w:name="_Toc520824285"/>
      <w:bookmarkStart w:id="1003" w:name="_Toc523148258"/>
      <w:bookmarkStart w:id="1004" w:name="_Toc16620019"/>
      <w:r>
        <w:rPr>
          <w:rFonts w:eastAsia="Franklin Gothic Book"/>
        </w:rPr>
        <w:t>Starting in 2014, t</w:t>
      </w:r>
      <w:r w:rsidRPr="009B67BF">
        <w:rPr>
          <w:rFonts w:eastAsia="Franklin Gothic Book"/>
        </w:rPr>
        <w:t xml:space="preserve">he Illinois Evaluation Teams (Cadmus Group, </w:t>
      </w:r>
      <w:proofErr w:type="spellStart"/>
      <w:r w:rsidRPr="009B67BF">
        <w:rPr>
          <w:rFonts w:eastAsia="Franklin Gothic Book"/>
        </w:rPr>
        <w:t>Itron</w:t>
      </w:r>
      <w:proofErr w:type="spellEnd"/>
      <w:r w:rsidRPr="009B67BF">
        <w:rPr>
          <w:rFonts w:eastAsia="Franklin Gothic Book"/>
        </w:rPr>
        <w:t>, Navigant Consulting, Opinion Dynamics, Ridge &amp; Associates) work</w:t>
      </w:r>
      <w:r>
        <w:rPr>
          <w:rFonts w:eastAsia="Franklin Gothic Book"/>
        </w:rPr>
        <w:t>ed</w:t>
      </w:r>
      <w:r w:rsidRPr="009B67BF">
        <w:rPr>
          <w:rFonts w:eastAsia="Franklin Gothic Book"/>
        </w:rPr>
        <w:t xml:space="preserve"> with the Illinois Stakeholder Advisory Group (SAG) to create an Illinois Statewide Net-to-Gross (NTG) Methodologies document (IL-NTG Methods). </w:t>
      </w:r>
      <w:r>
        <w:rPr>
          <w:rFonts w:eastAsia="Franklin Gothic Book"/>
        </w:rPr>
        <w:t>This document has been updated annually, including with input from the current Illinois Evaluation Teams (</w:t>
      </w:r>
      <w:proofErr w:type="spellStart"/>
      <w:r>
        <w:rPr>
          <w:rFonts w:eastAsia="Franklin Gothic Book"/>
        </w:rPr>
        <w:t>Guidehouse</w:t>
      </w:r>
      <w:proofErr w:type="spellEnd"/>
      <w:r>
        <w:rPr>
          <w:rFonts w:eastAsia="Franklin Gothic Book"/>
        </w:rPr>
        <w:t xml:space="preserve">, Opinion Dynamics, Ridge &amp; Associates, and Verdant). </w:t>
      </w:r>
      <w:r w:rsidRPr="009B67BF">
        <w:rPr>
          <w:rFonts w:eastAsia="Franklin Gothic Book"/>
        </w:rPr>
        <w:t>The IL-NTG Methods document is included as an attachment to the Illinois Statewide Technical Reference Manual for Energy Efficiency (IL-TRM). Through five different dockets, the Illinois Commerce Commission (ICC) has directed the Evaluation Teams to compile and formalize standard NTG methods for use in Illinois energy</w:t>
      </w:r>
      <w:r>
        <w:rPr>
          <w:rFonts w:eastAsia="Franklin Gothic Book"/>
        </w:rPr>
        <w:t xml:space="preserve"> </w:t>
      </w:r>
      <w:r w:rsidRPr="009B67BF">
        <w:rPr>
          <w:rFonts w:eastAsia="Franklin Gothic Book"/>
        </w:rPr>
        <w:t>efficiency (EE) evaluation, measurement</w:t>
      </w:r>
      <w:r>
        <w:rPr>
          <w:rFonts w:eastAsia="Franklin Gothic Book"/>
        </w:rPr>
        <w:t>,</w:t>
      </w:r>
      <w:r w:rsidRPr="009B67BF">
        <w:rPr>
          <w:rFonts w:eastAsia="Franklin Gothic Book"/>
        </w:rPr>
        <w:t xml:space="preserve"> and verification (EM&amp;V) work. The ICC EE dockets are shown in the following table.</w:t>
      </w:r>
    </w:p>
    <w:p w14:paraId="1382B6B8" w14:textId="77777777" w:rsidR="00D34C6E" w:rsidRPr="00D77363" w:rsidRDefault="00D34C6E" w:rsidP="0021790A">
      <w:pPr>
        <w:pStyle w:val="TableHeading"/>
        <w:rPr>
          <w:rFonts w:eastAsia="Franklin Gothic Book"/>
        </w:rPr>
      </w:pPr>
      <w:bookmarkStart w:id="1005" w:name="_Toc83376850"/>
      <w:r w:rsidRPr="00D77363">
        <w:t>Table 1</w:t>
      </w:r>
      <w:r w:rsidRPr="00D77363">
        <w:noBreakHyphen/>
        <w:t>1</w:t>
      </w:r>
      <w:r w:rsidRPr="00D77363">
        <w:rPr>
          <w:rFonts w:eastAsia="Franklin Gothic Book"/>
        </w:rPr>
        <w:t>. ICC Energy Efficiency Dockets</w:t>
      </w:r>
      <w:bookmarkEnd w:id="999"/>
      <w:bookmarkEnd w:id="1000"/>
      <w:bookmarkEnd w:id="1001"/>
      <w:bookmarkEnd w:id="1002"/>
      <w:bookmarkEnd w:id="1003"/>
      <w:bookmarkEnd w:id="1004"/>
      <w:bookmarkEnd w:id="100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4050"/>
        <w:gridCol w:w="1350"/>
        <w:gridCol w:w="2245"/>
      </w:tblGrid>
      <w:tr w:rsidR="00D34C6E" w:rsidRPr="002F5FEF" w14:paraId="5E5990DF" w14:textId="77777777" w:rsidTr="002B6C05">
        <w:trPr>
          <w:trHeight w:val="20"/>
        </w:trPr>
        <w:tc>
          <w:tcPr>
            <w:tcW w:w="1705" w:type="dxa"/>
            <w:tcBorders>
              <w:bottom w:val="single" w:sz="12" w:space="0" w:color="666666"/>
            </w:tcBorders>
            <w:shd w:val="clear" w:color="auto" w:fill="auto"/>
            <w:vAlign w:val="center"/>
            <w:hideMark/>
          </w:tcPr>
          <w:p w14:paraId="18A85FE7" w14:textId="77777777" w:rsidR="00D34C6E" w:rsidRPr="002F5FEF" w:rsidRDefault="00D34C6E" w:rsidP="002B6C05">
            <w:pPr>
              <w:spacing w:after="0"/>
              <w:jc w:val="center"/>
              <w:rPr>
                <w:rFonts w:eastAsia="Franklin Gothic Book"/>
                <w:b/>
                <w:bCs/>
              </w:rPr>
            </w:pPr>
            <w:r w:rsidRPr="002F5FEF">
              <w:rPr>
                <w:rFonts w:eastAsia="Franklin Gothic Book"/>
                <w:b/>
                <w:bCs/>
              </w:rPr>
              <w:t>ICC Order Docket No. and Date</w:t>
            </w:r>
          </w:p>
        </w:tc>
        <w:tc>
          <w:tcPr>
            <w:tcW w:w="4050" w:type="dxa"/>
            <w:tcBorders>
              <w:bottom w:val="single" w:sz="12" w:space="0" w:color="666666"/>
            </w:tcBorders>
            <w:shd w:val="clear" w:color="auto" w:fill="auto"/>
            <w:vAlign w:val="center"/>
            <w:hideMark/>
          </w:tcPr>
          <w:p w14:paraId="0E73D718" w14:textId="77777777" w:rsidR="00D34C6E" w:rsidRPr="002F5FEF" w:rsidRDefault="00D34C6E" w:rsidP="002B6C05">
            <w:pPr>
              <w:spacing w:after="0"/>
              <w:jc w:val="center"/>
              <w:rPr>
                <w:rFonts w:eastAsia="Franklin Gothic Book"/>
                <w:b/>
                <w:bCs/>
              </w:rPr>
            </w:pPr>
            <w:r w:rsidRPr="002F5FEF">
              <w:rPr>
                <w:rFonts w:eastAsia="Franklin Gothic Book"/>
                <w:b/>
                <w:bCs/>
              </w:rPr>
              <w:t>Program Administrator</w:t>
            </w:r>
          </w:p>
        </w:tc>
        <w:tc>
          <w:tcPr>
            <w:tcW w:w="1350" w:type="dxa"/>
            <w:tcBorders>
              <w:bottom w:val="single" w:sz="12" w:space="0" w:color="666666"/>
            </w:tcBorders>
            <w:shd w:val="clear" w:color="auto" w:fill="auto"/>
            <w:vAlign w:val="center"/>
            <w:hideMark/>
          </w:tcPr>
          <w:p w14:paraId="0D0F73B6" w14:textId="77777777" w:rsidR="00D34C6E" w:rsidRPr="002F5FEF" w:rsidRDefault="00D34C6E" w:rsidP="002B6C05">
            <w:pPr>
              <w:spacing w:after="0"/>
              <w:jc w:val="center"/>
              <w:rPr>
                <w:rFonts w:eastAsia="Franklin Gothic Book"/>
                <w:b/>
                <w:bCs/>
              </w:rPr>
            </w:pPr>
            <w:r w:rsidRPr="002F5FEF">
              <w:rPr>
                <w:rFonts w:eastAsia="Franklin Gothic Book"/>
                <w:b/>
                <w:bCs/>
              </w:rPr>
              <w:t>NTG Discussion – Order Pages</w:t>
            </w:r>
          </w:p>
        </w:tc>
        <w:tc>
          <w:tcPr>
            <w:tcW w:w="2245" w:type="dxa"/>
            <w:tcBorders>
              <w:bottom w:val="single" w:sz="12" w:space="0" w:color="666666"/>
            </w:tcBorders>
            <w:shd w:val="clear" w:color="auto" w:fill="auto"/>
            <w:vAlign w:val="center"/>
            <w:hideMark/>
          </w:tcPr>
          <w:p w14:paraId="24D6C53E" w14:textId="77777777" w:rsidR="00D34C6E" w:rsidRPr="002F5FEF" w:rsidRDefault="00D34C6E" w:rsidP="002B6C05">
            <w:pPr>
              <w:spacing w:after="0"/>
              <w:jc w:val="center"/>
              <w:rPr>
                <w:rFonts w:eastAsia="Franklin Gothic Book"/>
                <w:b/>
                <w:bCs/>
              </w:rPr>
            </w:pPr>
            <w:r w:rsidRPr="002F5FEF">
              <w:rPr>
                <w:rFonts w:eastAsia="Franklin Gothic Book"/>
                <w:b/>
                <w:bCs/>
              </w:rPr>
              <w:t>ICC Link</w:t>
            </w:r>
          </w:p>
        </w:tc>
      </w:tr>
      <w:tr w:rsidR="00D34C6E" w:rsidRPr="002F5FEF" w14:paraId="650F2CFF" w14:textId="77777777" w:rsidTr="002B6C05">
        <w:trPr>
          <w:trHeight w:val="20"/>
        </w:trPr>
        <w:tc>
          <w:tcPr>
            <w:tcW w:w="1705" w:type="dxa"/>
            <w:shd w:val="clear" w:color="auto" w:fill="auto"/>
            <w:vAlign w:val="center"/>
            <w:hideMark/>
          </w:tcPr>
          <w:p w14:paraId="2D17A171" w14:textId="77777777" w:rsidR="00D34C6E" w:rsidRPr="002F5FEF" w:rsidRDefault="00D34C6E" w:rsidP="002B6C05">
            <w:pPr>
              <w:spacing w:after="0"/>
              <w:jc w:val="center"/>
              <w:rPr>
                <w:rFonts w:eastAsia="Franklin Gothic Book"/>
                <w:b/>
                <w:bCs/>
              </w:rPr>
            </w:pPr>
            <w:r w:rsidRPr="002F5FEF">
              <w:rPr>
                <w:rFonts w:eastAsia="Franklin Gothic Book"/>
                <w:b/>
                <w:bCs/>
              </w:rPr>
              <w:t>13-0495</w:t>
            </w:r>
          </w:p>
          <w:p w14:paraId="7E992B23" w14:textId="77777777" w:rsidR="00D34C6E" w:rsidRPr="002F5FEF" w:rsidRDefault="00D34C6E" w:rsidP="002B6C05">
            <w:pPr>
              <w:spacing w:after="0"/>
              <w:jc w:val="center"/>
              <w:rPr>
                <w:rFonts w:eastAsia="Franklin Gothic Book"/>
                <w:b/>
                <w:bCs/>
              </w:rPr>
            </w:pPr>
            <w:r w:rsidRPr="002F5FEF">
              <w:rPr>
                <w:rFonts w:eastAsia="Franklin Gothic Book"/>
                <w:b/>
                <w:bCs/>
              </w:rPr>
              <w:t>(1/28/14)</w:t>
            </w:r>
          </w:p>
        </w:tc>
        <w:tc>
          <w:tcPr>
            <w:tcW w:w="4050" w:type="dxa"/>
            <w:shd w:val="clear" w:color="auto" w:fill="auto"/>
            <w:vAlign w:val="center"/>
            <w:hideMark/>
          </w:tcPr>
          <w:p w14:paraId="5518DBAB" w14:textId="77777777" w:rsidR="00D34C6E" w:rsidRPr="002F5FEF" w:rsidRDefault="00D34C6E" w:rsidP="002B6C05">
            <w:pPr>
              <w:spacing w:after="0"/>
              <w:jc w:val="left"/>
              <w:rPr>
                <w:rFonts w:eastAsia="Franklin Gothic Book"/>
              </w:rPr>
            </w:pPr>
            <w:r w:rsidRPr="002F5FEF">
              <w:rPr>
                <w:rFonts w:eastAsia="Franklin Gothic Book"/>
              </w:rPr>
              <w:t>Commonwealth Edison Company (ComEd)</w:t>
            </w:r>
          </w:p>
        </w:tc>
        <w:tc>
          <w:tcPr>
            <w:tcW w:w="1350" w:type="dxa"/>
            <w:shd w:val="clear" w:color="auto" w:fill="auto"/>
            <w:vAlign w:val="center"/>
            <w:hideMark/>
          </w:tcPr>
          <w:p w14:paraId="35B01600" w14:textId="77777777" w:rsidR="00D34C6E" w:rsidRPr="002F5FEF" w:rsidRDefault="00D34C6E" w:rsidP="002B6C05">
            <w:pPr>
              <w:spacing w:after="0"/>
              <w:jc w:val="center"/>
              <w:rPr>
                <w:rFonts w:eastAsia="Franklin Gothic Book"/>
              </w:rPr>
            </w:pPr>
            <w:r w:rsidRPr="002F5FEF">
              <w:rPr>
                <w:rFonts w:eastAsia="Franklin Gothic Book"/>
              </w:rPr>
              <w:t>129-130</w:t>
            </w:r>
          </w:p>
        </w:tc>
        <w:tc>
          <w:tcPr>
            <w:tcW w:w="2245" w:type="dxa"/>
            <w:shd w:val="clear" w:color="auto" w:fill="auto"/>
            <w:hideMark/>
          </w:tcPr>
          <w:p w14:paraId="3F48C089" w14:textId="77777777" w:rsidR="00D34C6E" w:rsidRPr="002F5FEF" w:rsidRDefault="00573A1D" w:rsidP="002B6C05">
            <w:pPr>
              <w:spacing w:after="0"/>
              <w:jc w:val="left"/>
              <w:rPr>
                <w:rFonts w:eastAsia="Franklin Gothic Book"/>
              </w:rPr>
            </w:pPr>
            <w:hyperlink r:id="rId40" w:history="1">
              <w:r w:rsidR="00D34C6E" w:rsidRPr="002F5FEF">
                <w:rPr>
                  <w:rStyle w:val="Hyperlink"/>
                </w:rPr>
                <w:t>http://www.icc.illinois.gov/downloads/public/edocket/367591.pdf</w:t>
              </w:r>
            </w:hyperlink>
            <w:r w:rsidR="00D34C6E" w:rsidRPr="002F5FEF">
              <w:t xml:space="preserve"> </w:t>
            </w:r>
          </w:p>
        </w:tc>
      </w:tr>
      <w:tr w:rsidR="00D34C6E" w:rsidRPr="002F5FEF" w14:paraId="2FFA27F5" w14:textId="77777777" w:rsidTr="002B6C05">
        <w:trPr>
          <w:trHeight w:val="20"/>
        </w:trPr>
        <w:tc>
          <w:tcPr>
            <w:tcW w:w="1705" w:type="dxa"/>
            <w:shd w:val="clear" w:color="auto" w:fill="auto"/>
            <w:vAlign w:val="center"/>
            <w:hideMark/>
          </w:tcPr>
          <w:p w14:paraId="123E1BB0" w14:textId="77777777" w:rsidR="00D34C6E" w:rsidRPr="002F5FEF" w:rsidRDefault="00D34C6E" w:rsidP="002B6C05">
            <w:pPr>
              <w:spacing w:after="0"/>
              <w:jc w:val="center"/>
              <w:rPr>
                <w:rFonts w:eastAsia="Franklin Gothic Book"/>
                <w:b/>
                <w:bCs/>
              </w:rPr>
            </w:pPr>
            <w:r w:rsidRPr="002F5FEF">
              <w:rPr>
                <w:rFonts w:eastAsia="Franklin Gothic Book"/>
                <w:b/>
                <w:bCs/>
              </w:rPr>
              <w:t>13-0498</w:t>
            </w:r>
          </w:p>
          <w:p w14:paraId="73B8FBBC" w14:textId="77777777" w:rsidR="00D34C6E" w:rsidRPr="002F5FEF" w:rsidRDefault="00D34C6E" w:rsidP="002B6C05">
            <w:pPr>
              <w:spacing w:after="0"/>
              <w:jc w:val="center"/>
              <w:rPr>
                <w:rFonts w:eastAsia="Franklin Gothic Book"/>
                <w:b/>
                <w:bCs/>
              </w:rPr>
            </w:pPr>
            <w:r w:rsidRPr="002F5FEF">
              <w:rPr>
                <w:rFonts w:eastAsia="Franklin Gothic Book"/>
                <w:b/>
                <w:bCs/>
              </w:rPr>
              <w:t>(1/28/14)</w:t>
            </w:r>
          </w:p>
        </w:tc>
        <w:tc>
          <w:tcPr>
            <w:tcW w:w="4050" w:type="dxa"/>
            <w:shd w:val="clear" w:color="auto" w:fill="auto"/>
            <w:vAlign w:val="center"/>
            <w:hideMark/>
          </w:tcPr>
          <w:p w14:paraId="1A9E6278" w14:textId="77777777" w:rsidR="00D34C6E" w:rsidRPr="002F5FEF" w:rsidRDefault="00D34C6E" w:rsidP="002B6C05">
            <w:pPr>
              <w:spacing w:after="0"/>
              <w:jc w:val="left"/>
              <w:rPr>
                <w:rFonts w:eastAsia="Franklin Gothic Book"/>
              </w:rPr>
            </w:pPr>
            <w:r w:rsidRPr="002F5FEF">
              <w:rPr>
                <w:rFonts w:eastAsia="Franklin Gothic Book"/>
              </w:rPr>
              <w:t>Ameren Illinois Company (Ameren)</w:t>
            </w:r>
          </w:p>
        </w:tc>
        <w:tc>
          <w:tcPr>
            <w:tcW w:w="1350" w:type="dxa"/>
            <w:shd w:val="clear" w:color="auto" w:fill="auto"/>
            <w:vAlign w:val="center"/>
            <w:hideMark/>
          </w:tcPr>
          <w:p w14:paraId="49346325" w14:textId="77777777" w:rsidR="00D34C6E" w:rsidRPr="002F5FEF" w:rsidRDefault="00D34C6E" w:rsidP="002B6C05">
            <w:pPr>
              <w:spacing w:after="0"/>
              <w:jc w:val="center"/>
              <w:rPr>
                <w:rFonts w:eastAsia="Franklin Gothic Book"/>
              </w:rPr>
            </w:pPr>
            <w:r w:rsidRPr="002F5FEF">
              <w:rPr>
                <w:rFonts w:eastAsia="Franklin Gothic Book"/>
              </w:rPr>
              <w:t>167, 171</w:t>
            </w:r>
          </w:p>
        </w:tc>
        <w:tc>
          <w:tcPr>
            <w:tcW w:w="2245" w:type="dxa"/>
            <w:shd w:val="clear" w:color="auto" w:fill="auto"/>
            <w:hideMark/>
          </w:tcPr>
          <w:p w14:paraId="79CC5C34" w14:textId="77777777" w:rsidR="00D34C6E" w:rsidRPr="002F5FEF" w:rsidRDefault="00573A1D" w:rsidP="002B6C05">
            <w:pPr>
              <w:spacing w:after="0"/>
              <w:jc w:val="left"/>
              <w:rPr>
                <w:rFonts w:eastAsia="Franklin Gothic Book"/>
              </w:rPr>
            </w:pPr>
            <w:hyperlink r:id="rId41" w:history="1">
              <w:r w:rsidR="00D34C6E" w:rsidRPr="002F5FEF">
                <w:rPr>
                  <w:rStyle w:val="Hyperlink"/>
                </w:rPr>
                <w:t>http://www.icc.illinois.gov/downloads/public/edocket/367603.pdf</w:t>
              </w:r>
            </w:hyperlink>
            <w:r w:rsidR="00D34C6E" w:rsidRPr="002F5FEF">
              <w:t xml:space="preserve"> </w:t>
            </w:r>
          </w:p>
        </w:tc>
      </w:tr>
      <w:tr w:rsidR="00D34C6E" w:rsidRPr="002F5FEF" w14:paraId="11848D60" w14:textId="77777777" w:rsidTr="002B6C05">
        <w:trPr>
          <w:trHeight w:val="20"/>
        </w:trPr>
        <w:tc>
          <w:tcPr>
            <w:tcW w:w="1705" w:type="dxa"/>
            <w:shd w:val="clear" w:color="auto" w:fill="auto"/>
            <w:vAlign w:val="center"/>
            <w:hideMark/>
          </w:tcPr>
          <w:p w14:paraId="2ADBBF97" w14:textId="77777777" w:rsidR="00D34C6E" w:rsidRPr="002F5FEF" w:rsidRDefault="00D34C6E" w:rsidP="002B6C05">
            <w:pPr>
              <w:spacing w:after="0"/>
              <w:jc w:val="center"/>
              <w:rPr>
                <w:rFonts w:eastAsia="Franklin Gothic Book"/>
                <w:b/>
                <w:bCs/>
              </w:rPr>
            </w:pPr>
            <w:r w:rsidRPr="002F5FEF">
              <w:rPr>
                <w:rFonts w:eastAsia="Franklin Gothic Book"/>
                <w:b/>
                <w:bCs/>
              </w:rPr>
              <w:t>13-0499</w:t>
            </w:r>
          </w:p>
          <w:p w14:paraId="4B51D8AD" w14:textId="77777777" w:rsidR="00D34C6E" w:rsidRPr="002F5FEF" w:rsidRDefault="00D34C6E" w:rsidP="002B6C05">
            <w:pPr>
              <w:spacing w:after="0"/>
              <w:jc w:val="center"/>
              <w:rPr>
                <w:rFonts w:eastAsia="Franklin Gothic Book"/>
                <w:b/>
                <w:bCs/>
              </w:rPr>
            </w:pPr>
            <w:r w:rsidRPr="002F5FEF">
              <w:rPr>
                <w:rFonts w:eastAsia="Franklin Gothic Book"/>
                <w:b/>
                <w:bCs/>
              </w:rPr>
              <w:t>(1/28/14)</w:t>
            </w:r>
          </w:p>
        </w:tc>
        <w:tc>
          <w:tcPr>
            <w:tcW w:w="4050" w:type="dxa"/>
            <w:shd w:val="clear" w:color="auto" w:fill="auto"/>
            <w:vAlign w:val="center"/>
            <w:hideMark/>
          </w:tcPr>
          <w:p w14:paraId="1DF23001" w14:textId="77777777" w:rsidR="00D34C6E" w:rsidRPr="002F5FEF" w:rsidRDefault="00D34C6E" w:rsidP="002B6C05">
            <w:pPr>
              <w:spacing w:after="0"/>
              <w:jc w:val="left"/>
              <w:rPr>
                <w:rFonts w:eastAsia="Franklin Gothic Book"/>
              </w:rPr>
            </w:pPr>
            <w:r w:rsidRPr="002F5FEF">
              <w:rPr>
                <w:rFonts w:eastAsia="Franklin Gothic Book"/>
              </w:rPr>
              <w:t>Illinois Department of Commerce &amp; Economic Opportunity (Department of Commerce)</w:t>
            </w:r>
          </w:p>
        </w:tc>
        <w:tc>
          <w:tcPr>
            <w:tcW w:w="1350" w:type="dxa"/>
            <w:shd w:val="clear" w:color="auto" w:fill="auto"/>
            <w:vAlign w:val="center"/>
            <w:hideMark/>
          </w:tcPr>
          <w:p w14:paraId="6F2850F4" w14:textId="77777777" w:rsidR="00D34C6E" w:rsidRPr="002F5FEF" w:rsidRDefault="00D34C6E" w:rsidP="002B6C05">
            <w:pPr>
              <w:spacing w:after="0"/>
              <w:jc w:val="center"/>
              <w:rPr>
                <w:rFonts w:eastAsia="Franklin Gothic Book"/>
              </w:rPr>
            </w:pPr>
            <w:r w:rsidRPr="002F5FEF">
              <w:rPr>
                <w:rFonts w:eastAsia="Franklin Gothic Book"/>
              </w:rPr>
              <w:t>20, 23, 49</w:t>
            </w:r>
          </w:p>
        </w:tc>
        <w:tc>
          <w:tcPr>
            <w:tcW w:w="2245" w:type="dxa"/>
            <w:shd w:val="clear" w:color="auto" w:fill="auto"/>
            <w:hideMark/>
          </w:tcPr>
          <w:p w14:paraId="78B6A27D" w14:textId="77777777" w:rsidR="00D34C6E" w:rsidRPr="002F5FEF" w:rsidRDefault="00573A1D" w:rsidP="002B6C05">
            <w:pPr>
              <w:spacing w:after="0"/>
              <w:jc w:val="left"/>
              <w:rPr>
                <w:rFonts w:eastAsia="Franklin Gothic Book"/>
              </w:rPr>
            </w:pPr>
            <w:hyperlink r:id="rId42" w:history="1">
              <w:r w:rsidR="00D34C6E" w:rsidRPr="002F5FEF">
                <w:rPr>
                  <w:rStyle w:val="Hyperlink"/>
                </w:rPr>
                <w:t>http://www.icc.illinois.gov/downloads/public/edocket/367581.pdf</w:t>
              </w:r>
            </w:hyperlink>
            <w:r w:rsidR="00D34C6E" w:rsidRPr="002F5FEF">
              <w:t xml:space="preserve"> </w:t>
            </w:r>
          </w:p>
        </w:tc>
      </w:tr>
      <w:tr w:rsidR="00D34C6E" w:rsidRPr="002F5FEF" w14:paraId="5767A63C" w14:textId="77777777" w:rsidTr="002B6C05">
        <w:trPr>
          <w:trHeight w:val="20"/>
        </w:trPr>
        <w:tc>
          <w:tcPr>
            <w:tcW w:w="1705" w:type="dxa"/>
            <w:shd w:val="clear" w:color="auto" w:fill="auto"/>
            <w:vAlign w:val="center"/>
            <w:hideMark/>
          </w:tcPr>
          <w:p w14:paraId="25304802" w14:textId="77777777" w:rsidR="00D34C6E" w:rsidRPr="002F5FEF" w:rsidRDefault="00D34C6E" w:rsidP="002B6C05">
            <w:pPr>
              <w:spacing w:after="0"/>
              <w:jc w:val="center"/>
              <w:rPr>
                <w:rFonts w:eastAsia="Franklin Gothic Book"/>
                <w:b/>
                <w:bCs/>
              </w:rPr>
            </w:pPr>
            <w:r w:rsidRPr="002F5FEF">
              <w:rPr>
                <w:rFonts w:eastAsia="Franklin Gothic Book"/>
                <w:b/>
                <w:bCs/>
              </w:rPr>
              <w:t>13-0549</w:t>
            </w:r>
          </w:p>
          <w:p w14:paraId="48474E0A" w14:textId="77777777" w:rsidR="00D34C6E" w:rsidRPr="002F5FEF" w:rsidRDefault="00D34C6E" w:rsidP="002B6C05">
            <w:pPr>
              <w:spacing w:after="0"/>
              <w:jc w:val="center"/>
              <w:rPr>
                <w:rFonts w:eastAsia="Franklin Gothic Book"/>
                <w:b/>
                <w:bCs/>
              </w:rPr>
            </w:pPr>
            <w:r w:rsidRPr="002F5FEF">
              <w:rPr>
                <w:rFonts w:eastAsia="Franklin Gothic Book"/>
                <w:b/>
                <w:bCs/>
              </w:rPr>
              <w:t>(5/20/14)</w:t>
            </w:r>
          </w:p>
        </w:tc>
        <w:tc>
          <w:tcPr>
            <w:tcW w:w="4050" w:type="dxa"/>
            <w:shd w:val="clear" w:color="auto" w:fill="auto"/>
            <w:vAlign w:val="center"/>
            <w:hideMark/>
          </w:tcPr>
          <w:p w14:paraId="7289C340" w14:textId="77777777" w:rsidR="00D34C6E" w:rsidRPr="002F5FEF" w:rsidRDefault="00D34C6E" w:rsidP="002B6C05">
            <w:pPr>
              <w:spacing w:after="0"/>
              <w:jc w:val="left"/>
              <w:rPr>
                <w:rFonts w:eastAsia="Franklin Gothic Book"/>
              </w:rPr>
            </w:pPr>
            <w:r w:rsidRPr="002F5FEF">
              <w:rPr>
                <w:rFonts w:eastAsia="Franklin Gothic Book"/>
              </w:rPr>
              <w:t>Nicor Gas Company (Nicor)</w:t>
            </w:r>
          </w:p>
        </w:tc>
        <w:tc>
          <w:tcPr>
            <w:tcW w:w="1350" w:type="dxa"/>
            <w:shd w:val="clear" w:color="auto" w:fill="auto"/>
            <w:vAlign w:val="center"/>
            <w:hideMark/>
          </w:tcPr>
          <w:p w14:paraId="2A14647D" w14:textId="77777777" w:rsidR="00D34C6E" w:rsidRPr="002F5FEF" w:rsidRDefault="00D34C6E" w:rsidP="002B6C05">
            <w:pPr>
              <w:spacing w:after="0"/>
              <w:jc w:val="center"/>
              <w:rPr>
                <w:rFonts w:eastAsia="Franklin Gothic Book"/>
              </w:rPr>
            </w:pPr>
            <w:r w:rsidRPr="002F5FEF">
              <w:rPr>
                <w:rFonts w:eastAsia="Franklin Gothic Book"/>
              </w:rPr>
              <w:t>41-42, 78</w:t>
            </w:r>
          </w:p>
        </w:tc>
        <w:tc>
          <w:tcPr>
            <w:tcW w:w="2245" w:type="dxa"/>
            <w:shd w:val="clear" w:color="auto" w:fill="auto"/>
            <w:hideMark/>
          </w:tcPr>
          <w:p w14:paraId="6B5FDB29" w14:textId="77777777" w:rsidR="00D34C6E" w:rsidRPr="002F5FEF" w:rsidRDefault="00573A1D" w:rsidP="002B6C05">
            <w:pPr>
              <w:spacing w:after="0"/>
              <w:jc w:val="left"/>
              <w:rPr>
                <w:rFonts w:eastAsia="Franklin Gothic Book"/>
              </w:rPr>
            </w:pPr>
            <w:hyperlink r:id="rId43" w:history="1">
              <w:r w:rsidR="00D34C6E" w:rsidRPr="002F5FEF">
                <w:rPr>
                  <w:rStyle w:val="Hyperlink"/>
                </w:rPr>
                <w:t>http://www.icc.illinois.gov/downloads/public/edocket/378494.pdf</w:t>
              </w:r>
            </w:hyperlink>
            <w:r w:rsidR="00D34C6E" w:rsidRPr="002F5FEF">
              <w:t xml:space="preserve"> </w:t>
            </w:r>
          </w:p>
        </w:tc>
      </w:tr>
      <w:tr w:rsidR="00D34C6E" w:rsidRPr="002F5FEF" w14:paraId="131297EE" w14:textId="77777777" w:rsidTr="002B6C05">
        <w:trPr>
          <w:trHeight w:val="20"/>
        </w:trPr>
        <w:tc>
          <w:tcPr>
            <w:tcW w:w="1705" w:type="dxa"/>
            <w:shd w:val="clear" w:color="auto" w:fill="auto"/>
            <w:vAlign w:val="center"/>
            <w:hideMark/>
          </w:tcPr>
          <w:p w14:paraId="3E612CD4" w14:textId="77777777" w:rsidR="00D34C6E" w:rsidRPr="002F5FEF" w:rsidRDefault="00D34C6E" w:rsidP="002B6C05">
            <w:pPr>
              <w:spacing w:after="0"/>
              <w:jc w:val="center"/>
              <w:rPr>
                <w:rFonts w:eastAsia="Franklin Gothic Book"/>
                <w:b/>
                <w:bCs/>
              </w:rPr>
            </w:pPr>
            <w:r w:rsidRPr="002F5FEF">
              <w:rPr>
                <w:rFonts w:eastAsia="Franklin Gothic Book"/>
                <w:b/>
                <w:bCs/>
              </w:rPr>
              <w:t>13-0550</w:t>
            </w:r>
          </w:p>
          <w:p w14:paraId="3101A379" w14:textId="77777777" w:rsidR="00D34C6E" w:rsidRPr="002F5FEF" w:rsidRDefault="00D34C6E" w:rsidP="002B6C05">
            <w:pPr>
              <w:spacing w:after="0"/>
              <w:jc w:val="center"/>
              <w:rPr>
                <w:rFonts w:eastAsia="Franklin Gothic Book"/>
                <w:b/>
                <w:bCs/>
              </w:rPr>
            </w:pPr>
            <w:r w:rsidRPr="002F5FEF">
              <w:rPr>
                <w:rFonts w:eastAsia="Franklin Gothic Book"/>
                <w:b/>
                <w:bCs/>
              </w:rPr>
              <w:t>(5/20/14)</w:t>
            </w:r>
          </w:p>
        </w:tc>
        <w:tc>
          <w:tcPr>
            <w:tcW w:w="4050" w:type="dxa"/>
            <w:shd w:val="clear" w:color="auto" w:fill="auto"/>
            <w:vAlign w:val="center"/>
            <w:hideMark/>
          </w:tcPr>
          <w:p w14:paraId="26E9265C" w14:textId="77777777" w:rsidR="00D34C6E" w:rsidRPr="002F5FEF" w:rsidRDefault="00D34C6E" w:rsidP="002B6C05">
            <w:pPr>
              <w:spacing w:after="0"/>
              <w:jc w:val="left"/>
              <w:rPr>
                <w:rFonts w:eastAsia="Franklin Gothic Book"/>
              </w:rPr>
            </w:pPr>
            <w:r w:rsidRPr="002F5FEF">
              <w:rPr>
                <w:rFonts w:eastAsia="Franklin Gothic Book"/>
              </w:rPr>
              <w:t>North Shore Gas Company (North Shore Gas) and The Peoples Gas Light and Coke Company (Peoples Gas) (collectively, PG&amp;NSG)</w:t>
            </w:r>
          </w:p>
        </w:tc>
        <w:tc>
          <w:tcPr>
            <w:tcW w:w="1350" w:type="dxa"/>
            <w:shd w:val="clear" w:color="auto" w:fill="auto"/>
            <w:vAlign w:val="center"/>
            <w:hideMark/>
          </w:tcPr>
          <w:p w14:paraId="59716340" w14:textId="77777777" w:rsidR="00D34C6E" w:rsidRPr="002F5FEF" w:rsidRDefault="00D34C6E" w:rsidP="002B6C05">
            <w:pPr>
              <w:spacing w:after="0"/>
              <w:jc w:val="center"/>
              <w:rPr>
                <w:rFonts w:eastAsia="Franklin Gothic Book"/>
              </w:rPr>
            </w:pPr>
            <w:r w:rsidRPr="002F5FEF">
              <w:rPr>
                <w:rFonts w:eastAsia="Franklin Gothic Book"/>
              </w:rPr>
              <w:t>54-55, 66</w:t>
            </w:r>
          </w:p>
        </w:tc>
        <w:tc>
          <w:tcPr>
            <w:tcW w:w="2245" w:type="dxa"/>
            <w:shd w:val="clear" w:color="auto" w:fill="auto"/>
            <w:hideMark/>
          </w:tcPr>
          <w:p w14:paraId="6DF96131" w14:textId="77777777" w:rsidR="00D34C6E" w:rsidRPr="002F5FEF" w:rsidRDefault="00573A1D" w:rsidP="002B6C05">
            <w:pPr>
              <w:spacing w:after="0"/>
              <w:jc w:val="left"/>
              <w:rPr>
                <w:rFonts w:eastAsia="Franklin Gothic Book"/>
              </w:rPr>
            </w:pPr>
            <w:hyperlink r:id="rId44" w:history="1">
              <w:r w:rsidR="00D34C6E" w:rsidRPr="002F5FEF">
                <w:rPr>
                  <w:rStyle w:val="Hyperlink"/>
                </w:rPr>
                <w:t>http://www.icc.illinois.gov/downloads/public/edocket/378495.pdf</w:t>
              </w:r>
            </w:hyperlink>
            <w:r w:rsidR="00D34C6E" w:rsidRPr="002F5FEF">
              <w:t xml:space="preserve"> </w:t>
            </w:r>
          </w:p>
        </w:tc>
      </w:tr>
    </w:tbl>
    <w:p w14:paraId="4B5B3424" w14:textId="77777777" w:rsidR="00D34C6E" w:rsidRPr="009B67BF" w:rsidRDefault="00D34C6E" w:rsidP="00D34C6E">
      <w:pPr>
        <w:rPr>
          <w:rFonts w:eastAsia="Franklin Gothic Book"/>
        </w:rPr>
      </w:pPr>
    </w:p>
    <w:p w14:paraId="04EC2924" w14:textId="77777777" w:rsidR="00D34C6E" w:rsidRPr="009B67BF" w:rsidRDefault="00D34C6E" w:rsidP="00D34C6E">
      <w:pPr>
        <w:rPr>
          <w:rFonts w:eastAsia="Franklin Gothic Book"/>
        </w:rPr>
      </w:pPr>
      <w:r w:rsidRPr="009B67BF">
        <w:rPr>
          <w:rFonts w:eastAsia="Franklin Gothic Book"/>
        </w:rPr>
        <w:t>To provide clarity to the ICC directives, the relevant section on IL-NTG Methods is shown in its entirety from the Nicor Gas Order (Docket No. 13-0549). The Nicor Gas Order provides the most detail on the ICC NTG directive in comparison to the other EE orders. The Nicor language is as follows:</w:t>
      </w:r>
    </w:p>
    <w:p w14:paraId="72F2F84E" w14:textId="77777777" w:rsidR="00D34C6E" w:rsidRPr="009B67BF" w:rsidRDefault="00D34C6E" w:rsidP="00D34C6E">
      <w:pPr>
        <w:ind w:left="450" w:right="360"/>
        <w:rPr>
          <w:rFonts w:eastAsia="Franklin Gothic Book"/>
        </w:rPr>
      </w:pPr>
      <w:r w:rsidRPr="009B67BF">
        <w:rPr>
          <w:rFonts w:eastAsia="Franklin Gothic Book"/>
        </w:rPr>
        <w:t>The Commission believes that Staff’s recommendations concerning Commission adoption of consistent statewide net-to-gross methodologies (“IL-NTG Methods”) for use by the evaluators are reasonable and will aid in future evaluation of the energy efficiency programs. To help ensure the independence of the evaluators, to improve efficiency in the evaluation process, and to ensure programs across the sta</w:t>
      </w:r>
      <w:r>
        <w:rPr>
          <w:rFonts w:eastAsia="Franklin Gothic Book"/>
        </w:rPr>
        <w:t>te as delivered by the various Program A</w:t>
      </w:r>
      <w:r w:rsidRPr="009B67BF">
        <w:rPr>
          <w:rFonts w:eastAsia="Franklin Gothic Book"/>
        </w:rPr>
        <w:t xml:space="preserve">dministrators can be meaningfully and consistently evaluated, the Commission hereby adopts Staff’s recommendation that consistent IL-NTG Methods be established for use in the evaluations of comparable energy efficiency programs offered by different Illinois </w:t>
      </w:r>
      <w:r>
        <w:rPr>
          <w:rFonts w:eastAsia="Franklin Gothic Book"/>
        </w:rPr>
        <w:t>Program A</w:t>
      </w:r>
      <w:r w:rsidRPr="009B67BF">
        <w:rPr>
          <w:rFonts w:eastAsia="Franklin Gothic Book"/>
        </w:rPr>
        <w:t xml:space="preserve">dministrators. The Commission notes that Section 8-104(k) of the Act encourages statewide coordination and consistency between the gas and electric energy efficiency programs and Staff’s proposal would help ensure consistency in the evaluation of program performance. The Commission notes that this directive is not to create entirely “new” NTG methodologies for every energy efficiency program, but rather to assess NTG methodologies and survey instruments that have been used to evaluate energy efficiency programs offered in Illinois, and to compile the most justifiable and well-vetted methodologies (or potentially combine certain components from the existing approaches to better represent the most justifiable and well-vetted method consistent with best practices) in an attachment to the Updated IL-TRM that would </w:t>
      </w:r>
      <w:r w:rsidRPr="009B67BF">
        <w:rPr>
          <w:rFonts w:eastAsia="Franklin Gothic Book"/>
        </w:rPr>
        <w:lastRenderedPageBreak/>
        <w:t>get submitted to the Commission for approval. The Commission notes that the IL-NTG Methods will be flexible and adaptable to multiple program designs and budgets and tailored to appropriately asses</w:t>
      </w:r>
      <w:r>
        <w:rPr>
          <w:rFonts w:eastAsia="Franklin Gothic Book"/>
        </w:rPr>
        <w:t>s the specifics of each of the P</w:t>
      </w:r>
      <w:r w:rsidRPr="009B67BF">
        <w:rPr>
          <w:rFonts w:eastAsia="Franklin Gothic Book"/>
        </w:rPr>
        <w:t xml:space="preserve">rogram </w:t>
      </w:r>
      <w:r>
        <w:rPr>
          <w:rFonts w:eastAsia="Franklin Gothic Book"/>
        </w:rPr>
        <w:t>A</w:t>
      </w:r>
      <w:r w:rsidRPr="009B67BF">
        <w:rPr>
          <w:rFonts w:eastAsia="Franklin Gothic Book"/>
        </w:rPr>
        <w:t>dministrators’ energy efficiency programs, consistent with standard NTG methodologies adopted in other states that were filed in this proceeding. The Commission agrees with Staff that in the interest of efficiency, the current program evaluators should take the lead in compiling and formalizing standard methodologies for NTG in Illinois taking into consideration SAG input. Because the existing Plan 1 evaluators are under contract with the Company for the evaluation of the program year three energy efficiency programs, it is appropriate for these existing evaluators to work on and complete the compilation of the IL-NTG Methods over the next year. The Commission recognizes that each year considerable time may be spent vetting NTG methodologies for each program evaluation separately for each utility under the existing evaluation plan review practices; adoption of IL-NTG Methods would save on these limited evaluation resources by having a common reference document for the evaluators to use in estimating net savings for Illinois.</w:t>
      </w:r>
    </w:p>
    <w:p w14:paraId="6E2CCB4F" w14:textId="77777777" w:rsidR="00D34C6E" w:rsidRPr="009B67BF" w:rsidRDefault="00D34C6E" w:rsidP="00D34C6E">
      <w:pPr>
        <w:ind w:left="450" w:right="360"/>
        <w:rPr>
          <w:rFonts w:eastAsia="Franklin Gothic Book"/>
        </w:rPr>
      </w:pPr>
      <w:r w:rsidRPr="009B67BF">
        <w:rPr>
          <w:rFonts w:eastAsia="Franklin Gothic Book"/>
        </w:rPr>
        <w:t>The Commission hereby directs the Company to require its evaluators to collaborate with the other Illinois evaluators and the SAG to use best efforts to reach consensus on the approaches used in assessing NTG in particular markets for both residential and non-residential energy efficiency programs in a manner consistent with the direction described herein. (Pages 41-42)</w:t>
      </w:r>
    </w:p>
    <w:p w14:paraId="47808305" w14:textId="53A14CC1" w:rsidR="00D34C6E" w:rsidRPr="009B67BF" w:rsidRDefault="00D34C6E" w:rsidP="00D34C6E">
      <w:pPr>
        <w:ind w:left="900" w:right="360" w:hanging="450"/>
        <w:rPr>
          <w:rFonts w:eastAsia="Franklin Gothic Book"/>
        </w:rPr>
      </w:pPr>
      <w:r w:rsidRPr="009B67BF">
        <w:rPr>
          <w:rFonts w:eastAsia="Franklin Gothic Book"/>
        </w:rPr>
        <w:t>(16)</w:t>
      </w:r>
      <w:r w:rsidRPr="009B67BF">
        <w:rPr>
          <w:rFonts w:eastAsia="Franklin Gothic Book"/>
        </w:rPr>
        <w:tab/>
        <w:t>Northern Illinois Gas Company shall require its evaluators to collaborate with the other Illinois evaluators and the SAG to reach consensus on the most defensible and well-vetted methodologies for assessing net-to-gross ratios in particular markets for both residential and non-residential energy efficiency programs in a manner consistent with the direction provided herein</w:t>
      </w:r>
      <w:r w:rsidR="00E26DB5">
        <w:rPr>
          <w:rFonts w:eastAsia="Franklin Gothic Book"/>
        </w:rPr>
        <w:t>.</w:t>
      </w:r>
    </w:p>
    <w:p w14:paraId="282F3142" w14:textId="3A973B95" w:rsidR="00D34C6E" w:rsidRPr="009B67BF" w:rsidRDefault="00D34C6E" w:rsidP="00D34C6E">
      <w:pPr>
        <w:ind w:left="900" w:right="360" w:hanging="450"/>
        <w:rPr>
          <w:rFonts w:eastAsia="Franklin Gothic Book"/>
        </w:rPr>
      </w:pPr>
      <w:r w:rsidRPr="009B67BF">
        <w:rPr>
          <w:rFonts w:eastAsia="Franklin Gothic Book"/>
        </w:rPr>
        <w:t>(17)</w:t>
      </w:r>
      <w:r w:rsidRPr="009B67BF">
        <w:rPr>
          <w:rFonts w:eastAsia="Franklin Gothic Book"/>
        </w:rPr>
        <w:tab/>
        <w:t>ICC Staff shall file the agreed-upon consensus statewide NTG methodologies with the Commission as an attachment to the Updated IL-TRM, and if consensus is not reached on a certain component of the statewide NTG methodologies, that particular non-consensus component should be submitted in a manner consistent with the approach used for non-consensus IL-TRM Updates</w:t>
      </w:r>
      <w:r w:rsidR="00E26DB5">
        <w:rPr>
          <w:rFonts w:eastAsia="Franklin Gothic Book"/>
        </w:rPr>
        <w:t>.</w:t>
      </w:r>
      <w:r w:rsidRPr="009B67BF">
        <w:rPr>
          <w:rFonts w:eastAsia="Franklin Gothic Book"/>
        </w:rPr>
        <w:t xml:space="preserve"> (Page 78)</w:t>
      </w:r>
    </w:p>
    <w:p w14:paraId="35816DAB" w14:textId="77777777" w:rsidR="00D34C6E" w:rsidRPr="00343360" w:rsidRDefault="00D34C6E" w:rsidP="00D34C6E">
      <w:pPr>
        <w:pStyle w:val="Attachment2"/>
      </w:pPr>
      <w:bookmarkStart w:id="1006" w:name="_Toc431526433"/>
      <w:bookmarkStart w:id="1007" w:name="_Toc442804216"/>
      <w:bookmarkStart w:id="1008" w:name="_Toc442805433"/>
      <w:bookmarkStart w:id="1009" w:name="_Toc409070230"/>
      <w:bookmarkStart w:id="1010" w:name="_Toc411554695"/>
      <w:r w:rsidRPr="00343360">
        <w:t>1.2</w:t>
      </w:r>
      <w:r w:rsidRPr="00343360">
        <w:tab/>
        <w:t>Programs Currently Covered in this Document</w:t>
      </w:r>
      <w:bookmarkEnd w:id="1006"/>
      <w:bookmarkEnd w:id="1007"/>
      <w:bookmarkEnd w:id="1008"/>
      <w:bookmarkEnd w:id="1009"/>
      <w:bookmarkEnd w:id="1010"/>
    </w:p>
    <w:p w14:paraId="415917E8" w14:textId="74D72331" w:rsidR="00D34C6E" w:rsidRDefault="00D34C6E" w:rsidP="00D34C6E">
      <w:pPr>
        <w:rPr>
          <w:rFonts w:eastAsia="Franklin Gothic Book"/>
        </w:rPr>
      </w:pPr>
      <w:r w:rsidRPr="009B67BF">
        <w:rPr>
          <w:rFonts w:eastAsia="Franklin Gothic Book"/>
        </w:rPr>
        <w:t>This document is intended to cover</w:t>
      </w:r>
      <w:r>
        <w:rPr>
          <w:rFonts w:eastAsia="Franklin Gothic Book"/>
        </w:rPr>
        <w:t xml:space="preserve"> </w:t>
      </w:r>
      <w:r w:rsidRPr="009B67BF">
        <w:rPr>
          <w:rFonts w:eastAsia="Franklin Gothic Book"/>
        </w:rPr>
        <w:t xml:space="preserve">the majority of residential and </w:t>
      </w:r>
      <w:r>
        <w:rPr>
          <w:rFonts w:eastAsia="Franklin Gothic Book"/>
        </w:rPr>
        <w:t>n</w:t>
      </w:r>
      <w:r w:rsidRPr="009B67BF">
        <w:rPr>
          <w:rFonts w:eastAsia="Franklin Gothic Book"/>
        </w:rPr>
        <w:t>on</w:t>
      </w:r>
      <w:r>
        <w:rPr>
          <w:rFonts w:eastAsia="Franklin Gothic Book"/>
        </w:rPr>
        <w:t>-</w:t>
      </w:r>
      <w:r w:rsidRPr="009B67BF">
        <w:rPr>
          <w:rFonts w:eastAsia="Franklin Gothic Book"/>
        </w:rPr>
        <w:t>residential programs</w:t>
      </w:r>
      <w:r>
        <w:rPr>
          <w:rFonts w:eastAsia="Franklin Gothic Book"/>
        </w:rPr>
        <w:t xml:space="preserve"> </w:t>
      </w:r>
      <w:r w:rsidRPr="009B67BF">
        <w:rPr>
          <w:rFonts w:eastAsia="Franklin Gothic Book"/>
        </w:rPr>
        <w:t>offered in Illinois.</w:t>
      </w:r>
      <w:r w:rsidRPr="00B31077">
        <w:rPr>
          <w:rStyle w:val="FootnoteReference"/>
          <w:rFonts w:eastAsia="Franklin Gothic Book"/>
        </w:rPr>
        <w:footnoteReference w:id="59"/>
      </w:r>
      <w:r w:rsidRPr="009B67BF">
        <w:rPr>
          <w:rFonts w:eastAsia="Franklin Gothic Book"/>
        </w:rPr>
        <w:t xml:space="preserve"> </w:t>
      </w:r>
      <w:r>
        <w:rPr>
          <w:rFonts w:eastAsia="Franklin Gothic Book"/>
        </w:rPr>
        <w:t xml:space="preserve">Programs covered as of the writing of this document are listed in tables at the beginning of Section </w:t>
      </w:r>
      <w:r>
        <w:rPr>
          <w:rFonts w:eastAsia="Franklin Gothic Book"/>
        </w:rPr>
        <w:fldChar w:fldCharType="begin"/>
      </w:r>
      <w:r>
        <w:rPr>
          <w:rFonts w:eastAsia="Franklin Gothic Book"/>
        </w:rPr>
        <w:instrText xml:space="preserve"> REF _Ref441826250 \n \h </w:instrText>
      </w:r>
      <w:r>
        <w:rPr>
          <w:rFonts w:eastAsia="Franklin Gothic Book"/>
        </w:rPr>
      </w:r>
      <w:r>
        <w:rPr>
          <w:rFonts w:eastAsia="Franklin Gothic Book"/>
        </w:rPr>
        <w:fldChar w:fldCharType="separate"/>
      </w:r>
      <w:r w:rsidR="00506A44">
        <w:rPr>
          <w:rFonts w:eastAsia="Franklin Gothic Book"/>
        </w:rPr>
        <w:t>3</w:t>
      </w:r>
      <w:r>
        <w:rPr>
          <w:rFonts w:eastAsia="Franklin Gothic Book"/>
        </w:rPr>
        <w:fldChar w:fldCharType="end"/>
      </w:r>
      <w:r>
        <w:rPr>
          <w:rFonts w:eastAsia="Franklin Gothic Book"/>
        </w:rPr>
        <w:t xml:space="preserve">: </w:t>
      </w:r>
      <w:r>
        <w:rPr>
          <w:rFonts w:eastAsia="Franklin Gothic Book"/>
        </w:rPr>
        <w:fldChar w:fldCharType="begin"/>
      </w:r>
      <w:r>
        <w:rPr>
          <w:rFonts w:eastAsia="Franklin Gothic Book"/>
        </w:rPr>
        <w:instrText xml:space="preserve"> REF _Ref441826265 \h </w:instrText>
      </w:r>
      <w:r>
        <w:rPr>
          <w:rFonts w:eastAsia="Franklin Gothic Book"/>
        </w:rPr>
      </w:r>
      <w:r>
        <w:rPr>
          <w:rFonts w:eastAsia="Franklin Gothic Book"/>
        </w:rPr>
        <w:fldChar w:fldCharType="separate"/>
      </w:r>
      <w:r w:rsidR="00506A44" w:rsidRPr="009B67BF">
        <w:t>Commercial, Industrial, and Public Sector</w:t>
      </w:r>
      <w:r w:rsidR="00506A44">
        <w:t xml:space="preserve"> Protocols</w:t>
      </w:r>
      <w:r>
        <w:rPr>
          <w:rFonts w:eastAsia="Franklin Gothic Book"/>
        </w:rPr>
        <w:fldChar w:fldCharType="end"/>
      </w:r>
      <w:r>
        <w:rPr>
          <w:rFonts w:eastAsia="Franklin Gothic Book"/>
        </w:rPr>
        <w:t xml:space="preserve"> and Section </w:t>
      </w:r>
      <w:r>
        <w:rPr>
          <w:rFonts w:eastAsia="Franklin Gothic Book"/>
        </w:rPr>
        <w:fldChar w:fldCharType="begin"/>
      </w:r>
      <w:r>
        <w:rPr>
          <w:rFonts w:eastAsia="Franklin Gothic Book"/>
        </w:rPr>
        <w:instrText xml:space="preserve"> REF _Ref441826293 \w \h </w:instrText>
      </w:r>
      <w:r>
        <w:rPr>
          <w:rFonts w:eastAsia="Franklin Gothic Book"/>
        </w:rPr>
      </w:r>
      <w:r>
        <w:rPr>
          <w:rFonts w:eastAsia="Franklin Gothic Book"/>
        </w:rPr>
        <w:fldChar w:fldCharType="separate"/>
      </w:r>
      <w:r w:rsidR="00506A44">
        <w:rPr>
          <w:rFonts w:eastAsia="Franklin Gothic Book"/>
        </w:rPr>
        <w:t>4</w:t>
      </w:r>
      <w:r>
        <w:rPr>
          <w:rFonts w:eastAsia="Franklin Gothic Book"/>
        </w:rPr>
        <w:fldChar w:fldCharType="end"/>
      </w:r>
      <w:r>
        <w:rPr>
          <w:rFonts w:eastAsia="Franklin Gothic Book"/>
        </w:rPr>
        <w:t xml:space="preserve">: </w:t>
      </w:r>
      <w:r>
        <w:rPr>
          <w:rFonts w:eastAsia="Franklin Gothic Book"/>
        </w:rPr>
        <w:fldChar w:fldCharType="begin"/>
      </w:r>
      <w:r>
        <w:rPr>
          <w:rFonts w:eastAsia="Franklin Gothic Book"/>
        </w:rPr>
        <w:instrText xml:space="preserve"> REF _Ref441826302 \h </w:instrText>
      </w:r>
      <w:r>
        <w:rPr>
          <w:rFonts w:eastAsia="Franklin Gothic Book"/>
        </w:rPr>
      </w:r>
      <w:r>
        <w:rPr>
          <w:rFonts w:eastAsia="Franklin Gothic Book"/>
        </w:rPr>
        <w:fldChar w:fldCharType="separate"/>
      </w:r>
      <w:r w:rsidR="00506A44" w:rsidRPr="009B67BF">
        <w:t>Residential and Low Income Sector</w:t>
      </w:r>
      <w:r w:rsidR="00506A44">
        <w:t xml:space="preserve"> Protocol</w:t>
      </w:r>
      <w:r w:rsidR="00506A44" w:rsidRPr="009B67BF">
        <w:t>s</w:t>
      </w:r>
      <w:r>
        <w:rPr>
          <w:rFonts w:eastAsia="Franklin Gothic Book"/>
        </w:rPr>
        <w:fldChar w:fldCharType="end"/>
      </w:r>
      <w:r>
        <w:rPr>
          <w:rFonts w:eastAsia="Franklin Gothic Book"/>
        </w:rPr>
        <w:t xml:space="preserve">. If the design of a given program changes significantly, then it may mean that the NTG protocol listed for that program in this document is no longer appropriate. If that happens, the evaluator should follow the procedures outlined below under Section 1.4: </w:t>
      </w:r>
      <w:r w:rsidRPr="008B297A">
        <w:rPr>
          <w:rFonts w:eastAsia="Franklin Gothic Book"/>
        </w:rPr>
        <w:t>Diverging from the IL-NTG Methods</w:t>
      </w:r>
      <w:r>
        <w:rPr>
          <w:rFonts w:eastAsia="Franklin Gothic Book"/>
        </w:rPr>
        <w:t>.</w:t>
      </w:r>
    </w:p>
    <w:p w14:paraId="11F6F082" w14:textId="77777777" w:rsidR="00D34C6E" w:rsidRDefault="00D34C6E" w:rsidP="00D34C6E">
      <w:r>
        <w:rPr>
          <w:rFonts w:eastAsia="Franklin Gothic Book"/>
        </w:rPr>
        <w:t>This document</w:t>
      </w:r>
      <w:r w:rsidRPr="009B67BF">
        <w:rPr>
          <w:rFonts w:eastAsia="Franklin Gothic Book"/>
        </w:rPr>
        <w:t xml:space="preserve"> will be updated over time to incorporate new programs and to reflect recommended changes to existing methodologies. All NTG data collection and analysis activities for the program types covered by this document shall conform to the NTG methods set forth herein.</w:t>
      </w:r>
    </w:p>
    <w:p w14:paraId="49755ACE" w14:textId="77777777" w:rsidR="00D34C6E" w:rsidRPr="009B67BF" w:rsidRDefault="00D34C6E" w:rsidP="00D34C6E">
      <w:pPr>
        <w:pStyle w:val="Attachment2"/>
      </w:pPr>
      <w:bookmarkStart w:id="1011" w:name="_Toc431526434"/>
      <w:bookmarkStart w:id="1012" w:name="_Toc442804217"/>
      <w:bookmarkStart w:id="1013" w:name="_Toc442805434"/>
      <w:bookmarkStart w:id="1014" w:name="_Toc409070231"/>
      <w:bookmarkStart w:id="1015" w:name="_Toc411554696"/>
      <w:r>
        <w:t>1.3</w:t>
      </w:r>
      <w:r>
        <w:tab/>
      </w:r>
      <w:r w:rsidRPr="009B67BF">
        <w:t>Updating the IL-NTG Methods</w:t>
      </w:r>
      <w:bookmarkEnd w:id="1011"/>
      <w:bookmarkEnd w:id="1012"/>
      <w:bookmarkEnd w:id="1013"/>
      <w:bookmarkEnd w:id="1014"/>
      <w:bookmarkEnd w:id="1015"/>
    </w:p>
    <w:p w14:paraId="362977CA" w14:textId="77777777" w:rsidR="00D34C6E" w:rsidRDefault="00D34C6E" w:rsidP="00D34C6E">
      <w:pPr>
        <w:keepNext/>
        <w:rPr>
          <w:rFonts w:eastAsia="Franklin Gothic Book"/>
        </w:rPr>
      </w:pPr>
      <w:r w:rsidRPr="009B67BF">
        <w:rPr>
          <w:rFonts w:eastAsia="Franklin Gothic Book"/>
        </w:rPr>
        <w:t>This attachment is part of the IL-TRM and follows the timeline for updating of the IL-TRM</w:t>
      </w:r>
      <w:r>
        <w:rPr>
          <w:rFonts w:eastAsia="Franklin Gothic Book"/>
        </w:rPr>
        <w:t>,</w:t>
      </w:r>
      <w:r w:rsidRPr="009B67BF">
        <w:rPr>
          <w:rFonts w:eastAsia="Franklin Gothic Book"/>
        </w:rPr>
        <w:t xml:space="preserve"> as specified in the </w:t>
      </w:r>
      <w:r>
        <w:rPr>
          <w:rFonts w:eastAsia="Franklin Gothic Book"/>
        </w:rPr>
        <w:br/>
        <w:t xml:space="preserve">Illinois Energy Efficiency Policy Manual. </w:t>
      </w:r>
      <w:r w:rsidRPr="009B67BF">
        <w:rPr>
          <w:rFonts w:eastAsia="Franklin Gothic Book"/>
        </w:rPr>
        <w:t>In general, the following will take place:</w:t>
      </w:r>
    </w:p>
    <w:p w14:paraId="6FE549E3" w14:textId="77777777" w:rsidR="00D34C6E" w:rsidRPr="002B13A9" w:rsidRDefault="00D34C6E" w:rsidP="00D34C6E">
      <w:pPr>
        <w:pStyle w:val="ListParagraph"/>
        <w:keepNext/>
        <w:widowControl/>
        <w:numPr>
          <w:ilvl w:val="0"/>
          <w:numId w:val="21"/>
        </w:numPr>
        <w:spacing w:after="60"/>
        <w:contextualSpacing w:val="0"/>
      </w:pPr>
      <w:r w:rsidRPr="002B13A9">
        <w:t xml:space="preserve">Updates will </w:t>
      </w:r>
      <w:r>
        <w:t>generally</w:t>
      </w:r>
      <w:r w:rsidRPr="002B13A9">
        <w:t xml:space="preserve"> occur annually.</w:t>
      </w:r>
    </w:p>
    <w:p w14:paraId="4A506A92" w14:textId="77777777" w:rsidR="00D34C6E" w:rsidRPr="002B13A9" w:rsidRDefault="00D34C6E" w:rsidP="00D34C6E">
      <w:pPr>
        <w:pStyle w:val="ListParagraph"/>
        <w:keepNext/>
        <w:widowControl/>
        <w:numPr>
          <w:ilvl w:val="0"/>
          <w:numId w:val="21"/>
        </w:numPr>
        <w:spacing w:after="60"/>
        <w:contextualSpacing w:val="0"/>
      </w:pPr>
      <w:r w:rsidRPr="002B13A9">
        <w:t>Any changes to the IL-NTG Methods document will be circulated to the full SAG</w:t>
      </w:r>
      <w:r>
        <w:t>,</w:t>
      </w:r>
      <w:r w:rsidRPr="002B13A9">
        <w:t xml:space="preserve"> and SAG participants will have a </w:t>
      </w:r>
      <w:proofErr w:type="gramStart"/>
      <w:r w:rsidRPr="002B13A9">
        <w:t>ten business</w:t>
      </w:r>
      <w:proofErr w:type="gramEnd"/>
      <w:r w:rsidRPr="002B13A9">
        <w:t xml:space="preserve"> day review process.</w:t>
      </w:r>
    </w:p>
    <w:p w14:paraId="0A154C77" w14:textId="77777777" w:rsidR="00D34C6E" w:rsidRPr="002B13A9" w:rsidRDefault="00D34C6E" w:rsidP="00D34C6E">
      <w:pPr>
        <w:pStyle w:val="ListParagraph"/>
        <w:widowControl/>
        <w:numPr>
          <w:ilvl w:val="0"/>
          <w:numId w:val="21"/>
        </w:numPr>
        <w:spacing w:after="60"/>
        <w:contextualSpacing w:val="0"/>
      </w:pPr>
      <w:r w:rsidRPr="002B13A9">
        <w:t xml:space="preserve">Updates </w:t>
      </w:r>
      <w:r>
        <w:t xml:space="preserve">may </w:t>
      </w:r>
      <w:r w:rsidRPr="002B13A9">
        <w:t xml:space="preserve">be discussed within the SAG </w:t>
      </w:r>
      <w:r>
        <w:t>throughout the year but will be</w:t>
      </w:r>
      <w:r w:rsidRPr="002B13A9">
        <w:t xml:space="preserve"> completed </w:t>
      </w:r>
      <w:r>
        <w:t>annually</w:t>
      </w:r>
      <w:r w:rsidRPr="002B13A9">
        <w:t>.</w:t>
      </w:r>
    </w:p>
    <w:p w14:paraId="6E233A82" w14:textId="77777777" w:rsidR="00D34C6E" w:rsidRPr="00A64E18" w:rsidRDefault="00D34C6E" w:rsidP="00D34C6E">
      <w:pPr>
        <w:pStyle w:val="ListParagraph"/>
        <w:widowControl/>
        <w:numPr>
          <w:ilvl w:val="0"/>
          <w:numId w:val="21"/>
        </w:numPr>
        <w:spacing w:after="60"/>
        <w:contextualSpacing w:val="0"/>
      </w:pPr>
      <w:r>
        <w:t>Annually, t</w:t>
      </w:r>
      <w:r w:rsidRPr="002B13A9">
        <w:t xml:space="preserve">he ICC Staff will submit a Staff Report (with the consensus Updated </w:t>
      </w:r>
      <w:r>
        <w:t>IL-TRM</w:t>
      </w:r>
      <w:r w:rsidRPr="002B13A9">
        <w:t xml:space="preserve"> attached) to the Commission with a request for expedited review and approval.</w:t>
      </w:r>
    </w:p>
    <w:p w14:paraId="58887FCA" w14:textId="77777777" w:rsidR="00D34C6E" w:rsidRPr="002B13A9" w:rsidRDefault="00D34C6E" w:rsidP="00D34C6E">
      <w:pPr>
        <w:pStyle w:val="ListParagraph"/>
        <w:widowControl/>
        <w:numPr>
          <w:ilvl w:val="0"/>
          <w:numId w:val="21"/>
        </w:numPr>
        <w:spacing w:after="0"/>
      </w:pPr>
      <w:r>
        <w:lastRenderedPageBreak/>
        <w:t>Updated NTG methods go into effect upon SAG approval, which may be before the annual TRM update or before the effective date of the updated TRM.</w:t>
      </w:r>
    </w:p>
    <w:p w14:paraId="079B5E40" w14:textId="77777777" w:rsidR="00D34C6E" w:rsidRPr="009B67BF" w:rsidRDefault="00D34C6E" w:rsidP="00D34C6E">
      <w:pPr>
        <w:pStyle w:val="Attachment2"/>
      </w:pPr>
      <w:bookmarkStart w:id="1016" w:name="_Toc431526435"/>
      <w:bookmarkStart w:id="1017" w:name="_Ref442018997"/>
      <w:bookmarkStart w:id="1018" w:name="_Ref442019022"/>
      <w:bookmarkStart w:id="1019" w:name="_Toc442804218"/>
      <w:bookmarkStart w:id="1020" w:name="_Toc442805435"/>
      <w:bookmarkStart w:id="1021" w:name="_Toc411554697"/>
      <w:bookmarkStart w:id="1022" w:name="_Hlk15396513"/>
      <w:r>
        <w:t>1.4</w:t>
      </w:r>
      <w:r>
        <w:tab/>
      </w:r>
      <w:r w:rsidRPr="009B67BF">
        <w:t>Diverging from the IL-NTG Methods</w:t>
      </w:r>
      <w:bookmarkEnd w:id="1016"/>
      <w:bookmarkEnd w:id="1017"/>
      <w:bookmarkEnd w:id="1018"/>
      <w:bookmarkEnd w:id="1019"/>
      <w:bookmarkEnd w:id="1020"/>
      <w:bookmarkEnd w:id="1021"/>
    </w:p>
    <w:p w14:paraId="6E7B6602" w14:textId="77777777" w:rsidR="00D34C6E" w:rsidRPr="009B67BF" w:rsidRDefault="00D34C6E" w:rsidP="00D34C6E">
      <w:pPr>
        <w:rPr>
          <w:rFonts w:eastAsia="Franklin Gothic Book"/>
        </w:rPr>
      </w:pPr>
      <w:r w:rsidRPr="009B67BF">
        <w:rPr>
          <w:rFonts w:eastAsia="Franklin Gothic Book"/>
        </w:rPr>
        <w:t xml:space="preserve">The NTG methods for the programs outlined in this document are partially binding. The criteria for deviating from the IL-NTG Methods document are set forth below. In all cases, the evaluators (or any interested stakeholder) </w:t>
      </w:r>
      <w:proofErr w:type="gramStart"/>
      <w:r w:rsidRPr="009B67BF">
        <w:rPr>
          <w:rFonts w:eastAsia="Franklin Gothic Book"/>
        </w:rPr>
        <w:t>submits</w:t>
      </w:r>
      <w:proofErr w:type="gramEnd"/>
      <w:r w:rsidRPr="009B67BF">
        <w:rPr>
          <w:rFonts w:eastAsia="Franklin Gothic Book"/>
        </w:rPr>
        <w:t xml:space="preserve"> the proposed deviation to the full SAG for a ten business day SAG review and comment period. In the event of an objection by a SAG participant, efforts may be made to see if consensus can be reached on the proposed deviation in a subsequent monthly SAG meeting. In this case, a final opportunity for SAG review and comment to the proposed deviation will be provided following the SAG meeting.</w:t>
      </w:r>
    </w:p>
    <w:p w14:paraId="0F0553BD" w14:textId="77777777" w:rsidR="00D34C6E" w:rsidRPr="009B67BF" w:rsidRDefault="00D34C6E" w:rsidP="00D34C6E">
      <w:pPr>
        <w:rPr>
          <w:rFonts w:eastAsia="Franklin Gothic Book"/>
        </w:rPr>
      </w:pPr>
      <w:r w:rsidRPr="009B67BF">
        <w:rPr>
          <w:rFonts w:eastAsia="Franklin Gothic Book"/>
        </w:rPr>
        <w:t xml:space="preserve">Evaluators may modify the approaches described in this document if the following three conditions have </w:t>
      </w:r>
      <w:r>
        <w:rPr>
          <w:rFonts w:eastAsia="Franklin Gothic Book"/>
        </w:rPr>
        <w:br/>
      </w:r>
      <w:r w:rsidRPr="009B67BF">
        <w:rPr>
          <w:rFonts w:eastAsia="Franklin Gothic Book"/>
        </w:rPr>
        <w:t>been satisfied:</w:t>
      </w:r>
    </w:p>
    <w:p w14:paraId="5A6A3A9F" w14:textId="77777777" w:rsidR="00D34C6E" w:rsidRPr="009B67BF" w:rsidRDefault="00D34C6E" w:rsidP="00D34C6E">
      <w:pPr>
        <w:widowControl/>
        <w:numPr>
          <w:ilvl w:val="0"/>
          <w:numId w:val="6"/>
        </w:numPr>
        <w:spacing w:after="60"/>
        <w:ind w:right="720"/>
        <w:rPr>
          <w:rFonts w:eastAsia="Franklin Gothic Book"/>
        </w:rPr>
      </w:pPr>
      <w:r w:rsidRPr="009B67BF">
        <w:rPr>
          <w:rFonts w:eastAsia="Franklin Gothic Book"/>
        </w:rPr>
        <w:t xml:space="preserve">Evaluators must explicate within the annual evaluation research plan (or </w:t>
      </w:r>
      <w:r>
        <w:rPr>
          <w:rFonts w:eastAsia="Franklin Gothic Book"/>
        </w:rPr>
        <w:t>an</w:t>
      </w:r>
      <w:r w:rsidRPr="009B67BF">
        <w:rPr>
          <w:rFonts w:eastAsia="Franklin Gothic Book"/>
        </w:rPr>
        <w:t>other document) how specific items in the proposed modified NTG method will diverge from what is written in this document. Evaluators must justify why the divergence is appropriate.</w:t>
      </w:r>
    </w:p>
    <w:p w14:paraId="3857D21C" w14:textId="77777777" w:rsidR="00D34C6E" w:rsidRPr="009C5C21" w:rsidRDefault="00D34C6E" w:rsidP="00D34C6E">
      <w:pPr>
        <w:widowControl/>
        <w:numPr>
          <w:ilvl w:val="0"/>
          <w:numId w:val="6"/>
        </w:numPr>
        <w:spacing w:after="60"/>
        <w:ind w:right="720"/>
        <w:rPr>
          <w:rFonts w:eastAsia="Franklin Gothic Book"/>
        </w:rPr>
      </w:pPr>
      <w:r w:rsidRPr="009B67BF">
        <w:rPr>
          <w:rFonts w:eastAsia="Franklin Gothic Book"/>
        </w:rPr>
        <w:t>Prior to the use of the modified NTG method for a particular program, evaluation teams must be in agreement on the use and execution of the modified NTG method.</w:t>
      </w:r>
    </w:p>
    <w:p w14:paraId="1C2448AD" w14:textId="77777777" w:rsidR="00D34C6E" w:rsidRPr="009B67BF" w:rsidRDefault="00D34C6E" w:rsidP="00D34C6E">
      <w:pPr>
        <w:widowControl/>
        <w:numPr>
          <w:ilvl w:val="0"/>
          <w:numId w:val="6"/>
        </w:numPr>
        <w:ind w:right="720"/>
        <w:rPr>
          <w:rFonts w:eastAsia="Franklin Gothic Book"/>
        </w:rPr>
      </w:pPr>
      <w:r>
        <w:rPr>
          <w:rFonts w:eastAsia="Franklin Gothic Book"/>
        </w:rPr>
        <w:t xml:space="preserve">Any </w:t>
      </w:r>
      <w:r w:rsidRPr="009B67BF">
        <w:rPr>
          <w:rFonts w:eastAsia="Franklin Gothic Book"/>
        </w:rPr>
        <w:t>objection from SAG participants</w:t>
      </w:r>
      <w:r>
        <w:rPr>
          <w:rFonts w:eastAsia="Franklin Gothic Book"/>
        </w:rPr>
        <w:t xml:space="preserve"> </w:t>
      </w:r>
      <w:r w:rsidRPr="009B67BF">
        <w:rPr>
          <w:rFonts w:eastAsia="Franklin Gothic Book"/>
        </w:rPr>
        <w:t xml:space="preserve">regarding the proposed modified NTG method is </w:t>
      </w:r>
      <w:r>
        <w:rPr>
          <w:rFonts w:eastAsia="Franklin Gothic Book"/>
        </w:rPr>
        <w:t xml:space="preserve">resolved. </w:t>
      </w:r>
    </w:p>
    <w:p w14:paraId="3704D9C8" w14:textId="77777777" w:rsidR="00D34C6E" w:rsidRPr="009B67BF" w:rsidRDefault="00D34C6E" w:rsidP="00D34C6E">
      <w:pPr>
        <w:rPr>
          <w:rFonts w:eastAsia="Franklin Gothic Book"/>
        </w:rPr>
      </w:pPr>
      <w:r w:rsidRPr="009B67BF">
        <w:rPr>
          <w:rFonts w:eastAsia="Franklin Gothic Book"/>
        </w:rPr>
        <w:t>Evaluators may test alternative methods of estimating NTG for a particular program in addition to the NTG methods outlined in this document, if the following three conditions have been satisfied:</w:t>
      </w:r>
    </w:p>
    <w:p w14:paraId="5023ABB1" w14:textId="77777777" w:rsidR="00D34C6E" w:rsidRPr="00CC19BB" w:rsidRDefault="00D34C6E" w:rsidP="00D34C6E">
      <w:pPr>
        <w:widowControl/>
        <w:numPr>
          <w:ilvl w:val="0"/>
          <w:numId w:val="7"/>
        </w:numPr>
        <w:spacing w:after="60"/>
        <w:ind w:right="720"/>
        <w:rPr>
          <w:rFonts w:eastAsia="Franklin Gothic Book"/>
        </w:rPr>
      </w:pPr>
      <w:r w:rsidRPr="009B67BF">
        <w:rPr>
          <w:rFonts w:eastAsia="Franklin Gothic Book"/>
        </w:rPr>
        <w:t>Evaluators must explicate within the annual evaluation research plan (or other document) the proposed alternative NTG method. Evaluators must explain why the proposed alternative NTG method might be superior to the NTG methods outlined in this document for the particular program. Evaluators must discuss the foundation for expecting that the proposed alternative NTG method is likely to produce meaningful results.</w:t>
      </w:r>
    </w:p>
    <w:p w14:paraId="037E7D92" w14:textId="77777777" w:rsidR="00D34C6E" w:rsidRPr="009C5C21" w:rsidRDefault="00D34C6E" w:rsidP="00D34C6E">
      <w:pPr>
        <w:widowControl/>
        <w:numPr>
          <w:ilvl w:val="0"/>
          <w:numId w:val="7"/>
        </w:numPr>
        <w:spacing w:after="60"/>
        <w:ind w:right="720"/>
        <w:rPr>
          <w:rFonts w:eastAsia="Franklin Gothic Book"/>
        </w:rPr>
      </w:pPr>
      <w:r w:rsidRPr="009B67BF">
        <w:rPr>
          <w:rFonts w:eastAsia="Franklin Gothic Book"/>
        </w:rPr>
        <w:t xml:space="preserve">Prior to the use of the alternative NTG method for a particular program, evaluation teams must be in agreement on the key details of the approach for implementing the alternative </w:t>
      </w:r>
      <w:r>
        <w:rPr>
          <w:rFonts w:eastAsia="Franklin Gothic Book"/>
        </w:rPr>
        <w:br/>
      </w:r>
      <w:r w:rsidRPr="009B67BF">
        <w:rPr>
          <w:rFonts w:eastAsia="Franklin Gothic Book"/>
        </w:rPr>
        <w:t>NTG method.</w:t>
      </w:r>
    </w:p>
    <w:p w14:paraId="26A3FC78" w14:textId="77777777" w:rsidR="00D34C6E" w:rsidRPr="00CC19BB" w:rsidRDefault="00D34C6E" w:rsidP="00D34C6E">
      <w:pPr>
        <w:widowControl/>
        <w:numPr>
          <w:ilvl w:val="0"/>
          <w:numId w:val="7"/>
        </w:numPr>
        <w:ind w:right="720"/>
        <w:rPr>
          <w:rFonts w:eastAsia="Franklin Gothic Book"/>
        </w:rPr>
      </w:pPr>
      <w:r>
        <w:rPr>
          <w:rFonts w:eastAsia="Franklin Gothic Book"/>
        </w:rPr>
        <w:t xml:space="preserve">Any </w:t>
      </w:r>
      <w:r w:rsidRPr="009B67BF">
        <w:rPr>
          <w:rFonts w:eastAsia="Franklin Gothic Book"/>
        </w:rPr>
        <w:t xml:space="preserve">objection from SAG participants regarding the proposed alternative NTG method </w:t>
      </w:r>
      <w:r>
        <w:rPr>
          <w:rFonts w:eastAsia="Franklin Gothic Book"/>
        </w:rPr>
        <w:t>gets resolved.</w:t>
      </w:r>
    </w:p>
    <w:p w14:paraId="7C19446F" w14:textId="77777777" w:rsidR="00D34C6E" w:rsidRDefault="00D34C6E" w:rsidP="00D34C6E">
      <w:pPr>
        <w:rPr>
          <w:rFonts w:eastAsia="Franklin Gothic Book"/>
        </w:rPr>
      </w:pPr>
      <w:r w:rsidRPr="009B67BF">
        <w:rPr>
          <w:rFonts w:eastAsia="Franklin Gothic Book"/>
        </w:rPr>
        <w:t xml:space="preserve">When performing alternative NTG methods for a particular program, the choice of methods may vary across the state. For example, if </w:t>
      </w:r>
      <w:proofErr w:type="spellStart"/>
      <w:r w:rsidRPr="009B67BF">
        <w:rPr>
          <w:rFonts w:eastAsia="Franklin Gothic Book"/>
        </w:rPr>
        <w:t>ComEd’s</w:t>
      </w:r>
      <w:proofErr w:type="spellEnd"/>
      <w:r w:rsidRPr="009B67BF">
        <w:rPr>
          <w:rFonts w:eastAsia="Franklin Gothic Book"/>
        </w:rPr>
        <w:t xml:space="preserve"> evaluator chooses to test Methods 1 and 2 for a particular program, Ameren’s and Department of Commerce’s evaluators do not also have to perform Methods 1 and 2 for a similar program. </w:t>
      </w:r>
    </w:p>
    <w:p w14:paraId="7063430B" w14:textId="77777777" w:rsidR="00D34C6E" w:rsidRPr="009B67BF" w:rsidRDefault="00D34C6E" w:rsidP="00D34C6E">
      <w:pPr>
        <w:contextualSpacing/>
        <w:rPr>
          <w:rFonts w:eastAsia="Franklin Gothic Book"/>
        </w:rPr>
      </w:pPr>
      <w:r>
        <w:rPr>
          <w:rFonts w:eastAsia="Franklin Gothic Book"/>
        </w:rPr>
        <w:t xml:space="preserve">Several sections of this attachment provide example questions that can be used to collect the data required in the NTG algorithms. Adjustments to refine specific question wording, e.g., to better reflect the design of the evaluated program, do not constitute divergence from the IL-NTG Methods. </w:t>
      </w:r>
      <w:bookmarkStart w:id="1023" w:name="V8_22"/>
      <w:r>
        <w:rPr>
          <w:rFonts w:eastAsia="Franklin Gothic Book"/>
        </w:rPr>
        <w:t xml:space="preserve">Evaluators are not required to use the exact wording provided in the example questions. </w:t>
      </w:r>
    </w:p>
    <w:p w14:paraId="2B0FEC6B" w14:textId="67000653" w:rsidR="00D34C6E" w:rsidRDefault="00D34C6E" w:rsidP="00D34C6E">
      <w:pPr>
        <w:pStyle w:val="Attachment2"/>
      </w:pPr>
      <w:bookmarkStart w:id="1024" w:name="_Toc431526436"/>
      <w:bookmarkStart w:id="1025" w:name="_Toc442804219"/>
      <w:bookmarkStart w:id="1026" w:name="_Toc442805436"/>
      <w:bookmarkStart w:id="1027" w:name="_Toc411554698"/>
      <w:bookmarkEnd w:id="1022"/>
      <w:bookmarkEnd w:id="1023"/>
      <w:r>
        <w:t>1.5</w:t>
      </w:r>
      <w:r>
        <w:tab/>
        <w:t>Procedure for Non-Consensus Items</w:t>
      </w:r>
    </w:p>
    <w:p w14:paraId="1CED7C3F" w14:textId="77777777" w:rsidR="00D34C6E" w:rsidRDefault="00D34C6E" w:rsidP="00D34C6E">
      <w:pPr>
        <w:keepNext/>
        <w:rPr>
          <w:rFonts w:eastAsia="Franklin Gothic Book"/>
        </w:rPr>
      </w:pPr>
      <w:r>
        <w:rPr>
          <w:rFonts w:eastAsia="Franklin Gothic Book"/>
        </w:rPr>
        <w:t>Non-consensus items that arise during the development and updating of the IL-NTG Methods document will be handled in substantially the same way as non-consensus IL-TRM Updates are addressed. The approach to be used is as follows.</w:t>
      </w:r>
    </w:p>
    <w:p w14:paraId="5DC43947" w14:textId="77777777" w:rsidR="00D34C6E" w:rsidRDefault="00D34C6E" w:rsidP="00D34C6E">
      <w:pPr>
        <w:pStyle w:val="ListParagraph"/>
        <w:keepNext/>
        <w:widowControl/>
        <w:numPr>
          <w:ilvl w:val="0"/>
          <w:numId w:val="21"/>
        </w:numPr>
        <w:spacing w:after="60"/>
        <w:jc w:val="left"/>
        <w:rPr>
          <w:rFonts w:eastAsia="Franklin Gothic Book"/>
        </w:rPr>
      </w:pPr>
      <w:r>
        <w:rPr>
          <w:rFonts w:eastAsia="Franklin Gothic Book"/>
        </w:rPr>
        <w:t>Once the Illinois NTG Working Group</w:t>
      </w:r>
      <w:r>
        <w:rPr>
          <w:rFonts w:eastAsia="Franklin Gothic Book"/>
          <w:vertAlign w:val="superscript"/>
        </w:rPr>
        <w:footnoteReference w:id="60"/>
      </w:r>
      <w:r>
        <w:rPr>
          <w:rFonts w:eastAsia="Franklin Gothic Book"/>
        </w:rPr>
        <w:t xml:space="preserve"> has progressed as far as they can on the methodology, and it has been found that there is non-consensus on a specific Net-to-Gross Methods topic or procedure, the </w:t>
      </w:r>
      <w:r>
        <w:rPr>
          <w:rFonts w:eastAsia="Franklin Gothic Book"/>
        </w:rPr>
        <w:lastRenderedPageBreak/>
        <w:t xml:space="preserve">Illinois NTG Working Group shall </w:t>
      </w:r>
      <w:r>
        <w:t>submit</w:t>
      </w:r>
      <w:r>
        <w:rPr>
          <w:rFonts w:eastAsia="Franklin Gothic Book"/>
        </w:rPr>
        <w:t xml:space="preserve"> to the ICC Staff and the SAG’s Technical Advisory Committee (TAC) a “Comparison Exhibit of Non-Consensus Net-to-Gross Methods topics/procedures” within two weeks after the Illinois NTG Working Group has failed to reach consensus. The TAC will then deliberate on the issue with a goal of reaching consensus.</w:t>
      </w:r>
    </w:p>
    <w:p w14:paraId="4BD64211" w14:textId="77777777" w:rsidR="00D34C6E" w:rsidRDefault="00D34C6E" w:rsidP="00D34C6E">
      <w:pPr>
        <w:pStyle w:val="ListParagraph"/>
        <w:widowControl/>
        <w:numPr>
          <w:ilvl w:val="0"/>
          <w:numId w:val="21"/>
        </w:numPr>
        <w:spacing w:after="60"/>
        <w:jc w:val="left"/>
        <w:rPr>
          <w:rFonts w:eastAsia="Franklin Gothic Book"/>
        </w:rPr>
      </w:pPr>
      <w:r>
        <w:rPr>
          <w:rFonts w:eastAsia="Franklin Gothic Book"/>
        </w:rPr>
        <w:t>If consensus does not emerge in the TAC regarding a particular Net-to-Gross Methods topic or procedure, the “Comparison Exhibit of Non-Consensus NTG Methods topics/procedures” is then sent to the full SAG for their deliberations and input. The SAG provides a forum where experts on all sides of the contested issue can present their expert opinions in an effort to inform parties of the contested issue and to also facilitate consensus.</w:t>
      </w:r>
    </w:p>
    <w:p w14:paraId="75B167E1" w14:textId="77777777" w:rsidR="00D34C6E" w:rsidRDefault="00D34C6E" w:rsidP="00D34C6E">
      <w:pPr>
        <w:pStyle w:val="ListParagraph"/>
        <w:widowControl/>
        <w:numPr>
          <w:ilvl w:val="0"/>
          <w:numId w:val="21"/>
        </w:numPr>
        <w:spacing w:before="240"/>
        <w:jc w:val="left"/>
        <w:rPr>
          <w:rFonts w:eastAsia="Franklin Gothic Book"/>
        </w:rPr>
      </w:pPr>
      <w:r>
        <w:rPr>
          <w:rFonts w:eastAsia="Franklin Gothic Book"/>
        </w:rPr>
        <w:t>To the extent a consensus among Program Administrators and non-financially interested stakeholders cannot be reached regarding issues related to specific Net-to-Gross Methods topic or procedure updates, the IL-TRM Administrator shall have the authority to use its best judgment to propose a resolution of the issue and include such in the updated IL-TRM that gets submitted to the ICC for approval. For transparency and informational purposes, the ICC Staff will document such dispute and include a link to a “Comparison Exhibit of Non-Consensus Net-to-Gross Methods topics/procedures” developed by the Illinois NTG Working Group and the IL-TRM Administrator in the Staff Report submitted to the Commission. The “Comparison Exhibit of Non-Consensus Net-to-Gross Methods topics/procedures” will document, with input from the parties, the various parties’ positions concerning a non-consensus Net-to-Gross Methods topic or procedure update as well as the IL-TRM Administrator’s rationale for its decision to resolve the issue.</w:t>
      </w:r>
    </w:p>
    <w:p w14:paraId="722E87DD" w14:textId="7A096A88" w:rsidR="00D34C6E" w:rsidRDefault="00D34C6E" w:rsidP="00435E4E">
      <w:pPr>
        <w:pStyle w:val="ListParagraph"/>
        <w:widowControl/>
        <w:numPr>
          <w:ilvl w:val="0"/>
          <w:numId w:val="21"/>
        </w:numPr>
        <w:spacing w:before="240"/>
        <w:jc w:val="left"/>
        <w:rPr>
          <w:rFonts w:eastAsia="Franklin Gothic Book"/>
        </w:rPr>
      </w:pPr>
      <w:r>
        <w:rPr>
          <w:rFonts w:eastAsia="Franklin Gothic Book"/>
        </w:rPr>
        <w:t>Nothing in this language shall preclude Program Administrators and stakeholders from challenging the IL-TRM Administrator’s proposed resolution by petitioning the Commission. Until the Commission resolves the petition, the Commission-approved Net-to-Gross Methods topic or procedure shall be the default pending the issuance of a Commission Order. The applicable date for the Commission-resolved Net-to-Gross Methods topic or procedure will be the latter of January 1 of the year the IL-TRM was designed to go into effect, or the first day of the next month following the Commission order. In the petition, the filing party should note all Program Administrators affected by the IL-TRM dispute, and request that the Commission join each affected Program Administrator to the docket.</w:t>
      </w:r>
      <w:bookmarkEnd w:id="1024"/>
      <w:bookmarkEnd w:id="1025"/>
      <w:bookmarkEnd w:id="1026"/>
      <w:bookmarkEnd w:id="1027"/>
      <w:r>
        <w:rPr>
          <w:rFonts w:eastAsia="Franklin Gothic Book"/>
        </w:rPr>
        <w:br w:type="page"/>
      </w:r>
    </w:p>
    <w:p w14:paraId="7E1F218B" w14:textId="77777777" w:rsidR="00D34C6E" w:rsidRPr="009B67BF" w:rsidRDefault="00D34C6E" w:rsidP="00D34C6E">
      <w:pPr>
        <w:pStyle w:val="Heading1"/>
        <w:keepLines w:val="0"/>
        <w:widowControl/>
        <w:numPr>
          <w:ilvl w:val="0"/>
          <w:numId w:val="56"/>
        </w:numPr>
        <w:tabs>
          <w:tab w:val="decimal" w:pos="720"/>
        </w:tabs>
        <w:jc w:val="left"/>
      </w:pPr>
      <w:bookmarkStart w:id="1028" w:name="_Toc431526437"/>
      <w:bookmarkStart w:id="1029" w:name="_Toc442804220"/>
      <w:bookmarkStart w:id="1030" w:name="_Toc442805437"/>
      <w:bookmarkStart w:id="1031" w:name="_Toc411554699"/>
      <w:bookmarkStart w:id="1032" w:name="_Toc472494686"/>
      <w:bookmarkStart w:id="1033" w:name="_Toc520462884"/>
      <w:bookmarkStart w:id="1034" w:name="_Toc473108028"/>
      <w:bookmarkStart w:id="1035" w:name="_Toc520824139"/>
      <w:bookmarkStart w:id="1036" w:name="_Toc16619923"/>
      <w:bookmarkStart w:id="1037" w:name="_Toc113619775"/>
      <w:r w:rsidRPr="009B67BF">
        <w:lastRenderedPageBreak/>
        <w:t>Attribution in Energy Efficiency Programs in General</w:t>
      </w:r>
      <w:bookmarkEnd w:id="1028"/>
      <w:bookmarkEnd w:id="1029"/>
      <w:bookmarkEnd w:id="1030"/>
      <w:bookmarkEnd w:id="1031"/>
      <w:bookmarkEnd w:id="1032"/>
      <w:bookmarkEnd w:id="1033"/>
      <w:bookmarkEnd w:id="1034"/>
      <w:bookmarkEnd w:id="1035"/>
      <w:bookmarkEnd w:id="1036"/>
      <w:bookmarkEnd w:id="1037"/>
    </w:p>
    <w:p w14:paraId="0B56BFDE" w14:textId="77777777" w:rsidR="00D34C6E" w:rsidRDefault="00D34C6E" w:rsidP="00D34C6E">
      <w:pPr>
        <w:keepNext/>
        <w:keepLines/>
        <w:rPr>
          <w:rFonts w:eastAsia="Franklin Gothic Book"/>
        </w:rPr>
      </w:pPr>
      <w:r w:rsidRPr="009B67BF">
        <w:rPr>
          <w:rFonts w:eastAsia="Franklin Gothic Book"/>
        </w:rPr>
        <w:t>One of the most difficult aspects of evaluation, and not just within evaluation of energy efficiency programs, is attributing results to a program. Attribution provides credible evidence that there is a causal link between the program activities and the outcomes achieved by the program. Attribution research estimates the difference between the outcomes and those that would have occurred absent the program (i.e., the counterfactual). Put in research terms, evaluators must reject the null hypothesis of no causality through probabilistic statements (e.g., “strong evidence”</w:t>
      </w:r>
      <w:r>
        <w:rPr>
          <w:rFonts w:eastAsia="Franklin Gothic Book"/>
        </w:rPr>
        <w:t>;</w:t>
      </w:r>
      <w:r w:rsidRPr="009B67BF">
        <w:rPr>
          <w:rFonts w:eastAsia="Franklin Gothic Book"/>
        </w:rPr>
        <w:t xml:space="preserve"> “high probability”). As such, it is important to realize that the concept of the counterfactual cannot be proven with certainty. So even though the NTG ratio is a single value, conceptually it is a probabilistic statement</w:t>
      </w:r>
      <w:r>
        <w:rPr>
          <w:rFonts w:eastAsia="Franklin Gothic Book"/>
        </w:rPr>
        <w:t>.</w:t>
      </w:r>
      <w:r w:rsidRPr="00B31077">
        <w:rPr>
          <w:rFonts w:eastAsia="Franklin Gothic Book"/>
          <w:vertAlign w:val="superscript"/>
        </w:rPr>
        <w:footnoteReference w:id="61"/>
      </w:r>
      <w:r w:rsidRPr="009B67BF">
        <w:rPr>
          <w:rFonts w:eastAsia="Franklin Gothic Book"/>
        </w:rPr>
        <w:t xml:space="preserve"> One of the main academics within evaluation stated that there is a “…total and inevitable absence of certain knowledge [arising] from the methods social scientists use” when assessing the counterfactual. (</w:t>
      </w:r>
      <w:proofErr w:type="spellStart"/>
      <w:r w:rsidRPr="009B67BF">
        <w:rPr>
          <w:rFonts w:eastAsia="Franklin Gothic Book"/>
        </w:rPr>
        <w:t>Shadish</w:t>
      </w:r>
      <w:proofErr w:type="spellEnd"/>
      <w:r w:rsidRPr="009B67BF">
        <w:rPr>
          <w:rFonts w:eastAsia="Franklin Gothic Book"/>
        </w:rPr>
        <w:t xml:space="preserve">, et al., 2002) This statement is not about poor methods, but about the counterfactual itself. Because programs work with people and are </w:t>
      </w:r>
      <w:r>
        <w:rPr>
          <w:rFonts w:eastAsia="Franklin Gothic Book"/>
        </w:rPr>
        <w:t xml:space="preserve">usually </w:t>
      </w:r>
      <w:r w:rsidRPr="009B67BF">
        <w:rPr>
          <w:rFonts w:eastAsia="Franklin Gothic Book"/>
        </w:rPr>
        <w:t>not a laboratory experiment that can be replicated over and over</w:t>
      </w:r>
      <w:r w:rsidRPr="00B31077">
        <w:rPr>
          <w:rStyle w:val="FootnoteReference"/>
          <w:rFonts w:eastAsia="Franklin Gothic Book"/>
        </w:rPr>
        <w:footnoteReference w:id="62"/>
      </w:r>
      <w:r w:rsidRPr="009B67BF">
        <w:rPr>
          <w:rFonts w:eastAsia="Franklin Gothic Book"/>
        </w:rPr>
        <w:t xml:space="preserve"> to find out what actions people would have taken absent an intervention, one would need a time machine to take people back in time and not provide the program. Since time machines do not exist, evaluators have developed methods that approximate the counterfactual to the best of their ability.</w:t>
      </w:r>
    </w:p>
    <w:p w14:paraId="1A0B708E" w14:textId="77777777" w:rsidR="00D34C6E" w:rsidRPr="009B67BF" w:rsidRDefault="00D34C6E" w:rsidP="00D34C6E">
      <w:pPr>
        <w:pStyle w:val="Heading2"/>
        <w:keepLines w:val="0"/>
        <w:widowControl/>
        <w:numPr>
          <w:ilvl w:val="1"/>
          <w:numId w:val="8"/>
        </w:numPr>
        <w:jc w:val="left"/>
      </w:pPr>
      <w:bookmarkStart w:id="1038" w:name="_Toc442804221"/>
      <w:bookmarkStart w:id="1039" w:name="_Toc442805438"/>
      <w:bookmarkStart w:id="1040" w:name="_Toc472494687"/>
      <w:bookmarkStart w:id="1041" w:name="_Toc520462885"/>
      <w:bookmarkStart w:id="1042" w:name="_Toc473108029"/>
      <w:bookmarkStart w:id="1043" w:name="_Toc520824140"/>
      <w:bookmarkStart w:id="1044" w:name="_Toc16619924"/>
      <w:bookmarkStart w:id="1045" w:name="_Toc113619776"/>
      <w:r>
        <w:t>Definitions</w:t>
      </w:r>
      <w:bookmarkEnd w:id="1038"/>
      <w:bookmarkEnd w:id="1039"/>
      <w:bookmarkEnd w:id="1040"/>
      <w:bookmarkEnd w:id="1041"/>
      <w:bookmarkEnd w:id="1042"/>
      <w:bookmarkEnd w:id="1043"/>
      <w:bookmarkEnd w:id="1044"/>
      <w:bookmarkEnd w:id="1045"/>
    </w:p>
    <w:p w14:paraId="43E9C74F" w14:textId="77777777" w:rsidR="00D34C6E" w:rsidRPr="009B67BF" w:rsidRDefault="00D34C6E" w:rsidP="00D34C6E">
      <w:pPr>
        <w:rPr>
          <w:rFonts w:eastAsia="Franklin Gothic Book"/>
        </w:rPr>
      </w:pPr>
      <w:r w:rsidRPr="009B67BF">
        <w:rPr>
          <w:rFonts w:eastAsia="Franklin Gothic Book"/>
        </w:rPr>
        <w:t>For energy efficiency programs, evaluators differentiate between savings at a “gross” and “net” level as described below in the short set of relevant definitions. These definitions are not all encompassing or meant to restrict evaluation in any way, but to provide context before additional detail is provided in later sections. Research to determine attribution occurs to allow for a better understanding of the net level of savings.</w:t>
      </w:r>
    </w:p>
    <w:p w14:paraId="7A9005BA" w14:textId="77777777" w:rsidR="00D34C6E" w:rsidRPr="00D77363" w:rsidRDefault="00D34C6E" w:rsidP="0021790A">
      <w:pPr>
        <w:pStyle w:val="TableHeading"/>
        <w:rPr>
          <w:rFonts w:eastAsia="Franklin Gothic Book"/>
        </w:rPr>
      </w:pPr>
      <w:bookmarkStart w:id="1046" w:name="_Toc472494768"/>
      <w:bookmarkStart w:id="1047" w:name="_Toc473108155"/>
      <w:bookmarkStart w:id="1048" w:name="_Toc520824286"/>
      <w:bookmarkStart w:id="1049" w:name="_Toc523148259"/>
      <w:bookmarkStart w:id="1050" w:name="_Toc16620020"/>
      <w:bookmarkStart w:id="1051" w:name="_Toc83376851"/>
      <w:r w:rsidRPr="00D77363">
        <w:t>Table 2</w:t>
      </w:r>
      <w:r w:rsidRPr="00D77363">
        <w:noBreakHyphen/>
        <w:t xml:space="preserve">1. </w:t>
      </w:r>
      <w:r w:rsidRPr="00D77363">
        <w:rPr>
          <w:rFonts w:eastAsia="Franklin Gothic Book"/>
        </w:rPr>
        <w:t>Definitions</w:t>
      </w:r>
      <w:bookmarkEnd w:id="1046"/>
      <w:bookmarkEnd w:id="1047"/>
      <w:bookmarkEnd w:id="1048"/>
      <w:bookmarkEnd w:id="1049"/>
      <w:bookmarkEnd w:id="1050"/>
      <w:bookmarkEnd w:id="1051"/>
    </w:p>
    <w:tbl>
      <w:tblPr>
        <w:tblW w:w="90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1844"/>
        <w:gridCol w:w="5876"/>
      </w:tblGrid>
      <w:tr w:rsidR="00D34C6E" w:rsidRPr="002F5FEF" w14:paraId="26548555" w14:textId="77777777" w:rsidTr="002B6C05">
        <w:trPr>
          <w:trHeight w:val="20"/>
          <w:tblHeader/>
        </w:trPr>
        <w:tc>
          <w:tcPr>
            <w:tcW w:w="1345" w:type="dxa"/>
            <w:tcBorders>
              <w:bottom w:val="single" w:sz="12" w:space="0" w:color="666666"/>
            </w:tcBorders>
            <w:shd w:val="clear" w:color="auto" w:fill="auto"/>
            <w:vAlign w:val="center"/>
          </w:tcPr>
          <w:p w14:paraId="02389D38" w14:textId="77777777" w:rsidR="00D34C6E" w:rsidRPr="002F5FEF" w:rsidRDefault="00D34C6E" w:rsidP="002B6C05">
            <w:pPr>
              <w:spacing w:after="0"/>
              <w:jc w:val="center"/>
              <w:rPr>
                <w:rFonts w:eastAsia="Franklin Gothic Book"/>
                <w:b/>
                <w:bCs/>
              </w:rPr>
            </w:pPr>
            <w:r w:rsidRPr="002F5FEF">
              <w:rPr>
                <w:rFonts w:eastAsia="Franklin Gothic Book"/>
                <w:b/>
                <w:bCs/>
              </w:rPr>
              <w:t>Concept</w:t>
            </w:r>
          </w:p>
        </w:tc>
        <w:tc>
          <w:tcPr>
            <w:tcW w:w="1844" w:type="dxa"/>
            <w:tcBorders>
              <w:bottom w:val="single" w:sz="12" w:space="0" w:color="666666"/>
            </w:tcBorders>
            <w:shd w:val="clear" w:color="auto" w:fill="auto"/>
            <w:vAlign w:val="center"/>
          </w:tcPr>
          <w:p w14:paraId="50F42F81" w14:textId="77777777" w:rsidR="00D34C6E" w:rsidRPr="002F5FEF" w:rsidRDefault="00D34C6E" w:rsidP="002B6C05">
            <w:pPr>
              <w:spacing w:after="0"/>
              <w:jc w:val="center"/>
              <w:rPr>
                <w:rFonts w:eastAsia="Franklin Gothic Book"/>
                <w:b/>
                <w:bCs/>
              </w:rPr>
            </w:pPr>
            <w:r w:rsidRPr="002F5FEF">
              <w:rPr>
                <w:rFonts w:eastAsia="Franklin Gothic Book"/>
                <w:b/>
                <w:bCs/>
              </w:rPr>
              <w:t>Term</w:t>
            </w:r>
          </w:p>
        </w:tc>
        <w:tc>
          <w:tcPr>
            <w:tcW w:w="5876" w:type="dxa"/>
            <w:tcBorders>
              <w:bottom w:val="single" w:sz="12" w:space="0" w:color="666666"/>
            </w:tcBorders>
            <w:shd w:val="clear" w:color="auto" w:fill="auto"/>
            <w:vAlign w:val="center"/>
          </w:tcPr>
          <w:p w14:paraId="42CF509E" w14:textId="77777777" w:rsidR="00D34C6E" w:rsidRPr="002F5FEF" w:rsidRDefault="00D34C6E" w:rsidP="002B6C05">
            <w:pPr>
              <w:spacing w:after="0"/>
              <w:jc w:val="center"/>
              <w:rPr>
                <w:rFonts w:eastAsia="Franklin Gothic Book"/>
                <w:b/>
                <w:bCs/>
              </w:rPr>
            </w:pPr>
            <w:r w:rsidRPr="002F5FEF">
              <w:rPr>
                <w:rFonts w:eastAsia="Franklin Gothic Book"/>
                <w:b/>
                <w:bCs/>
              </w:rPr>
              <w:t>Definition</w:t>
            </w:r>
          </w:p>
        </w:tc>
      </w:tr>
      <w:tr w:rsidR="00D34C6E" w:rsidRPr="002F5FEF" w14:paraId="02344163" w14:textId="77777777" w:rsidTr="002B6C05">
        <w:trPr>
          <w:trHeight w:val="20"/>
        </w:trPr>
        <w:tc>
          <w:tcPr>
            <w:tcW w:w="1345" w:type="dxa"/>
            <w:vMerge w:val="restart"/>
            <w:shd w:val="clear" w:color="auto" w:fill="auto"/>
            <w:vAlign w:val="center"/>
          </w:tcPr>
          <w:p w14:paraId="138BCFBE" w14:textId="77777777" w:rsidR="00D34C6E" w:rsidRPr="002F5FEF" w:rsidRDefault="00D34C6E" w:rsidP="002B6C05">
            <w:pPr>
              <w:spacing w:after="0"/>
              <w:jc w:val="left"/>
              <w:rPr>
                <w:rFonts w:eastAsia="Franklin Gothic Book"/>
                <w:b/>
                <w:bCs/>
              </w:rPr>
            </w:pPr>
            <w:r w:rsidRPr="002F5FEF">
              <w:rPr>
                <w:rFonts w:eastAsia="Franklin Gothic Book"/>
                <w:b/>
                <w:bCs/>
              </w:rPr>
              <w:t>Consumers</w:t>
            </w:r>
          </w:p>
        </w:tc>
        <w:tc>
          <w:tcPr>
            <w:tcW w:w="1844" w:type="dxa"/>
            <w:shd w:val="clear" w:color="auto" w:fill="auto"/>
            <w:vAlign w:val="center"/>
          </w:tcPr>
          <w:p w14:paraId="75AD78E6" w14:textId="77777777" w:rsidR="00D34C6E" w:rsidRPr="002F5FEF" w:rsidRDefault="00D34C6E" w:rsidP="002B6C05">
            <w:pPr>
              <w:spacing w:after="0"/>
              <w:jc w:val="left"/>
              <w:rPr>
                <w:rFonts w:eastAsia="Franklin Gothic Book"/>
              </w:rPr>
            </w:pPr>
            <w:r w:rsidRPr="002F5FEF">
              <w:rPr>
                <w:rFonts w:eastAsia="Franklin Gothic Book"/>
              </w:rPr>
              <w:t>Nonparticipant</w:t>
            </w:r>
          </w:p>
        </w:tc>
        <w:tc>
          <w:tcPr>
            <w:tcW w:w="5876" w:type="dxa"/>
            <w:shd w:val="clear" w:color="auto" w:fill="auto"/>
          </w:tcPr>
          <w:p w14:paraId="1B03F755" w14:textId="77777777" w:rsidR="00D34C6E" w:rsidRPr="002F5FEF" w:rsidRDefault="00D34C6E" w:rsidP="002B6C05">
            <w:pPr>
              <w:spacing w:after="0"/>
              <w:jc w:val="left"/>
              <w:rPr>
                <w:rFonts w:eastAsia="Franklin Gothic Book"/>
              </w:rPr>
            </w:pPr>
            <w:r w:rsidRPr="002F5FEF">
              <w:rPr>
                <w:rFonts w:eastAsia="Franklin Gothic Book"/>
              </w:rPr>
              <w:t>Any consumer who was eligible but did not participate in the subject efficiency program, in a given program year.</w:t>
            </w:r>
          </w:p>
        </w:tc>
      </w:tr>
      <w:tr w:rsidR="00D34C6E" w:rsidRPr="002F5FEF" w14:paraId="2B671FC6" w14:textId="77777777" w:rsidTr="002B6C05">
        <w:trPr>
          <w:trHeight w:val="20"/>
        </w:trPr>
        <w:tc>
          <w:tcPr>
            <w:tcW w:w="1345" w:type="dxa"/>
            <w:vMerge/>
            <w:shd w:val="clear" w:color="auto" w:fill="auto"/>
            <w:vAlign w:val="center"/>
          </w:tcPr>
          <w:p w14:paraId="29BD2DB6" w14:textId="77777777" w:rsidR="00D34C6E" w:rsidRPr="002F5FEF" w:rsidRDefault="00D34C6E" w:rsidP="002B6C05">
            <w:pPr>
              <w:spacing w:after="0"/>
              <w:jc w:val="left"/>
              <w:rPr>
                <w:rFonts w:eastAsia="Franklin Gothic Book"/>
                <w:b/>
                <w:bCs/>
              </w:rPr>
            </w:pPr>
          </w:p>
        </w:tc>
        <w:tc>
          <w:tcPr>
            <w:tcW w:w="1844" w:type="dxa"/>
            <w:shd w:val="clear" w:color="auto" w:fill="auto"/>
            <w:vAlign w:val="center"/>
          </w:tcPr>
          <w:p w14:paraId="598F622E" w14:textId="77777777" w:rsidR="00D34C6E" w:rsidRPr="002F5FEF" w:rsidRDefault="00D34C6E" w:rsidP="002B6C05">
            <w:pPr>
              <w:spacing w:after="0"/>
              <w:jc w:val="left"/>
              <w:rPr>
                <w:rFonts w:eastAsia="Franklin Gothic Book"/>
              </w:rPr>
            </w:pPr>
            <w:r w:rsidRPr="002F5FEF">
              <w:rPr>
                <w:rFonts w:eastAsia="Franklin Gothic Book"/>
              </w:rPr>
              <w:t>Participant</w:t>
            </w:r>
          </w:p>
        </w:tc>
        <w:tc>
          <w:tcPr>
            <w:tcW w:w="5876" w:type="dxa"/>
            <w:shd w:val="clear" w:color="auto" w:fill="auto"/>
          </w:tcPr>
          <w:p w14:paraId="6CB65EFE" w14:textId="77777777" w:rsidR="00D34C6E" w:rsidRPr="002F5FEF" w:rsidRDefault="00D34C6E" w:rsidP="002B6C05">
            <w:pPr>
              <w:spacing w:after="0"/>
              <w:jc w:val="left"/>
              <w:rPr>
                <w:rFonts w:eastAsia="Franklin Gothic Book"/>
              </w:rPr>
            </w:pPr>
            <w:r w:rsidRPr="002F5FEF">
              <w:rPr>
                <w:rFonts w:eastAsia="Franklin Gothic Book"/>
              </w:rPr>
              <w:t>A consumer who received a service offered through the subject efficiency program, in a given program year; also called program participant. The term “service” is used in this definition to suggest that the service can be a wide variety of inducements, including financial rebates, technical assistance, product installations, training, energy efficiency information, or other services, items, or conditions. Each evaluation plan should define “participant” as it applies to the specific evaluation.</w:t>
            </w:r>
          </w:p>
        </w:tc>
      </w:tr>
      <w:tr w:rsidR="00D34C6E" w:rsidRPr="002F5FEF" w14:paraId="3A63F57F" w14:textId="77777777" w:rsidTr="002B6C05">
        <w:trPr>
          <w:trHeight w:val="20"/>
        </w:trPr>
        <w:tc>
          <w:tcPr>
            <w:tcW w:w="1345" w:type="dxa"/>
            <w:shd w:val="clear" w:color="auto" w:fill="auto"/>
            <w:vAlign w:val="center"/>
          </w:tcPr>
          <w:p w14:paraId="2E3ABF2E" w14:textId="77777777" w:rsidR="00D34C6E" w:rsidRPr="002F5FEF" w:rsidRDefault="00D34C6E" w:rsidP="002B6C05">
            <w:pPr>
              <w:spacing w:after="0"/>
              <w:jc w:val="left"/>
              <w:rPr>
                <w:rFonts w:eastAsia="Franklin Gothic Book"/>
                <w:b/>
                <w:bCs/>
              </w:rPr>
            </w:pPr>
            <w:r w:rsidRPr="002F5FEF">
              <w:rPr>
                <w:rFonts w:eastAsia="Franklin Gothic Book"/>
                <w:b/>
                <w:bCs/>
              </w:rPr>
              <w:t>Gross Impacts</w:t>
            </w:r>
          </w:p>
        </w:tc>
        <w:tc>
          <w:tcPr>
            <w:tcW w:w="1844" w:type="dxa"/>
            <w:shd w:val="clear" w:color="auto" w:fill="auto"/>
            <w:vAlign w:val="center"/>
          </w:tcPr>
          <w:p w14:paraId="1EC50FCB" w14:textId="77777777" w:rsidR="00D34C6E" w:rsidRPr="002F5FEF" w:rsidRDefault="00D34C6E" w:rsidP="002B6C05">
            <w:pPr>
              <w:spacing w:after="0"/>
              <w:jc w:val="left"/>
              <w:rPr>
                <w:rFonts w:eastAsia="Franklin Gothic Book"/>
              </w:rPr>
            </w:pPr>
            <w:r w:rsidRPr="002F5FEF">
              <w:rPr>
                <w:rFonts w:eastAsia="Franklin Gothic Book"/>
              </w:rPr>
              <w:t>Gross Impacts</w:t>
            </w:r>
          </w:p>
        </w:tc>
        <w:tc>
          <w:tcPr>
            <w:tcW w:w="5876" w:type="dxa"/>
            <w:shd w:val="clear" w:color="auto" w:fill="auto"/>
          </w:tcPr>
          <w:p w14:paraId="08FBAE8C" w14:textId="77777777" w:rsidR="00D34C6E" w:rsidRPr="002F5FEF" w:rsidRDefault="00D34C6E" w:rsidP="002B6C05">
            <w:pPr>
              <w:spacing w:after="0"/>
              <w:jc w:val="left"/>
              <w:rPr>
                <w:rFonts w:eastAsia="Franklin Gothic Book"/>
              </w:rPr>
            </w:pPr>
            <w:r w:rsidRPr="002F5FEF">
              <w:rPr>
                <w:rFonts w:eastAsia="Franklin Gothic Book"/>
              </w:rPr>
              <w:t>The change in energy consumption and/or demand that results directly from program-related actions taken by participants in an energy efficiency program, regardless of why they participated.</w:t>
            </w:r>
          </w:p>
        </w:tc>
      </w:tr>
      <w:tr w:rsidR="00D34C6E" w:rsidRPr="002F5FEF" w14:paraId="3060FA69" w14:textId="77777777" w:rsidTr="002B6C05">
        <w:trPr>
          <w:trHeight w:val="20"/>
        </w:trPr>
        <w:tc>
          <w:tcPr>
            <w:tcW w:w="1345" w:type="dxa"/>
            <w:vMerge w:val="restart"/>
            <w:shd w:val="clear" w:color="auto" w:fill="auto"/>
            <w:vAlign w:val="center"/>
          </w:tcPr>
          <w:p w14:paraId="27CDCB4D" w14:textId="77777777" w:rsidR="00D34C6E" w:rsidRPr="002F5FEF" w:rsidRDefault="00D34C6E" w:rsidP="002B6C05">
            <w:pPr>
              <w:keepNext/>
              <w:spacing w:after="0"/>
              <w:jc w:val="left"/>
              <w:rPr>
                <w:rFonts w:eastAsia="Franklin Gothic Book"/>
              </w:rPr>
            </w:pPr>
            <w:r w:rsidRPr="002F5FEF">
              <w:rPr>
                <w:rFonts w:eastAsia="Franklin Gothic Book"/>
                <w:b/>
                <w:bCs/>
              </w:rPr>
              <w:t>Attribution of Impacts</w:t>
            </w:r>
          </w:p>
        </w:tc>
        <w:tc>
          <w:tcPr>
            <w:tcW w:w="1844" w:type="dxa"/>
            <w:shd w:val="clear" w:color="auto" w:fill="auto"/>
            <w:vAlign w:val="center"/>
          </w:tcPr>
          <w:p w14:paraId="1CFD0B5D" w14:textId="77777777" w:rsidR="00D34C6E" w:rsidRPr="002F5FEF" w:rsidRDefault="00D34C6E" w:rsidP="002B6C05">
            <w:pPr>
              <w:keepNext/>
              <w:spacing w:after="0"/>
              <w:jc w:val="left"/>
              <w:rPr>
                <w:rFonts w:eastAsia="Franklin Gothic Book"/>
              </w:rPr>
            </w:pPr>
            <w:r w:rsidRPr="002F5FEF">
              <w:rPr>
                <w:rFonts w:eastAsia="Franklin Gothic Book"/>
              </w:rPr>
              <w:t xml:space="preserve">Net Impacts </w:t>
            </w:r>
          </w:p>
        </w:tc>
        <w:tc>
          <w:tcPr>
            <w:tcW w:w="5876" w:type="dxa"/>
            <w:shd w:val="clear" w:color="auto" w:fill="auto"/>
          </w:tcPr>
          <w:p w14:paraId="32A99FB7" w14:textId="77777777" w:rsidR="00D34C6E" w:rsidRPr="002F5FEF" w:rsidRDefault="00D34C6E" w:rsidP="002B6C05">
            <w:pPr>
              <w:keepNext/>
              <w:spacing w:after="0"/>
              <w:jc w:val="left"/>
              <w:rPr>
                <w:rFonts w:eastAsia="Franklin Gothic Book"/>
              </w:rPr>
            </w:pPr>
            <w:r w:rsidRPr="002F5FEF">
              <w:rPr>
                <w:rFonts w:eastAsia="Franklin Gothic Book"/>
              </w:rPr>
              <w:t>The change in energy consumption and/or demand that is attributable to a particular energy efficiency program. This change in energy use and/or demand may include, implicitly or explicitly, consideration of factors such as free ridership, participant and nonparticipant spillover, and induced market effects. These factors may be considered in how a baseline is defined (e.g., common practice) and/or in adjustments to gross savings values.</w:t>
            </w:r>
          </w:p>
        </w:tc>
      </w:tr>
      <w:tr w:rsidR="00D34C6E" w:rsidRPr="002F5FEF" w14:paraId="06857E38" w14:textId="77777777" w:rsidTr="002B6C05">
        <w:trPr>
          <w:trHeight w:val="20"/>
        </w:trPr>
        <w:tc>
          <w:tcPr>
            <w:tcW w:w="1345" w:type="dxa"/>
            <w:vMerge/>
            <w:shd w:val="clear" w:color="auto" w:fill="auto"/>
            <w:vAlign w:val="center"/>
          </w:tcPr>
          <w:p w14:paraId="13735A33" w14:textId="77777777" w:rsidR="00D34C6E" w:rsidRPr="002F5FEF" w:rsidRDefault="00D34C6E" w:rsidP="002B6C05">
            <w:pPr>
              <w:spacing w:after="0"/>
              <w:jc w:val="left"/>
              <w:rPr>
                <w:rFonts w:eastAsia="Franklin Gothic Book"/>
                <w:b/>
                <w:bCs/>
              </w:rPr>
            </w:pPr>
          </w:p>
        </w:tc>
        <w:tc>
          <w:tcPr>
            <w:tcW w:w="1844" w:type="dxa"/>
            <w:shd w:val="clear" w:color="auto" w:fill="auto"/>
            <w:vAlign w:val="center"/>
          </w:tcPr>
          <w:p w14:paraId="4B581804" w14:textId="77777777" w:rsidR="00D34C6E" w:rsidRPr="002F5FEF" w:rsidRDefault="00D34C6E" w:rsidP="002B6C05">
            <w:pPr>
              <w:spacing w:after="0"/>
              <w:jc w:val="left"/>
              <w:rPr>
                <w:rFonts w:eastAsia="Franklin Gothic Book"/>
              </w:rPr>
            </w:pPr>
            <w:r w:rsidRPr="002F5FEF">
              <w:rPr>
                <w:rFonts w:eastAsia="Franklin Gothic Book"/>
              </w:rPr>
              <w:t>Net-to-Gross Ratio</w:t>
            </w:r>
          </w:p>
        </w:tc>
        <w:tc>
          <w:tcPr>
            <w:tcW w:w="5876" w:type="dxa"/>
            <w:shd w:val="clear" w:color="auto" w:fill="auto"/>
          </w:tcPr>
          <w:p w14:paraId="0D9E21DB" w14:textId="77777777" w:rsidR="00D34C6E" w:rsidRPr="002F5FEF" w:rsidRDefault="00D34C6E" w:rsidP="002B6C05">
            <w:pPr>
              <w:spacing w:after="0"/>
              <w:jc w:val="left"/>
              <w:rPr>
                <w:rFonts w:eastAsia="Franklin Gothic Book"/>
              </w:rPr>
            </w:pPr>
            <w:r w:rsidRPr="002F5FEF">
              <w:rPr>
                <w:rFonts w:eastAsia="Franklin Gothic Book"/>
              </w:rPr>
              <w:t xml:space="preserve">A factor representing net program savings divided by gross program savings that is applied to gross program impacts to convert them into net program impacts. The factor itself may be made up of a variety of </w:t>
            </w:r>
            <w:r w:rsidRPr="002F5FEF">
              <w:rPr>
                <w:rFonts w:eastAsia="Franklin Gothic Book"/>
              </w:rPr>
              <w:lastRenderedPageBreak/>
              <w:t xml:space="preserve">factors that create differences between gross and net savings, commonly including free riders and spillover. The factor can be estimated and applied separately to either energy or demand savings. Note that the </w:t>
            </w:r>
            <w:r w:rsidRPr="002F5FEF">
              <w:t xml:space="preserve">net-to-gross ratio </w:t>
            </w:r>
            <w:r w:rsidRPr="002F5FEF">
              <w:rPr>
                <w:rFonts w:eastAsia="Franklin Gothic Book"/>
              </w:rPr>
              <w:t>(NTGR) = ((1-Free Ridership) + Participant Spillover + Nonparticipant Spillover).</w:t>
            </w:r>
          </w:p>
        </w:tc>
      </w:tr>
      <w:tr w:rsidR="00D34C6E" w:rsidRPr="002F5FEF" w14:paraId="763A2F39" w14:textId="77777777" w:rsidTr="002B6C05">
        <w:trPr>
          <w:trHeight w:val="20"/>
        </w:trPr>
        <w:tc>
          <w:tcPr>
            <w:tcW w:w="1345" w:type="dxa"/>
            <w:vMerge/>
            <w:shd w:val="clear" w:color="auto" w:fill="auto"/>
            <w:vAlign w:val="center"/>
          </w:tcPr>
          <w:p w14:paraId="4A47CB89" w14:textId="77777777" w:rsidR="00D34C6E" w:rsidRPr="002F5FEF" w:rsidRDefault="00D34C6E" w:rsidP="002B6C05">
            <w:pPr>
              <w:spacing w:after="0"/>
              <w:jc w:val="left"/>
              <w:rPr>
                <w:rFonts w:eastAsia="Franklin Gothic Book"/>
                <w:b/>
                <w:bCs/>
              </w:rPr>
            </w:pPr>
          </w:p>
        </w:tc>
        <w:tc>
          <w:tcPr>
            <w:tcW w:w="1844" w:type="dxa"/>
            <w:shd w:val="clear" w:color="auto" w:fill="auto"/>
            <w:vAlign w:val="center"/>
          </w:tcPr>
          <w:p w14:paraId="3F583284" w14:textId="77777777" w:rsidR="00D34C6E" w:rsidRPr="002F5FEF" w:rsidRDefault="00D34C6E" w:rsidP="002B6C05">
            <w:pPr>
              <w:spacing w:after="0"/>
              <w:jc w:val="left"/>
              <w:rPr>
                <w:rFonts w:eastAsia="Franklin Gothic Book"/>
              </w:rPr>
            </w:pPr>
            <w:r w:rsidRPr="002F5FEF">
              <w:rPr>
                <w:rFonts w:eastAsia="Franklin Gothic Book"/>
              </w:rPr>
              <w:t>Core NTGR</w:t>
            </w:r>
          </w:p>
        </w:tc>
        <w:tc>
          <w:tcPr>
            <w:tcW w:w="5876" w:type="dxa"/>
            <w:shd w:val="clear" w:color="auto" w:fill="auto"/>
          </w:tcPr>
          <w:p w14:paraId="3596D370" w14:textId="77777777" w:rsidR="00D34C6E" w:rsidRPr="002F5FEF" w:rsidRDefault="00D34C6E" w:rsidP="002B6C05">
            <w:pPr>
              <w:spacing w:after="0"/>
              <w:jc w:val="left"/>
              <w:rPr>
                <w:rFonts w:eastAsia="Franklin Gothic Book"/>
              </w:rPr>
            </w:pPr>
            <w:r w:rsidRPr="002F5FEF">
              <w:rPr>
                <w:rFonts w:eastAsia="Franklin Gothic Book"/>
              </w:rPr>
              <w:t>1-Free Ridership</w:t>
            </w:r>
          </w:p>
        </w:tc>
      </w:tr>
      <w:tr w:rsidR="00D34C6E" w:rsidRPr="002F5FEF" w14:paraId="0D9EC670" w14:textId="77777777" w:rsidTr="002B6C05">
        <w:trPr>
          <w:trHeight w:val="20"/>
        </w:trPr>
        <w:tc>
          <w:tcPr>
            <w:tcW w:w="1345" w:type="dxa"/>
            <w:vMerge/>
            <w:shd w:val="clear" w:color="auto" w:fill="auto"/>
            <w:vAlign w:val="center"/>
          </w:tcPr>
          <w:p w14:paraId="31329F1C" w14:textId="77777777" w:rsidR="00D34C6E" w:rsidRPr="002F5FEF" w:rsidRDefault="00D34C6E" w:rsidP="002B6C05">
            <w:pPr>
              <w:spacing w:after="0"/>
              <w:jc w:val="left"/>
              <w:rPr>
                <w:rFonts w:eastAsia="Franklin Gothic Book"/>
                <w:b/>
                <w:bCs/>
              </w:rPr>
            </w:pPr>
          </w:p>
        </w:tc>
        <w:tc>
          <w:tcPr>
            <w:tcW w:w="1844" w:type="dxa"/>
            <w:shd w:val="clear" w:color="auto" w:fill="auto"/>
            <w:vAlign w:val="center"/>
          </w:tcPr>
          <w:p w14:paraId="7E0EC352" w14:textId="77777777" w:rsidR="00D34C6E" w:rsidRPr="002F5FEF" w:rsidRDefault="00D34C6E" w:rsidP="002B6C05">
            <w:pPr>
              <w:spacing w:after="0"/>
              <w:jc w:val="left"/>
              <w:rPr>
                <w:rFonts w:eastAsia="Franklin Gothic Book"/>
              </w:rPr>
            </w:pPr>
            <w:r w:rsidRPr="002F5FEF">
              <w:rPr>
                <w:rFonts w:eastAsia="Franklin Gothic Book"/>
              </w:rPr>
              <w:t xml:space="preserve">Free Rider </w:t>
            </w:r>
          </w:p>
        </w:tc>
        <w:tc>
          <w:tcPr>
            <w:tcW w:w="5876" w:type="dxa"/>
            <w:shd w:val="clear" w:color="auto" w:fill="auto"/>
          </w:tcPr>
          <w:p w14:paraId="17680BF0" w14:textId="77777777" w:rsidR="00D34C6E" w:rsidRPr="002F5FEF" w:rsidRDefault="00D34C6E" w:rsidP="002B6C05">
            <w:pPr>
              <w:spacing w:after="0"/>
              <w:jc w:val="left"/>
              <w:rPr>
                <w:rFonts w:eastAsia="Franklin Gothic Book"/>
              </w:rPr>
            </w:pPr>
            <w:r w:rsidRPr="002F5FEF">
              <w:rPr>
                <w:rFonts w:eastAsia="Franklin Gothic Book"/>
              </w:rPr>
              <w:t>A program participant who would have implemented the program’s measures or practices in the absence of the program. Free riders can be: (1) total, in which the participant’s activity would have completely replicated the program measure; (2) partial, in which the participant’s activity would have partially replicated the program measure; or (3) deferred, in which the participant’s activity would have partially or completely replicated the program measure, but at a future time.</w:t>
            </w:r>
          </w:p>
        </w:tc>
      </w:tr>
      <w:tr w:rsidR="00D34C6E" w:rsidRPr="002F5FEF" w14:paraId="57FAD915" w14:textId="77777777" w:rsidTr="002B6C05">
        <w:trPr>
          <w:trHeight w:val="20"/>
        </w:trPr>
        <w:tc>
          <w:tcPr>
            <w:tcW w:w="1345" w:type="dxa"/>
            <w:vMerge/>
            <w:shd w:val="clear" w:color="auto" w:fill="auto"/>
            <w:vAlign w:val="center"/>
          </w:tcPr>
          <w:p w14:paraId="1F2F7EC5" w14:textId="77777777" w:rsidR="00D34C6E" w:rsidRPr="002F5FEF" w:rsidRDefault="00D34C6E" w:rsidP="002B6C05">
            <w:pPr>
              <w:spacing w:after="0"/>
              <w:jc w:val="left"/>
              <w:rPr>
                <w:rFonts w:eastAsia="Franklin Gothic Book"/>
                <w:b/>
                <w:bCs/>
              </w:rPr>
            </w:pPr>
          </w:p>
        </w:tc>
        <w:tc>
          <w:tcPr>
            <w:tcW w:w="1844" w:type="dxa"/>
            <w:shd w:val="clear" w:color="auto" w:fill="auto"/>
            <w:vAlign w:val="center"/>
          </w:tcPr>
          <w:p w14:paraId="7C1F1B5D" w14:textId="77777777" w:rsidR="00D34C6E" w:rsidRPr="002F5FEF" w:rsidRDefault="00D34C6E" w:rsidP="002B6C05">
            <w:pPr>
              <w:spacing w:after="0"/>
              <w:jc w:val="left"/>
              <w:rPr>
                <w:rFonts w:eastAsia="Franklin Gothic Book"/>
              </w:rPr>
            </w:pPr>
            <w:r w:rsidRPr="002F5FEF">
              <w:rPr>
                <w:rFonts w:eastAsia="Franklin Gothic Book"/>
              </w:rPr>
              <w:t>Spillover</w:t>
            </w:r>
          </w:p>
        </w:tc>
        <w:tc>
          <w:tcPr>
            <w:tcW w:w="5876" w:type="dxa"/>
            <w:shd w:val="clear" w:color="auto" w:fill="auto"/>
          </w:tcPr>
          <w:p w14:paraId="5069A9C8" w14:textId="77777777" w:rsidR="00D34C6E" w:rsidRPr="002F5FEF" w:rsidRDefault="00D34C6E" w:rsidP="002B6C05">
            <w:pPr>
              <w:spacing w:after="0"/>
              <w:jc w:val="left"/>
              <w:rPr>
                <w:rFonts w:eastAsia="Franklin Gothic Book"/>
              </w:rPr>
            </w:pPr>
            <w:r w:rsidRPr="002F5FEF">
              <w:rPr>
                <w:rFonts w:eastAsia="Franklin Gothic Book"/>
              </w:rPr>
              <w:t xml:space="preserve">Reductions in energy consumption and/or demand caused by the presence of an energy efficiency program. There can be participant and/or nonparticipant spillover. </w:t>
            </w:r>
          </w:p>
          <w:p w14:paraId="00A3462F" w14:textId="16CF1A9B" w:rsidR="00D34C6E" w:rsidRPr="002F5FEF" w:rsidRDefault="00D34C6E" w:rsidP="002B6C05">
            <w:pPr>
              <w:spacing w:after="0"/>
              <w:jc w:val="left"/>
            </w:pPr>
            <w:r w:rsidRPr="002F5FEF">
              <w:rPr>
                <w:rFonts w:eastAsia="Franklin Gothic Book"/>
                <w:i/>
              </w:rPr>
              <w:t>Participant spillover</w:t>
            </w:r>
            <w:r w:rsidRPr="002F5FEF">
              <w:rPr>
                <w:rFonts w:eastAsia="Franklin Gothic Book"/>
              </w:rPr>
              <w:t xml:space="preserve"> (PSO) is the additional energy savings that occur as a result of the program’s influence when a program participant independently installs incremental energy efficiency measures or applies energy-saving practices after having participated in the energy efficiency program. Evaluated savings associated with Program Administrator Training programs will also be considered </w:t>
            </w:r>
            <w:r w:rsidR="002046AA" w:rsidRPr="002F5FEF">
              <w:rPr>
                <w:rFonts w:eastAsia="Franklin Gothic Book"/>
              </w:rPr>
              <w:t xml:space="preserve">Participant </w:t>
            </w:r>
            <w:proofErr w:type="gramStart"/>
            <w:r w:rsidR="002046AA" w:rsidRPr="002F5FEF">
              <w:rPr>
                <w:rFonts w:eastAsia="Franklin Gothic Book"/>
              </w:rPr>
              <w:t>spillover.</w:t>
            </w:r>
            <w:r w:rsidR="002046AA">
              <w:rPr>
                <w:rFonts w:eastAsia="Franklin Gothic Book"/>
              </w:rPr>
              <w:t>*</w:t>
            </w:r>
            <w:proofErr w:type="gramEnd"/>
            <w:r w:rsidR="002046AA" w:rsidRPr="002F5FEF">
              <w:rPr>
                <w:rFonts w:eastAsia="Franklin Gothic Book"/>
              </w:rPr>
              <w:t xml:space="preserve"> </w:t>
            </w:r>
            <w:r w:rsidR="002046AA" w:rsidRPr="002F5FEF">
              <w:t xml:space="preserve">There </w:t>
            </w:r>
            <w:r w:rsidRPr="002F5FEF">
              <w:t>are several general categories of participant spillover:</w:t>
            </w:r>
          </w:p>
          <w:p w14:paraId="12C83B77" w14:textId="77777777" w:rsidR="00D34C6E" w:rsidRPr="002F5FEF" w:rsidRDefault="00D34C6E" w:rsidP="002B6C05">
            <w:pPr>
              <w:widowControl/>
              <w:numPr>
                <w:ilvl w:val="0"/>
                <w:numId w:val="18"/>
              </w:numPr>
              <w:spacing w:after="0"/>
              <w:ind w:left="388" w:right="12" w:hanging="360"/>
              <w:jc w:val="left"/>
              <w:rPr>
                <w:b/>
                <w:szCs w:val="24"/>
              </w:rPr>
            </w:pPr>
            <w:r w:rsidRPr="002F5FEF">
              <w:rPr>
                <w:i/>
              </w:rPr>
              <w:t>Inside spillover</w:t>
            </w:r>
            <w:r w:rsidRPr="002F5FEF">
              <w:t xml:space="preserve"> (ISO): Occurs when program participants implement additional program-induced energy efficiency measures at the program project site.</w:t>
            </w:r>
          </w:p>
          <w:p w14:paraId="269DF529" w14:textId="77777777" w:rsidR="00D34C6E" w:rsidRPr="002F5FEF" w:rsidRDefault="00D34C6E" w:rsidP="002B6C05">
            <w:pPr>
              <w:widowControl/>
              <w:numPr>
                <w:ilvl w:val="0"/>
                <w:numId w:val="18"/>
              </w:numPr>
              <w:spacing w:after="0"/>
              <w:ind w:left="388" w:right="12" w:hanging="360"/>
              <w:jc w:val="left"/>
              <w:rPr>
                <w:b/>
                <w:szCs w:val="24"/>
              </w:rPr>
            </w:pPr>
            <w:r w:rsidRPr="002F5FEF">
              <w:rPr>
                <w:i/>
              </w:rPr>
              <w:t xml:space="preserve">Outside spillover </w:t>
            </w:r>
            <w:r w:rsidRPr="002F5FEF">
              <w:t>(OSO): Occurs when program participants implement program-induced efficiency measures at other sites within the Program Administrator’s service territory at which program project measures were not implemented.</w:t>
            </w:r>
          </w:p>
          <w:p w14:paraId="14D2FC54" w14:textId="77777777" w:rsidR="00D34C6E" w:rsidRPr="002F5FEF" w:rsidRDefault="00D34C6E" w:rsidP="002B6C05">
            <w:pPr>
              <w:widowControl/>
              <w:numPr>
                <w:ilvl w:val="0"/>
                <w:numId w:val="18"/>
              </w:numPr>
              <w:spacing w:after="0"/>
              <w:ind w:left="388" w:right="12" w:hanging="360"/>
              <w:jc w:val="left"/>
              <w:rPr>
                <w:b/>
                <w:szCs w:val="24"/>
              </w:rPr>
            </w:pPr>
            <w:r w:rsidRPr="002F5FEF">
              <w:rPr>
                <w:i/>
              </w:rPr>
              <w:t xml:space="preserve">Like spillover: </w:t>
            </w:r>
            <w:r w:rsidRPr="002F5FEF">
              <w:t>Occurs when program participants implement program-induced efficiency measures of the same type as those implemented through the program. Like spillover can occur at the program project sites (ISO) or at other sites within the Program Administrator’s service territory (OSO).</w:t>
            </w:r>
          </w:p>
          <w:p w14:paraId="7D26D6DA" w14:textId="77777777" w:rsidR="00D34C6E" w:rsidRPr="002F5FEF" w:rsidRDefault="00D34C6E" w:rsidP="002B6C05">
            <w:pPr>
              <w:widowControl/>
              <w:numPr>
                <w:ilvl w:val="0"/>
                <w:numId w:val="18"/>
              </w:numPr>
              <w:spacing w:after="0"/>
              <w:ind w:left="388" w:right="12" w:hanging="360"/>
              <w:jc w:val="left"/>
              <w:rPr>
                <w:b/>
                <w:szCs w:val="24"/>
              </w:rPr>
            </w:pPr>
            <w:r w:rsidRPr="002F5FEF">
              <w:rPr>
                <w:i/>
              </w:rPr>
              <w:t>Unlike spillover:</w:t>
            </w:r>
            <w:r w:rsidRPr="002F5FEF">
              <w:t xml:space="preserve"> Occurs when program participants implement program-induced efficiency measures of a different type from those implemented through the program. Unlike spillover can occur at the program project sites (ISO) or at other sites within the Program Administrator’s service territory (OSO).</w:t>
            </w:r>
          </w:p>
          <w:p w14:paraId="560D5175" w14:textId="77777777" w:rsidR="00D34C6E" w:rsidRPr="002F5FEF" w:rsidRDefault="00D34C6E" w:rsidP="002B6C05">
            <w:pPr>
              <w:spacing w:after="0"/>
              <w:ind w:left="28" w:right="12"/>
              <w:jc w:val="left"/>
            </w:pPr>
            <w:r w:rsidRPr="002F5FEF">
              <w:rPr>
                <w:i/>
              </w:rPr>
              <w:t>Nonparticipant spillover</w:t>
            </w:r>
            <w:r w:rsidRPr="002F5FEF">
              <w:t xml:space="preserve"> (NPSO) refers to energy savings that occur when a program nonparticipant installs energy efficiency measures or applies energy savings practices as a result of a program’s influence.</w:t>
            </w:r>
          </w:p>
        </w:tc>
      </w:tr>
      <w:tr w:rsidR="00D34C6E" w:rsidRPr="002F5FEF" w14:paraId="12315BAA" w14:textId="77777777" w:rsidTr="002B6C05">
        <w:trPr>
          <w:trHeight w:val="20"/>
        </w:trPr>
        <w:tc>
          <w:tcPr>
            <w:tcW w:w="1345" w:type="dxa"/>
            <w:vMerge w:val="restart"/>
            <w:shd w:val="clear" w:color="auto" w:fill="auto"/>
            <w:vAlign w:val="center"/>
          </w:tcPr>
          <w:p w14:paraId="4D66E3D4" w14:textId="77777777" w:rsidR="00D34C6E" w:rsidRPr="002F5FEF" w:rsidRDefault="00D34C6E" w:rsidP="002B6C05">
            <w:pPr>
              <w:spacing w:after="0"/>
              <w:jc w:val="left"/>
              <w:rPr>
                <w:rFonts w:eastAsia="Franklin Gothic Book"/>
              </w:rPr>
            </w:pPr>
            <w:r w:rsidRPr="002F5FEF">
              <w:rPr>
                <w:rFonts w:eastAsia="Franklin Gothic Book"/>
                <w:b/>
                <w:bCs/>
              </w:rPr>
              <w:t>Markets</w:t>
            </w:r>
          </w:p>
        </w:tc>
        <w:tc>
          <w:tcPr>
            <w:tcW w:w="1844" w:type="dxa"/>
            <w:shd w:val="clear" w:color="auto" w:fill="auto"/>
            <w:vAlign w:val="center"/>
          </w:tcPr>
          <w:p w14:paraId="7F3F16C0" w14:textId="77777777" w:rsidR="00D34C6E" w:rsidRPr="002F5FEF" w:rsidRDefault="00D34C6E" w:rsidP="002B6C05">
            <w:pPr>
              <w:spacing w:after="0"/>
              <w:jc w:val="left"/>
              <w:rPr>
                <w:rFonts w:eastAsia="Franklin Gothic Book"/>
              </w:rPr>
            </w:pPr>
            <w:r w:rsidRPr="002F5FEF">
              <w:rPr>
                <w:rFonts w:eastAsia="Franklin Gothic Book"/>
              </w:rPr>
              <w:t>Market</w:t>
            </w:r>
          </w:p>
        </w:tc>
        <w:tc>
          <w:tcPr>
            <w:tcW w:w="5876" w:type="dxa"/>
            <w:shd w:val="clear" w:color="auto" w:fill="auto"/>
          </w:tcPr>
          <w:p w14:paraId="3258C2AE" w14:textId="77777777" w:rsidR="00D34C6E" w:rsidRPr="002F5FEF" w:rsidRDefault="00D34C6E" w:rsidP="002B6C05">
            <w:pPr>
              <w:spacing w:after="0"/>
              <w:jc w:val="left"/>
              <w:rPr>
                <w:rFonts w:eastAsia="Franklin Gothic Book"/>
              </w:rPr>
            </w:pPr>
            <w:r w:rsidRPr="002F5FEF">
              <w:rPr>
                <w:rFonts w:eastAsia="Franklin Gothic Book"/>
              </w:rPr>
              <w:t xml:space="preserve">The commercial activity (e.g., manufacturing, distributing, buying, and selling) associated with products and services that affect </w:t>
            </w:r>
            <w:r w:rsidRPr="002F5FEF">
              <w:rPr>
                <w:rFonts w:eastAsia="Franklin Gothic Book"/>
              </w:rPr>
              <w:br/>
              <w:t>energy use.</w:t>
            </w:r>
          </w:p>
        </w:tc>
      </w:tr>
      <w:tr w:rsidR="00D34C6E" w:rsidRPr="002F5FEF" w14:paraId="0BBFCB3A" w14:textId="77777777" w:rsidTr="002B6C05">
        <w:trPr>
          <w:trHeight w:val="20"/>
        </w:trPr>
        <w:tc>
          <w:tcPr>
            <w:tcW w:w="1345" w:type="dxa"/>
            <w:vMerge/>
            <w:shd w:val="clear" w:color="auto" w:fill="auto"/>
          </w:tcPr>
          <w:p w14:paraId="0A96430E" w14:textId="77777777" w:rsidR="00D34C6E" w:rsidRPr="002F5FEF" w:rsidRDefault="00D34C6E" w:rsidP="002B6C05">
            <w:pPr>
              <w:spacing w:after="0"/>
              <w:jc w:val="left"/>
              <w:rPr>
                <w:rFonts w:eastAsia="Franklin Gothic Book"/>
                <w:b/>
                <w:bCs/>
              </w:rPr>
            </w:pPr>
          </w:p>
        </w:tc>
        <w:tc>
          <w:tcPr>
            <w:tcW w:w="1844" w:type="dxa"/>
            <w:shd w:val="clear" w:color="auto" w:fill="auto"/>
            <w:vAlign w:val="center"/>
          </w:tcPr>
          <w:p w14:paraId="41972FB3" w14:textId="77777777" w:rsidR="00D34C6E" w:rsidRPr="002F5FEF" w:rsidRDefault="00D34C6E" w:rsidP="002B6C05">
            <w:pPr>
              <w:spacing w:after="0"/>
              <w:jc w:val="left"/>
              <w:rPr>
                <w:rFonts w:eastAsia="Franklin Gothic Book"/>
              </w:rPr>
            </w:pPr>
            <w:r w:rsidRPr="002F5FEF">
              <w:rPr>
                <w:rFonts w:eastAsia="Franklin Gothic Book"/>
              </w:rPr>
              <w:t>Market Effects</w:t>
            </w:r>
          </w:p>
        </w:tc>
        <w:tc>
          <w:tcPr>
            <w:tcW w:w="5876" w:type="dxa"/>
            <w:shd w:val="clear" w:color="auto" w:fill="auto"/>
          </w:tcPr>
          <w:p w14:paraId="600DC808" w14:textId="77777777" w:rsidR="00D34C6E" w:rsidRPr="002F5FEF" w:rsidRDefault="00D34C6E" w:rsidP="002B6C05">
            <w:pPr>
              <w:spacing w:after="0"/>
              <w:jc w:val="left"/>
              <w:rPr>
                <w:rFonts w:eastAsia="Franklin Gothic Book"/>
              </w:rPr>
            </w:pPr>
            <w:r w:rsidRPr="002F5FEF">
              <w:rPr>
                <w:rFonts w:eastAsia="Franklin Gothic Book"/>
              </w:rPr>
              <w:t xml:space="preserve">A change in the structure of a market or the behavior of participants in a market that is reflective of an increase (or decrease) in the </w:t>
            </w:r>
            <w:r w:rsidRPr="002F5FEF">
              <w:rPr>
                <w:rFonts w:eastAsia="Franklin Gothic Book"/>
              </w:rPr>
              <w:lastRenderedPageBreak/>
              <w:t>adoption of energy efficient products, services, or practices and is causally related to market interventions (e.g., programs). Examples of market effects include increased levels of awareness of energy-efficient technologies among customers and suppliers, increased availability of energy-efficient technologies through retail channels, reduced prices for energy-efficient models, build-out of energy-efficient model lines, and—the end goal— increased market shares for energy-efficient goods, services, and design practices.</w:t>
            </w:r>
          </w:p>
        </w:tc>
      </w:tr>
      <w:tr w:rsidR="00D34C6E" w:rsidRPr="002F5FEF" w14:paraId="7D6C1A54" w14:textId="77777777" w:rsidTr="002B6C05">
        <w:trPr>
          <w:trHeight w:val="20"/>
        </w:trPr>
        <w:tc>
          <w:tcPr>
            <w:tcW w:w="1345" w:type="dxa"/>
            <w:vMerge/>
            <w:shd w:val="clear" w:color="auto" w:fill="auto"/>
          </w:tcPr>
          <w:p w14:paraId="57E42E42" w14:textId="77777777" w:rsidR="00D34C6E" w:rsidRPr="002F5FEF" w:rsidRDefault="00D34C6E" w:rsidP="002B6C05">
            <w:pPr>
              <w:spacing w:after="0"/>
              <w:jc w:val="left"/>
              <w:rPr>
                <w:rFonts w:eastAsia="Franklin Gothic Book"/>
                <w:b/>
                <w:bCs/>
              </w:rPr>
            </w:pPr>
          </w:p>
        </w:tc>
        <w:tc>
          <w:tcPr>
            <w:tcW w:w="1844" w:type="dxa"/>
            <w:shd w:val="clear" w:color="auto" w:fill="auto"/>
            <w:vAlign w:val="center"/>
          </w:tcPr>
          <w:p w14:paraId="67CF9109" w14:textId="77777777" w:rsidR="00D34C6E" w:rsidRPr="002F5FEF" w:rsidRDefault="00D34C6E" w:rsidP="002B6C05">
            <w:pPr>
              <w:spacing w:after="0"/>
              <w:jc w:val="left"/>
              <w:rPr>
                <w:rFonts w:eastAsia="Franklin Gothic Book"/>
              </w:rPr>
            </w:pPr>
            <w:r w:rsidRPr="002F5FEF">
              <w:rPr>
                <w:rFonts w:eastAsia="Franklin Gothic Book"/>
              </w:rPr>
              <w:t>Market Assessment</w:t>
            </w:r>
          </w:p>
        </w:tc>
        <w:tc>
          <w:tcPr>
            <w:tcW w:w="5876" w:type="dxa"/>
            <w:shd w:val="clear" w:color="auto" w:fill="auto"/>
            <w:vAlign w:val="center"/>
          </w:tcPr>
          <w:p w14:paraId="20FBF82A" w14:textId="77777777" w:rsidR="00D34C6E" w:rsidRPr="002F5FEF" w:rsidRDefault="00D34C6E" w:rsidP="002B6C05">
            <w:pPr>
              <w:spacing w:after="0"/>
              <w:jc w:val="left"/>
              <w:rPr>
                <w:rFonts w:eastAsia="Franklin Gothic Book"/>
              </w:rPr>
            </w:pPr>
            <w:r w:rsidRPr="002F5FEF">
              <w:rPr>
                <w:rFonts w:eastAsia="Franklin Gothic Book"/>
              </w:rPr>
              <w:t>An analysis that provides an assessment of how and how well a specific market or market segment is functioning with respect to the definition of well-functioning markets or with respect to other specific policy objectives. A market assessment generally includes a characterization or description of the specific market or market segments, including a description of the types and number of buyers and sellers in the market, the key factors that influence the market, the type and number of transactions that occur on an annual basis, and the extent to which market participants consider energy efficiency an important part of these transactions. This analysis may also include an assessment of whether a market has been sufficiently transformed to justify a reduction or elimination of specific program interventions (or whether continued or even increased intervention is necessary). Market assessment can be blended with strategic planning analysis to produce recommended program designs or budgets. One particular kind of market assessment effort is a baseline study, or the characterization of a market before the commencement of a specific intervention in the market for the purpose of guiding the intervention and/or assessing its effectiveness later.</w:t>
            </w:r>
          </w:p>
        </w:tc>
      </w:tr>
    </w:tbl>
    <w:p w14:paraId="320CBB9F" w14:textId="77777777" w:rsidR="00114048" w:rsidRPr="00834416" w:rsidRDefault="00114048" w:rsidP="00114048">
      <w:pPr>
        <w:spacing w:after="0"/>
        <w:rPr>
          <w:rFonts w:eastAsia="Franklin Gothic Book"/>
          <w:sz w:val="18"/>
        </w:rPr>
      </w:pPr>
      <w:r>
        <w:rPr>
          <w:rFonts w:eastAsia="Franklin Gothic Book"/>
          <w:sz w:val="18"/>
          <w:vertAlign w:val="superscript"/>
        </w:rPr>
        <w:t>*</w:t>
      </w:r>
      <w:r>
        <w:rPr>
          <w:rFonts w:eastAsia="Franklin Gothic Book"/>
          <w:sz w:val="18"/>
        </w:rPr>
        <w:t xml:space="preserve"> This definition does not apply to Building Operator Certification (BOC) when using IL-TRM defined prescriptive savings. IL-TRM defined prescriptive savings for BOC are considered net and are not subject to any further NTG adjustment. </w:t>
      </w:r>
    </w:p>
    <w:p w14:paraId="373AF5C3" w14:textId="6B5E7B95" w:rsidR="00D34C6E" w:rsidRPr="004F1051" w:rsidRDefault="00D34C6E" w:rsidP="00D34C6E">
      <w:pPr>
        <w:rPr>
          <w:rFonts w:eastAsia="Franklin Gothic Book"/>
          <w:sz w:val="18"/>
        </w:rPr>
      </w:pPr>
      <w:r w:rsidRPr="004F1051">
        <w:rPr>
          <w:rFonts w:eastAsia="Franklin Gothic Book"/>
          <w:sz w:val="18"/>
        </w:rPr>
        <w:t xml:space="preserve">Sources: State and Local Energy Efficiency Action Network. 2012. Energy Efficiency Program Impact Evaluation Guide. Prepared by Steven R. Schiller, Schiller Consulting, Inc., </w:t>
      </w:r>
      <w:hyperlink r:id="rId45" w:history="1">
        <w:r w:rsidRPr="004F1051">
          <w:rPr>
            <w:rStyle w:val="Hyperlink"/>
            <w:rFonts w:eastAsia="Franklin Gothic Book"/>
            <w:sz w:val="18"/>
          </w:rPr>
          <w:t>www.seeaction.energy.gov</w:t>
        </w:r>
      </w:hyperlink>
      <w:r w:rsidRPr="004F1051">
        <w:rPr>
          <w:rFonts w:eastAsia="Franklin Gothic Book"/>
          <w:sz w:val="18"/>
        </w:rPr>
        <w:t xml:space="preserve">; Violette and Rathbun 2014. The Uniform Methods Project: Methods for Determining Energy Efficiency Savings for Specific Measures, Chapter 23: Estimating Net Savings: Common Practices, </w:t>
      </w:r>
      <w:hyperlink r:id="rId46" w:history="1">
        <w:r w:rsidR="00947FF0" w:rsidRPr="00947FF0">
          <w:rPr>
            <w:rStyle w:val="Hyperlink"/>
            <w:sz w:val="18"/>
            <w:szCs w:val="18"/>
          </w:rPr>
          <w:t>http://www.nrel.gov/docs/fy17osti/68578.pdf</w:t>
        </w:r>
      </w:hyperlink>
      <w:r w:rsidR="00947FF0" w:rsidRPr="00947FF0">
        <w:rPr>
          <w:sz w:val="18"/>
          <w:szCs w:val="18"/>
        </w:rPr>
        <w:t>.</w:t>
      </w:r>
      <w:r w:rsidRPr="00947FF0">
        <w:rPr>
          <w:rFonts w:eastAsia="Franklin Gothic Book"/>
          <w:sz w:val="18"/>
          <w:szCs w:val="18"/>
        </w:rPr>
        <w:t>.</w:t>
      </w:r>
    </w:p>
    <w:p w14:paraId="6FF8552C" w14:textId="77777777" w:rsidR="00A275F8" w:rsidRDefault="00A275F8" w:rsidP="0092016D">
      <w:pPr>
        <w:pStyle w:val="Heading2"/>
        <w:keepLines w:val="0"/>
        <w:widowControl/>
        <w:numPr>
          <w:ilvl w:val="1"/>
          <w:numId w:val="90"/>
        </w:numPr>
        <w:jc w:val="left"/>
      </w:pPr>
      <w:bookmarkStart w:id="1052" w:name="_Toc49451935"/>
      <w:bookmarkStart w:id="1053" w:name="_Toc113619777"/>
      <w:bookmarkStart w:id="1054" w:name="_Toc442804222"/>
      <w:bookmarkStart w:id="1055" w:name="_Toc442805439"/>
      <w:bookmarkStart w:id="1056" w:name="_Toc472494688"/>
      <w:bookmarkStart w:id="1057" w:name="_Ref520440075"/>
      <w:bookmarkStart w:id="1058" w:name="_Toc520462886"/>
      <w:bookmarkStart w:id="1059" w:name="_Toc473108030"/>
      <w:bookmarkStart w:id="1060" w:name="_Toc520824141"/>
      <w:bookmarkStart w:id="1061" w:name="_Toc16619925"/>
      <w:r>
        <w:t>Free Ridership-Specific Issues</w:t>
      </w:r>
      <w:bookmarkEnd w:id="1052"/>
      <w:bookmarkEnd w:id="1053"/>
    </w:p>
    <w:p w14:paraId="24E86269" w14:textId="77777777" w:rsidR="00A275F8" w:rsidRDefault="00A275F8" w:rsidP="00A275F8">
      <w:pPr>
        <w:pStyle w:val="Heading3"/>
      </w:pPr>
      <w:bookmarkStart w:id="1062" w:name="_Toc49451936"/>
      <w:bookmarkStart w:id="1063" w:name="_Toc113619778"/>
      <w:r>
        <w:t>Survey Design</w:t>
      </w:r>
      <w:bookmarkEnd w:id="1062"/>
      <w:bookmarkEnd w:id="1063"/>
      <w:r>
        <w:t xml:space="preserve"> </w:t>
      </w:r>
    </w:p>
    <w:p w14:paraId="02141F81" w14:textId="77777777" w:rsidR="00A275F8" w:rsidRDefault="00A275F8" w:rsidP="00A275F8">
      <w:pPr>
        <w:jc w:val="left"/>
        <w:rPr>
          <w:rFonts w:eastAsia="Franklin Gothic Book"/>
        </w:rPr>
      </w:pPr>
      <w:r>
        <w:rPr>
          <w:rFonts w:eastAsia="Franklin Gothic Book"/>
        </w:rPr>
        <w:t>Free ridership questions, especially questions about the counterfactual, can be challenging to answer and may confuse respondents. To address these challenges, evaluators may use the following survey design strategies:</w:t>
      </w:r>
    </w:p>
    <w:p w14:paraId="590944AB" w14:textId="77777777" w:rsidR="00A275F8" w:rsidRDefault="00A275F8" w:rsidP="0092016D">
      <w:pPr>
        <w:pStyle w:val="ListParagraph"/>
        <w:numPr>
          <w:ilvl w:val="0"/>
          <w:numId w:val="92"/>
        </w:numPr>
        <w:jc w:val="left"/>
        <w:rPr>
          <w:rFonts w:eastAsia="Franklin Gothic Book"/>
        </w:rPr>
      </w:pPr>
      <w:r>
        <w:rPr>
          <w:rFonts w:eastAsia="Franklin Gothic Book"/>
        </w:rPr>
        <w:t>Warm up questions</w:t>
      </w:r>
    </w:p>
    <w:p w14:paraId="539C45CA" w14:textId="77777777" w:rsidR="00A275F8" w:rsidRDefault="00A275F8" w:rsidP="0092016D">
      <w:pPr>
        <w:pStyle w:val="ListParagraph"/>
        <w:numPr>
          <w:ilvl w:val="0"/>
          <w:numId w:val="92"/>
        </w:numPr>
        <w:jc w:val="left"/>
        <w:rPr>
          <w:rFonts w:eastAsia="Franklin Gothic Book"/>
        </w:rPr>
      </w:pPr>
      <w:r>
        <w:rPr>
          <w:rFonts w:eastAsia="Franklin Gothic Book"/>
        </w:rPr>
        <w:t>Clarification of key terms</w:t>
      </w:r>
    </w:p>
    <w:p w14:paraId="2D2E35EB" w14:textId="77777777" w:rsidR="00A275F8" w:rsidRDefault="00A275F8" w:rsidP="00A275F8">
      <w:pPr>
        <w:pStyle w:val="Heading4"/>
        <w:numPr>
          <w:ilvl w:val="0"/>
          <w:numId w:val="0"/>
        </w:numPr>
        <w:ind w:left="864"/>
      </w:pPr>
      <w:bookmarkStart w:id="1064" w:name="_Hlk48726601"/>
      <w:r>
        <w:t>Warm up Questions</w:t>
      </w:r>
    </w:p>
    <w:p w14:paraId="60D7428C" w14:textId="77777777" w:rsidR="00A275F8" w:rsidRDefault="00A275F8" w:rsidP="00A275F8">
      <w:pPr>
        <w:rPr>
          <w:rFonts w:eastAsia="Franklin Gothic Book"/>
        </w:rPr>
      </w:pPr>
      <w:r>
        <w:rPr>
          <w:rFonts w:eastAsia="Franklin Gothic Book"/>
        </w:rPr>
        <w:t xml:space="preserve">Warm up questions preface the counterfactual questions to remind the respondent of their state of mind when they decided on the efficient option. Examples of warm up questions are as follows: </w:t>
      </w:r>
    </w:p>
    <w:bookmarkEnd w:id="1064"/>
    <w:p w14:paraId="3D20EE52" w14:textId="77777777" w:rsidR="00A275F8" w:rsidRDefault="00A275F8" w:rsidP="0092016D">
      <w:pPr>
        <w:pStyle w:val="ListParagraph"/>
        <w:numPr>
          <w:ilvl w:val="0"/>
          <w:numId w:val="93"/>
        </w:numPr>
        <w:jc w:val="left"/>
        <w:rPr>
          <w:rFonts w:eastAsia="Franklin Gothic Book"/>
        </w:rPr>
      </w:pPr>
      <w:r>
        <w:rPr>
          <w:rFonts w:eastAsia="Franklin Gothic Book"/>
        </w:rPr>
        <w:t xml:space="preserve">How did you first learn about the energy efficient option of this [MEASURE]? </w:t>
      </w:r>
    </w:p>
    <w:p w14:paraId="33638420" w14:textId="77777777" w:rsidR="00A275F8" w:rsidRDefault="00A275F8" w:rsidP="0092016D">
      <w:pPr>
        <w:pStyle w:val="ListParagraph"/>
        <w:numPr>
          <w:ilvl w:val="0"/>
          <w:numId w:val="93"/>
        </w:numPr>
        <w:jc w:val="left"/>
        <w:rPr>
          <w:rFonts w:eastAsia="Franklin Gothic Book"/>
        </w:rPr>
      </w:pPr>
      <w:r>
        <w:rPr>
          <w:rFonts w:eastAsia="Franklin Gothic Book"/>
        </w:rPr>
        <w:t>How did you first learn about the following features of this energy efficient [MEASURE]:</w:t>
      </w:r>
    </w:p>
    <w:p w14:paraId="0BD08C48" w14:textId="77777777" w:rsidR="00A275F8" w:rsidRDefault="00A275F8" w:rsidP="0092016D">
      <w:pPr>
        <w:pStyle w:val="ListParagraph"/>
        <w:numPr>
          <w:ilvl w:val="0"/>
          <w:numId w:val="91"/>
        </w:numPr>
        <w:jc w:val="left"/>
        <w:rPr>
          <w:rFonts w:eastAsia="Franklin Gothic Book"/>
        </w:rPr>
      </w:pPr>
      <w:r>
        <w:rPr>
          <w:rFonts w:eastAsia="Franklin Gothic Book"/>
        </w:rPr>
        <w:t>The potential to save energy and lower your utility bill?</w:t>
      </w:r>
    </w:p>
    <w:p w14:paraId="5AA252AA" w14:textId="77777777" w:rsidR="00A275F8" w:rsidRDefault="00A275F8" w:rsidP="0092016D">
      <w:pPr>
        <w:pStyle w:val="ListParagraph"/>
        <w:numPr>
          <w:ilvl w:val="0"/>
          <w:numId w:val="91"/>
        </w:numPr>
        <w:jc w:val="left"/>
        <w:rPr>
          <w:rFonts w:eastAsia="Franklin Gothic Book"/>
        </w:rPr>
      </w:pPr>
      <w:r>
        <w:rPr>
          <w:rFonts w:eastAsia="Franklin Gothic Book"/>
        </w:rPr>
        <w:t>The environmental benefits?</w:t>
      </w:r>
    </w:p>
    <w:p w14:paraId="204A198E" w14:textId="77777777" w:rsidR="00A275F8" w:rsidRDefault="00A275F8" w:rsidP="0092016D">
      <w:pPr>
        <w:pStyle w:val="ListParagraph"/>
        <w:numPr>
          <w:ilvl w:val="0"/>
          <w:numId w:val="91"/>
        </w:numPr>
        <w:jc w:val="left"/>
        <w:rPr>
          <w:rFonts w:eastAsia="Franklin Gothic Book"/>
        </w:rPr>
      </w:pPr>
      <w:r>
        <w:rPr>
          <w:rFonts w:eastAsia="Franklin Gothic Book"/>
        </w:rPr>
        <w:t>The potential to reduce maintenance costs?</w:t>
      </w:r>
    </w:p>
    <w:p w14:paraId="55C30F3D" w14:textId="77777777" w:rsidR="00A275F8" w:rsidRDefault="00A275F8" w:rsidP="0092016D">
      <w:pPr>
        <w:pStyle w:val="ListParagraph"/>
        <w:numPr>
          <w:ilvl w:val="0"/>
          <w:numId w:val="91"/>
        </w:numPr>
        <w:jc w:val="left"/>
        <w:rPr>
          <w:rFonts w:eastAsia="Franklin Gothic Book"/>
        </w:rPr>
      </w:pPr>
      <w:r>
        <w:rPr>
          <w:rFonts w:eastAsia="Franklin Gothic Book"/>
        </w:rPr>
        <w:lastRenderedPageBreak/>
        <w:t>The home comfort benefits?</w:t>
      </w:r>
    </w:p>
    <w:p w14:paraId="372C68E8" w14:textId="77777777" w:rsidR="00A275F8" w:rsidRDefault="00A275F8" w:rsidP="0092016D">
      <w:pPr>
        <w:pStyle w:val="ListParagraph"/>
        <w:numPr>
          <w:ilvl w:val="0"/>
          <w:numId w:val="91"/>
        </w:numPr>
        <w:jc w:val="left"/>
        <w:rPr>
          <w:rFonts w:eastAsia="Franklin Gothic Book"/>
        </w:rPr>
      </w:pPr>
      <w:r>
        <w:rPr>
          <w:rFonts w:eastAsia="Franklin Gothic Book"/>
        </w:rPr>
        <w:t>The price difference between this energy efficient [MEASURE] and one of standard efficiency?</w:t>
      </w:r>
    </w:p>
    <w:p w14:paraId="3DC16CA4" w14:textId="77777777" w:rsidR="00A275F8" w:rsidRDefault="00A275F8" w:rsidP="00A275F8">
      <w:pPr>
        <w:rPr>
          <w:rFonts w:eastAsia="Franklin Gothic Book"/>
        </w:rPr>
      </w:pPr>
      <w:r>
        <w:rPr>
          <w:rFonts w:eastAsia="Franklin Gothic Book"/>
        </w:rPr>
        <w:t>Responses to warm up questions are not to be used to calculate free ridership. They are intended to improve the quality of responses to free ridership questions by reminding the respondent of their process to choose the energy efficient option.</w:t>
      </w:r>
    </w:p>
    <w:p w14:paraId="407199AF" w14:textId="77777777" w:rsidR="00A275F8" w:rsidRDefault="00A275F8" w:rsidP="00A275F8">
      <w:pPr>
        <w:pStyle w:val="Heading4"/>
        <w:numPr>
          <w:ilvl w:val="0"/>
          <w:numId w:val="0"/>
        </w:numPr>
        <w:ind w:left="864"/>
      </w:pPr>
      <w:r>
        <w:t>Clarification of Efficiency Terms</w:t>
      </w:r>
    </w:p>
    <w:p w14:paraId="61219AB3" w14:textId="77777777" w:rsidR="00A275F8" w:rsidRDefault="00A275F8" w:rsidP="00A275F8">
      <w:pPr>
        <w:rPr>
          <w:rFonts w:eastAsia="Franklin Gothic Book"/>
        </w:rPr>
      </w:pPr>
      <w:r>
        <w:rPr>
          <w:rFonts w:eastAsia="Franklin Gothic Book"/>
        </w:rPr>
        <w:t xml:space="preserve">To highlight that free ridership </w:t>
      </w:r>
      <w:proofErr w:type="gramStart"/>
      <w:r>
        <w:rPr>
          <w:rFonts w:eastAsia="Franklin Gothic Book"/>
        </w:rPr>
        <w:t>questions</w:t>
      </w:r>
      <w:proofErr w:type="gramEnd"/>
      <w:r>
        <w:rPr>
          <w:rFonts w:eastAsia="Franklin Gothic Book"/>
        </w:rPr>
        <w:t xml:space="preserve"> focus on the process of choosing an efficient option over one of standard efficiency, evaluators may clarify the terms used to describe the options before asking the questions. For example:</w:t>
      </w:r>
    </w:p>
    <w:p w14:paraId="6138B3D8" w14:textId="77777777" w:rsidR="00A275F8" w:rsidRDefault="00A275F8" w:rsidP="00A275F8">
      <w:pPr>
        <w:pStyle w:val="ListParagraph"/>
        <w:rPr>
          <w:rFonts w:eastAsia="Franklin Gothic Book"/>
        </w:rPr>
      </w:pPr>
      <w:r>
        <w:rPr>
          <w:rFonts w:eastAsia="Franklin Gothic Book"/>
        </w:rPr>
        <w:t>“</w:t>
      </w:r>
      <w:proofErr w:type="gramStart"/>
      <w:r>
        <w:rPr>
          <w:rFonts w:eastAsia="Franklin Gothic Book"/>
        </w:rPr>
        <w:t>Next</w:t>
      </w:r>
      <w:proofErr w:type="gramEnd"/>
      <w:r>
        <w:rPr>
          <w:rFonts w:eastAsia="Franklin Gothic Book"/>
        </w:rPr>
        <w:t xml:space="preserve"> we will ask you about your decision to purchase the energy efficient [measure] instead of one of standard efficiency. By “energy efficient” we mean the equipment performs just as well or better than equipment of standard efficiency, but the energy efficient equipment uses less energy to do so. Energy efficient equipment typically costs more than standard models, but they cost less to operate and often cost less to maintain than standard models do.”</w:t>
      </w:r>
    </w:p>
    <w:p w14:paraId="5758581C" w14:textId="77777777" w:rsidR="00A275F8" w:rsidRDefault="00A275F8" w:rsidP="00A275F8">
      <w:pPr>
        <w:rPr>
          <w:rFonts w:eastAsia="Franklin Gothic Book"/>
        </w:rPr>
      </w:pPr>
      <w:r>
        <w:rPr>
          <w:rFonts w:eastAsia="Franklin Gothic Book"/>
        </w:rPr>
        <w:t>Prefacing counterfactual questions with clarifications of efficiency terms may highlight for the respondent that the questions center on choosing the efficient option – not on the need to replace the existing equipment (with a model of any efficiency).</w:t>
      </w:r>
    </w:p>
    <w:p w14:paraId="73390090" w14:textId="77777777" w:rsidR="00A275F8" w:rsidRDefault="00A275F8" w:rsidP="00A275F8">
      <w:pPr>
        <w:pStyle w:val="Heading3"/>
      </w:pPr>
      <w:bookmarkStart w:id="1065" w:name="_Toc49451937"/>
      <w:bookmarkStart w:id="1066" w:name="_Toc113619779"/>
      <w:r>
        <w:t>Supplementing Self-Report with Historical Tracing</w:t>
      </w:r>
      <w:bookmarkEnd w:id="1065"/>
      <w:bookmarkEnd w:id="1066"/>
    </w:p>
    <w:p w14:paraId="6CD77EB5" w14:textId="77777777" w:rsidR="00A275F8" w:rsidRDefault="00A275F8" w:rsidP="00A275F8">
      <w:pPr>
        <w:widowControl/>
        <w:spacing w:after="0"/>
        <w:jc w:val="left"/>
        <w:rPr>
          <w:rFonts w:ascii="Times New Roman" w:eastAsiaTheme="minorHAnsi" w:hAnsi="Times New Roman"/>
          <w:sz w:val="24"/>
          <w:szCs w:val="24"/>
        </w:rPr>
      </w:pPr>
      <w:r>
        <w:rPr>
          <w:rFonts w:eastAsia="Franklin Gothic Book"/>
        </w:rPr>
        <w:t>For programs with projects that are large, complex, involve multiple decision-makers, and are the result of many decisions made over the course of the project (for example, custom and new construction programs), evaluators may review project documentation to supplement their analysis of self-report survey results. Historical tracing, which involves reconstructing the events that led to the outcome of interest, can support logic to enhance the validity of the free ridership estimation from self-report survey results</w:t>
      </w:r>
      <w:r>
        <w:rPr>
          <w:rStyle w:val="FootnoteReference"/>
          <w:rFonts w:eastAsia="Franklin Gothic Book"/>
        </w:rPr>
        <w:footnoteReference w:id="63"/>
      </w:r>
      <w:r>
        <w:rPr>
          <w:rFonts w:eastAsia="Franklin Gothic Book"/>
        </w:rPr>
        <w:t>. By considering additional qualitative and quantitative information, such as project files, documented communication, as well as open-ended survey responses, evaluators may better understand the multiple sources of program attribution and the weight of various decision makers for complex projects. In these instances, evaluators may include a historical tracing approach to add consideration of the multiple decision maker perspectives.  Because the process of gathering the appropriate documentation from program teams, implementers, and customers can be burdensome on all parties involved, evaluators should prioritize projects within a given program that would most affect the confidence of the savings-weighted NTG estimate</w:t>
      </w:r>
      <w:r>
        <w:rPr>
          <w:rFonts w:ascii="Times New Roman" w:eastAsiaTheme="minorHAnsi" w:hAnsi="Times New Roman"/>
          <w:sz w:val="24"/>
          <w:szCs w:val="24"/>
        </w:rPr>
        <w:t xml:space="preserve"> </w:t>
      </w:r>
    </w:p>
    <w:p w14:paraId="6BF30D62" w14:textId="2FB438FD" w:rsidR="00D34C6E" w:rsidRPr="009B67BF" w:rsidRDefault="00D34C6E" w:rsidP="00A275F8">
      <w:pPr>
        <w:pStyle w:val="Heading2"/>
        <w:keepLines w:val="0"/>
        <w:widowControl/>
        <w:numPr>
          <w:ilvl w:val="1"/>
          <w:numId w:val="8"/>
        </w:numPr>
        <w:jc w:val="left"/>
      </w:pPr>
      <w:bookmarkStart w:id="1067" w:name="_Toc113619780"/>
      <w:r>
        <w:t>Spillover-Specific Issues</w:t>
      </w:r>
      <w:bookmarkEnd w:id="1054"/>
      <w:bookmarkEnd w:id="1055"/>
      <w:bookmarkEnd w:id="1056"/>
      <w:bookmarkEnd w:id="1057"/>
      <w:bookmarkEnd w:id="1058"/>
      <w:bookmarkEnd w:id="1059"/>
      <w:bookmarkEnd w:id="1060"/>
      <w:bookmarkEnd w:id="1061"/>
      <w:bookmarkEnd w:id="1067"/>
    </w:p>
    <w:p w14:paraId="665556BF" w14:textId="77777777" w:rsidR="00D34C6E" w:rsidRDefault="00D34C6E" w:rsidP="00D34C6E">
      <w:pPr>
        <w:rPr>
          <w:rFonts w:eastAsia="Franklin Gothic Book"/>
        </w:rPr>
      </w:pPr>
      <w:r>
        <w:rPr>
          <w:rFonts w:eastAsia="Franklin Gothic Book"/>
        </w:rPr>
        <w:t>Some issues related to spillover are applicable for both residential and non-residential programs and are discussed in this section.</w:t>
      </w:r>
    </w:p>
    <w:p w14:paraId="72EDB7D3" w14:textId="2495F2DF" w:rsidR="00D34C6E" w:rsidRDefault="00D34C6E" w:rsidP="00D34C6E">
      <w:pPr>
        <w:rPr>
          <w:rFonts w:eastAsia="Franklin Gothic Book"/>
        </w:rPr>
      </w:pPr>
      <w:r>
        <w:rPr>
          <w:rFonts w:eastAsia="Franklin Gothic Book"/>
        </w:rPr>
        <w:t xml:space="preserve">Spillover is generally categorized into two broad categories – participant spillover and nonparticipant spillover (see Table 2-1). These protocols include two general methods of assessing spillover, one through end-user (or participant/nonparticipant) research and the other through trade ally research. Estimates of participant and nonparticipant research are mutually exclusive, as long as only one of these two general methods is used for a given evaluation period. For example, there is no danger of double-counting spillover if an evaluation includes end-user research with both participants and nonparticipants. Similarly, there is no danger of double-counting spillover if an evaluation includes research with both active and inactive trade allies (see definitions in Section </w:t>
      </w:r>
      <w:r>
        <w:rPr>
          <w:rFonts w:eastAsia="Franklin Gothic Book"/>
        </w:rPr>
        <w:fldChar w:fldCharType="begin"/>
      </w:r>
      <w:r>
        <w:rPr>
          <w:rFonts w:eastAsia="Franklin Gothic Book"/>
        </w:rPr>
        <w:instrText xml:space="preserve"> REF _Ref520439763 \n \h </w:instrText>
      </w:r>
      <w:r>
        <w:rPr>
          <w:rFonts w:eastAsia="Franklin Gothic Book"/>
        </w:rPr>
      </w:r>
      <w:r>
        <w:rPr>
          <w:rFonts w:eastAsia="Franklin Gothic Book"/>
        </w:rPr>
        <w:fldChar w:fldCharType="separate"/>
      </w:r>
      <w:r w:rsidR="00506A44">
        <w:rPr>
          <w:rFonts w:eastAsia="Franklin Gothic Book"/>
        </w:rPr>
        <w:t>5.2</w:t>
      </w:r>
      <w:r>
        <w:rPr>
          <w:rFonts w:eastAsia="Franklin Gothic Book"/>
        </w:rPr>
        <w:fldChar w:fldCharType="end"/>
      </w:r>
      <w:r>
        <w:rPr>
          <w:rFonts w:eastAsia="Franklin Gothic Book"/>
        </w:rPr>
        <w:t>). However, once end-user research is combined with trade ally research, there is a potential for overlap in the resulting spillover estimates, and care must be taken to avoid double-counting.</w:t>
      </w:r>
    </w:p>
    <w:p w14:paraId="24B1FCB6" w14:textId="5AE73329" w:rsidR="00D34C6E" w:rsidRDefault="00D34C6E" w:rsidP="00D34C6E">
      <w:pPr>
        <w:jc w:val="left"/>
        <w:rPr>
          <w:rFonts w:eastAsia="Franklin Gothic Book"/>
        </w:rPr>
      </w:pPr>
      <w:r>
        <w:rPr>
          <w:rFonts w:eastAsia="Franklin Gothic Book"/>
        </w:rPr>
        <w:t xml:space="preserve">Figure 2-1 provides a visual depiction of how the four methods (or “perspectives”) for estimating spillover included in these protocols (participant and nonparticipant self-report, Sections </w:t>
      </w:r>
      <w:r>
        <w:rPr>
          <w:rFonts w:eastAsia="Franklin Gothic Book"/>
        </w:rPr>
        <w:fldChar w:fldCharType="begin"/>
      </w:r>
      <w:r>
        <w:rPr>
          <w:rFonts w:eastAsia="Franklin Gothic Book"/>
        </w:rPr>
        <w:instrText xml:space="preserve"> REF _Ref442612996 \n \h </w:instrText>
      </w:r>
      <w:r>
        <w:rPr>
          <w:rFonts w:eastAsia="Franklin Gothic Book"/>
        </w:rPr>
      </w:r>
      <w:r>
        <w:rPr>
          <w:rFonts w:eastAsia="Franklin Gothic Book"/>
        </w:rPr>
        <w:fldChar w:fldCharType="separate"/>
      </w:r>
      <w:r w:rsidR="00506A44">
        <w:rPr>
          <w:rFonts w:eastAsia="Franklin Gothic Book"/>
        </w:rPr>
        <w:t>3.2</w:t>
      </w:r>
      <w:r>
        <w:rPr>
          <w:rFonts w:eastAsia="Franklin Gothic Book"/>
        </w:rPr>
        <w:fldChar w:fldCharType="end"/>
      </w:r>
      <w:r>
        <w:rPr>
          <w:rFonts w:eastAsia="Franklin Gothic Book"/>
        </w:rPr>
        <w:t xml:space="preserve"> and </w:t>
      </w:r>
      <w:r>
        <w:rPr>
          <w:rFonts w:eastAsia="Franklin Gothic Book"/>
        </w:rPr>
        <w:fldChar w:fldCharType="begin"/>
      </w:r>
      <w:r>
        <w:rPr>
          <w:rFonts w:eastAsia="Franklin Gothic Book"/>
        </w:rPr>
        <w:instrText xml:space="preserve"> REF _Ref520439853 \n \h </w:instrText>
      </w:r>
      <w:r>
        <w:rPr>
          <w:rFonts w:eastAsia="Franklin Gothic Book"/>
        </w:rPr>
      </w:r>
      <w:r>
        <w:rPr>
          <w:rFonts w:eastAsia="Franklin Gothic Book"/>
        </w:rPr>
        <w:fldChar w:fldCharType="separate"/>
      </w:r>
      <w:r w:rsidR="00506A44">
        <w:rPr>
          <w:rFonts w:eastAsia="Franklin Gothic Book"/>
        </w:rPr>
        <w:t>4.1</w:t>
      </w:r>
      <w:r>
        <w:rPr>
          <w:rFonts w:eastAsia="Franklin Gothic Book"/>
        </w:rPr>
        <w:fldChar w:fldCharType="end"/>
      </w:r>
      <w:r>
        <w:rPr>
          <w:rFonts w:eastAsia="Franklin Gothic Book"/>
        </w:rPr>
        <w:t xml:space="preserve">; and active and inactive trade ally spillover, Section </w:t>
      </w:r>
      <w:r>
        <w:rPr>
          <w:rFonts w:eastAsia="Franklin Gothic Book"/>
        </w:rPr>
        <w:fldChar w:fldCharType="begin"/>
      </w:r>
      <w:r>
        <w:rPr>
          <w:rFonts w:eastAsia="Franklin Gothic Book"/>
        </w:rPr>
        <w:instrText xml:space="preserve"> REF _Ref520439763 \n \h </w:instrText>
      </w:r>
      <w:r>
        <w:rPr>
          <w:rFonts w:eastAsia="Franklin Gothic Book"/>
        </w:rPr>
      </w:r>
      <w:r>
        <w:rPr>
          <w:rFonts w:eastAsia="Franklin Gothic Book"/>
        </w:rPr>
        <w:fldChar w:fldCharType="separate"/>
      </w:r>
      <w:r w:rsidR="00506A44">
        <w:rPr>
          <w:rFonts w:eastAsia="Franklin Gothic Book"/>
        </w:rPr>
        <w:t>5.2</w:t>
      </w:r>
      <w:r>
        <w:rPr>
          <w:rFonts w:eastAsia="Franklin Gothic Book"/>
        </w:rPr>
        <w:fldChar w:fldCharType="end"/>
      </w:r>
      <w:r>
        <w:rPr>
          <w:rFonts w:eastAsia="Franklin Gothic Book"/>
        </w:rPr>
        <w:t xml:space="preserve">) can be used to assess both participant (red) and nonparticipant spillover (green). This </w:t>
      </w:r>
      <w:r>
        <w:rPr>
          <w:rFonts w:eastAsia="Franklin Gothic Book"/>
        </w:rPr>
        <w:lastRenderedPageBreak/>
        <w:t xml:space="preserve">figure illustrates that (a) different spillover methods can overlap in the spillover they cover, leading to potential double-counting, and (b) some spillover may not be measured by these methods (as represented by the four corners in the diagram). </w:t>
      </w:r>
    </w:p>
    <w:p w14:paraId="5B388AB0" w14:textId="77777777" w:rsidR="00D34C6E" w:rsidRPr="005C780A" w:rsidRDefault="00D34C6E" w:rsidP="00D21F1A">
      <w:pPr>
        <w:pStyle w:val="Captions"/>
        <w:rPr>
          <w:rFonts w:eastAsia="Franklin Gothic Book"/>
        </w:rPr>
      </w:pPr>
      <w:bookmarkStart w:id="1068" w:name="_Toc520824287"/>
      <w:bookmarkStart w:id="1069" w:name="_Toc523148238"/>
      <w:bookmarkStart w:id="1070" w:name="_Toc16620000"/>
      <w:bookmarkStart w:id="1071" w:name="_Toc83376827"/>
      <w:r>
        <w:t>Figure 2</w:t>
      </w:r>
      <w:r>
        <w:noBreakHyphen/>
        <w:t xml:space="preserve">1. Example - </w:t>
      </w:r>
      <w:r>
        <w:rPr>
          <w:rFonts w:eastAsia="Franklin Gothic Book"/>
        </w:rPr>
        <w:t>Types of Spillover and Methods for Assessment</w:t>
      </w:r>
      <w:bookmarkEnd w:id="1068"/>
      <w:bookmarkEnd w:id="1069"/>
      <w:bookmarkEnd w:id="1070"/>
      <w:bookmarkEnd w:id="1071"/>
    </w:p>
    <w:p w14:paraId="232D6119" w14:textId="77777777" w:rsidR="00D34C6E" w:rsidRDefault="00D34C6E" w:rsidP="00D34C6E">
      <w:pPr>
        <w:jc w:val="center"/>
        <w:rPr>
          <w:rFonts w:eastAsia="Franklin Gothic Book"/>
        </w:rPr>
      </w:pPr>
      <w:r>
        <w:rPr>
          <w:noProof/>
        </w:rPr>
        <w:drawing>
          <wp:inline distT="0" distB="0" distL="0" distR="0" wp14:anchorId="0F245D82" wp14:editId="09753A23">
            <wp:extent cx="5943600" cy="3962400"/>
            <wp:effectExtent l="0" t="0" r="0" b="0"/>
            <wp:docPr id="2" name="Picture 2" descr="cid:image001.png@01D43491.1BE064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47">
                      <a:extLst>
                        <a:ext uri="{28A0092B-C50C-407E-A947-70E740481C1C}">
                          <a14:useLocalDpi xmlns:a14="http://schemas.microsoft.com/office/drawing/2010/main" val="0"/>
                        </a:ext>
                      </a:extLst>
                    </a:blip>
                    <a:stretch>
                      <a:fillRect/>
                    </a:stretch>
                  </pic:blipFill>
                  <pic:spPr>
                    <a:xfrm>
                      <a:off x="0" y="0"/>
                      <a:ext cx="5943600" cy="3962400"/>
                    </a:xfrm>
                    <a:prstGeom prst="rect">
                      <a:avLst/>
                    </a:prstGeom>
                  </pic:spPr>
                </pic:pic>
              </a:graphicData>
            </a:graphic>
          </wp:inline>
        </w:drawing>
      </w:r>
    </w:p>
    <w:p w14:paraId="1EF2C9C9" w14:textId="77777777" w:rsidR="00D34C6E" w:rsidRPr="009B67BF" w:rsidRDefault="00D34C6E" w:rsidP="0088039F">
      <w:pPr>
        <w:pStyle w:val="Heading3"/>
      </w:pPr>
      <w:bookmarkStart w:id="1072" w:name="_Toc520440391"/>
      <w:bookmarkStart w:id="1073" w:name="_Toc520440477"/>
      <w:bookmarkStart w:id="1074" w:name="_Toc520824142"/>
      <w:bookmarkStart w:id="1075" w:name="_Toc442804223"/>
      <w:bookmarkStart w:id="1076" w:name="_Toc442805440"/>
      <w:bookmarkStart w:id="1077" w:name="_Toc472494689"/>
      <w:bookmarkStart w:id="1078" w:name="_Toc520462887"/>
      <w:bookmarkStart w:id="1079" w:name="_Toc473108031"/>
      <w:bookmarkStart w:id="1080" w:name="_Toc520824143"/>
      <w:bookmarkStart w:id="1081" w:name="_Toc16619926"/>
      <w:bookmarkStart w:id="1082" w:name="_Toc113619781"/>
      <w:bookmarkEnd w:id="1072"/>
      <w:bookmarkEnd w:id="1073"/>
      <w:bookmarkEnd w:id="1074"/>
      <w:r>
        <w:t>Measure Costs</w:t>
      </w:r>
      <w:bookmarkEnd w:id="1075"/>
      <w:bookmarkEnd w:id="1076"/>
      <w:bookmarkEnd w:id="1077"/>
      <w:bookmarkEnd w:id="1078"/>
      <w:bookmarkEnd w:id="1079"/>
      <w:bookmarkEnd w:id="1080"/>
      <w:bookmarkEnd w:id="1081"/>
      <w:bookmarkEnd w:id="1082"/>
    </w:p>
    <w:p w14:paraId="6333E55B" w14:textId="77777777" w:rsidR="00D34C6E" w:rsidRPr="009B67BF" w:rsidRDefault="00D34C6E" w:rsidP="00D34C6E">
      <w:r w:rsidRPr="009B67BF">
        <w:t>In order to facilitate analysis of program Total Resource Cost</w:t>
      </w:r>
      <w:r>
        <w:t xml:space="preserve"> </w:t>
      </w:r>
      <w:r w:rsidRPr="009B67BF">
        <w:t>(TRC), estimates of the total incremental measure cost (IMC) at the program level</w:t>
      </w:r>
      <w:r>
        <w:t xml:space="preserve"> must be developed</w:t>
      </w:r>
      <w:r w:rsidRPr="009B67BF">
        <w:t xml:space="preserve">. IMC values are available for most </w:t>
      </w:r>
      <w:r>
        <w:t>IL-TRM</w:t>
      </w:r>
      <w:r w:rsidRPr="009B67BF">
        <w:t xml:space="preserve"> measures and can be summed to the program level. However, the IMC values for spillover measures </w:t>
      </w:r>
      <w:r>
        <w:t xml:space="preserve">could </w:t>
      </w:r>
      <w:r w:rsidRPr="009B67BF">
        <w:t xml:space="preserve">also be estimated and added to this total. The problem is that IMC values for spillover measures </w:t>
      </w:r>
      <w:r>
        <w:t>can be</w:t>
      </w:r>
      <w:r w:rsidRPr="009B67BF">
        <w:t xml:space="preserve"> difficult to estimate. </w:t>
      </w:r>
      <w:r>
        <w:t>When the magnitude of the savings justifies the effort t</w:t>
      </w:r>
      <w:r w:rsidRPr="009B67BF">
        <w:t>o estimate the total IMC for spillover measures, the following approaches should be used.</w:t>
      </w:r>
    </w:p>
    <w:p w14:paraId="58F2BCE2" w14:textId="77777777" w:rsidR="00D34C6E" w:rsidRPr="009B67BF" w:rsidRDefault="00D34C6E" w:rsidP="00D34C6E">
      <w:pPr>
        <w:pStyle w:val="ListParagraph"/>
        <w:widowControl/>
        <w:numPr>
          <w:ilvl w:val="0"/>
          <w:numId w:val="21"/>
        </w:numPr>
        <w:contextualSpacing w:val="0"/>
        <w:jc w:val="left"/>
      </w:pPr>
      <w:r w:rsidRPr="009B67BF">
        <w:t xml:space="preserve">In cases where the evaluator believes the spillover measure incremental costs are not materially different from the rebated measure incremental costs, the evaluator </w:t>
      </w:r>
      <w:r>
        <w:t>may</w:t>
      </w:r>
      <w:r w:rsidRPr="009B67BF">
        <w:t xml:space="preserve"> multiply the IMC for the rebated measure by </w:t>
      </w:r>
      <w:r>
        <w:t xml:space="preserve">the </w:t>
      </w:r>
      <w:r w:rsidRPr="009B67BF">
        <w:t>spillover rate to derive the IMC for the spillover measure.</w:t>
      </w:r>
    </w:p>
    <w:p w14:paraId="7345085C" w14:textId="77777777" w:rsidR="00D34C6E" w:rsidRPr="009B67BF" w:rsidRDefault="00D34C6E" w:rsidP="00D34C6E">
      <w:pPr>
        <w:pStyle w:val="ListParagraph"/>
        <w:widowControl/>
        <w:numPr>
          <w:ilvl w:val="0"/>
          <w:numId w:val="21"/>
        </w:numPr>
        <w:contextualSpacing w:val="0"/>
        <w:jc w:val="left"/>
      </w:pPr>
      <w:r w:rsidRPr="009B67BF">
        <w:t xml:space="preserve">In cases where the evaluator believes the spillover measure incremental costs are materially different from the installed measure incremental costs (e.g., installation of measures that have no efficiency levels), the evaluator </w:t>
      </w:r>
      <w:r>
        <w:t xml:space="preserve">should </w:t>
      </w:r>
      <w:r w:rsidRPr="009B67BF">
        <w:t>use the estimated incremental project costs as the IMC for the spillover measure.</w:t>
      </w:r>
    </w:p>
    <w:p w14:paraId="3A5E9E98" w14:textId="77777777" w:rsidR="00D34C6E" w:rsidRPr="009B67BF" w:rsidRDefault="00D34C6E" w:rsidP="00D34C6E">
      <w:r>
        <w:t>Normally, t</w:t>
      </w:r>
      <w:r w:rsidRPr="009B67BF">
        <w:t>he sample-based estimates of IMCs for spillover measures should be extrapolated to the program level using sample weights. The</w:t>
      </w:r>
      <w:r>
        <w:t>n the</w:t>
      </w:r>
      <w:r w:rsidRPr="009B67BF">
        <w:t xml:space="preserve"> total IMCs for rebated measures and the total IMCs for spillover measures should be summed and used in the TRC calculation.</w:t>
      </w:r>
    </w:p>
    <w:p w14:paraId="5AF6F9B8" w14:textId="77777777" w:rsidR="00D34C6E" w:rsidRDefault="00D34C6E" w:rsidP="00D34C6E">
      <w:r w:rsidRPr="009B67BF">
        <w:t xml:space="preserve">For measures characterized by the </w:t>
      </w:r>
      <w:r>
        <w:t>IL-TRM</w:t>
      </w:r>
      <w:r w:rsidRPr="009B67BF">
        <w:t xml:space="preserve">, measure </w:t>
      </w:r>
      <w:r>
        <w:t>effective useful life (</w:t>
      </w:r>
      <w:r w:rsidRPr="009B67BF">
        <w:t>EUL</w:t>
      </w:r>
      <w:r>
        <w:t>)</w:t>
      </w:r>
      <w:r w:rsidRPr="009B67BF">
        <w:t xml:space="preserve"> estimates should be based on the </w:t>
      </w:r>
      <w:r>
        <w:t>IL-TRM</w:t>
      </w:r>
      <w:r w:rsidRPr="009B67BF">
        <w:t xml:space="preserve">. For measures not characterized by the </w:t>
      </w:r>
      <w:r>
        <w:t>IL-TRM</w:t>
      </w:r>
      <w:r w:rsidRPr="009B67BF">
        <w:t xml:space="preserve">, evaluator can use either the EUL for similar measures or best professional judgment. In either case, the evaluator must provide the rationale for their choices. </w:t>
      </w:r>
      <w:r>
        <w:br w:type="page"/>
      </w:r>
    </w:p>
    <w:p w14:paraId="4FD6F324" w14:textId="77777777" w:rsidR="00D34C6E" w:rsidRPr="009B67BF" w:rsidRDefault="00D34C6E" w:rsidP="00D34C6E">
      <w:pPr>
        <w:pStyle w:val="Heading1"/>
        <w:keepLines w:val="0"/>
        <w:widowControl/>
        <w:numPr>
          <w:ilvl w:val="0"/>
          <w:numId w:val="8"/>
        </w:numPr>
        <w:tabs>
          <w:tab w:val="decimal" w:pos="720"/>
        </w:tabs>
        <w:ind w:left="0" w:firstLine="0"/>
        <w:jc w:val="left"/>
      </w:pPr>
      <w:bookmarkStart w:id="1083" w:name="_Toc431526438"/>
      <w:bookmarkStart w:id="1084" w:name="_Ref441826250"/>
      <w:bookmarkStart w:id="1085" w:name="_Ref441826265"/>
      <w:bookmarkStart w:id="1086" w:name="_Toc442804224"/>
      <w:bookmarkStart w:id="1087" w:name="_Toc442805441"/>
      <w:bookmarkStart w:id="1088" w:name="_Toc472494690"/>
      <w:bookmarkStart w:id="1089" w:name="_Toc520462888"/>
      <w:bookmarkStart w:id="1090" w:name="_Toc473108032"/>
      <w:bookmarkStart w:id="1091" w:name="_Toc520824144"/>
      <w:bookmarkStart w:id="1092" w:name="_Toc16619927"/>
      <w:bookmarkStart w:id="1093" w:name="_Toc113619782"/>
      <w:r w:rsidRPr="009B67BF">
        <w:lastRenderedPageBreak/>
        <w:t>Commercial, Industrial, and Public Sector</w:t>
      </w:r>
      <w:bookmarkEnd w:id="1083"/>
      <w:r>
        <w:t xml:space="preserve"> Protocols</w:t>
      </w:r>
      <w:bookmarkEnd w:id="1084"/>
      <w:bookmarkEnd w:id="1085"/>
      <w:bookmarkEnd w:id="1086"/>
      <w:bookmarkEnd w:id="1087"/>
      <w:bookmarkEnd w:id="1088"/>
      <w:bookmarkEnd w:id="1089"/>
      <w:bookmarkEnd w:id="1090"/>
      <w:bookmarkEnd w:id="1091"/>
      <w:bookmarkEnd w:id="1092"/>
      <w:bookmarkEnd w:id="1093"/>
    </w:p>
    <w:p w14:paraId="043A8A1E" w14:textId="6377E65C" w:rsidR="00D34C6E" w:rsidRPr="009B67BF" w:rsidRDefault="00D34C6E" w:rsidP="00D34C6E">
      <w:pPr>
        <w:rPr>
          <w:rFonts w:eastAsia="Franklin Gothic Book"/>
        </w:rPr>
      </w:pPr>
      <w:r w:rsidRPr="009B67BF">
        <w:rPr>
          <w:rFonts w:eastAsia="Franklin Gothic Book"/>
        </w:rPr>
        <w:t>The table below lists Illinois non-residential programs and the free ridership protocol applicable to each program</w:t>
      </w:r>
      <w:r>
        <w:rPr>
          <w:rFonts w:eastAsia="Franklin Gothic Book"/>
        </w:rPr>
        <w:t>.</w:t>
      </w:r>
      <w:r>
        <w:rPr>
          <w:rStyle w:val="FootnoteReference"/>
          <w:rFonts w:eastAsia="Franklin Gothic Book"/>
        </w:rPr>
        <w:footnoteReference w:id="64"/>
      </w:r>
      <w:r w:rsidRPr="009B67BF">
        <w:rPr>
          <w:rFonts w:eastAsia="Franklin Gothic Book"/>
        </w:rPr>
        <w:t xml:space="preserve"> </w:t>
      </w:r>
      <w:r>
        <w:rPr>
          <w:rFonts w:eastAsia="Franklin Gothic Book"/>
        </w:rPr>
        <w:t xml:space="preserve">If the design of a given program changes significantly, then it may mean that the NTG protocol listed for that program in this document is no longer appropriate. If that happens, the evaluator should follow the procedures outlined in Section 1.4: </w:t>
      </w:r>
      <w:r w:rsidRPr="00A435E2">
        <w:rPr>
          <w:rFonts w:eastAsia="Franklin Gothic Book"/>
        </w:rPr>
        <w:t>Diverging from the IL-NTG Methods</w:t>
      </w:r>
      <w:r>
        <w:rPr>
          <w:rFonts w:eastAsia="Franklin Gothic Book"/>
        </w:rPr>
        <w:t xml:space="preserve">. </w:t>
      </w:r>
      <w:r w:rsidRPr="009B67BF">
        <w:rPr>
          <w:rFonts w:eastAsia="Franklin Gothic Book"/>
        </w:rPr>
        <w:t xml:space="preserve">Note that the </w:t>
      </w:r>
      <w:r>
        <w:rPr>
          <w:rFonts w:eastAsia="Franklin Gothic Book"/>
        </w:rPr>
        <w:t>C</w:t>
      </w:r>
      <w:r w:rsidRPr="009B67BF">
        <w:rPr>
          <w:rFonts w:eastAsia="Franklin Gothic Book"/>
        </w:rPr>
        <w:t xml:space="preserve">ore </w:t>
      </w:r>
      <w:r>
        <w:rPr>
          <w:rFonts w:eastAsia="Franklin Gothic Book"/>
        </w:rPr>
        <w:t>Non-Residential S</w:t>
      </w:r>
      <w:r w:rsidRPr="009B67BF">
        <w:rPr>
          <w:rFonts w:eastAsia="Franklin Gothic Book"/>
        </w:rPr>
        <w:t xml:space="preserve">pillover </w:t>
      </w:r>
      <w:r>
        <w:rPr>
          <w:rFonts w:eastAsia="Franklin Gothic Book"/>
        </w:rPr>
        <w:t>protocol</w:t>
      </w:r>
      <w:r w:rsidRPr="009B67BF">
        <w:rPr>
          <w:rFonts w:eastAsia="Franklin Gothic Book"/>
        </w:rPr>
        <w:t xml:space="preserve"> described in</w:t>
      </w:r>
      <w:r>
        <w:rPr>
          <w:rFonts w:eastAsia="Franklin Gothic Book"/>
        </w:rPr>
        <w:t xml:space="preserve"> Section </w:t>
      </w:r>
      <w:r>
        <w:rPr>
          <w:rFonts w:eastAsia="Franklin Gothic Book"/>
        </w:rPr>
        <w:fldChar w:fldCharType="begin"/>
      </w:r>
      <w:r>
        <w:rPr>
          <w:rFonts w:eastAsia="Franklin Gothic Book"/>
        </w:rPr>
        <w:instrText xml:space="preserve"> REF _Ref442612996 \r \h </w:instrText>
      </w:r>
      <w:r>
        <w:rPr>
          <w:rFonts w:eastAsia="Franklin Gothic Book"/>
        </w:rPr>
      </w:r>
      <w:r>
        <w:rPr>
          <w:rFonts w:eastAsia="Franklin Gothic Book"/>
        </w:rPr>
        <w:fldChar w:fldCharType="separate"/>
      </w:r>
      <w:r w:rsidR="00506A44">
        <w:rPr>
          <w:rFonts w:eastAsia="Franklin Gothic Book"/>
        </w:rPr>
        <w:t>3.2</w:t>
      </w:r>
      <w:r>
        <w:rPr>
          <w:rFonts w:eastAsia="Franklin Gothic Book"/>
        </w:rPr>
        <w:fldChar w:fldCharType="end"/>
      </w:r>
      <w:bookmarkStart w:id="1094" w:name="_Toc411554701"/>
      <w:r>
        <w:rPr>
          <w:rFonts w:eastAsia="Franklin Gothic Book"/>
        </w:rPr>
        <w:t xml:space="preserve"> is</w:t>
      </w:r>
      <w:r w:rsidRPr="009B67BF">
        <w:rPr>
          <w:rFonts w:eastAsia="Franklin Gothic Book"/>
        </w:rPr>
        <w:t xml:space="preserve"> </w:t>
      </w:r>
      <w:r>
        <w:rPr>
          <w:rFonts w:eastAsia="Franklin Gothic Book"/>
        </w:rPr>
        <w:t xml:space="preserve">generally </w:t>
      </w:r>
      <w:r w:rsidRPr="009B67BF">
        <w:rPr>
          <w:rFonts w:eastAsia="Franklin Gothic Book"/>
        </w:rPr>
        <w:t xml:space="preserve">applicable to </w:t>
      </w:r>
      <w:r>
        <w:rPr>
          <w:rFonts w:eastAsia="Franklin Gothic Book"/>
        </w:rPr>
        <w:t xml:space="preserve">most </w:t>
      </w:r>
      <w:r w:rsidRPr="009B67BF">
        <w:rPr>
          <w:rFonts w:eastAsia="Franklin Gothic Book"/>
        </w:rPr>
        <w:t>of these programs.</w:t>
      </w:r>
    </w:p>
    <w:p w14:paraId="54D152CD" w14:textId="7782B3AF" w:rsidR="00D34C6E" w:rsidRDefault="00D34C6E" w:rsidP="0021790A">
      <w:pPr>
        <w:pStyle w:val="TableHeading"/>
        <w:rPr>
          <w:rFonts w:eastAsia="Franklin Gothic Book"/>
        </w:rPr>
      </w:pPr>
      <w:bookmarkStart w:id="1095" w:name="_Ref442020051"/>
      <w:bookmarkStart w:id="1096" w:name="_Toc472494769"/>
      <w:bookmarkStart w:id="1097" w:name="_Toc473108156"/>
      <w:bookmarkStart w:id="1098" w:name="_Toc520824288"/>
      <w:bookmarkStart w:id="1099" w:name="_Toc523148260"/>
      <w:bookmarkStart w:id="1100" w:name="_Toc16620021"/>
      <w:bookmarkStart w:id="1101" w:name="_Toc83376852"/>
      <w:r w:rsidRPr="00D77363">
        <w:t>Table 3</w:t>
      </w:r>
      <w:r w:rsidRPr="00D77363">
        <w:noBreakHyphen/>
        <w:t>1</w:t>
      </w:r>
      <w:r w:rsidRPr="00D77363">
        <w:rPr>
          <w:rFonts w:eastAsia="Franklin Gothic Book"/>
        </w:rPr>
        <w:t>. Commercial, Industrial, and Public Sector Programs</w:t>
      </w:r>
      <w:bookmarkEnd w:id="1094"/>
      <w:bookmarkEnd w:id="1095"/>
      <w:bookmarkEnd w:id="1096"/>
      <w:bookmarkEnd w:id="1097"/>
      <w:bookmarkEnd w:id="1098"/>
      <w:bookmarkEnd w:id="1099"/>
      <w:bookmarkEnd w:id="1100"/>
      <w:bookmarkEnd w:id="1101"/>
    </w:p>
    <w:tbl>
      <w:tblPr>
        <w:tblW w:w="9460"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5"/>
        <w:gridCol w:w="3150"/>
        <w:gridCol w:w="4675"/>
      </w:tblGrid>
      <w:tr w:rsidR="00B50976" w:rsidRPr="008F0F26" w14:paraId="63C6610C" w14:textId="77777777" w:rsidTr="006B303F">
        <w:trPr>
          <w:trHeight w:val="20"/>
          <w:tblHeader/>
        </w:trPr>
        <w:tc>
          <w:tcPr>
            <w:tcW w:w="1635" w:type="dxa"/>
            <w:shd w:val="clear" w:color="auto" w:fill="FFFFFF" w:themeFill="background1"/>
            <w:vAlign w:val="center"/>
            <w:hideMark/>
          </w:tcPr>
          <w:p w14:paraId="2BFF001B" w14:textId="77777777" w:rsidR="00B50976" w:rsidRPr="008F0F26" w:rsidRDefault="00B50976" w:rsidP="006B303F">
            <w:pPr>
              <w:spacing w:after="0"/>
              <w:jc w:val="center"/>
              <w:rPr>
                <w:b/>
                <w:bCs/>
                <w:color w:val="000000"/>
                <w:szCs w:val="20"/>
              </w:rPr>
            </w:pPr>
            <w:r w:rsidRPr="008F0F26">
              <w:rPr>
                <w:b/>
                <w:bCs/>
                <w:color w:val="000000"/>
                <w:szCs w:val="20"/>
              </w:rPr>
              <w:t>Program Administrator</w:t>
            </w:r>
          </w:p>
        </w:tc>
        <w:tc>
          <w:tcPr>
            <w:tcW w:w="3150" w:type="dxa"/>
            <w:shd w:val="clear" w:color="auto" w:fill="FFFFFF" w:themeFill="background1"/>
            <w:vAlign w:val="center"/>
            <w:hideMark/>
          </w:tcPr>
          <w:p w14:paraId="70B3E68B" w14:textId="77777777" w:rsidR="00B50976" w:rsidRPr="008F0F26" w:rsidRDefault="00B50976" w:rsidP="006B303F">
            <w:pPr>
              <w:spacing w:after="0"/>
              <w:jc w:val="center"/>
              <w:rPr>
                <w:b/>
                <w:bCs/>
                <w:color w:val="000000"/>
                <w:szCs w:val="20"/>
              </w:rPr>
            </w:pPr>
            <w:r w:rsidRPr="008F0F26">
              <w:rPr>
                <w:b/>
                <w:bCs/>
                <w:color w:val="000000"/>
                <w:szCs w:val="20"/>
              </w:rPr>
              <w:t>Free Ridership Protocol</w:t>
            </w:r>
          </w:p>
        </w:tc>
        <w:tc>
          <w:tcPr>
            <w:tcW w:w="4675" w:type="dxa"/>
            <w:shd w:val="clear" w:color="auto" w:fill="FFFFFF" w:themeFill="background1"/>
            <w:vAlign w:val="center"/>
            <w:hideMark/>
          </w:tcPr>
          <w:p w14:paraId="40A0616D" w14:textId="77777777" w:rsidR="00B50976" w:rsidRPr="008F0F26" w:rsidRDefault="00B50976" w:rsidP="006B303F">
            <w:pPr>
              <w:spacing w:after="0"/>
              <w:jc w:val="center"/>
              <w:rPr>
                <w:b/>
                <w:bCs/>
                <w:color w:val="000000"/>
                <w:szCs w:val="20"/>
              </w:rPr>
            </w:pPr>
            <w:r w:rsidRPr="008F0F26">
              <w:rPr>
                <w:b/>
                <w:bCs/>
                <w:color w:val="000000"/>
                <w:szCs w:val="20"/>
              </w:rPr>
              <w:t>Program Name</w:t>
            </w:r>
          </w:p>
        </w:tc>
      </w:tr>
      <w:tr w:rsidR="00B50976" w:rsidRPr="008F0F26" w14:paraId="49A5602C" w14:textId="77777777" w:rsidTr="006B303F">
        <w:trPr>
          <w:trHeight w:val="20"/>
        </w:trPr>
        <w:tc>
          <w:tcPr>
            <w:tcW w:w="1635" w:type="dxa"/>
            <w:vMerge w:val="restart"/>
            <w:shd w:val="clear" w:color="auto" w:fill="FFFFFF" w:themeFill="background1"/>
            <w:vAlign w:val="center"/>
            <w:hideMark/>
          </w:tcPr>
          <w:p w14:paraId="4C85EA04" w14:textId="77777777" w:rsidR="00B50976" w:rsidRPr="008F0F26" w:rsidRDefault="00B50976" w:rsidP="006B303F">
            <w:pPr>
              <w:spacing w:after="0"/>
              <w:jc w:val="left"/>
              <w:rPr>
                <w:color w:val="000000"/>
                <w:szCs w:val="20"/>
              </w:rPr>
            </w:pPr>
            <w:r w:rsidRPr="008F0F26">
              <w:rPr>
                <w:color w:val="000000"/>
                <w:szCs w:val="20"/>
              </w:rPr>
              <w:t>Ameren Illinois</w:t>
            </w:r>
          </w:p>
        </w:tc>
        <w:tc>
          <w:tcPr>
            <w:tcW w:w="3150" w:type="dxa"/>
            <w:shd w:val="clear" w:color="auto" w:fill="FFFFFF" w:themeFill="background1"/>
            <w:vAlign w:val="center"/>
            <w:hideMark/>
          </w:tcPr>
          <w:p w14:paraId="486F816E" w14:textId="77777777" w:rsidR="00B50976" w:rsidRPr="008F0F26" w:rsidRDefault="00B50976" w:rsidP="006B303F">
            <w:pPr>
              <w:spacing w:after="0"/>
              <w:jc w:val="left"/>
              <w:rPr>
                <w:color w:val="000000"/>
                <w:szCs w:val="20"/>
              </w:rPr>
            </w:pPr>
            <w:r w:rsidRPr="003C323D">
              <w:rPr>
                <w:color w:val="000000"/>
                <w:szCs w:val="20"/>
              </w:rPr>
              <w:t>3.1 Core Non-Residential Protocol</w:t>
            </w:r>
          </w:p>
        </w:tc>
        <w:tc>
          <w:tcPr>
            <w:tcW w:w="4675" w:type="dxa"/>
            <w:shd w:val="clear" w:color="auto" w:fill="FFFFFF" w:themeFill="background1"/>
            <w:vAlign w:val="center"/>
            <w:hideMark/>
          </w:tcPr>
          <w:p w14:paraId="78C53AF7" w14:textId="6BBB17BB" w:rsidR="00B50976" w:rsidRPr="008F0F26" w:rsidRDefault="00B50976" w:rsidP="006B303F">
            <w:pPr>
              <w:spacing w:after="0"/>
              <w:jc w:val="left"/>
              <w:rPr>
                <w:color w:val="000000"/>
                <w:szCs w:val="20"/>
              </w:rPr>
            </w:pPr>
            <w:r>
              <w:rPr>
                <w:color w:val="000000"/>
                <w:szCs w:val="20"/>
              </w:rPr>
              <w:t>Standard Initiative</w:t>
            </w:r>
          </w:p>
          <w:p w14:paraId="4174060C" w14:textId="77777777" w:rsidR="00B50976" w:rsidRPr="008F0F26" w:rsidRDefault="00B50976" w:rsidP="006B303F">
            <w:pPr>
              <w:spacing w:after="0"/>
              <w:jc w:val="left"/>
              <w:rPr>
                <w:color w:val="000000"/>
                <w:szCs w:val="20"/>
              </w:rPr>
            </w:pPr>
            <w:r>
              <w:rPr>
                <w:color w:val="000000"/>
                <w:szCs w:val="20"/>
              </w:rPr>
              <w:t>Custom Initiative</w:t>
            </w:r>
          </w:p>
          <w:p w14:paraId="242F6794" w14:textId="1631C2E2" w:rsidR="00B50976" w:rsidRPr="008F0F26" w:rsidRDefault="00B50976" w:rsidP="006B303F">
            <w:pPr>
              <w:spacing w:after="0"/>
              <w:jc w:val="left"/>
              <w:rPr>
                <w:color w:val="000000"/>
                <w:szCs w:val="20"/>
              </w:rPr>
            </w:pPr>
            <w:r>
              <w:rPr>
                <w:color w:val="000000"/>
                <w:szCs w:val="20"/>
              </w:rPr>
              <w:t>Streetlighting Initiative</w:t>
            </w:r>
          </w:p>
        </w:tc>
      </w:tr>
      <w:tr w:rsidR="00B50976" w:rsidRPr="008F0F26" w14:paraId="12AF8364" w14:textId="77777777" w:rsidTr="006B303F">
        <w:trPr>
          <w:trHeight w:val="20"/>
        </w:trPr>
        <w:tc>
          <w:tcPr>
            <w:tcW w:w="1635" w:type="dxa"/>
            <w:vMerge/>
            <w:vAlign w:val="center"/>
            <w:hideMark/>
          </w:tcPr>
          <w:p w14:paraId="686755CB" w14:textId="77777777" w:rsidR="00B50976" w:rsidRPr="008F0F26" w:rsidRDefault="00B50976" w:rsidP="006B303F">
            <w:pPr>
              <w:spacing w:after="0"/>
              <w:jc w:val="left"/>
              <w:rPr>
                <w:color w:val="000000"/>
                <w:szCs w:val="20"/>
              </w:rPr>
            </w:pPr>
          </w:p>
        </w:tc>
        <w:tc>
          <w:tcPr>
            <w:tcW w:w="3150" w:type="dxa"/>
            <w:shd w:val="clear" w:color="auto" w:fill="FFFFFF" w:themeFill="background1"/>
            <w:vAlign w:val="center"/>
            <w:hideMark/>
          </w:tcPr>
          <w:p w14:paraId="5F533678" w14:textId="77777777" w:rsidR="00B50976" w:rsidRPr="008F0F26" w:rsidRDefault="00B50976" w:rsidP="006B303F">
            <w:pPr>
              <w:spacing w:after="0"/>
              <w:jc w:val="left"/>
              <w:rPr>
                <w:color w:val="000000"/>
                <w:szCs w:val="20"/>
              </w:rPr>
            </w:pPr>
            <w:r w:rsidRPr="003C323D">
              <w:rPr>
                <w:color w:val="000000"/>
                <w:szCs w:val="20"/>
              </w:rPr>
              <w:t>3.3 Small Business Protocol</w:t>
            </w:r>
          </w:p>
        </w:tc>
        <w:tc>
          <w:tcPr>
            <w:tcW w:w="4675" w:type="dxa"/>
            <w:shd w:val="clear" w:color="auto" w:fill="FFFFFF" w:themeFill="background1"/>
            <w:vAlign w:val="center"/>
            <w:hideMark/>
          </w:tcPr>
          <w:p w14:paraId="1BD44778" w14:textId="61BF49E8" w:rsidR="00B50976" w:rsidRDefault="00B50976" w:rsidP="006B303F">
            <w:pPr>
              <w:spacing w:after="0"/>
              <w:jc w:val="left"/>
              <w:rPr>
                <w:color w:val="000000"/>
                <w:szCs w:val="20"/>
              </w:rPr>
            </w:pPr>
            <w:r>
              <w:rPr>
                <w:color w:val="000000"/>
                <w:szCs w:val="20"/>
              </w:rPr>
              <w:t>Small Business Initiative</w:t>
            </w:r>
          </w:p>
          <w:p w14:paraId="39C69784" w14:textId="77777777" w:rsidR="00B50976" w:rsidRPr="008F0F26" w:rsidRDefault="00B50976" w:rsidP="006B303F">
            <w:pPr>
              <w:spacing w:after="0"/>
              <w:jc w:val="left"/>
              <w:rPr>
                <w:color w:val="000000"/>
                <w:szCs w:val="20"/>
              </w:rPr>
            </w:pPr>
            <w:r>
              <w:rPr>
                <w:color w:val="000000"/>
                <w:szCs w:val="20"/>
              </w:rPr>
              <w:t>Standard Initiative - Online Store</w:t>
            </w:r>
          </w:p>
        </w:tc>
      </w:tr>
      <w:tr w:rsidR="00B50976" w:rsidRPr="008F0F26" w14:paraId="4AFBC5C5" w14:textId="77777777" w:rsidTr="006B303F">
        <w:trPr>
          <w:trHeight w:val="20"/>
        </w:trPr>
        <w:tc>
          <w:tcPr>
            <w:tcW w:w="1635" w:type="dxa"/>
            <w:vMerge/>
            <w:vAlign w:val="center"/>
            <w:hideMark/>
          </w:tcPr>
          <w:p w14:paraId="72503E09" w14:textId="77777777" w:rsidR="00B50976" w:rsidRPr="008F0F26" w:rsidRDefault="00B50976" w:rsidP="006B303F">
            <w:pPr>
              <w:spacing w:after="0"/>
              <w:jc w:val="left"/>
              <w:rPr>
                <w:color w:val="000000"/>
                <w:szCs w:val="20"/>
              </w:rPr>
            </w:pPr>
          </w:p>
        </w:tc>
        <w:tc>
          <w:tcPr>
            <w:tcW w:w="3150" w:type="dxa"/>
            <w:shd w:val="clear" w:color="auto" w:fill="FFFFFF" w:themeFill="background1"/>
            <w:vAlign w:val="center"/>
            <w:hideMark/>
          </w:tcPr>
          <w:p w14:paraId="0B68CDA4" w14:textId="77777777" w:rsidR="00B50976" w:rsidRPr="008F0F26" w:rsidRDefault="00B50976" w:rsidP="006B303F">
            <w:pPr>
              <w:spacing w:after="0"/>
              <w:jc w:val="left"/>
              <w:rPr>
                <w:color w:val="000000"/>
                <w:szCs w:val="20"/>
              </w:rPr>
            </w:pPr>
            <w:r w:rsidRPr="003C323D">
              <w:rPr>
                <w:color w:val="000000"/>
                <w:szCs w:val="20"/>
              </w:rPr>
              <w:t>3.5 Study-Based Protocol</w:t>
            </w:r>
          </w:p>
        </w:tc>
        <w:tc>
          <w:tcPr>
            <w:tcW w:w="4675" w:type="dxa"/>
            <w:shd w:val="clear" w:color="auto" w:fill="FFFFFF" w:themeFill="background1"/>
            <w:vAlign w:val="center"/>
            <w:hideMark/>
          </w:tcPr>
          <w:p w14:paraId="4EA5D57C" w14:textId="77777777" w:rsidR="00B50976" w:rsidRPr="008F0F26" w:rsidRDefault="00B50976" w:rsidP="006B303F">
            <w:pPr>
              <w:spacing w:after="0"/>
              <w:jc w:val="left"/>
              <w:rPr>
                <w:color w:val="000000"/>
                <w:szCs w:val="20"/>
              </w:rPr>
            </w:pPr>
            <w:r>
              <w:rPr>
                <w:color w:val="000000"/>
                <w:szCs w:val="20"/>
              </w:rPr>
              <w:t>Retro-Commissioning Initiative</w:t>
            </w:r>
          </w:p>
        </w:tc>
      </w:tr>
      <w:tr w:rsidR="00B50976" w14:paraId="5F9BC935" w14:textId="77777777" w:rsidTr="006B303F">
        <w:trPr>
          <w:trHeight w:val="20"/>
        </w:trPr>
        <w:tc>
          <w:tcPr>
            <w:tcW w:w="1635" w:type="dxa"/>
            <w:vMerge/>
            <w:vAlign w:val="center"/>
          </w:tcPr>
          <w:p w14:paraId="37DEFA99" w14:textId="77777777" w:rsidR="00B50976" w:rsidRPr="008F0F26" w:rsidRDefault="00B50976" w:rsidP="006B303F">
            <w:pPr>
              <w:spacing w:after="0"/>
              <w:jc w:val="left"/>
              <w:rPr>
                <w:color w:val="000000"/>
                <w:szCs w:val="20"/>
              </w:rPr>
            </w:pPr>
          </w:p>
        </w:tc>
        <w:tc>
          <w:tcPr>
            <w:tcW w:w="3150" w:type="dxa"/>
            <w:shd w:val="clear" w:color="auto" w:fill="FFFFFF" w:themeFill="background1"/>
            <w:vAlign w:val="center"/>
          </w:tcPr>
          <w:p w14:paraId="004085DE" w14:textId="77777777" w:rsidR="00B50976" w:rsidRPr="003C323D" w:rsidRDefault="00B50976" w:rsidP="006B303F">
            <w:pPr>
              <w:spacing w:after="0"/>
              <w:jc w:val="left"/>
              <w:rPr>
                <w:color w:val="000000"/>
                <w:szCs w:val="20"/>
              </w:rPr>
            </w:pPr>
            <w:r>
              <w:rPr>
                <w:color w:val="000000"/>
                <w:szCs w:val="20"/>
              </w:rPr>
              <w:t>5.4 Midstream Protocol</w:t>
            </w:r>
          </w:p>
        </w:tc>
        <w:tc>
          <w:tcPr>
            <w:tcW w:w="4675" w:type="dxa"/>
            <w:shd w:val="clear" w:color="auto" w:fill="FFFFFF" w:themeFill="background1"/>
            <w:vAlign w:val="center"/>
          </w:tcPr>
          <w:p w14:paraId="465C57A9" w14:textId="77777777" w:rsidR="00B50976" w:rsidRDefault="00B50976" w:rsidP="006B303F">
            <w:pPr>
              <w:spacing w:after="0"/>
              <w:jc w:val="left"/>
              <w:rPr>
                <w:color w:val="000000"/>
                <w:szCs w:val="20"/>
              </w:rPr>
            </w:pPr>
            <w:r>
              <w:rPr>
                <w:color w:val="000000"/>
                <w:szCs w:val="20"/>
              </w:rPr>
              <w:t>Midstream Initiative</w:t>
            </w:r>
          </w:p>
        </w:tc>
      </w:tr>
      <w:tr w:rsidR="00B50976" w:rsidRPr="008F0F26" w14:paraId="1EC824F7" w14:textId="77777777" w:rsidTr="006B303F">
        <w:trPr>
          <w:trHeight w:val="20"/>
        </w:trPr>
        <w:tc>
          <w:tcPr>
            <w:tcW w:w="1635" w:type="dxa"/>
            <w:vMerge w:val="restart"/>
            <w:shd w:val="clear" w:color="auto" w:fill="FFFFFF" w:themeFill="background1"/>
            <w:vAlign w:val="center"/>
            <w:hideMark/>
          </w:tcPr>
          <w:p w14:paraId="7682E42C" w14:textId="77777777" w:rsidR="00B50976" w:rsidRPr="008F0F26" w:rsidRDefault="00B50976" w:rsidP="006B303F">
            <w:pPr>
              <w:spacing w:after="0"/>
              <w:jc w:val="left"/>
              <w:rPr>
                <w:color w:val="000000"/>
                <w:szCs w:val="20"/>
              </w:rPr>
            </w:pPr>
            <w:r w:rsidRPr="008F0F26">
              <w:rPr>
                <w:color w:val="000000"/>
                <w:szCs w:val="20"/>
              </w:rPr>
              <w:t>ComEd</w:t>
            </w:r>
          </w:p>
        </w:tc>
        <w:tc>
          <w:tcPr>
            <w:tcW w:w="3150" w:type="dxa"/>
            <w:shd w:val="clear" w:color="auto" w:fill="FFFFFF" w:themeFill="background1"/>
            <w:vAlign w:val="center"/>
            <w:hideMark/>
          </w:tcPr>
          <w:p w14:paraId="167857BC" w14:textId="77777777" w:rsidR="00B50976" w:rsidRPr="008F0F26" w:rsidRDefault="00B50976" w:rsidP="006B303F">
            <w:pPr>
              <w:spacing w:after="0"/>
              <w:jc w:val="left"/>
              <w:rPr>
                <w:color w:val="000000"/>
                <w:szCs w:val="20"/>
              </w:rPr>
            </w:pPr>
            <w:r w:rsidRPr="003C323D">
              <w:rPr>
                <w:color w:val="000000"/>
                <w:szCs w:val="20"/>
              </w:rPr>
              <w:t>3.1 Core Non-Residential Protocol</w:t>
            </w:r>
          </w:p>
        </w:tc>
        <w:tc>
          <w:tcPr>
            <w:tcW w:w="4675" w:type="dxa"/>
            <w:shd w:val="clear" w:color="auto" w:fill="FFFFFF" w:themeFill="background1"/>
            <w:vAlign w:val="center"/>
          </w:tcPr>
          <w:p w14:paraId="21CA8291" w14:textId="028324C6" w:rsidR="00B50976" w:rsidRPr="008F0F26" w:rsidRDefault="00B50976" w:rsidP="006B303F">
            <w:pPr>
              <w:spacing w:after="0"/>
              <w:jc w:val="left"/>
              <w:rPr>
                <w:color w:val="000000"/>
                <w:szCs w:val="20"/>
              </w:rPr>
            </w:pPr>
            <w:r>
              <w:rPr>
                <w:color w:val="000000"/>
                <w:szCs w:val="20"/>
              </w:rPr>
              <w:t xml:space="preserve">Incentives </w:t>
            </w:r>
          </w:p>
          <w:p w14:paraId="70FFC226" w14:textId="7C266B16" w:rsidR="00B50976" w:rsidRPr="008F0F26" w:rsidRDefault="00B50976" w:rsidP="006B303F">
            <w:pPr>
              <w:spacing w:after="0"/>
              <w:jc w:val="left"/>
              <w:rPr>
                <w:color w:val="000000"/>
                <w:szCs w:val="20"/>
              </w:rPr>
            </w:pPr>
          </w:p>
        </w:tc>
      </w:tr>
      <w:tr w:rsidR="00B50976" w:rsidRPr="008F0F26" w14:paraId="5CF2A8D4" w14:textId="77777777" w:rsidTr="006B303F">
        <w:trPr>
          <w:trHeight w:val="20"/>
        </w:trPr>
        <w:tc>
          <w:tcPr>
            <w:tcW w:w="1635" w:type="dxa"/>
            <w:vMerge/>
            <w:vAlign w:val="center"/>
            <w:hideMark/>
          </w:tcPr>
          <w:p w14:paraId="7F3EE6A0" w14:textId="77777777" w:rsidR="00B50976" w:rsidRPr="008F0F26" w:rsidRDefault="00B50976" w:rsidP="006B303F">
            <w:pPr>
              <w:spacing w:after="0"/>
              <w:jc w:val="left"/>
              <w:rPr>
                <w:color w:val="000000"/>
                <w:szCs w:val="20"/>
              </w:rPr>
            </w:pPr>
          </w:p>
        </w:tc>
        <w:tc>
          <w:tcPr>
            <w:tcW w:w="3150" w:type="dxa"/>
            <w:shd w:val="clear" w:color="auto" w:fill="FFFFFF" w:themeFill="background1"/>
            <w:vAlign w:val="center"/>
          </w:tcPr>
          <w:p w14:paraId="2B229298" w14:textId="77777777" w:rsidR="00B50976" w:rsidRPr="008F0F26" w:rsidRDefault="00B50976" w:rsidP="006B303F">
            <w:pPr>
              <w:spacing w:after="0"/>
              <w:jc w:val="left"/>
              <w:rPr>
                <w:color w:val="000000"/>
                <w:szCs w:val="20"/>
              </w:rPr>
            </w:pPr>
            <w:r w:rsidRPr="003C323D">
              <w:rPr>
                <w:color w:val="000000"/>
                <w:szCs w:val="20"/>
              </w:rPr>
              <w:t>3.3 Small Business Protocol</w:t>
            </w:r>
          </w:p>
        </w:tc>
        <w:tc>
          <w:tcPr>
            <w:tcW w:w="4675" w:type="dxa"/>
            <w:shd w:val="clear" w:color="auto" w:fill="FFFFFF" w:themeFill="background1"/>
            <w:vAlign w:val="center"/>
          </w:tcPr>
          <w:p w14:paraId="685E9E78" w14:textId="77777777" w:rsidR="00B50976" w:rsidRPr="008F0F26" w:rsidRDefault="00B50976" w:rsidP="006B303F">
            <w:pPr>
              <w:spacing w:after="0"/>
              <w:jc w:val="left"/>
              <w:rPr>
                <w:color w:val="000000"/>
                <w:szCs w:val="20"/>
              </w:rPr>
            </w:pPr>
            <w:r>
              <w:rPr>
                <w:color w:val="000000"/>
                <w:szCs w:val="20"/>
              </w:rPr>
              <w:t>Small Business</w:t>
            </w:r>
          </w:p>
          <w:p w14:paraId="396E7105" w14:textId="33DAF915" w:rsidR="00B50976" w:rsidRPr="008F0F26" w:rsidRDefault="00B50976" w:rsidP="006B303F">
            <w:pPr>
              <w:spacing w:after="0"/>
              <w:jc w:val="left"/>
              <w:rPr>
                <w:color w:val="000000"/>
                <w:szCs w:val="20"/>
              </w:rPr>
            </w:pPr>
          </w:p>
        </w:tc>
      </w:tr>
      <w:tr w:rsidR="00B50976" w:rsidRPr="008F0F26" w14:paraId="4CB45B8E" w14:textId="77777777" w:rsidTr="006B303F">
        <w:trPr>
          <w:trHeight w:val="20"/>
        </w:trPr>
        <w:tc>
          <w:tcPr>
            <w:tcW w:w="1635" w:type="dxa"/>
            <w:vMerge/>
            <w:vAlign w:val="center"/>
            <w:hideMark/>
          </w:tcPr>
          <w:p w14:paraId="6443A8F3" w14:textId="77777777" w:rsidR="00B50976" w:rsidRPr="008F0F26" w:rsidRDefault="00B50976" w:rsidP="006B303F">
            <w:pPr>
              <w:spacing w:after="0"/>
              <w:jc w:val="left"/>
              <w:rPr>
                <w:color w:val="000000"/>
                <w:szCs w:val="20"/>
              </w:rPr>
            </w:pPr>
          </w:p>
        </w:tc>
        <w:tc>
          <w:tcPr>
            <w:tcW w:w="3150" w:type="dxa"/>
            <w:shd w:val="clear" w:color="auto" w:fill="FFFFFF" w:themeFill="background1"/>
            <w:vAlign w:val="center"/>
            <w:hideMark/>
          </w:tcPr>
          <w:p w14:paraId="12B56D9D" w14:textId="77777777" w:rsidR="00B50976" w:rsidRPr="008F0F26" w:rsidRDefault="00B50976" w:rsidP="006B303F">
            <w:pPr>
              <w:spacing w:after="0"/>
              <w:jc w:val="left"/>
              <w:rPr>
                <w:color w:val="000000"/>
                <w:szCs w:val="20"/>
              </w:rPr>
            </w:pPr>
            <w:r w:rsidRPr="003C323D">
              <w:rPr>
                <w:color w:val="000000"/>
                <w:szCs w:val="20"/>
              </w:rPr>
              <w:t>3.4 C&amp;I New Construction Protocol</w:t>
            </w:r>
          </w:p>
        </w:tc>
        <w:tc>
          <w:tcPr>
            <w:tcW w:w="4675" w:type="dxa"/>
            <w:shd w:val="clear" w:color="auto" w:fill="FFFFFF" w:themeFill="background1"/>
            <w:vAlign w:val="center"/>
            <w:hideMark/>
          </w:tcPr>
          <w:p w14:paraId="553AD2C3" w14:textId="729257EB" w:rsidR="00B50976" w:rsidRPr="008F0F26" w:rsidRDefault="00B50976" w:rsidP="006B303F">
            <w:pPr>
              <w:spacing w:after="0"/>
              <w:jc w:val="left"/>
              <w:rPr>
                <w:color w:val="000000"/>
                <w:szCs w:val="20"/>
              </w:rPr>
            </w:pPr>
            <w:r>
              <w:rPr>
                <w:color w:val="000000"/>
                <w:szCs w:val="20"/>
              </w:rPr>
              <w:t>New Construction – Bus/Pub</w:t>
            </w:r>
          </w:p>
        </w:tc>
      </w:tr>
      <w:tr w:rsidR="00B50976" w:rsidRPr="008F0F26" w14:paraId="06A2BEBE" w14:textId="77777777" w:rsidTr="006B303F">
        <w:trPr>
          <w:trHeight w:val="20"/>
        </w:trPr>
        <w:tc>
          <w:tcPr>
            <w:tcW w:w="1635" w:type="dxa"/>
            <w:vMerge/>
            <w:vAlign w:val="center"/>
            <w:hideMark/>
          </w:tcPr>
          <w:p w14:paraId="3E2932D3" w14:textId="77777777" w:rsidR="00B50976" w:rsidRPr="008F0F26" w:rsidRDefault="00B50976" w:rsidP="006B303F">
            <w:pPr>
              <w:spacing w:after="0"/>
              <w:jc w:val="left"/>
              <w:rPr>
                <w:color w:val="000000"/>
                <w:szCs w:val="20"/>
              </w:rPr>
            </w:pPr>
          </w:p>
        </w:tc>
        <w:tc>
          <w:tcPr>
            <w:tcW w:w="3150" w:type="dxa"/>
            <w:shd w:val="clear" w:color="auto" w:fill="FFFFFF" w:themeFill="background1"/>
            <w:vAlign w:val="center"/>
          </w:tcPr>
          <w:p w14:paraId="4D8F9321" w14:textId="77777777" w:rsidR="00B50976" w:rsidRPr="008F0F26" w:rsidRDefault="00B50976" w:rsidP="006B303F">
            <w:pPr>
              <w:spacing w:after="0"/>
              <w:jc w:val="left"/>
              <w:rPr>
                <w:color w:val="000000"/>
                <w:szCs w:val="20"/>
              </w:rPr>
            </w:pPr>
            <w:r w:rsidRPr="003C323D">
              <w:rPr>
                <w:color w:val="000000"/>
                <w:szCs w:val="20"/>
              </w:rPr>
              <w:t>3.5 Study-Based Protocol</w:t>
            </w:r>
          </w:p>
        </w:tc>
        <w:tc>
          <w:tcPr>
            <w:tcW w:w="4675" w:type="dxa"/>
            <w:shd w:val="clear" w:color="auto" w:fill="FFFFFF" w:themeFill="background1"/>
            <w:vAlign w:val="center"/>
            <w:hideMark/>
          </w:tcPr>
          <w:p w14:paraId="36B866E3" w14:textId="062B0B88" w:rsidR="00B50976" w:rsidRDefault="00B50976" w:rsidP="006B303F">
            <w:pPr>
              <w:spacing w:after="0"/>
              <w:jc w:val="left"/>
              <w:rPr>
                <w:color w:val="000000"/>
                <w:szCs w:val="20"/>
              </w:rPr>
            </w:pPr>
            <w:r>
              <w:rPr>
                <w:color w:val="000000"/>
                <w:szCs w:val="20"/>
              </w:rPr>
              <w:t>Targeted Systems (</w:t>
            </w:r>
            <w:proofErr w:type="spellStart"/>
            <w:r>
              <w:rPr>
                <w:color w:val="000000"/>
                <w:szCs w:val="20"/>
              </w:rPr>
              <w:t>Rcx</w:t>
            </w:r>
            <w:proofErr w:type="spellEnd"/>
            <w:r>
              <w:rPr>
                <w:color w:val="000000"/>
                <w:szCs w:val="20"/>
              </w:rPr>
              <w:t xml:space="preserve">, </w:t>
            </w:r>
            <w:proofErr w:type="spellStart"/>
            <w:r>
              <w:rPr>
                <w:color w:val="000000"/>
                <w:szCs w:val="20"/>
              </w:rPr>
              <w:t>VCx</w:t>
            </w:r>
            <w:proofErr w:type="spellEnd"/>
            <w:r>
              <w:rPr>
                <w:color w:val="000000"/>
                <w:szCs w:val="20"/>
              </w:rPr>
              <w:t>, Industrial Systems)</w:t>
            </w:r>
          </w:p>
          <w:p w14:paraId="5B4FEA81" w14:textId="77777777" w:rsidR="00B50976" w:rsidRDefault="00B50976" w:rsidP="006B303F">
            <w:pPr>
              <w:spacing w:after="0"/>
              <w:jc w:val="left"/>
              <w:rPr>
                <w:color w:val="000000"/>
                <w:szCs w:val="20"/>
              </w:rPr>
            </w:pPr>
            <w:r>
              <w:rPr>
                <w:color w:val="000000"/>
                <w:szCs w:val="20"/>
              </w:rPr>
              <w:t>Behavior – Bus/Pub</w:t>
            </w:r>
          </w:p>
          <w:p w14:paraId="23E4411D" w14:textId="77777777" w:rsidR="00B50976" w:rsidRPr="008F0F26" w:rsidRDefault="00B50976" w:rsidP="006B303F">
            <w:pPr>
              <w:spacing w:after="0"/>
              <w:jc w:val="left"/>
              <w:rPr>
                <w:color w:val="000000"/>
                <w:szCs w:val="20"/>
              </w:rPr>
            </w:pPr>
            <w:r>
              <w:rPr>
                <w:color w:val="000000"/>
                <w:szCs w:val="20"/>
              </w:rPr>
              <w:t>Assessments</w:t>
            </w:r>
          </w:p>
        </w:tc>
      </w:tr>
      <w:tr w:rsidR="00B50976" w:rsidRPr="008F0F26" w14:paraId="1CF26BA7" w14:textId="77777777" w:rsidTr="006B303F">
        <w:trPr>
          <w:trHeight w:val="20"/>
        </w:trPr>
        <w:tc>
          <w:tcPr>
            <w:tcW w:w="1635" w:type="dxa"/>
            <w:vMerge/>
            <w:vAlign w:val="center"/>
          </w:tcPr>
          <w:p w14:paraId="2C7C4442" w14:textId="77777777" w:rsidR="00B50976" w:rsidRPr="008F0F26" w:rsidRDefault="00B50976" w:rsidP="006B303F">
            <w:pPr>
              <w:spacing w:after="0"/>
              <w:jc w:val="left"/>
              <w:rPr>
                <w:color w:val="000000"/>
                <w:szCs w:val="20"/>
              </w:rPr>
            </w:pPr>
          </w:p>
        </w:tc>
        <w:tc>
          <w:tcPr>
            <w:tcW w:w="3150" w:type="dxa"/>
            <w:shd w:val="clear" w:color="auto" w:fill="FFFFFF" w:themeFill="background1"/>
            <w:vAlign w:val="center"/>
          </w:tcPr>
          <w:p w14:paraId="3950BB76" w14:textId="61AD3569" w:rsidR="00B50976" w:rsidRPr="008F0F26" w:rsidRDefault="00B50976" w:rsidP="006B303F">
            <w:pPr>
              <w:spacing w:after="0"/>
              <w:jc w:val="left"/>
              <w:rPr>
                <w:color w:val="000000"/>
                <w:szCs w:val="20"/>
              </w:rPr>
            </w:pPr>
            <w:r>
              <w:rPr>
                <w:color w:val="000000"/>
                <w:szCs w:val="20"/>
              </w:rPr>
              <w:t>4.7 Energy Saving Kits and Elementary Education Protocol</w:t>
            </w:r>
          </w:p>
        </w:tc>
        <w:tc>
          <w:tcPr>
            <w:tcW w:w="4675" w:type="dxa"/>
            <w:shd w:val="clear" w:color="auto" w:fill="FFFFFF" w:themeFill="background1"/>
            <w:vAlign w:val="center"/>
          </w:tcPr>
          <w:p w14:paraId="69347827" w14:textId="4CE6DAA8" w:rsidR="00B50976" w:rsidRPr="008F0F26" w:rsidRDefault="00B50976" w:rsidP="006B303F">
            <w:pPr>
              <w:spacing w:after="0"/>
              <w:jc w:val="left"/>
              <w:rPr>
                <w:color w:val="000000"/>
                <w:szCs w:val="20"/>
              </w:rPr>
            </w:pPr>
            <w:r>
              <w:rPr>
                <w:color w:val="000000"/>
                <w:szCs w:val="20"/>
              </w:rPr>
              <w:t xml:space="preserve">Small Business (Small Business </w:t>
            </w:r>
            <w:proofErr w:type="gramStart"/>
            <w:r>
              <w:rPr>
                <w:color w:val="000000"/>
                <w:szCs w:val="20"/>
              </w:rPr>
              <w:t>Kits  component</w:t>
            </w:r>
            <w:proofErr w:type="gramEnd"/>
            <w:r>
              <w:rPr>
                <w:color w:val="000000"/>
                <w:szCs w:val="20"/>
              </w:rPr>
              <w:t>)</w:t>
            </w:r>
          </w:p>
        </w:tc>
      </w:tr>
      <w:tr w:rsidR="00B50976" w:rsidRPr="008F0F26" w14:paraId="45E24C8A" w14:textId="77777777" w:rsidTr="006B303F">
        <w:trPr>
          <w:trHeight w:val="20"/>
        </w:trPr>
        <w:tc>
          <w:tcPr>
            <w:tcW w:w="1635" w:type="dxa"/>
            <w:vMerge/>
            <w:vAlign w:val="center"/>
            <w:hideMark/>
          </w:tcPr>
          <w:p w14:paraId="3275491D" w14:textId="77777777" w:rsidR="00B50976" w:rsidRPr="008F0F26" w:rsidRDefault="00B50976" w:rsidP="006B303F">
            <w:pPr>
              <w:spacing w:after="0"/>
              <w:jc w:val="left"/>
              <w:rPr>
                <w:color w:val="000000"/>
                <w:szCs w:val="20"/>
              </w:rPr>
            </w:pPr>
          </w:p>
        </w:tc>
        <w:tc>
          <w:tcPr>
            <w:tcW w:w="3150" w:type="dxa"/>
            <w:shd w:val="clear" w:color="auto" w:fill="FFFFFF" w:themeFill="background1"/>
            <w:vAlign w:val="center"/>
            <w:hideMark/>
          </w:tcPr>
          <w:p w14:paraId="5882A76A" w14:textId="4F5F2CE2" w:rsidR="00B50976" w:rsidRPr="008F0F26" w:rsidRDefault="00B50976" w:rsidP="006B303F">
            <w:pPr>
              <w:spacing w:after="0"/>
              <w:jc w:val="left"/>
              <w:rPr>
                <w:color w:val="000000"/>
                <w:szCs w:val="20"/>
              </w:rPr>
            </w:pPr>
            <w:r>
              <w:rPr>
                <w:color w:val="000000"/>
                <w:szCs w:val="20"/>
              </w:rPr>
              <w:t>5.4 Midstream Protocol</w:t>
            </w:r>
          </w:p>
        </w:tc>
        <w:tc>
          <w:tcPr>
            <w:tcW w:w="4675" w:type="dxa"/>
            <w:shd w:val="clear" w:color="auto" w:fill="FFFFFF" w:themeFill="background1"/>
            <w:vAlign w:val="center"/>
            <w:hideMark/>
          </w:tcPr>
          <w:p w14:paraId="275D6B18" w14:textId="1149A961" w:rsidR="00B50976" w:rsidRPr="008F0F26" w:rsidRDefault="00B50976" w:rsidP="006B303F">
            <w:pPr>
              <w:spacing w:after="0"/>
              <w:jc w:val="left"/>
              <w:rPr>
                <w:color w:val="000000"/>
                <w:szCs w:val="20"/>
              </w:rPr>
            </w:pPr>
            <w:r>
              <w:rPr>
                <w:color w:val="000000"/>
                <w:szCs w:val="20"/>
              </w:rPr>
              <w:t>Midstream/Upstream</w:t>
            </w:r>
          </w:p>
        </w:tc>
      </w:tr>
      <w:tr w:rsidR="00B50976" w:rsidRPr="005F2D93" w14:paraId="7611BD49" w14:textId="77777777" w:rsidTr="006B303F">
        <w:trPr>
          <w:trHeight w:val="20"/>
        </w:trPr>
        <w:tc>
          <w:tcPr>
            <w:tcW w:w="1635" w:type="dxa"/>
            <w:vMerge w:val="restart"/>
            <w:shd w:val="clear" w:color="auto" w:fill="FFFFFF" w:themeFill="background1"/>
            <w:vAlign w:val="center"/>
            <w:hideMark/>
          </w:tcPr>
          <w:p w14:paraId="159F154A" w14:textId="77777777" w:rsidR="00B50976" w:rsidRPr="005F2D93" w:rsidRDefault="00B50976" w:rsidP="006B303F">
            <w:pPr>
              <w:spacing w:after="0"/>
              <w:jc w:val="left"/>
              <w:rPr>
                <w:color w:val="000000" w:themeColor="text1"/>
              </w:rPr>
            </w:pPr>
            <w:r w:rsidRPr="0B4A9790">
              <w:rPr>
                <w:color w:val="000000" w:themeColor="text1"/>
              </w:rPr>
              <w:t>Nicor Gas</w:t>
            </w:r>
          </w:p>
        </w:tc>
        <w:tc>
          <w:tcPr>
            <w:tcW w:w="3150" w:type="dxa"/>
            <w:shd w:val="clear" w:color="auto" w:fill="FFFFFF" w:themeFill="background1"/>
            <w:vAlign w:val="center"/>
          </w:tcPr>
          <w:p w14:paraId="1300727B" w14:textId="51F3A875" w:rsidR="00B50976" w:rsidRPr="005F2D93" w:rsidRDefault="00B50976" w:rsidP="006B303F">
            <w:pPr>
              <w:spacing w:after="0"/>
              <w:jc w:val="left"/>
              <w:rPr>
                <w:color w:val="000000" w:themeColor="text1"/>
              </w:rPr>
            </w:pPr>
            <w:r w:rsidRPr="00715416">
              <w:rPr>
                <w:color w:val="000000"/>
                <w:szCs w:val="20"/>
              </w:rPr>
              <w:t>3.1 Core Non-Residential Protocol</w:t>
            </w:r>
          </w:p>
        </w:tc>
        <w:tc>
          <w:tcPr>
            <w:tcW w:w="4675" w:type="dxa"/>
            <w:tcBorders>
              <w:top w:val="single" w:sz="4" w:space="0" w:color="auto"/>
              <w:left w:val="single" w:sz="4" w:space="0" w:color="auto"/>
              <w:bottom w:val="single" w:sz="4" w:space="0" w:color="auto"/>
              <w:right w:val="single" w:sz="4" w:space="0" w:color="auto"/>
            </w:tcBorders>
            <w:shd w:val="clear" w:color="000000" w:fill="FFFFFF"/>
            <w:vAlign w:val="center"/>
          </w:tcPr>
          <w:p w14:paraId="13348DD0" w14:textId="77777777" w:rsidR="00B50976" w:rsidRDefault="00B50976" w:rsidP="006B303F">
            <w:pPr>
              <w:spacing w:after="0"/>
              <w:jc w:val="left"/>
              <w:rPr>
                <w:rFonts w:cs="Arial"/>
                <w:color w:val="000000"/>
                <w:szCs w:val="20"/>
              </w:rPr>
            </w:pPr>
            <w:r w:rsidRPr="00715416">
              <w:rPr>
                <w:rFonts w:cs="Arial"/>
                <w:color w:val="000000"/>
                <w:szCs w:val="20"/>
              </w:rPr>
              <w:t>Business Energy Efficiency Rebates</w:t>
            </w:r>
          </w:p>
          <w:p w14:paraId="62310FB8" w14:textId="77777777" w:rsidR="00B50976" w:rsidRPr="00E55B78" w:rsidRDefault="00B50976" w:rsidP="006B303F">
            <w:pPr>
              <w:spacing w:after="0"/>
              <w:jc w:val="left"/>
              <w:rPr>
                <w:rFonts w:ascii="Calibri" w:hAnsi="Calibri" w:cs="Calibri"/>
                <w:color w:val="000000"/>
                <w:szCs w:val="20"/>
              </w:rPr>
            </w:pPr>
            <w:r w:rsidRPr="00E55B78">
              <w:rPr>
                <w:rFonts w:ascii="Calibri" w:hAnsi="Calibri" w:cs="Calibri"/>
                <w:color w:val="000000"/>
                <w:szCs w:val="20"/>
              </w:rPr>
              <w:t>Business Optimization</w:t>
            </w:r>
          </w:p>
          <w:p w14:paraId="0F34F7AA" w14:textId="77777777" w:rsidR="00B50976" w:rsidRPr="00E55B78" w:rsidRDefault="00B50976" w:rsidP="006B303F">
            <w:pPr>
              <w:spacing w:after="0"/>
              <w:jc w:val="left"/>
              <w:rPr>
                <w:rFonts w:ascii="Calibri" w:hAnsi="Calibri" w:cs="Calibri"/>
                <w:color w:val="000000"/>
                <w:szCs w:val="20"/>
              </w:rPr>
            </w:pPr>
            <w:r w:rsidRPr="00E55B78">
              <w:rPr>
                <w:rFonts w:ascii="Calibri" w:hAnsi="Calibri" w:cs="Calibri"/>
                <w:color w:val="000000"/>
                <w:szCs w:val="20"/>
              </w:rPr>
              <w:t>Custom Incentives</w:t>
            </w:r>
          </w:p>
          <w:p w14:paraId="7E0DE4DC" w14:textId="0B926F84" w:rsidR="00B50976" w:rsidRPr="005F2D93" w:rsidRDefault="00B50976" w:rsidP="006B303F">
            <w:pPr>
              <w:spacing w:after="0"/>
              <w:jc w:val="left"/>
              <w:rPr>
                <w:color w:val="000000" w:themeColor="text1"/>
              </w:rPr>
            </w:pPr>
            <w:r w:rsidRPr="00E55B78">
              <w:rPr>
                <w:rFonts w:ascii="Calibri" w:hAnsi="Calibri" w:cs="Calibri"/>
                <w:color w:val="000000"/>
                <w:szCs w:val="20"/>
              </w:rPr>
              <w:t>Combined Heat and Power</w:t>
            </w:r>
          </w:p>
        </w:tc>
      </w:tr>
      <w:tr w:rsidR="00B50976" w:rsidRPr="008A28E7" w14:paraId="1328FBDC" w14:textId="77777777" w:rsidTr="006B303F">
        <w:trPr>
          <w:trHeight w:val="323"/>
        </w:trPr>
        <w:tc>
          <w:tcPr>
            <w:tcW w:w="1635" w:type="dxa"/>
            <w:vMerge/>
            <w:shd w:val="clear" w:color="auto" w:fill="FFFFFF" w:themeFill="background1"/>
            <w:vAlign w:val="center"/>
          </w:tcPr>
          <w:p w14:paraId="219792FB" w14:textId="77777777" w:rsidR="00B50976" w:rsidRPr="005F2D93" w:rsidRDefault="00B50976" w:rsidP="006B303F">
            <w:pPr>
              <w:spacing w:after="0"/>
              <w:jc w:val="left"/>
              <w:rPr>
                <w:color w:val="000000" w:themeColor="text1"/>
              </w:rPr>
            </w:pPr>
          </w:p>
        </w:tc>
        <w:tc>
          <w:tcPr>
            <w:tcW w:w="3150" w:type="dxa"/>
            <w:shd w:val="clear" w:color="auto" w:fill="FFFFFF" w:themeFill="background1"/>
            <w:vAlign w:val="center"/>
          </w:tcPr>
          <w:p w14:paraId="4EEE6B98" w14:textId="0BCCDAB8" w:rsidR="00B50976" w:rsidRPr="005F2D93" w:rsidRDefault="00B50976" w:rsidP="006B303F">
            <w:pPr>
              <w:spacing w:after="0"/>
              <w:jc w:val="left"/>
              <w:rPr>
                <w:color w:val="000000" w:themeColor="text1"/>
              </w:rPr>
            </w:pPr>
            <w:r w:rsidRPr="00715416">
              <w:rPr>
                <w:color w:val="000000"/>
                <w:szCs w:val="20"/>
              </w:rPr>
              <w:t>3.3 Small Business Protocol</w:t>
            </w:r>
          </w:p>
        </w:tc>
        <w:tc>
          <w:tcPr>
            <w:tcW w:w="4675" w:type="dxa"/>
            <w:tcBorders>
              <w:top w:val="nil"/>
              <w:left w:val="single" w:sz="4" w:space="0" w:color="auto"/>
              <w:bottom w:val="single" w:sz="4" w:space="0" w:color="auto"/>
              <w:right w:val="single" w:sz="4" w:space="0" w:color="auto"/>
            </w:tcBorders>
            <w:shd w:val="clear" w:color="000000" w:fill="FFFFFF"/>
            <w:vAlign w:val="center"/>
          </w:tcPr>
          <w:p w14:paraId="2BA279D7" w14:textId="4CEF8E6C" w:rsidR="00B50976" w:rsidRPr="008A28E7" w:rsidRDefault="00B50976" w:rsidP="006B303F">
            <w:pPr>
              <w:spacing w:after="0"/>
              <w:jc w:val="left"/>
              <w:rPr>
                <w:rFonts w:cs="Arial"/>
                <w:color w:val="000000"/>
                <w:szCs w:val="20"/>
              </w:rPr>
            </w:pPr>
            <w:r w:rsidRPr="00715416">
              <w:rPr>
                <w:rFonts w:cs="Arial"/>
                <w:color w:val="000000"/>
                <w:szCs w:val="20"/>
              </w:rPr>
              <w:t>Small Business Program</w:t>
            </w:r>
            <w:r>
              <w:rPr>
                <w:rFonts w:cs="Arial"/>
                <w:color w:val="000000"/>
                <w:szCs w:val="20"/>
              </w:rPr>
              <w:t xml:space="preserve"> – Incentives/Direct Install/Kits</w:t>
            </w:r>
          </w:p>
        </w:tc>
      </w:tr>
      <w:tr w:rsidR="00B50976" w:rsidRPr="005F2D93" w14:paraId="78E1D5A7" w14:textId="77777777" w:rsidTr="006B303F">
        <w:trPr>
          <w:trHeight w:val="20"/>
        </w:trPr>
        <w:tc>
          <w:tcPr>
            <w:tcW w:w="1635" w:type="dxa"/>
            <w:vMerge/>
            <w:shd w:val="clear" w:color="auto" w:fill="FFFFFF" w:themeFill="background1"/>
            <w:vAlign w:val="center"/>
          </w:tcPr>
          <w:p w14:paraId="2652D6BA" w14:textId="77777777" w:rsidR="00B50976" w:rsidRPr="005F2D93" w:rsidRDefault="00B50976" w:rsidP="006B303F">
            <w:pPr>
              <w:spacing w:after="0"/>
              <w:jc w:val="left"/>
              <w:rPr>
                <w:color w:val="000000" w:themeColor="text1"/>
              </w:rPr>
            </w:pPr>
          </w:p>
        </w:tc>
        <w:tc>
          <w:tcPr>
            <w:tcW w:w="3150" w:type="dxa"/>
            <w:shd w:val="clear" w:color="auto" w:fill="FFFFFF" w:themeFill="background1"/>
            <w:vAlign w:val="center"/>
          </w:tcPr>
          <w:p w14:paraId="53047310" w14:textId="77777777" w:rsidR="00B50976" w:rsidRPr="005F2D93" w:rsidRDefault="00B50976" w:rsidP="006B303F">
            <w:pPr>
              <w:spacing w:after="0"/>
              <w:jc w:val="left"/>
              <w:rPr>
                <w:color w:val="000000" w:themeColor="text1"/>
              </w:rPr>
            </w:pPr>
            <w:r w:rsidRPr="00715416">
              <w:rPr>
                <w:color w:val="000000"/>
                <w:szCs w:val="20"/>
              </w:rPr>
              <w:t>3.4 C&amp;I New Construction Protocol</w:t>
            </w:r>
          </w:p>
        </w:tc>
        <w:tc>
          <w:tcPr>
            <w:tcW w:w="4675" w:type="dxa"/>
            <w:tcBorders>
              <w:top w:val="nil"/>
              <w:left w:val="single" w:sz="4" w:space="0" w:color="auto"/>
              <w:bottom w:val="single" w:sz="4" w:space="0" w:color="000000"/>
              <w:right w:val="single" w:sz="4" w:space="0" w:color="auto"/>
            </w:tcBorders>
            <w:shd w:val="clear" w:color="000000" w:fill="FFFFFF"/>
            <w:vAlign w:val="center"/>
          </w:tcPr>
          <w:p w14:paraId="6CBF1051" w14:textId="1D37AD50" w:rsidR="00B50976" w:rsidRPr="005F2D93" w:rsidRDefault="00B50976" w:rsidP="006B303F">
            <w:pPr>
              <w:spacing w:after="0"/>
              <w:jc w:val="left"/>
              <w:rPr>
                <w:color w:val="000000" w:themeColor="text1"/>
              </w:rPr>
            </w:pPr>
            <w:r>
              <w:rPr>
                <w:rFonts w:cs="Arial"/>
                <w:color w:val="000000"/>
                <w:szCs w:val="20"/>
              </w:rPr>
              <w:t>Non-Residential</w:t>
            </w:r>
            <w:r w:rsidRPr="00715416">
              <w:rPr>
                <w:rFonts w:cs="Arial"/>
                <w:color w:val="000000"/>
                <w:szCs w:val="20"/>
              </w:rPr>
              <w:t xml:space="preserve"> New Construction</w:t>
            </w:r>
          </w:p>
        </w:tc>
      </w:tr>
      <w:tr w:rsidR="00B50976" w:rsidRPr="00715416" w14:paraId="18075A0E" w14:textId="77777777" w:rsidTr="006B303F">
        <w:trPr>
          <w:trHeight w:val="20"/>
        </w:trPr>
        <w:tc>
          <w:tcPr>
            <w:tcW w:w="1635" w:type="dxa"/>
            <w:vMerge/>
            <w:shd w:val="clear" w:color="auto" w:fill="FFFFFF" w:themeFill="background1"/>
            <w:vAlign w:val="center"/>
          </w:tcPr>
          <w:p w14:paraId="0ACE6CF8" w14:textId="77777777" w:rsidR="00B50976" w:rsidRPr="0B4A9790" w:rsidRDefault="00B50976" w:rsidP="006B303F">
            <w:pPr>
              <w:spacing w:after="0"/>
              <w:jc w:val="left"/>
              <w:rPr>
                <w:color w:val="000000" w:themeColor="text1"/>
              </w:rPr>
            </w:pPr>
          </w:p>
        </w:tc>
        <w:tc>
          <w:tcPr>
            <w:tcW w:w="3150" w:type="dxa"/>
            <w:shd w:val="clear" w:color="auto" w:fill="FFFFFF" w:themeFill="background1"/>
            <w:vAlign w:val="center"/>
          </w:tcPr>
          <w:p w14:paraId="2C371EF7" w14:textId="7C009500" w:rsidR="00B50976" w:rsidRPr="00715416" w:rsidRDefault="00B50976" w:rsidP="006B303F">
            <w:pPr>
              <w:spacing w:after="0"/>
              <w:jc w:val="left"/>
              <w:rPr>
                <w:color w:val="000000" w:themeColor="text1"/>
              </w:rPr>
            </w:pPr>
            <w:r w:rsidRPr="00715416">
              <w:rPr>
                <w:color w:val="000000"/>
                <w:szCs w:val="20"/>
              </w:rPr>
              <w:t>3.5 Study-Based Protocol</w:t>
            </w:r>
          </w:p>
        </w:tc>
        <w:tc>
          <w:tcPr>
            <w:tcW w:w="4675" w:type="dxa"/>
            <w:tcBorders>
              <w:top w:val="single" w:sz="4" w:space="0" w:color="auto"/>
              <w:left w:val="single" w:sz="4" w:space="0" w:color="auto"/>
              <w:bottom w:val="single" w:sz="4" w:space="0" w:color="auto"/>
              <w:right w:val="single" w:sz="4" w:space="0" w:color="auto"/>
            </w:tcBorders>
            <w:shd w:val="clear" w:color="000000" w:fill="FFFFFF"/>
            <w:vAlign w:val="center"/>
          </w:tcPr>
          <w:p w14:paraId="59ABBE66" w14:textId="77777777" w:rsidR="00B50976" w:rsidRDefault="00B50976" w:rsidP="006B303F">
            <w:pPr>
              <w:spacing w:after="0"/>
              <w:jc w:val="left"/>
              <w:rPr>
                <w:rFonts w:cs="Arial"/>
                <w:color w:val="000000"/>
                <w:szCs w:val="20"/>
              </w:rPr>
            </w:pPr>
            <w:r w:rsidRPr="00715416">
              <w:rPr>
                <w:rFonts w:cs="Arial"/>
                <w:color w:val="000000"/>
                <w:szCs w:val="20"/>
              </w:rPr>
              <w:t>Strategic Energy Management</w:t>
            </w:r>
          </w:p>
          <w:p w14:paraId="2CB432A3" w14:textId="3D611105" w:rsidR="00B50976" w:rsidRPr="00715416" w:rsidRDefault="00B50976" w:rsidP="006B303F">
            <w:pPr>
              <w:spacing w:after="0"/>
              <w:jc w:val="left"/>
              <w:rPr>
                <w:color w:val="000000" w:themeColor="text1"/>
              </w:rPr>
            </w:pPr>
            <w:r w:rsidRPr="00715416">
              <w:rPr>
                <w:rFonts w:cs="Arial"/>
                <w:color w:val="000000"/>
                <w:szCs w:val="20"/>
              </w:rPr>
              <w:t>Retro Commissioning</w:t>
            </w:r>
          </w:p>
        </w:tc>
      </w:tr>
      <w:tr w:rsidR="00B50976" w14:paraId="42C7B696" w14:textId="77777777" w:rsidTr="006B303F">
        <w:trPr>
          <w:trHeight w:val="20"/>
        </w:trPr>
        <w:tc>
          <w:tcPr>
            <w:tcW w:w="1635" w:type="dxa"/>
            <w:vMerge/>
            <w:shd w:val="clear" w:color="auto" w:fill="FFFFFF" w:themeFill="background1"/>
            <w:vAlign w:val="center"/>
          </w:tcPr>
          <w:p w14:paraId="6D167F75" w14:textId="77777777" w:rsidR="00B50976" w:rsidRPr="005F2D93" w:rsidRDefault="00B50976" w:rsidP="006B303F">
            <w:pPr>
              <w:spacing w:after="0"/>
              <w:jc w:val="left"/>
              <w:rPr>
                <w:color w:val="000000" w:themeColor="text1"/>
              </w:rPr>
            </w:pPr>
          </w:p>
        </w:tc>
        <w:tc>
          <w:tcPr>
            <w:tcW w:w="3150" w:type="dxa"/>
            <w:shd w:val="clear" w:color="auto" w:fill="FFFFFF" w:themeFill="background1"/>
            <w:vAlign w:val="center"/>
          </w:tcPr>
          <w:p w14:paraId="1324AA6F" w14:textId="77777777" w:rsidR="00B50976" w:rsidRPr="00715416" w:rsidRDefault="00B50976" w:rsidP="006B303F">
            <w:pPr>
              <w:spacing w:after="0"/>
              <w:jc w:val="left"/>
              <w:rPr>
                <w:color w:val="000000"/>
                <w:szCs w:val="20"/>
              </w:rPr>
            </w:pPr>
            <w:r w:rsidRPr="00715416">
              <w:rPr>
                <w:color w:val="000000"/>
                <w:szCs w:val="20"/>
              </w:rPr>
              <w:t>3.6 Technical Assistance Protocol</w:t>
            </w:r>
          </w:p>
        </w:tc>
        <w:tc>
          <w:tcPr>
            <w:tcW w:w="4675" w:type="dxa"/>
            <w:tcBorders>
              <w:top w:val="nil"/>
              <w:left w:val="single" w:sz="4" w:space="0" w:color="auto"/>
              <w:bottom w:val="single" w:sz="4" w:space="0" w:color="000000"/>
              <w:right w:val="single" w:sz="4" w:space="0" w:color="auto"/>
            </w:tcBorders>
            <w:shd w:val="clear" w:color="000000" w:fill="FFFFFF"/>
            <w:vAlign w:val="center"/>
          </w:tcPr>
          <w:p w14:paraId="00AB32C7" w14:textId="77777777" w:rsidR="00B50976" w:rsidRDefault="00B50976" w:rsidP="006B303F">
            <w:pPr>
              <w:spacing w:after="0"/>
              <w:jc w:val="left"/>
              <w:rPr>
                <w:color w:val="000000"/>
                <w:szCs w:val="20"/>
              </w:rPr>
            </w:pPr>
            <w:r>
              <w:rPr>
                <w:color w:val="000000"/>
                <w:szCs w:val="20"/>
              </w:rPr>
              <w:t>Building Operator Certification</w:t>
            </w:r>
          </w:p>
        </w:tc>
      </w:tr>
      <w:tr w:rsidR="00B50976" w:rsidRPr="005F2D93" w14:paraId="13750063" w14:textId="77777777" w:rsidTr="006B303F">
        <w:trPr>
          <w:trHeight w:val="20"/>
        </w:trPr>
        <w:tc>
          <w:tcPr>
            <w:tcW w:w="1635" w:type="dxa"/>
            <w:vMerge/>
            <w:shd w:val="clear" w:color="auto" w:fill="FFFFFF" w:themeFill="background1"/>
            <w:vAlign w:val="center"/>
          </w:tcPr>
          <w:p w14:paraId="02B47E7A" w14:textId="77777777" w:rsidR="00B50976" w:rsidRPr="005F2D93" w:rsidRDefault="00B50976" w:rsidP="006B303F">
            <w:pPr>
              <w:spacing w:after="0"/>
              <w:jc w:val="left"/>
              <w:rPr>
                <w:color w:val="000000" w:themeColor="text1"/>
              </w:rPr>
            </w:pPr>
          </w:p>
        </w:tc>
        <w:tc>
          <w:tcPr>
            <w:tcW w:w="3150" w:type="dxa"/>
            <w:shd w:val="clear" w:color="auto" w:fill="FFFFFF" w:themeFill="background1"/>
            <w:vAlign w:val="center"/>
          </w:tcPr>
          <w:p w14:paraId="6164AF10" w14:textId="4FD6B592" w:rsidR="00B50976" w:rsidRPr="005F2D93" w:rsidRDefault="00B50976" w:rsidP="006B303F">
            <w:pPr>
              <w:spacing w:after="0"/>
              <w:jc w:val="left"/>
              <w:rPr>
                <w:color w:val="000000" w:themeColor="text1"/>
              </w:rPr>
            </w:pPr>
            <w:r>
              <w:rPr>
                <w:color w:val="000000"/>
                <w:szCs w:val="20"/>
              </w:rPr>
              <w:t>5.4 Midstream Protocol</w:t>
            </w:r>
          </w:p>
        </w:tc>
        <w:tc>
          <w:tcPr>
            <w:tcW w:w="4675" w:type="dxa"/>
            <w:tcBorders>
              <w:top w:val="nil"/>
              <w:left w:val="single" w:sz="4" w:space="0" w:color="auto"/>
              <w:bottom w:val="single" w:sz="4" w:space="0" w:color="000000"/>
              <w:right w:val="single" w:sz="4" w:space="0" w:color="auto"/>
            </w:tcBorders>
            <w:shd w:val="clear" w:color="000000" w:fill="FFFFFF"/>
            <w:vAlign w:val="center"/>
          </w:tcPr>
          <w:p w14:paraId="6E9CE11D" w14:textId="7B008A30" w:rsidR="00B50976" w:rsidRPr="005F2D93" w:rsidRDefault="00B50976" w:rsidP="006B303F">
            <w:pPr>
              <w:spacing w:after="0"/>
              <w:jc w:val="left"/>
              <w:rPr>
                <w:color w:val="000000" w:themeColor="text1"/>
              </w:rPr>
            </w:pPr>
            <w:r>
              <w:rPr>
                <w:rFonts w:cs="Arial"/>
                <w:color w:val="000000"/>
                <w:szCs w:val="20"/>
              </w:rPr>
              <w:t>Commercial Food Service Midstream</w:t>
            </w:r>
          </w:p>
        </w:tc>
      </w:tr>
      <w:tr w:rsidR="00B50976" w:rsidRPr="00715416" w14:paraId="1252F53E" w14:textId="77777777" w:rsidTr="006B303F">
        <w:trPr>
          <w:trHeight w:val="20"/>
        </w:trPr>
        <w:tc>
          <w:tcPr>
            <w:tcW w:w="1635" w:type="dxa"/>
            <w:vMerge w:val="restart"/>
            <w:shd w:val="clear" w:color="auto" w:fill="FFFFFF" w:themeFill="background1"/>
            <w:vAlign w:val="center"/>
            <w:hideMark/>
          </w:tcPr>
          <w:p w14:paraId="0A9C8A58" w14:textId="77777777" w:rsidR="00B50976" w:rsidRPr="008F0F26" w:rsidRDefault="00B50976" w:rsidP="006B303F">
            <w:pPr>
              <w:spacing w:after="0"/>
              <w:jc w:val="left"/>
              <w:rPr>
                <w:color w:val="000000"/>
                <w:szCs w:val="20"/>
              </w:rPr>
            </w:pPr>
            <w:r w:rsidRPr="008F0F26">
              <w:rPr>
                <w:color w:val="000000"/>
                <w:szCs w:val="20"/>
              </w:rPr>
              <w:t>P</w:t>
            </w:r>
            <w:r>
              <w:rPr>
                <w:color w:val="000000"/>
                <w:szCs w:val="20"/>
              </w:rPr>
              <w:t xml:space="preserve">eoples </w:t>
            </w:r>
            <w:r w:rsidRPr="008F0F26">
              <w:rPr>
                <w:color w:val="000000"/>
                <w:szCs w:val="20"/>
              </w:rPr>
              <w:t>G</w:t>
            </w:r>
            <w:r>
              <w:rPr>
                <w:color w:val="000000"/>
                <w:szCs w:val="20"/>
              </w:rPr>
              <w:t>as</w:t>
            </w:r>
            <w:r w:rsidRPr="008F0F26">
              <w:rPr>
                <w:color w:val="000000"/>
                <w:szCs w:val="20"/>
              </w:rPr>
              <w:t>/</w:t>
            </w:r>
            <w:r>
              <w:rPr>
                <w:color w:val="000000"/>
                <w:szCs w:val="20"/>
              </w:rPr>
              <w:t xml:space="preserve"> </w:t>
            </w:r>
            <w:r w:rsidRPr="008F0F26">
              <w:rPr>
                <w:color w:val="000000"/>
                <w:szCs w:val="20"/>
              </w:rPr>
              <w:t>N</w:t>
            </w:r>
            <w:r>
              <w:rPr>
                <w:color w:val="000000"/>
                <w:szCs w:val="20"/>
              </w:rPr>
              <w:t xml:space="preserve">orth </w:t>
            </w:r>
            <w:r w:rsidRPr="008F0F26">
              <w:rPr>
                <w:color w:val="000000"/>
                <w:szCs w:val="20"/>
              </w:rPr>
              <w:t>S</w:t>
            </w:r>
            <w:r>
              <w:rPr>
                <w:color w:val="000000"/>
                <w:szCs w:val="20"/>
              </w:rPr>
              <w:t xml:space="preserve">hore </w:t>
            </w:r>
            <w:r w:rsidRPr="008F0F26">
              <w:rPr>
                <w:color w:val="000000"/>
                <w:szCs w:val="20"/>
              </w:rPr>
              <w:t>G</w:t>
            </w:r>
            <w:r>
              <w:rPr>
                <w:color w:val="000000"/>
                <w:szCs w:val="20"/>
              </w:rPr>
              <w:t>as</w:t>
            </w:r>
          </w:p>
        </w:tc>
        <w:tc>
          <w:tcPr>
            <w:tcW w:w="3150" w:type="dxa"/>
            <w:shd w:val="clear" w:color="auto" w:fill="FFFFFF" w:themeFill="background1"/>
            <w:vAlign w:val="center"/>
            <w:hideMark/>
          </w:tcPr>
          <w:p w14:paraId="3274042C" w14:textId="77777777" w:rsidR="00B50976" w:rsidRPr="00715416" w:rsidRDefault="00B50976" w:rsidP="006B303F">
            <w:pPr>
              <w:spacing w:after="0"/>
              <w:jc w:val="left"/>
              <w:rPr>
                <w:color w:val="000000"/>
                <w:szCs w:val="20"/>
              </w:rPr>
            </w:pPr>
            <w:r w:rsidRPr="00715416">
              <w:rPr>
                <w:color w:val="000000"/>
                <w:szCs w:val="20"/>
              </w:rPr>
              <w:t>3.1 Core Non-Residential Protocol</w:t>
            </w:r>
          </w:p>
        </w:tc>
        <w:tc>
          <w:tcPr>
            <w:tcW w:w="4675" w:type="dxa"/>
            <w:tcBorders>
              <w:top w:val="nil"/>
              <w:left w:val="single" w:sz="4" w:space="0" w:color="auto"/>
              <w:bottom w:val="single" w:sz="4" w:space="0" w:color="000000"/>
              <w:right w:val="single" w:sz="4" w:space="0" w:color="auto"/>
            </w:tcBorders>
            <w:shd w:val="clear" w:color="auto" w:fill="FFFFFF" w:themeFill="background1"/>
            <w:vAlign w:val="center"/>
            <w:hideMark/>
          </w:tcPr>
          <w:p w14:paraId="27D0DA49" w14:textId="77777777" w:rsidR="00B50976" w:rsidRPr="00715416" w:rsidRDefault="00B50976" w:rsidP="006B303F">
            <w:pPr>
              <w:spacing w:after="0"/>
              <w:jc w:val="left"/>
              <w:rPr>
                <w:color w:val="000000"/>
                <w:szCs w:val="20"/>
              </w:rPr>
            </w:pPr>
            <w:r w:rsidRPr="00715416">
              <w:rPr>
                <w:color w:val="000000"/>
                <w:szCs w:val="20"/>
              </w:rPr>
              <w:t>C&amp;I and PS Custom</w:t>
            </w:r>
            <w:r>
              <w:rPr>
                <w:color w:val="000000"/>
                <w:szCs w:val="20"/>
              </w:rPr>
              <w:t xml:space="preserve"> and Prescriptive Rebates, Direct Install, Partner Trade Ally, Kits</w:t>
            </w:r>
          </w:p>
        </w:tc>
      </w:tr>
      <w:tr w:rsidR="00B50976" w:rsidRPr="008F0F26" w14:paraId="05CE1943" w14:textId="77777777" w:rsidTr="006B303F">
        <w:trPr>
          <w:trHeight w:val="20"/>
        </w:trPr>
        <w:tc>
          <w:tcPr>
            <w:tcW w:w="1635" w:type="dxa"/>
            <w:vMerge/>
            <w:vAlign w:val="center"/>
            <w:hideMark/>
          </w:tcPr>
          <w:p w14:paraId="13971362" w14:textId="77777777" w:rsidR="00B50976" w:rsidRPr="008F0F26" w:rsidRDefault="00B50976" w:rsidP="006B303F">
            <w:pPr>
              <w:spacing w:after="0"/>
              <w:rPr>
                <w:color w:val="000000"/>
                <w:szCs w:val="20"/>
              </w:rPr>
            </w:pPr>
          </w:p>
        </w:tc>
        <w:tc>
          <w:tcPr>
            <w:tcW w:w="3150" w:type="dxa"/>
            <w:shd w:val="clear" w:color="auto" w:fill="FFFFFF" w:themeFill="background1"/>
            <w:vAlign w:val="center"/>
            <w:hideMark/>
          </w:tcPr>
          <w:p w14:paraId="25CF517F" w14:textId="77777777" w:rsidR="00B50976" w:rsidRPr="008F0F26" w:rsidRDefault="00B50976" w:rsidP="006B303F">
            <w:pPr>
              <w:spacing w:after="0"/>
              <w:rPr>
                <w:color w:val="000000"/>
                <w:szCs w:val="20"/>
              </w:rPr>
            </w:pPr>
            <w:r w:rsidRPr="003C323D">
              <w:rPr>
                <w:color w:val="000000"/>
                <w:szCs w:val="20"/>
              </w:rPr>
              <w:t>3.3 Small Business Protocol</w:t>
            </w:r>
          </w:p>
        </w:tc>
        <w:tc>
          <w:tcPr>
            <w:tcW w:w="4675" w:type="dxa"/>
            <w:shd w:val="clear" w:color="auto" w:fill="FFFFFF" w:themeFill="background1"/>
            <w:vAlign w:val="center"/>
            <w:hideMark/>
          </w:tcPr>
          <w:p w14:paraId="22111E8F" w14:textId="69F47392" w:rsidR="00B50976" w:rsidRPr="008F0F26" w:rsidRDefault="00B50976" w:rsidP="006B303F">
            <w:pPr>
              <w:spacing w:after="0"/>
              <w:jc w:val="left"/>
              <w:rPr>
                <w:color w:val="000000"/>
                <w:szCs w:val="20"/>
              </w:rPr>
            </w:pPr>
            <w:r w:rsidRPr="008F0F26">
              <w:rPr>
                <w:color w:val="000000"/>
                <w:szCs w:val="20"/>
              </w:rPr>
              <w:t>S</w:t>
            </w:r>
            <w:r>
              <w:rPr>
                <w:color w:val="000000"/>
                <w:szCs w:val="20"/>
              </w:rPr>
              <w:t xml:space="preserve">mall and Midsize </w:t>
            </w:r>
            <w:r w:rsidRPr="008F0F26">
              <w:rPr>
                <w:color w:val="000000"/>
                <w:szCs w:val="20"/>
              </w:rPr>
              <w:t>B</w:t>
            </w:r>
            <w:r>
              <w:rPr>
                <w:color w:val="000000"/>
                <w:szCs w:val="20"/>
              </w:rPr>
              <w:t>usiness</w:t>
            </w:r>
            <w:r w:rsidRPr="008F0F26">
              <w:rPr>
                <w:color w:val="000000"/>
                <w:szCs w:val="20"/>
              </w:rPr>
              <w:t xml:space="preserve"> Custom</w:t>
            </w:r>
            <w:r>
              <w:rPr>
                <w:color w:val="000000"/>
                <w:szCs w:val="20"/>
              </w:rPr>
              <w:t xml:space="preserve">, </w:t>
            </w:r>
            <w:r w:rsidRPr="008F0F26">
              <w:rPr>
                <w:color w:val="000000"/>
                <w:szCs w:val="20"/>
              </w:rPr>
              <w:t>Direct Install &amp; Assessment</w:t>
            </w:r>
            <w:r>
              <w:rPr>
                <w:color w:val="000000"/>
                <w:szCs w:val="20"/>
              </w:rPr>
              <w:t xml:space="preserve">, Kits, </w:t>
            </w:r>
            <w:r w:rsidRPr="008F0F26">
              <w:rPr>
                <w:color w:val="000000"/>
                <w:szCs w:val="20"/>
              </w:rPr>
              <w:t>Partner Trade Ally</w:t>
            </w:r>
            <w:r>
              <w:rPr>
                <w:color w:val="000000"/>
                <w:szCs w:val="20"/>
              </w:rPr>
              <w:t xml:space="preserve">, </w:t>
            </w:r>
            <w:r w:rsidRPr="008F0F26">
              <w:rPr>
                <w:color w:val="000000"/>
                <w:szCs w:val="20"/>
              </w:rPr>
              <w:t>Prescriptive</w:t>
            </w:r>
          </w:p>
        </w:tc>
      </w:tr>
      <w:tr w:rsidR="00B50976" w:rsidRPr="008F0F26" w14:paraId="482D7382" w14:textId="77777777" w:rsidTr="006B303F">
        <w:trPr>
          <w:trHeight w:val="20"/>
        </w:trPr>
        <w:tc>
          <w:tcPr>
            <w:tcW w:w="1635" w:type="dxa"/>
            <w:vMerge/>
            <w:vAlign w:val="center"/>
            <w:hideMark/>
          </w:tcPr>
          <w:p w14:paraId="4EABD37D" w14:textId="77777777" w:rsidR="00B50976" w:rsidRPr="008F0F26" w:rsidRDefault="00B50976" w:rsidP="006B303F">
            <w:pPr>
              <w:spacing w:after="0"/>
              <w:rPr>
                <w:color w:val="000000"/>
                <w:szCs w:val="20"/>
              </w:rPr>
            </w:pPr>
          </w:p>
        </w:tc>
        <w:tc>
          <w:tcPr>
            <w:tcW w:w="3150" w:type="dxa"/>
            <w:shd w:val="clear" w:color="auto" w:fill="FFFFFF" w:themeFill="background1"/>
            <w:vAlign w:val="center"/>
            <w:hideMark/>
          </w:tcPr>
          <w:p w14:paraId="30DD4C6F" w14:textId="77777777" w:rsidR="00B50976" w:rsidRPr="008F0F26" w:rsidRDefault="00B50976" w:rsidP="006B303F">
            <w:pPr>
              <w:spacing w:after="0"/>
              <w:rPr>
                <w:color w:val="000000"/>
                <w:szCs w:val="20"/>
              </w:rPr>
            </w:pPr>
            <w:r w:rsidRPr="003C323D">
              <w:rPr>
                <w:color w:val="000000"/>
                <w:szCs w:val="20"/>
              </w:rPr>
              <w:t>3.4 C&amp;I New Construction Protocol</w:t>
            </w:r>
          </w:p>
        </w:tc>
        <w:tc>
          <w:tcPr>
            <w:tcW w:w="4675" w:type="dxa"/>
            <w:shd w:val="clear" w:color="auto" w:fill="FFFFFF" w:themeFill="background1"/>
            <w:vAlign w:val="center"/>
            <w:hideMark/>
          </w:tcPr>
          <w:p w14:paraId="34CA18FD" w14:textId="10603D0D" w:rsidR="00B50976" w:rsidRPr="008F0F26" w:rsidRDefault="00B50976" w:rsidP="006B303F">
            <w:pPr>
              <w:spacing w:after="0"/>
              <w:rPr>
                <w:color w:val="000000"/>
                <w:szCs w:val="20"/>
              </w:rPr>
            </w:pPr>
            <w:r>
              <w:rPr>
                <w:color w:val="000000"/>
                <w:szCs w:val="20"/>
              </w:rPr>
              <w:t xml:space="preserve">Non-Residential </w:t>
            </w:r>
            <w:r w:rsidRPr="008F0F26">
              <w:rPr>
                <w:color w:val="000000"/>
                <w:szCs w:val="20"/>
              </w:rPr>
              <w:t>New Construction</w:t>
            </w:r>
          </w:p>
        </w:tc>
      </w:tr>
      <w:tr w:rsidR="00B50976" w:rsidRPr="008F0F26" w14:paraId="2E1F469E" w14:textId="77777777" w:rsidTr="006B303F">
        <w:trPr>
          <w:trHeight w:val="20"/>
        </w:trPr>
        <w:tc>
          <w:tcPr>
            <w:tcW w:w="1635" w:type="dxa"/>
            <w:vMerge/>
            <w:vAlign w:val="center"/>
          </w:tcPr>
          <w:p w14:paraId="12B514A7" w14:textId="77777777" w:rsidR="00B50976" w:rsidRPr="008F0F26" w:rsidRDefault="00B50976" w:rsidP="006B303F">
            <w:pPr>
              <w:spacing w:after="0"/>
              <w:rPr>
                <w:color w:val="000000"/>
                <w:szCs w:val="20"/>
              </w:rPr>
            </w:pPr>
          </w:p>
        </w:tc>
        <w:tc>
          <w:tcPr>
            <w:tcW w:w="3150" w:type="dxa"/>
            <w:shd w:val="clear" w:color="auto" w:fill="FFFFFF" w:themeFill="background1"/>
            <w:vAlign w:val="center"/>
          </w:tcPr>
          <w:p w14:paraId="47E5F6A7" w14:textId="77777777" w:rsidR="00B50976" w:rsidRPr="003C323D" w:rsidRDefault="00B50976" w:rsidP="006B303F">
            <w:pPr>
              <w:spacing w:after="0"/>
              <w:rPr>
                <w:color w:val="000000"/>
                <w:szCs w:val="20"/>
              </w:rPr>
            </w:pPr>
            <w:r w:rsidRPr="003C323D">
              <w:rPr>
                <w:color w:val="000000"/>
                <w:szCs w:val="20"/>
              </w:rPr>
              <w:t>3.5 Study-Based Protocol</w:t>
            </w:r>
          </w:p>
        </w:tc>
        <w:tc>
          <w:tcPr>
            <w:tcW w:w="4675" w:type="dxa"/>
            <w:shd w:val="clear" w:color="auto" w:fill="FFFFFF" w:themeFill="background1"/>
            <w:vAlign w:val="center"/>
          </w:tcPr>
          <w:p w14:paraId="5C34300B" w14:textId="77777777" w:rsidR="00B50976" w:rsidRPr="008F0F26" w:rsidRDefault="00B50976" w:rsidP="006B303F">
            <w:pPr>
              <w:spacing w:after="0"/>
              <w:rPr>
                <w:color w:val="000000"/>
                <w:szCs w:val="20"/>
              </w:rPr>
            </w:pPr>
            <w:r w:rsidRPr="008F0F26">
              <w:rPr>
                <w:color w:val="000000"/>
                <w:szCs w:val="20"/>
              </w:rPr>
              <w:t xml:space="preserve">C&amp;I </w:t>
            </w:r>
            <w:r>
              <w:rPr>
                <w:color w:val="000000"/>
                <w:szCs w:val="20"/>
              </w:rPr>
              <w:t xml:space="preserve">and PS </w:t>
            </w:r>
            <w:r w:rsidRPr="008F0F26">
              <w:rPr>
                <w:color w:val="000000"/>
                <w:szCs w:val="20"/>
              </w:rPr>
              <w:t>Gas Optimization </w:t>
            </w:r>
          </w:p>
          <w:p w14:paraId="59240BDB" w14:textId="77777777" w:rsidR="00B50976" w:rsidRPr="008F0F26" w:rsidRDefault="00B50976" w:rsidP="006B303F">
            <w:pPr>
              <w:spacing w:after="0"/>
              <w:rPr>
                <w:color w:val="000000"/>
                <w:szCs w:val="20"/>
              </w:rPr>
            </w:pPr>
            <w:r w:rsidRPr="008F0F26">
              <w:rPr>
                <w:color w:val="000000"/>
                <w:szCs w:val="20"/>
              </w:rPr>
              <w:t>MF Gas Optimization </w:t>
            </w:r>
          </w:p>
          <w:p w14:paraId="56E7C60C" w14:textId="77777777" w:rsidR="00B50976" w:rsidRDefault="00B50976" w:rsidP="006B303F">
            <w:pPr>
              <w:spacing w:after="0"/>
              <w:rPr>
                <w:color w:val="000000"/>
                <w:szCs w:val="20"/>
              </w:rPr>
            </w:pPr>
            <w:r>
              <w:rPr>
                <w:color w:val="000000"/>
                <w:szCs w:val="20"/>
              </w:rPr>
              <w:t xml:space="preserve">C&amp;I and PS </w:t>
            </w:r>
            <w:r w:rsidRPr="008F0F26">
              <w:rPr>
                <w:color w:val="000000"/>
                <w:szCs w:val="20"/>
              </w:rPr>
              <w:t>Retro-Commissioning</w:t>
            </w:r>
          </w:p>
          <w:p w14:paraId="14A58D02" w14:textId="77777777" w:rsidR="00B50976" w:rsidRPr="008F0F26" w:rsidRDefault="00B50976" w:rsidP="006B303F">
            <w:pPr>
              <w:spacing w:after="0"/>
              <w:rPr>
                <w:color w:val="000000"/>
                <w:szCs w:val="20"/>
              </w:rPr>
            </w:pPr>
            <w:r>
              <w:rPr>
                <w:color w:val="000000"/>
                <w:szCs w:val="20"/>
              </w:rPr>
              <w:t>C&amp;I and PS Strategic Energy Management</w:t>
            </w:r>
          </w:p>
        </w:tc>
      </w:tr>
      <w:tr w:rsidR="00B50976" w14:paraId="1ACC90AB" w14:textId="77777777" w:rsidTr="006B303F">
        <w:trPr>
          <w:trHeight w:val="20"/>
        </w:trPr>
        <w:tc>
          <w:tcPr>
            <w:tcW w:w="1635" w:type="dxa"/>
            <w:vMerge/>
            <w:vAlign w:val="center"/>
          </w:tcPr>
          <w:p w14:paraId="00E4DA6B" w14:textId="77777777" w:rsidR="00B50976" w:rsidRPr="008F0F26" w:rsidRDefault="00B50976" w:rsidP="006B303F">
            <w:pPr>
              <w:spacing w:after="0"/>
              <w:rPr>
                <w:color w:val="000000"/>
                <w:szCs w:val="20"/>
              </w:rPr>
            </w:pPr>
          </w:p>
        </w:tc>
        <w:tc>
          <w:tcPr>
            <w:tcW w:w="3150" w:type="dxa"/>
            <w:shd w:val="clear" w:color="auto" w:fill="FFFFFF" w:themeFill="background1"/>
            <w:vAlign w:val="center"/>
          </w:tcPr>
          <w:p w14:paraId="669BE521" w14:textId="77777777" w:rsidR="00B50976" w:rsidRPr="00715416" w:rsidRDefault="00B50976" w:rsidP="006B303F">
            <w:pPr>
              <w:spacing w:after="0"/>
              <w:rPr>
                <w:color w:val="000000"/>
                <w:szCs w:val="20"/>
              </w:rPr>
            </w:pPr>
            <w:r w:rsidRPr="00715416">
              <w:rPr>
                <w:color w:val="000000"/>
                <w:szCs w:val="20"/>
              </w:rPr>
              <w:t>3.6 Technical Assistance Protocol</w:t>
            </w:r>
          </w:p>
        </w:tc>
        <w:tc>
          <w:tcPr>
            <w:tcW w:w="4675" w:type="dxa"/>
            <w:tcBorders>
              <w:top w:val="nil"/>
              <w:left w:val="single" w:sz="4" w:space="0" w:color="auto"/>
              <w:bottom w:val="single" w:sz="4" w:space="0" w:color="000000"/>
              <w:right w:val="single" w:sz="4" w:space="0" w:color="auto"/>
            </w:tcBorders>
            <w:shd w:val="clear" w:color="000000" w:fill="FFFFFF"/>
            <w:vAlign w:val="center"/>
          </w:tcPr>
          <w:p w14:paraId="05B20DEA" w14:textId="77777777" w:rsidR="00B50976" w:rsidRDefault="00B50976" w:rsidP="006B303F">
            <w:pPr>
              <w:spacing w:after="0"/>
              <w:rPr>
                <w:color w:val="000000"/>
                <w:szCs w:val="20"/>
              </w:rPr>
            </w:pPr>
            <w:r>
              <w:rPr>
                <w:color w:val="000000"/>
                <w:szCs w:val="20"/>
              </w:rPr>
              <w:t>Building Operator Certification</w:t>
            </w:r>
          </w:p>
        </w:tc>
      </w:tr>
      <w:tr w:rsidR="00B50976" w:rsidRPr="008F0F26" w14:paraId="05EC310D" w14:textId="77777777" w:rsidTr="006B303F">
        <w:trPr>
          <w:trHeight w:val="20"/>
        </w:trPr>
        <w:tc>
          <w:tcPr>
            <w:tcW w:w="1635" w:type="dxa"/>
            <w:vMerge/>
            <w:vAlign w:val="center"/>
            <w:hideMark/>
          </w:tcPr>
          <w:p w14:paraId="34D6AE9D" w14:textId="77777777" w:rsidR="00B50976" w:rsidRPr="008F0F26" w:rsidRDefault="00B50976" w:rsidP="006B303F">
            <w:pPr>
              <w:spacing w:after="0"/>
              <w:rPr>
                <w:color w:val="000000"/>
                <w:szCs w:val="20"/>
              </w:rPr>
            </w:pPr>
          </w:p>
        </w:tc>
        <w:tc>
          <w:tcPr>
            <w:tcW w:w="3150" w:type="dxa"/>
            <w:shd w:val="clear" w:color="auto" w:fill="FFFFFF" w:themeFill="background1"/>
            <w:vAlign w:val="center"/>
          </w:tcPr>
          <w:p w14:paraId="2AF5833F" w14:textId="5712D45E" w:rsidR="00B50976" w:rsidRPr="008F0F26" w:rsidRDefault="00B50976" w:rsidP="006B303F">
            <w:pPr>
              <w:spacing w:after="0"/>
              <w:rPr>
                <w:color w:val="000000"/>
                <w:szCs w:val="20"/>
              </w:rPr>
            </w:pPr>
            <w:r>
              <w:rPr>
                <w:color w:val="000000"/>
                <w:szCs w:val="20"/>
              </w:rPr>
              <w:t>5.4 Midstream Protocol</w:t>
            </w:r>
          </w:p>
        </w:tc>
        <w:tc>
          <w:tcPr>
            <w:tcW w:w="4675" w:type="dxa"/>
            <w:tcBorders>
              <w:top w:val="nil"/>
              <w:left w:val="single" w:sz="4" w:space="0" w:color="auto"/>
              <w:bottom w:val="single" w:sz="4" w:space="0" w:color="000000"/>
              <w:right w:val="single" w:sz="4" w:space="0" w:color="auto"/>
            </w:tcBorders>
            <w:shd w:val="clear" w:color="000000" w:fill="FFFFFF"/>
            <w:vAlign w:val="center"/>
          </w:tcPr>
          <w:p w14:paraId="055E18DB" w14:textId="6D22FD51" w:rsidR="00B50976" w:rsidRPr="008F0F26" w:rsidRDefault="00B50976" w:rsidP="006B303F">
            <w:pPr>
              <w:spacing w:after="0"/>
              <w:rPr>
                <w:color w:val="000000"/>
                <w:szCs w:val="20"/>
              </w:rPr>
            </w:pPr>
            <w:r>
              <w:rPr>
                <w:rFonts w:cs="Arial"/>
                <w:color w:val="000000"/>
                <w:szCs w:val="20"/>
              </w:rPr>
              <w:t>Commercial Food Service Midstream</w:t>
            </w:r>
          </w:p>
        </w:tc>
      </w:tr>
    </w:tbl>
    <w:p w14:paraId="4782945E" w14:textId="77777777" w:rsidR="00B50976" w:rsidRPr="00D77363" w:rsidRDefault="00B50976" w:rsidP="00321BCF">
      <w:pPr>
        <w:pStyle w:val="TableHeading"/>
        <w:jc w:val="both"/>
        <w:rPr>
          <w:rFonts w:eastAsia="Franklin Gothic Book"/>
        </w:rPr>
      </w:pPr>
    </w:p>
    <w:p w14:paraId="1ACB1781" w14:textId="77777777" w:rsidR="00D34C6E" w:rsidRDefault="00D34C6E" w:rsidP="00D34C6E">
      <w:pPr>
        <w:pStyle w:val="Heading2"/>
        <w:keepLines w:val="0"/>
        <w:widowControl/>
        <w:numPr>
          <w:ilvl w:val="1"/>
          <w:numId w:val="8"/>
        </w:numPr>
        <w:jc w:val="left"/>
      </w:pPr>
      <w:bookmarkStart w:id="1102" w:name="_Toc431366151"/>
      <w:bookmarkStart w:id="1103" w:name="_Toc431526439"/>
      <w:bookmarkStart w:id="1104" w:name="_Ref442021223"/>
      <w:bookmarkStart w:id="1105" w:name="_Ref442021231"/>
      <w:bookmarkStart w:id="1106" w:name="_Toc442804225"/>
      <w:bookmarkStart w:id="1107" w:name="_Toc442805442"/>
      <w:bookmarkStart w:id="1108" w:name="_Toc472494691"/>
      <w:bookmarkStart w:id="1109" w:name="_Toc520462889"/>
      <w:bookmarkStart w:id="1110" w:name="_Toc473108033"/>
      <w:bookmarkStart w:id="1111" w:name="_Toc520824145"/>
      <w:bookmarkStart w:id="1112" w:name="_Toc16619928"/>
      <w:bookmarkStart w:id="1113" w:name="_Toc113619783"/>
      <w:r w:rsidRPr="009B67BF">
        <w:t xml:space="preserve">Core Non-Residential </w:t>
      </w:r>
      <w:bookmarkEnd w:id="1102"/>
      <w:bookmarkEnd w:id="1103"/>
      <w:r>
        <w:t>Protocol</w:t>
      </w:r>
      <w:bookmarkEnd w:id="1104"/>
      <w:bookmarkEnd w:id="1105"/>
      <w:bookmarkEnd w:id="1106"/>
      <w:bookmarkEnd w:id="1107"/>
      <w:bookmarkEnd w:id="1108"/>
      <w:bookmarkEnd w:id="1109"/>
      <w:bookmarkEnd w:id="1110"/>
      <w:bookmarkEnd w:id="1111"/>
      <w:bookmarkEnd w:id="1112"/>
      <w:bookmarkEnd w:id="1113"/>
    </w:p>
    <w:p w14:paraId="7C517684" w14:textId="77777777" w:rsidR="00D34C6E" w:rsidRPr="009B67BF" w:rsidRDefault="00D34C6E" w:rsidP="0088039F">
      <w:pPr>
        <w:pStyle w:val="Heading3"/>
      </w:pPr>
      <w:bookmarkStart w:id="1114" w:name="_Toc431366152"/>
      <w:bookmarkStart w:id="1115" w:name="_Toc431526440"/>
      <w:bookmarkStart w:id="1116" w:name="_Toc442804226"/>
      <w:bookmarkStart w:id="1117" w:name="_Toc442805443"/>
      <w:bookmarkStart w:id="1118" w:name="_Toc472494692"/>
      <w:bookmarkStart w:id="1119" w:name="_Toc520462890"/>
      <w:bookmarkStart w:id="1120" w:name="_Toc473108034"/>
      <w:bookmarkStart w:id="1121" w:name="_Toc520824146"/>
      <w:bookmarkStart w:id="1122" w:name="_Toc16619929"/>
      <w:bookmarkStart w:id="1123" w:name="_Toc113619784"/>
      <w:r>
        <w:t xml:space="preserve">Core Non-Residential </w:t>
      </w:r>
      <w:r w:rsidRPr="009B67BF">
        <w:t>Free Ridership</w:t>
      </w:r>
      <w:bookmarkEnd w:id="1114"/>
      <w:bookmarkEnd w:id="1115"/>
      <w:r>
        <w:t xml:space="preserve"> Protocol</w:t>
      </w:r>
      <w:bookmarkEnd w:id="1116"/>
      <w:bookmarkEnd w:id="1117"/>
      <w:bookmarkEnd w:id="1118"/>
      <w:bookmarkEnd w:id="1119"/>
      <w:bookmarkEnd w:id="1120"/>
      <w:bookmarkEnd w:id="1121"/>
      <w:bookmarkEnd w:id="1122"/>
      <w:bookmarkEnd w:id="1123"/>
    </w:p>
    <w:p w14:paraId="5C3CB12B" w14:textId="77777777" w:rsidR="00D34C6E" w:rsidRPr="009B67BF" w:rsidRDefault="00D34C6E" w:rsidP="00D34C6E">
      <w:pPr>
        <w:widowControl/>
        <w:rPr>
          <w:rFonts w:eastAsia="Franklin Gothic Book"/>
        </w:rPr>
      </w:pPr>
      <w:r w:rsidRPr="009B67BF">
        <w:rPr>
          <w:rFonts w:eastAsia="Franklin Gothic Book"/>
        </w:rPr>
        <w:t xml:space="preserve">Key considerations and guidelines for estimation of free ridership under this </w:t>
      </w:r>
      <w:r>
        <w:rPr>
          <w:rFonts w:eastAsia="Franklin Gothic Book"/>
        </w:rPr>
        <w:t xml:space="preserve">Core Non-Residential Free Ridership (FR) </w:t>
      </w:r>
      <w:r w:rsidRPr="009B67BF">
        <w:rPr>
          <w:rFonts w:eastAsia="Franklin Gothic Book"/>
        </w:rPr>
        <w:t>protocol are listed below</w:t>
      </w:r>
      <w:r>
        <w:rPr>
          <w:rFonts w:eastAsia="Franklin Gothic Book"/>
        </w:rPr>
        <w:t>:</w:t>
      </w:r>
    </w:p>
    <w:p w14:paraId="1F65AB58" w14:textId="77777777" w:rsidR="00D34C6E" w:rsidRPr="00CC19BB" w:rsidRDefault="00D34C6E" w:rsidP="00D34C6E">
      <w:pPr>
        <w:pStyle w:val="ListParagraph"/>
        <w:widowControl/>
        <w:numPr>
          <w:ilvl w:val="0"/>
          <w:numId w:val="21"/>
        </w:numPr>
        <w:contextualSpacing w:val="0"/>
        <w:jc w:val="left"/>
        <w:rPr>
          <w:rFonts w:eastAsia="Franklin Gothic Book"/>
        </w:rPr>
      </w:pPr>
      <w:r w:rsidRPr="00835607">
        <w:rPr>
          <w:rFonts w:eastAsia="Franklin Gothic Book"/>
          <w:b/>
        </w:rPr>
        <w:t xml:space="preserve">Multiple Questions: </w:t>
      </w:r>
      <w:r w:rsidRPr="009B67BF">
        <w:rPr>
          <w:rFonts w:eastAsia="Franklin Gothic Book"/>
        </w:rPr>
        <w:t xml:space="preserve">Evaluators will use program participant responses to multiple survey questions as inputs to the free ridership </w:t>
      </w:r>
      <w:r w:rsidRPr="002B13A9">
        <w:t>calculation</w:t>
      </w:r>
      <w:r w:rsidRPr="009B67BF">
        <w:rPr>
          <w:rFonts w:eastAsia="Franklin Gothic Book"/>
        </w:rPr>
        <w:t xml:space="preserve"> algorithm. Evaluators will not use the response to a single question to establish a survey respondent as either a complete free rider or a complete non-free rider.</w:t>
      </w:r>
    </w:p>
    <w:p w14:paraId="1A6B17F4" w14:textId="77777777" w:rsidR="00D34C6E" w:rsidRPr="00CC19BB" w:rsidRDefault="00D34C6E" w:rsidP="00D34C6E">
      <w:pPr>
        <w:pStyle w:val="ListParagraph"/>
        <w:widowControl/>
        <w:numPr>
          <w:ilvl w:val="0"/>
          <w:numId w:val="21"/>
        </w:numPr>
        <w:contextualSpacing w:val="0"/>
        <w:jc w:val="left"/>
        <w:rPr>
          <w:rFonts w:eastAsia="Franklin Gothic Book"/>
        </w:rPr>
      </w:pPr>
      <w:r w:rsidRPr="00835607">
        <w:rPr>
          <w:rFonts w:eastAsia="Franklin Gothic Book"/>
          <w:b/>
        </w:rPr>
        <w:t>Program and Non-Program Factors:</w:t>
      </w:r>
      <w:r w:rsidRPr="009B67BF">
        <w:rPr>
          <w:rFonts w:eastAsia="Franklin Gothic Book"/>
        </w:rPr>
        <w:t xml:space="preserve"> Evaluators will administer survey questions to obtain respondent ratings on a numeric scale of the impact, influence, or importance on the decision to implement energy efficiency measures or take energy efficiency actions. A series of questions will focus on factors that the evaluator determines are a function of the program. Such program factors may, for instance, include </w:t>
      </w:r>
      <w:r>
        <w:rPr>
          <w:rFonts w:eastAsia="Franklin Gothic Book"/>
        </w:rPr>
        <w:t xml:space="preserve">the </w:t>
      </w:r>
      <w:r w:rsidRPr="009B67BF">
        <w:rPr>
          <w:rFonts w:eastAsia="Franklin Gothic Book"/>
        </w:rPr>
        <w:t xml:space="preserve">availability of the program incentive, technical assistance from program staff, </w:t>
      </w:r>
      <w:r>
        <w:rPr>
          <w:rFonts w:eastAsia="Franklin Gothic Book"/>
        </w:rPr>
        <w:t>program staff recommendations, P</w:t>
      </w:r>
      <w:r w:rsidRPr="009B67BF">
        <w:rPr>
          <w:rFonts w:eastAsia="Franklin Gothic Book"/>
        </w:rPr>
        <w:t>rogram</w:t>
      </w:r>
      <w:r>
        <w:rPr>
          <w:rFonts w:eastAsia="Franklin Gothic Book"/>
        </w:rPr>
        <w:t xml:space="preserve"> A</w:t>
      </w:r>
      <w:r w:rsidRPr="009B67BF">
        <w:rPr>
          <w:rFonts w:eastAsia="Franklin Gothic Book"/>
        </w:rPr>
        <w:t xml:space="preserve">dministrator marketing materials, and </w:t>
      </w:r>
      <w:r>
        <w:rPr>
          <w:rFonts w:eastAsia="Franklin Gothic Book"/>
        </w:rPr>
        <w:t xml:space="preserve">an </w:t>
      </w:r>
      <w:r w:rsidRPr="009B67BF">
        <w:rPr>
          <w:rFonts w:eastAsia="Franklin Gothic Book"/>
        </w:rPr>
        <w:t xml:space="preserve">endorsement or recommendation by </w:t>
      </w:r>
      <w:r>
        <w:rPr>
          <w:rFonts w:eastAsia="Franklin Gothic Book"/>
        </w:rPr>
        <w:t>a Program Administrator,</w:t>
      </w:r>
      <w:r w:rsidRPr="009B67BF">
        <w:rPr>
          <w:rFonts w:eastAsia="Franklin Gothic Book"/>
        </w:rPr>
        <w:t xml:space="preserve"> account manager or program partner staff. Evaluators will also administer a series of questions to obtain respondent ratings</w:t>
      </w:r>
      <w:r>
        <w:rPr>
          <w:rFonts w:eastAsia="Franklin Gothic Book"/>
        </w:rPr>
        <w:t>,</w:t>
      </w:r>
      <w:r w:rsidRPr="009B67BF">
        <w:rPr>
          <w:rFonts w:eastAsia="Franklin Gothic Book"/>
        </w:rPr>
        <w:t xml:space="preserve"> on a numeric scale of the impact, influence, or importance on the decision to implement energy efficiency measures</w:t>
      </w:r>
      <w:r>
        <w:rPr>
          <w:rFonts w:eastAsia="Franklin Gothic Book"/>
        </w:rPr>
        <w:t>,</w:t>
      </w:r>
      <w:r w:rsidRPr="009B67BF">
        <w:rPr>
          <w:rFonts w:eastAsia="Franklin Gothic Book"/>
        </w:rPr>
        <w:t xml:space="preserve"> of </w:t>
      </w:r>
      <w:r>
        <w:rPr>
          <w:rFonts w:eastAsia="Franklin Gothic Book"/>
        </w:rPr>
        <w:t xml:space="preserve">different </w:t>
      </w:r>
      <w:r w:rsidRPr="009B67BF">
        <w:rPr>
          <w:rFonts w:eastAsia="Franklin Gothic Book"/>
        </w:rPr>
        <w:t>factors that the evaluator determines are not a function of the program. Such non-program factors may include, for example, previous experience with the measure, standard business or industry practice, and organizational policy or guidelines.</w:t>
      </w:r>
    </w:p>
    <w:p w14:paraId="19829BF9" w14:textId="77777777" w:rsidR="00D34C6E" w:rsidRPr="009B67BF" w:rsidRDefault="00D34C6E" w:rsidP="00D34C6E">
      <w:pPr>
        <w:pStyle w:val="ListParagraph"/>
        <w:widowControl/>
        <w:numPr>
          <w:ilvl w:val="0"/>
          <w:numId w:val="21"/>
        </w:numPr>
        <w:contextualSpacing w:val="0"/>
        <w:jc w:val="left"/>
        <w:rPr>
          <w:rFonts w:eastAsia="Franklin Gothic Book"/>
        </w:rPr>
      </w:pPr>
      <w:r w:rsidRPr="00835607">
        <w:rPr>
          <w:rFonts w:eastAsia="Franklin Gothic Book"/>
          <w:b/>
        </w:rPr>
        <w:t>Vendor Recommendations:</w:t>
      </w:r>
      <w:r w:rsidRPr="009B67BF">
        <w:rPr>
          <w:rFonts w:eastAsia="Franklin Gothic Book"/>
        </w:rPr>
        <w:t xml:space="preserve"> </w:t>
      </w:r>
      <w:r>
        <w:rPr>
          <w:rFonts w:eastAsia="Franklin Gothic Book"/>
        </w:rPr>
        <w:t>V</w:t>
      </w:r>
      <w:r w:rsidRPr="009B67BF">
        <w:rPr>
          <w:rFonts w:eastAsia="Franklin Gothic Book"/>
        </w:rPr>
        <w:t xml:space="preserve">endor recommendations may also be a program factor to the extent that such recommendations are a function of the program. </w:t>
      </w:r>
      <w:r>
        <w:t xml:space="preserve">Vendors include trade allies, contractors, distributors, suppliers, and other market actors involved in the selection and installation of program-incented equipment on behalf of the participant. </w:t>
      </w:r>
      <w:r w:rsidRPr="009B67BF">
        <w:rPr>
          <w:rFonts w:eastAsia="Franklin Gothic Book"/>
        </w:rPr>
        <w:t>The evaluator may administer survey questions to vendors to verify their involvement with participant projects and to obtain their ratings</w:t>
      </w:r>
      <w:r>
        <w:rPr>
          <w:rFonts w:eastAsia="Franklin Gothic Book"/>
        </w:rPr>
        <w:t>—</w:t>
      </w:r>
      <w:r w:rsidRPr="009B67BF">
        <w:rPr>
          <w:rFonts w:eastAsia="Franklin Gothic Book"/>
        </w:rPr>
        <w:t>on a numeric scale</w:t>
      </w:r>
      <w:r>
        <w:rPr>
          <w:rFonts w:eastAsia="Franklin Gothic Book"/>
        </w:rPr>
        <w:t>—</w:t>
      </w:r>
      <w:r w:rsidRPr="009B67BF">
        <w:rPr>
          <w:rFonts w:eastAsia="Franklin Gothic Book"/>
        </w:rPr>
        <w:t>of the impact, influence, or importance of the program on the decision to recommend the energy efficiency measures to the program participant.</w:t>
      </w:r>
    </w:p>
    <w:p w14:paraId="02B14206" w14:textId="5648D5AC" w:rsidR="00D34C6E" w:rsidRDefault="00D34C6E" w:rsidP="00D34C6E">
      <w:pPr>
        <w:pStyle w:val="ListParagraph"/>
        <w:widowControl/>
        <w:numPr>
          <w:ilvl w:val="0"/>
          <w:numId w:val="21"/>
        </w:numPr>
        <w:contextualSpacing w:val="0"/>
        <w:jc w:val="left"/>
        <w:rPr>
          <w:rFonts w:eastAsia="Franklin Gothic Book"/>
        </w:rPr>
      </w:pPr>
      <w:r w:rsidRPr="00835607">
        <w:rPr>
          <w:rFonts w:eastAsia="Franklin Gothic Book"/>
          <w:b/>
        </w:rPr>
        <w:t>Consistency Checks:</w:t>
      </w:r>
      <w:r w:rsidRPr="009B67BF">
        <w:rPr>
          <w:rFonts w:eastAsia="Franklin Gothic Book"/>
        </w:rPr>
        <w:t xml:space="preserve"> Evaluators should administer survey questions as checks on the consistency of responses associated with a core free ridership assessment methodology. Evaluators may also reference available quantitative and qualitative data, including consistency check data, to perform documented modifications to individual free ridership estimates resulting from the application of a core free ridership assessment methodology.</w:t>
      </w:r>
    </w:p>
    <w:p w14:paraId="2E59F2B2" w14:textId="23575E91" w:rsidR="00D34C6E" w:rsidRPr="00ED7718" w:rsidRDefault="00D34C6E" w:rsidP="00D34C6E">
      <w:pPr>
        <w:pStyle w:val="ListParagraph"/>
        <w:widowControl/>
        <w:numPr>
          <w:ilvl w:val="0"/>
          <w:numId w:val="21"/>
        </w:numPr>
        <w:contextualSpacing w:val="0"/>
        <w:jc w:val="left"/>
        <w:rPr>
          <w:rFonts w:eastAsia="Franklin Gothic Book"/>
        </w:rPr>
      </w:pPr>
      <w:r w:rsidRPr="004D3B72">
        <w:rPr>
          <w:rFonts w:eastAsia="Franklin Gothic Book"/>
          <w:b/>
        </w:rPr>
        <w:t>Quality Control Review:</w:t>
      </w:r>
      <w:r w:rsidRPr="000D07EB">
        <w:rPr>
          <w:rFonts w:eastAsia="Franklin Gothic Book"/>
        </w:rPr>
        <w:t xml:space="preserve"> </w:t>
      </w:r>
      <w:r>
        <w:rPr>
          <w:color w:val="000000"/>
        </w:rPr>
        <w:t xml:space="preserve"> </w:t>
      </w:r>
      <w:r w:rsidRPr="00ED7718">
        <w:rPr>
          <w:rFonts w:eastAsia="Franklin Gothic Book"/>
        </w:rPr>
        <w:t xml:space="preserve">For programs involving large, complex projects and decision-making, after all the survey data collection has been completed and preliminary NTGRs have been computed using the standard calculation procedures, a quality control review is completed.  All quantitative and qualitative data is systematically and independently analyzed by a researcher who is familiar with the program, the individual site and the social science theory that underlies the decision maker survey instrument.  They make an independent determination of whether the additional information justifies modifying the previously calculated NTGR score and present any recommended modifications and their rationale in a well-organized manner, along with specific references to the supporting data.  Circumstances that may justify a revision of the previously calculated NTGR score include: (1) significant inconsistencies exist between one of the scores that may lead to elimination of the score that is an outlier; (2) the emerging “story” from the qualitative data is in conflict with the quantitative data, thereby requiring a callback to the customer to resolve the inconsistency and a revision to the original scoring based on the new information; or (3) the entire set of results for an interview are inconsistent, the data are too disparate </w:t>
      </w:r>
      <w:r w:rsidRPr="00ED7718">
        <w:rPr>
          <w:rFonts w:eastAsia="Franklin Gothic Book"/>
        </w:rPr>
        <w:lastRenderedPageBreak/>
        <w:t>and would not be helped with a callback. In such cases, a recommendation is made to remove that sample point and replace it with a back-up point.</w:t>
      </w:r>
    </w:p>
    <w:p w14:paraId="4BC068B6" w14:textId="77777777" w:rsidR="00D34C6E" w:rsidRPr="0073280D" w:rsidRDefault="00D34C6E" w:rsidP="001A2AE6">
      <w:pPr>
        <w:pStyle w:val="Heading4"/>
      </w:pPr>
      <w:bookmarkStart w:id="1124" w:name="_Toc442804227"/>
      <w:bookmarkStart w:id="1125" w:name="_Toc442805444"/>
      <w:r w:rsidRPr="0073280D">
        <w:t>Core F</w:t>
      </w:r>
      <w:r>
        <w:t xml:space="preserve">ree </w:t>
      </w:r>
      <w:r w:rsidRPr="0073280D">
        <w:t>R</w:t>
      </w:r>
      <w:r>
        <w:t>idership</w:t>
      </w:r>
      <w:r w:rsidRPr="0073280D">
        <w:t xml:space="preserve"> Scoring Algorithm</w:t>
      </w:r>
      <w:bookmarkEnd w:id="1124"/>
      <w:bookmarkEnd w:id="1125"/>
    </w:p>
    <w:p w14:paraId="2F7DE3FD" w14:textId="77777777" w:rsidR="00D34C6E" w:rsidRDefault="00D34C6E" w:rsidP="00D34C6E">
      <w:pPr>
        <w:rPr>
          <w:rFonts w:eastAsia="Franklin Gothic Book"/>
        </w:rPr>
      </w:pPr>
      <w:r w:rsidRPr="0073280D">
        <w:rPr>
          <w:rFonts w:eastAsia="Franklin Gothic Book"/>
        </w:rPr>
        <w:t xml:space="preserve">The Core Non-Residential FR protocol combines three scores that test different ways of approaching free ridership: the Program Components FR Score, the Program Influence FR Score, and the No-Program FR Score. The three scores are combined to calculate the final free ridership value. </w:t>
      </w:r>
    </w:p>
    <w:p w14:paraId="0BA01A89" w14:textId="216317F1" w:rsidR="00D34C6E" w:rsidRPr="004807D2" w:rsidRDefault="00D34C6E" w:rsidP="00D34C6E">
      <w:pPr>
        <w:rPr>
          <w:rFonts w:eastAsia="Franklin Gothic Book"/>
        </w:rPr>
      </w:pPr>
      <w:r w:rsidRPr="00556347">
        <w:rPr>
          <w:rFonts w:eastAsia="Franklin Gothic Book"/>
        </w:rPr>
        <w:t xml:space="preserve">Two options for combining the three scores are shown graphically in Figure 3-1 and Figure 3-2. These two options use different specifications to account for the impact of the program on project timing (referred to as “deferred free ridership”; see also discussion in Section </w:t>
      </w:r>
      <w:r w:rsidRPr="00556347">
        <w:rPr>
          <w:rFonts w:eastAsia="Franklin Gothic Book"/>
        </w:rPr>
        <w:fldChar w:fldCharType="begin"/>
      </w:r>
      <w:r w:rsidRPr="00556347">
        <w:rPr>
          <w:rFonts w:eastAsia="Franklin Gothic Book"/>
        </w:rPr>
        <w:instrText xml:space="preserve"> REF _Ref466459216 \n \h </w:instrText>
      </w:r>
      <w:r>
        <w:rPr>
          <w:rFonts w:eastAsia="Franklin Gothic Book"/>
        </w:rPr>
        <w:instrText xml:space="preserve"> \* MERGEFORMAT </w:instrText>
      </w:r>
      <w:r w:rsidRPr="00556347">
        <w:rPr>
          <w:rFonts w:eastAsia="Franklin Gothic Book"/>
        </w:rPr>
      </w:r>
      <w:r w:rsidRPr="00556347">
        <w:rPr>
          <w:rFonts w:eastAsia="Franklin Gothic Book"/>
        </w:rPr>
        <w:fldChar w:fldCharType="separate"/>
      </w:r>
      <w:r w:rsidR="00506A44">
        <w:rPr>
          <w:rFonts w:eastAsia="Franklin Gothic Book"/>
        </w:rPr>
        <w:t>3.1.1.1.4</w:t>
      </w:r>
      <w:r w:rsidRPr="00556347">
        <w:rPr>
          <w:rFonts w:eastAsia="Franklin Gothic Book"/>
        </w:rPr>
        <w:fldChar w:fldCharType="end"/>
      </w:r>
      <w:r w:rsidRPr="00556347">
        <w:rPr>
          <w:rFonts w:eastAsia="Franklin Gothic Book"/>
        </w:rPr>
        <w:t>). Evaluators will calculate free ridership using both options and will select one option for purposes of calculating the annual incremental energy savings for comparing to the legislated goal.</w:t>
      </w:r>
      <w:r w:rsidRPr="00556347">
        <w:rPr>
          <w:rStyle w:val="FootnoteReference"/>
          <w:rFonts w:eastAsia="Franklin Gothic Book"/>
        </w:rPr>
        <w:footnoteReference w:id="65"/>
      </w:r>
      <w:r>
        <w:rPr>
          <w:rFonts w:eastAsia="Franklin Gothic Book"/>
        </w:rPr>
        <w:t xml:space="preserve"> To select the appropriate option for use, we recommend that evaluators examine the various components of the free ridership scores to understand the differences between the options and justify their choice. Evaluators may also choose to use Cronbach’s alpha to examine the internal consistency of the various options (but evaluators are not </w:t>
      </w:r>
      <w:r>
        <w:rPr>
          <w:rFonts w:eastAsia="Franklin Gothic Book"/>
          <w:i/>
        </w:rPr>
        <w:t>required</w:t>
      </w:r>
      <w:r>
        <w:rPr>
          <w:rFonts w:eastAsia="Franklin Gothic Book"/>
        </w:rPr>
        <w:t xml:space="preserve"> to select the option with the highest Cronbach’s alpha if they have justification for a different choice).</w:t>
      </w:r>
      <w:r w:rsidR="00F03C03">
        <w:rPr>
          <w:rFonts w:eastAsia="Franklin Gothic Book"/>
        </w:rPr>
        <w:t xml:space="preserve"> </w:t>
      </w:r>
      <w:r w:rsidR="00AD4C19" w:rsidRPr="00AD4C19">
        <w:rPr>
          <w:rFonts w:eastAsia="Franklin Gothic Book"/>
        </w:rPr>
        <w:t>In addition, evaluators are also encouraged to conduct cognitive interviews to better understand how C&amp;I respondents are able to answer the free ridership questions. Evaluators should note where respondents seem confused or did not seem to understand the line of questioning. As a result of the cognitive interview findings, evaluators may suggest changes to the wording or free ridership components for future TRMs. The Program Influence score, in particular, should be assessed</w:t>
      </w:r>
      <w:r w:rsidR="00AD4C19">
        <w:rPr>
          <w:rFonts w:eastAsia="Franklin Gothic Book"/>
        </w:rPr>
        <w:t>.</w:t>
      </w:r>
    </w:p>
    <w:p w14:paraId="1826A109" w14:textId="0363305A" w:rsidR="00D34C6E" w:rsidRDefault="00D34C6E" w:rsidP="00D34C6E">
      <w:pPr>
        <w:rPr>
          <w:rFonts w:eastAsia="Franklin Gothic Book"/>
        </w:rPr>
      </w:pPr>
      <w:r w:rsidRPr="00556347">
        <w:rPr>
          <w:rFonts w:eastAsia="Franklin Gothic Book"/>
        </w:rPr>
        <w:t>Evaluators will submit participant survey and net savings analysis data to the Illinois NTG Working Group. The group will analyze th</w:t>
      </w:r>
      <w:r w:rsidRPr="00BD1D92">
        <w:rPr>
          <w:rFonts w:eastAsia="Franklin Gothic Book"/>
        </w:rPr>
        <w:t>ese data for the purpose of further refining the protocol and potentially reducing the number of alternative algorithm input specifications.</w:t>
      </w:r>
    </w:p>
    <w:p w14:paraId="471A0294" w14:textId="3D00C0F4" w:rsidR="00D34C6E" w:rsidRDefault="00B1486F" w:rsidP="00B1486F">
      <w:pPr>
        <w:pStyle w:val="Captions"/>
        <w:rPr>
          <w:rFonts w:eastAsia="Franklin Gothic Book"/>
        </w:rPr>
      </w:pPr>
      <w:bookmarkStart w:id="1126" w:name="_Ref442627083"/>
      <w:bookmarkStart w:id="1127" w:name="_Toc472494749"/>
      <w:bookmarkStart w:id="1128" w:name="_Toc473108109"/>
      <w:bookmarkStart w:id="1129" w:name="_Toc520824257"/>
      <w:bookmarkStart w:id="1130" w:name="_Toc523148239"/>
      <w:bookmarkStart w:id="1131" w:name="_Toc16620001"/>
      <w:bookmarkStart w:id="1132" w:name="_Toc83376828"/>
      <w:r w:rsidRPr="00AE7CBA">
        <w:rPr>
          <w:rFonts w:eastAsia="Franklin Gothic Book"/>
          <w:noProof/>
        </w:rPr>
        <w:drawing>
          <wp:anchor distT="0" distB="0" distL="114300" distR="114300" simplePos="0" relativeHeight="251637248" behindDoc="0" locked="0" layoutInCell="1" allowOverlap="1" wp14:anchorId="62010338" wp14:editId="373341B6">
            <wp:simplePos x="0" y="0"/>
            <wp:positionH relativeFrom="column">
              <wp:align>center</wp:align>
            </wp:positionH>
            <wp:positionV relativeFrom="paragraph">
              <wp:posOffset>155643</wp:posOffset>
            </wp:positionV>
            <wp:extent cx="5949696" cy="3346704"/>
            <wp:effectExtent l="0" t="0" r="0" b="6350"/>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extLst>
                        <a:ext uri="{28A0092B-C50C-407E-A947-70E740481C1C}">
                          <a14:useLocalDpi xmlns:a14="http://schemas.microsoft.com/office/drawing/2010/main" val="0"/>
                        </a:ext>
                      </a:extLst>
                    </a:blip>
                    <a:stretch>
                      <a:fillRect/>
                    </a:stretch>
                  </pic:blipFill>
                  <pic:spPr>
                    <a:xfrm>
                      <a:off x="0" y="0"/>
                      <a:ext cx="5949696" cy="3346704"/>
                    </a:xfrm>
                    <a:prstGeom prst="rect">
                      <a:avLst/>
                    </a:prstGeom>
                  </pic:spPr>
                </pic:pic>
              </a:graphicData>
            </a:graphic>
            <wp14:sizeRelV relativeFrom="margin">
              <wp14:pctHeight>0</wp14:pctHeight>
            </wp14:sizeRelV>
          </wp:anchor>
        </w:drawing>
      </w:r>
      <w:r w:rsidR="00D34C6E" w:rsidRPr="00D77363">
        <w:t>Figure 3</w:t>
      </w:r>
      <w:r w:rsidR="00D34C6E" w:rsidRPr="00D77363">
        <w:noBreakHyphen/>
      </w:r>
      <w:bookmarkEnd w:id="1126"/>
      <w:r w:rsidR="00D34C6E" w:rsidRPr="00D77363">
        <w:t>1. Core Free Ridership Algorithm 1</w:t>
      </w:r>
      <w:bookmarkStart w:id="1133" w:name="_Ref438496362"/>
      <w:bookmarkEnd w:id="1127"/>
      <w:bookmarkEnd w:id="1128"/>
      <w:bookmarkEnd w:id="1129"/>
      <w:bookmarkEnd w:id="1130"/>
      <w:bookmarkEnd w:id="1131"/>
      <w:bookmarkEnd w:id="1132"/>
    </w:p>
    <w:p w14:paraId="2754A037" w14:textId="06D4AEF6" w:rsidR="00C63A4E" w:rsidRDefault="00C63A4E" w:rsidP="00D34C6E">
      <w:pPr>
        <w:rPr>
          <w:rFonts w:eastAsia="Franklin Gothic Book"/>
        </w:rPr>
      </w:pPr>
      <w:bookmarkStart w:id="1134" w:name="V8_Graphic"/>
    </w:p>
    <w:p w14:paraId="3017BA1C" w14:textId="32896DAF" w:rsidR="00D34C6E" w:rsidRDefault="00B1486F" w:rsidP="00D21F1A">
      <w:pPr>
        <w:pStyle w:val="Captions"/>
      </w:pPr>
      <w:bookmarkStart w:id="1135" w:name="_Ref442627091"/>
      <w:bookmarkStart w:id="1136" w:name="_Toc472494750"/>
      <w:bookmarkStart w:id="1137" w:name="_Toc473108110"/>
      <w:bookmarkStart w:id="1138" w:name="_Toc520824258"/>
      <w:bookmarkStart w:id="1139" w:name="_Toc523148240"/>
      <w:bookmarkStart w:id="1140" w:name="_Toc16620002"/>
      <w:bookmarkStart w:id="1141" w:name="_Toc83376829"/>
      <w:bookmarkEnd w:id="1133"/>
      <w:bookmarkEnd w:id="1134"/>
      <w:r w:rsidRPr="00112B12">
        <w:rPr>
          <w:noProof/>
        </w:rPr>
        <w:lastRenderedPageBreak/>
        <w:drawing>
          <wp:anchor distT="0" distB="0" distL="114300" distR="114300" simplePos="0" relativeHeight="251640320" behindDoc="0" locked="0" layoutInCell="1" allowOverlap="1" wp14:anchorId="117EF2A1" wp14:editId="5D418FB7">
            <wp:simplePos x="0" y="0"/>
            <wp:positionH relativeFrom="column">
              <wp:align>center</wp:align>
            </wp:positionH>
            <wp:positionV relativeFrom="paragraph">
              <wp:posOffset>253027</wp:posOffset>
            </wp:positionV>
            <wp:extent cx="5949696" cy="3346704"/>
            <wp:effectExtent l="0" t="0" r="0" b="6350"/>
            <wp:wrapSquare wrapText="bothSides"/>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extLst>
                        <a:ext uri="{28A0092B-C50C-407E-A947-70E740481C1C}">
                          <a14:useLocalDpi xmlns:a14="http://schemas.microsoft.com/office/drawing/2010/main" val="0"/>
                        </a:ext>
                      </a:extLst>
                    </a:blip>
                    <a:stretch>
                      <a:fillRect/>
                    </a:stretch>
                  </pic:blipFill>
                  <pic:spPr>
                    <a:xfrm>
                      <a:off x="0" y="0"/>
                      <a:ext cx="5949696" cy="3346704"/>
                    </a:xfrm>
                    <a:prstGeom prst="rect">
                      <a:avLst/>
                    </a:prstGeom>
                  </pic:spPr>
                </pic:pic>
              </a:graphicData>
            </a:graphic>
            <wp14:sizeRelV relativeFrom="margin">
              <wp14:pctHeight>0</wp14:pctHeight>
            </wp14:sizeRelV>
          </wp:anchor>
        </w:drawing>
      </w:r>
      <w:r w:rsidR="00D34C6E">
        <w:t>Figure 3</w:t>
      </w:r>
      <w:r w:rsidR="00D34C6E">
        <w:noBreakHyphen/>
      </w:r>
      <w:bookmarkEnd w:id="1135"/>
      <w:r w:rsidR="00D34C6E">
        <w:t>2. Core Free Ridership Algorithm 2</w:t>
      </w:r>
      <w:bookmarkEnd w:id="1136"/>
      <w:bookmarkEnd w:id="1137"/>
      <w:bookmarkEnd w:id="1138"/>
      <w:bookmarkEnd w:id="1139"/>
      <w:bookmarkEnd w:id="1140"/>
      <w:bookmarkEnd w:id="1141"/>
    </w:p>
    <w:p w14:paraId="66064925" w14:textId="77777777" w:rsidR="00D34C6E" w:rsidRPr="00436AF2" w:rsidRDefault="00D34C6E" w:rsidP="00D34C6E">
      <w:pPr>
        <w:pStyle w:val="Heading5"/>
        <w:numPr>
          <w:ilvl w:val="4"/>
          <w:numId w:val="8"/>
        </w:numPr>
      </w:pPr>
      <w:bookmarkStart w:id="1142" w:name="_Toc442804228"/>
      <w:bookmarkStart w:id="1143" w:name="_Toc442805445"/>
      <w:r w:rsidRPr="00436AF2">
        <w:t xml:space="preserve">Program Components </w:t>
      </w:r>
      <w:r>
        <w:t xml:space="preserve">FR </w:t>
      </w:r>
      <w:r w:rsidRPr="00436AF2">
        <w:t>Score</w:t>
      </w:r>
      <w:bookmarkEnd w:id="1142"/>
      <w:bookmarkEnd w:id="1143"/>
    </w:p>
    <w:p w14:paraId="1A310A94" w14:textId="22B7F70C" w:rsidR="00D34C6E" w:rsidRPr="009B67BF" w:rsidRDefault="00D34C6E" w:rsidP="00D34C6E">
      <w:pPr>
        <w:rPr>
          <w:rFonts w:eastAsia="Franklin Gothic Book"/>
        </w:rPr>
      </w:pPr>
      <w:r w:rsidRPr="009B67BF">
        <w:rPr>
          <w:rFonts w:eastAsia="Franklin Gothic Book"/>
        </w:rPr>
        <w:t>Evaluators will administer survey questions to obtain participant</w:t>
      </w:r>
      <w:r>
        <w:rPr>
          <w:rFonts w:eastAsia="Franklin Gothic Book"/>
        </w:rPr>
        <w:t>s’</w:t>
      </w:r>
      <w:r w:rsidRPr="009B67BF">
        <w:rPr>
          <w:rFonts w:eastAsia="Franklin Gothic Book"/>
        </w:rPr>
        <w:t xml:space="preserve"> rating of the importance of various factors on the decision to implement energy efficiency measures. The numeric scales shall range from 0 to 10</w:t>
      </w:r>
      <w:r>
        <w:rPr>
          <w:rFonts w:eastAsia="Franklin Gothic Book"/>
        </w:rPr>
        <w:t>, where 0 means “not at all important</w:t>
      </w:r>
      <w:r w:rsidR="00B37A07">
        <w:rPr>
          <w:rFonts w:eastAsia="Franklin Gothic Book"/>
        </w:rPr>
        <w:t>,</w:t>
      </w:r>
      <w:r>
        <w:rPr>
          <w:rFonts w:eastAsia="Franklin Gothic Book"/>
        </w:rPr>
        <w:t>” and 10 means “extremely important</w:t>
      </w:r>
      <w:r w:rsidR="00C35900">
        <w:rPr>
          <w:rFonts w:eastAsia="Franklin Gothic Book"/>
        </w:rPr>
        <w:t>.</w:t>
      </w:r>
      <w:r>
        <w:rPr>
          <w:rFonts w:eastAsia="Franklin Gothic Book"/>
        </w:rPr>
        <w:t>”</w:t>
      </w:r>
      <w:r w:rsidRPr="009B67BF">
        <w:rPr>
          <w:rFonts w:eastAsia="Franklin Gothic Book"/>
        </w:rPr>
        <w:t xml:space="preserve"> The various factors referenced in the survey will include those that the evaluator determines are program factors and non-program factors that could potentially impact the participant decision making process. A participant rating shall be obtained for each relevant program and non-program factor.</w:t>
      </w:r>
      <w:r>
        <w:rPr>
          <w:rFonts w:eastAsia="Franklin Gothic Book"/>
        </w:rPr>
        <w:t xml:space="preserve"> </w:t>
      </w:r>
    </w:p>
    <w:p w14:paraId="666F8616" w14:textId="77777777" w:rsidR="00D34C6E" w:rsidRPr="009B67BF" w:rsidRDefault="00D34C6E" w:rsidP="00D34C6E">
      <w:pPr>
        <w:rPr>
          <w:rFonts w:eastAsia="Franklin Gothic Book"/>
        </w:rPr>
      </w:pPr>
      <w:r w:rsidRPr="009B67BF">
        <w:rPr>
          <w:rFonts w:eastAsia="Franklin Gothic Book"/>
        </w:rPr>
        <w:t xml:space="preserve">Evaluators will calculate the </w:t>
      </w:r>
      <w:r>
        <w:rPr>
          <w:rFonts w:eastAsia="Franklin Gothic Book"/>
        </w:rPr>
        <w:t>“</w:t>
      </w:r>
      <w:r w:rsidRPr="009B67BF">
        <w:rPr>
          <w:rFonts w:eastAsia="Franklin Gothic Book"/>
        </w:rPr>
        <w:t xml:space="preserve">Program Components </w:t>
      </w:r>
      <w:r>
        <w:rPr>
          <w:rFonts w:eastAsia="Franklin Gothic Book"/>
        </w:rPr>
        <w:t xml:space="preserve">FR </w:t>
      </w:r>
      <w:r w:rsidRPr="009B67BF">
        <w:rPr>
          <w:rFonts w:eastAsia="Franklin Gothic Book"/>
        </w:rPr>
        <w:t>Score</w:t>
      </w:r>
      <w:r>
        <w:rPr>
          <w:rFonts w:eastAsia="Franklin Gothic Book"/>
        </w:rPr>
        <w:t>”</w:t>
      </w:r>
      <w:r w:rsidRPr="009B67BF">
        <w:rPr>
          <w:rFonts w:eastAsia="Franklin Gothic Book"/>
        </w:rPr>
        <w:t xml:space="preserve"> for each survey respondent </w:t>
      </w:r>
      <w:r>
        <w:rPr>
          <w:rFonts w:eastAsia="Franklin Gothic Book"/>
        </w:rPr>
        <w:t>using the following equation:</w:t>
      </w:r>
      <w:r w:rsidRPr="009B67BF">
        <w:rPr>
          <w:rFonts w:eastAsia="Franklin Gothic Book"/>
        </w:rPr>
        <w:t xml:space="preserve"> </w:t>
      </w:r>
    </w:p>
    <w:p w14:paraId="5F77EE48" w14:textId="3274656D" w:rsidR="00D34C6E" w:rsidRPr="008E4AD4" w:rsidRDefault="00016B3F" w:rsidP="00D34C6E">
      <w:pPr>
        <w:keepNext/>
        <w:ind w:left="720"/>
        <w:rPr>
          <w:rFonts w:eastAsia="Franklin Gothic Book"/>
        </w:rPr>
      </w:pPr>
      <m:oMathPara>
        <m:oMathParaPr>
          <m:jc m:val="center"/>
        </m:oMathParaPr>
        <m:oMath>
          <m:r>
            <w:rPr>
              <w:rFonts w:ascii="Cambria Math" w:eastAsia="Franklin Gothic Book" w:hAnsi="Cambria Math"/>
            </w:rPr>
            <m:t xml:space="preserve">Program Components FR Score  =  1 - </m:t>
          </m:r>
          <m:d>
            <m:dPr>
              <m:ctrlPr>
                <w:rPr>
                  <w:rFonts w:ascii="Cambria Math" w:eastAsia="Franklin Gothic Book" w:hAnsi="Cambria Math"/>
                  <w:i/>
                </w:rPr>
              </m:ctrlPr>
            </m:dPr>
            <m:e>
              <m:f>
                <m:fPr>
                  <m:ctrlPr>
                    <w:rPr>
                      <w:rFonts w:ascii="Cambria Math" w:eastAsia="Franklin Gothic Book" w:hAnsi="Cambria Math"/>
                      <w:i/>
                    </w:rPr>
                  </m:ctrlPr>
                </m:fPr>
                <m:num>
                  <m:d>
                    <m:dPr>
                      <m:begChr m:val="["/>
                      <m:endChr m:val="]"/>
                      <m:ctrlPr>
                        <w:rPr>
                          <w:rFonts w:ascii="Cambria Math" w:eastAsia="Franklin Gothic Book" w:hAnsi="Cambria Math"/>
                          <w:i/>
                        </w:rPr>
                      </m:ctrlPr>
                    </m:dPr>
                    <m:e>
                      <m:r>
                        <w:rPr>
                          <w:rFonts w:ascii="Cambria Math" w:eastAsia="Franklin Gothic Book" w:hAnsi="Cambria Math"/>
                        </w:rPr>
                        <m:t>Maximum Program Factor Rating</m:t>
                      </m:r>
                    </m:e>
                  </m:d>
                </m:num>
                <m:den>
                  <m:r>
                    <w:rPr>
                      <w:rFonts w:ascii="Cambria Math" w:eastAsia="Franklin Gothic Book" w:hAnsi="Cambria Math"/>
                    </w:rPr>
                    <m:t>10</m:t>
                  </m:r>
                </m:den>
              </m:f>
            </m:e>
          </m:d>
          <m:r>
            <w:rPr>
              <w:rFonts w:ascii="Cambria Math" w:eastAsia="Franklin Gothic Book" w:hAnsi="Cambria Math"/>
            </w:rPr>
            <m:t>.</m:t>
          </m:r>
        </m:oMath>
      </m:oMathPara>
    </w:p>
    <w:p w14:paraId="16FD1667" w14:textId="0A49266C" w:rsidR="00D34C6E" w:rsidRDefault="00D34C6E" w:rsidP="00D34C6E">
      <w:pPr>
        <w:rPr>
          <w:rFonts w:eastAsia="Franklin Gothic Book"/>
        </w:rPr>
      </w:pPr>
      <w:r w:rsidRPr="009B67BF">
        <w:rPr>
          <w:rFonts w:eastAsia="Franklin Gothic Book"/>
        </w:rPr>
        <w:t>The</w:t>
      </w:r>
      <w:r>
        <w:rPr>
          <w:rFonts w:eastAsia="Franklin Gothic Book"/>
        </w:rPr>
        <w:t>se</w:t>
      </w:r>
      <w:r w:rsidRPr="009B67BF">
        <w:rPr>
          <w:rFonts w:eastAsia="Franklin Gothic Book"/>
        </w:rPr>
        <w:t xml:space="preserve"> scores can range from 0 (no free ridership) to 1 (full free rider).</w:t>
      </w:r>
      <w:r w:rsidRPr="006A3256">
        <w:rPr>
          <w:rFonts w:eastAsia="Franklin Gothic Book"/>
        </w:rPr>
        <w:t xml:space="preserve"> </w:t>
      </w:r>
      <w:r>
        <w:rPr>
          <w:rFonts w:eastAsia="Franklin Gothic Book"/>
        </w:rPr>
        <w:t>Since the algorithm uses the numerical rating for the Program Component receiving the highest score, it is important that such scoring be accurate. To facilitate this, the scores feeding into the</w:t>
      </w:r>
      <w:r w:rsidRPr="006A3256">
        <w:rPr>
          <w:rFonts w:eastAsia="Franklin Gothic Book"/>
        </w:rPr>
        <w:t xml:space="preserve"> Program Components </w:t>
      </w:r>
      <w:r>
        <w:rPr>
          <w:rFonts w:eastAsia="Franklin Gothic Book"/>
        </w:rPr>
        <w:t xml:space="preserve">FR Score calculation can be </w:t>
      </w:r>
      <w:r w:rsidRPr="006A3256">
        <w:rPr>
          <w:rFonts w:eastAsia="Franklin Gothic Book"/>
        </w:rPr>
        <w:t xml:space="preserve">enhanced by adjusting survey wording and adding consistency checks around </w:t>
      </w:r>
      <w:r>
        <w:rPr>
          <w:rFonts w:eastAsia="Franklin Gothic Book"/>
        </w:rPr>
        <w:t xml:space="preserve">specific </w:t>
      </w:r>
      <w:r w:rsidRPr="006A3256">
        <w:rPr>
          <w:rFonts w:eastAsia="Franklin Gothic Book"/>
        </w:rPr>
        <w:t xml:space="preserve">program components to seek clarification on how they influenced </w:t>
      </w:r>
      <w:r w:rsidR="00885B48" w:rsidRPr="006A3256">
        <w:rPr>
          <w:rFonts w:eastAsia="Franklin Gothic Book"/>
        </w:rPr>
        <w:t>decision making</w:t>
      </w:r>
      <w:r w:rsidRPr="006A3256">
        <w:rPr>
          <w:rFonts w:eastAsia="Franklin Gothic Book"/>
        </w:rPr>
        <w:t>.</w:t>
      </w:r>
      <w:r>
        <w:rPr>
          <w:rFonts w:eastAsia="Franklin Gothic Book"/>
        </w:rPr>
        <w:t xml:space="preserve">  For those program components receiving scores of 8, 9 or 10, additional questions can be included to determine why that specific score was given, and further, how that Program Component specifically influenced the participant’s decision to upgrade to energy efficient equipment. </w:t>
      </w:r>
    </w:p>
    <w:p w14:paraId="06512385" w14:textId="77777777" w:rsidR="00D34C6E" w:rsidRPr="009B67BF" w:rsidRDefault="00D34C6E" w:rsidP="00D34C6E">
      <w:pPr>
        <w:widowControl/>
        <w:spacing w:after="0"/>
        <w:jc w:val="left"/>
        <w:textAlignment w:val="baseline"/>
        <w:rPr>
          <w:rFonts w:eastAsia="Franklin Gothic Book"/>
        </w:rPr>
      </w:pPr>
    </w:p>
    <w:p w14:paraId="71CC5E56" w14:textId="77777777" w:rsidR="00D34C6E" w:rsidRPr="009B67BF" w:rsidRDefault="00D34C6E" w:rsidP="00D34C6E">
      <w:pPr>
        <w:rPr>
          <w:rFonts w:eastAsia="Franklin Gothic Book"/>
        </w:rPr>
      </w:pPr>
      <w:r>
        <w:rPr>
          <w:rFonts w:eastAsia="Franklin Gothic Book"/>
        </w:rPr>
        <w:t xml:space="preserve">Evaluation reports should list all factors considered program and non-program factors. </w:t>
      </w:r>
      <w:r w:rsidRPr="009B67BF">
        <w:rPr>
          <w:rFonts w:eastAsia="Franklin Gothic Book"/>
        </w:rPr>
        <w:t>Evaluators must document why factors were treated as program factors or non-program factors.</w:t>
      </w:r>
    </w:p>
    <w:p w14:paraId="484BEBD9" w14:textId="6AF0641B" w:rsidR="00D34C6E" w:rsidRPr="00436AF2" w:rsidRDefault="00D34C6E" w:rsidP="00D34C6E">
      <w:pPr>
        <w:pStyle w:val="Heading5"/>
        <w:numPr>
          <w:ilvl w:val="4"/>
          <w:numId w:val="8"/>
        </w:numPr>
      </w:pPr>
      <w:bookmarkStart w:id="1144" w:name="_Toc442804229"/>
      <w:bookmarkStart w:id="1145" w:name="_Toc442805446"/>
      <w:r w:rsidRPr="00436AF2">
        <w:t xml:space="preserve">Program Influence </w:t>
      </w:r>
      <w:r>
        <w:t xml:space="preserve">FR </w:t>
      </w:r>
      <w:r w:rsidRPr="00436AF2">
        <w:t>Score</w:t>
      </w:r>
      <w:bookmarkEnd w:id="1144"/>
      <w:bookmarkEnd w:id="1145"/>
    </w:p>
    <w:p w14:paraId="23A3BF2C" w14:textId="77777777" w:rsidR="00D34C6E" w:rsidRDefault="00D34C6E" w:rsidP="00D34C6E">
      <w:pPr>
        <w:widowControl/>
        <w:spacing w:after="0"/>
        <w:jc w:val="left"/>
        <w:textAlignment w:val="baseline"/>
        <w:rPr>
          <w:rFonts w:eastAsia="Franklin Gothic Book"/>
        </w:rPr>
      </w:pPr>
      <w:r w:rsidRPr="009B67BF">
        <w:rPr>
          <w:rFonts w:eastAsia="Franklin Gothic Book"/>
        </w:rPr>
        <w:t xml:space="preserve">Evaluators will administer a survey question that asks respondents to quantify the importance </w:t>
      </w:r>
      <w:r>
        <w:rPr>
          <w:rFonts w:eastAsia="Franklin Gothic Book"/>
        </w:rPr>
        <w:t xml:space="preserve">(or impact) </w:t>
      </w:r>
      <w:r w:rsidRPr="009B67BF">
        <w:rPr>
          <w:rFonts w:eastAsia="Franklin Gothic Book"/>
        </w:rPr>
        <w:t xml:space="preserve">of the program on the decision to implement energy efficiency measures relative to the importance </w:t>
      </w:r>
      <w:r>
        <w:rPr>
          <w:rFonts w:eastAsia="Franklin Gothic Book"/>
        </w:rPr>
        <w:t>(</w:t>
      </w:r>
      <w:r w:rsidRPr="009B67BF">
        <w:rPr>
          <w:rFonts w:eastAsia="Franklin Gothic Book"/>
        </w:rPr>
        <w:t>or impact</w:t>
      </w:r>
      <w:r>
        <w:rPr>
          <w:rFonts w:eastAsia="Franklin Gothic Book"/>
        </w:rPr>
        <w:t>)</w:t>
      </w:r>
      <w:r w:rsidRPr="009B67BF">
        <w:rPr>
          <w:rFonts w:eastAsia="Franklin Gothic Book"/>
        </w:rPr>
        <w:t xml:space="preserve"> of non-program factors. Respondents will be asked to allocate a total of 100 points to the program and to non-program </w:t>
      </w:r>
      <w:r w:rsidRPr="009B67BF">
        <w:rPr>
          <w:rFonts w:eastAsia="Franklin Gothic Book"/>
        </w:rPr>
        <w:lastRenderedPageBreak/>
        <w:t xml:space="preserve">factors. </w:t>
      </w:r>
      <w:r>
        <w:rPr>
          <w:rFonts w:eastAsia="Franklin Gothic Book"/>
        </w:rPr>
        <w:t xml:space="preserve">Unlike the factor ratings that go into the Program Components FR Score, this question asks respondents to explicitly make a trade-off between the program and non-program factors, i.e., it assesses the importance of the program </w:t>
      </w:r>
      <w:r w:rsidRPr="003B3C15">
        <w:rPr>
          <w:rFonts w:eastAsia="Franklin Gothic Book"/>
          <w:i/>
        </w:rPr>
        <w:t>relative to</w:t>
      </w:r>
      <w:r>
        <w:rPr>
          <w:rFonts w:eastAsia="Franklin Gothic Book"/>
        </w:rPr>
        <w:t xml:space="preserve"> non-program factors.</w:t>
      </w:r>
    </w:p>
    <w:p w14:paraId="5BE9BE91" w14:textId="77777777" w:rsidR="00D34C6E" w:rsidRDefault="00D34C6E" w:rsidP="00D34C6E">
      <w:pPr>
        <w:widowControl/>
        <w:spacing w:after="0"/>
        <w:jc w:val="left"/>
        <w:textAlignment w:val="baseline"/>
        <w:rPr>
          <w:rFonts w:eastAsia="Franklin Gothic Book"/>
        </w:rPr>
      </w:pPr>
    </w:p>
    <w:p w14:paraId="3140BABC" w14:textId="2A89B56D" w:rsidR="00D34C6E" w:rsidRDefault="00D34C6E" w:rsidP="00D34C6E">
      <w:pPr>
        <w:widowControl/>
        <w:spacing w:after="0"/>
        <w:jc w:val="left"/>
        <w:textAlignment w:val="baseline"/>
      </w:pPr>
      <w:r w:rsidRPr="009B67BF">
        <w:rPr>
          <w:rFonts w:eastAsia="Franklin Gothic Book"/>
        </w:rPr>
        <w:t xml:space="preserve">The points allocated to the program by the participants are the </w:t>
      </w:r>
      <w:r>
        <w:rPr>
          <w:rFonts w:eastAsia="Franklin Gothic Book"/>
        </w:rPr>
        <w:t>“</w:t>
      </w:r>
      <w:r w:rsidRPr="009B67BF">
        <w:rPr>
          <w:rFonts w:eastAsia="Franklin Gothic Book"/>
        </w:rPr>
        <w:t>Program Points.</w:t>
      </w:r>
      <w:r>
        <w:rPr>
          <w:rFonts w:eastAsia="Franklin Gothic Book"/>
        </w:rPr>
        <w:t>”</w:t>
      </w:r>
      <w:r w:rsidRPr="009B67BF">
        <w:rPr>
          <w:rFonts w:eastAsia="Franklin Gothic Book"/>
        </w:rPr>
        <w:t xml:space="preserve"> Evaluators will calculate the </w:t>
      </w:r>
      <w:r>
        <w:rPr>
          <w:rFonts w:eastAsia="Franklin Gothic Book"/>
        </w:rPr>
        <w:t>“</w:t>
      </w:r>
      <w:r w:rsidRPr="009B67BF">
        <w:rPr>
          <w:rFonts w:eastAsia="Franklin Gothic Book"/>
        </w:rPr>
        <w:t>Program Influence</w:t>
      </w:r>
      <w:r>
        <w:rPr>
          <w:rFonts w:eastAsia="Franklin Gothic Book"/>
        </w:rPr>
        <w:t xml:space="preserve"> FR</w:t>
      </w:r>
      <w:r w:rsidRPr="009B67BF">
        <w:rPr>
          <w:rFonts w:eastAsia="Franklin Gothic Book"/>
        </w:rPr>
        <w:t xml:space="preserve"> Score</w:t>
      </w:r>
      <w:r>
        <w:rPr>
          <w:rFonts w:eastAsia="Franklin Gothic Book"/>
        </w:rPr>
        <w:t>”</w:t>
      </w:r>
      <w:r w:rsidRPr="009B67BF">
        <w:rPr>
          <w:rFonts w:eastAsia="Franklin Gothic Book"/>
        </w:rPr>
        <w:t xml:space="preserve"> as 1</w:t>
      </w:r>
      <w:r>
        <w:rPr>
          <w:rFonts w:eastAsia="Franklin Gothic Book"/>
        </w:rPr>
        <w:t xml:space="preserve"> </w:t>
      </w:r>
      <w:r w:rsidRPr="009B67BF">
        <w:rPr>
          <w:rFonts w:eastAsia="Franklin Gothic Book"/>
        </w:rPr>
        <w:t>-</w:t>
      </w:r>
      <w:r>
        <w:rPr>
          <w:rFonts w:eastAsia="Franklin Gothic Book"/>
        </w:rPr>
        <w:t xml:space="preserve"> (</w:t>
      </w:r>
      <w:r w:rsidRPr="009B67BF">
        <w:rPr>
          <w:rFonts w:eastAsia="Franklin Gothic Book"/>
        </w:rPr>
        <w:t>Program Points/100</w:t>
      </w:r>
      <w:r>
        <w:rPr>
          <w:rFonts w:eastAsia="Franklin Gothic Book"/>
        </w:rPr>
        <w:t>)</w:t>
      </w:r>
      <w:r w:rsidRPr="009B67BF">
        <w:rPr>
          <w:rFonts w:eastAsia="Franklin Gothic Book"/>
        </w:rPr>
        <w:t>. Th</w:t>
      </w:r>
      <w:r>
        <w:rPr>
          <w:rFonts w:eastAsia="Franklin Gothic Book"/>
        </w:rPr>
        <w:t xml:space="preserve">is </w:t>
      </w:r>
      <w:r w:rsidRPr="009B67BF">
        <w:rPr>
          <w:rFonts w:eastAsia="Franklin Gothic Book"/>
        </w:rPr>
        <w:t>score can range from 0 (no free ridership) to 1 (full free rider</w:t>
      </w:r>
      <w:bookmarkStart w:id="1146" w:name="V8_33"/>
      <w:r w:rsidRPr="009B67BF">
        <w:rPr>
          <w:rFonts w:eastAsia="Franklin Gothic Book"/>
        </w:rPr>
        <w:t>).</w:t>
      </w:r>
      <w:r w:rsidRPr="00E42994">
        <w:t xml:space="preserve"> </w:t>
      </w:r>
    </w:p>
    <w:p w14:paraId="1B489404" w14:textId="77777777" w:rsidR="00D34C6E" w:rsidRDefault="00D34C6E" w:rsidP="00D34C6E">
      <w:pPr>
        <w:widowControl/>
        <w:spacing w:after="0"/>
        <w:jc w:val="left"/>
        <w:textAlignment w:val="baseline"/>
      </w:pPr>
    </w:p>
    <w:p w14:paraId="5A22175E" w14:textId="602055CB" w:rsidR="00D34C6E" w:rsidRDefault="00D34C6E" w:rsidP="00D34C6E">
      <w:pPr>
        <w:widowControl/>
        <w:spacing w:after="0"/>
        <w:jc w:val="left"/>
        <w:textAlignment w:val="baseline"/>
      </w:pPr>
      <w:r>
        <w:t>Before asking respondents to allocate the 100 points, it is important to remind them what is meant by “program” and “non-program factors.” Otherwise, they might inadvertently divide the points based on an incorrect understanding of the two concepts. The following wording is suggested for use prior to the 100 points question. While the evaluator can make changes to this wording, as needed, to reflect the details of the program, the evaluator must follow the TRM’s guidance around reading in program and non-program factors.</w:t>
      </w:r>
    </w:p>
    <w:p w14:paraId="68E75121" w14:textId="77777777" w:rsidR="00D34C6E" w:rsidRPr="009B67BF" w:rsidRDefault="00D34C6E" w:rsidP="00D34C6E">
      <w:pPr>
        <w:widowControl/>
        <w:spacing w:after="0"/>
        <w:jc w:val="left"/>
        <w:textAlignment w:val="baseline"/>
        <w:rPr>
          <w:rFonts w:eastAsia="Franklin Gothic Book"/>
        </w:rPr>
      </w:pPr>
    </w:p>
    <w:p w14:paraId="0D2052FB" w14:textId="35821D24" w:rsidR="00D34C6E" w:rsidRPr="001925F1" w:rsidRDefault="00D34C6E" w:rsidP="00D34C6E">
      <w:pPr>
        <w:ind w:left="720"/>
        <w:rPr>
          <w:i/>
          <w:iCs/>
        </w:rPr>
      </w:pPr>
      <w:r>
        <w:rPr>
          <w:i/>
          <w:iCs/>
        </w:rPr>
        <w:t>Program factors include:</w:t>
      </w:r>
    </w:p>
    <w:p w14:paraId="2C1C218E" w14:textId="4F7370E8" w:rsidR="00D34C6E" w:rsidRDefault="00D34C6E" w:rsidP="00D34C6E">
      <w:pPr>
        <w:ind w:left="720"/>
      </w:pPr>
      <w:r>
        <w:t>[READ IN A MINIMUM OF TWO PROGRAM FACTORS, SELECTED BY CHOOSING THOSE THAT RECEIVED THE HIGHEST TWO SCORES AMONG ALL PROGRAM COMPONENTS IN THE PROGRAM COMPONENTS SECTION. THE EVALUATOR MAY CHOOSE TO READ IN ADDITIONAL FACTORS AT THEIR DISCRETION, ALSO CHOSEN BY SELECTING THOSE THAT RECEIVED THE NEXT HIGHEST SCORES IN THE PROGRAM COMPONENTS SECTION AMONG PROGRAM COMPONENTS. IF FACTORS ARE TIED IN SCORE, EVALUATORS MAY WISH TO READ IN ALL TIED FACTORS, OR RANDOMIZE SELECTION OF TWO OR MORE FACTORS.]</w:t>
      </w:r>
    </w:p>
    <w:p w14:paraId="4E400B2B" w14:textId="57E77E76" w:rsidR="00D34C6E" w:rsidRPr="001925F1" w:rsidRDefault="00D34C6E" w:rsidP="00D34C6E">
      <w:pPr>
        <w:ind w:left="720"/>
        <w:rPr>
          <w:i/>
          <w:iCs/>
        </w:rPr>
      </w:pPr>
      <w:r>
        <w:rPr>
          <w:i/>
          <w:iCs/>
        </w:rPr>
        <w:t>Non-program factors include:</w:t>
      </w:r>
    </w:p>
    <w:p w14:paraId="09F94E83" w14:textId="3683FFB0" w:rsidR="00D34C6E" w:rsidRDefault="00D34C6E" w:rsidP="00D34C6E">
      <w:pPr>
        <w:ind w:left="720"/>
      </w:pPr>
      <w:r>
        <w:t>[READ IN A MINIMUM OF TWO NON-PROGRAM FACTORS, SELECTED BY CHOOSING THOSE THAT RECEIVED THE HIGHEST TWO SCORES AMONG ALL NON-PROGRAM COMPONENTS IN THE PROGRAM COMPONENTS SECTION. THE EVALUATOR MAY CHOOSE TO READ IN ADDITIONAL FACTORS AT THEIR DISCRETION, ALSO CHOSEN BY SELECTING THOSE THAT RECEIVED THE NEXT HIGHEST SCORES IN THE PROGRAM COMPONENTS SECTION.</w:t>
      </w:r>
      <w:r w:rsidRPr="001925F1">
        <w:t xml:space="preserve"> </w:t>
      </w:r>
      <w:r>
        <w:t>IF FACTORS ARE TIED IN SCORE, EVALUATORS MAY WISH TO READ IN ALL TIED FACTORS, OR RANDOMIZE SELECTION OF TWO OR MORE FACTORS.]</w:t>
      </w:r>
    </w:p>
    <w:p w14:paraId="556D779E" w14:textId="2BE5F759" w:rsidR="00D34C6E" w:rsidRPr="001925F1" w:rsidRDefault="00D34C6E" w:rsidP="00D34C6E">
      <w:pPr>
        <w:ind w:left="720"/>
      </w:pPr>
      <w:r w:rsidRPr="00434692">
        <w:t xml:space="preserve">ONCE THESE PROGRAM AND NON-PROGRAM FACTORS ARE IDENTIFIED, THE </w:t>
      </w:r>
      <w:r w:rsidR="00B37A07">
        <w:t>E</w:t>
      </w:r>
      <w:r w:rsidR="00E0517C">
        <w:t xml:space="preserve">VALUATOR </w:t>
      </w:r>
      <w:r w:rsidRPr="00434692">
        <w:t>SHOULD READ BOTH LISTS TO THE RESPONDENT BEFORE ASKING THE 100-POINTS ALLOCATION QUESTION.</w:t>
      </w:r>
      <w:r>
        <w:t xml:space="preserve"> </w:t>
      </w:r>
    </w:p>
    <w:p w14:paraId="6392CADA" w14:textId="77777777" w:rsidR="00D34C6E" w:rsidRPr="00436AF2" w:rsidRDefault="00D34C6E" w:rsidP="00D34C6E">
      <w:pPr>
        <w:pStyle w:val="Heading5"/>
        <w:numPr>
          <w:ilvl w:val="4"/>
          <w:numId w:val="8"/>
        </w:numPr>
      </w:pPr>
      <w:bookmarkStart w:id="1147" w:name="_Toc442804230"/>
      <w:bookmarkStart w:id="1148" w:name="_Toc442805447"/>
      <w:bookmarkEnd w:id="1146"/>
      <w:r w:rsidRPr="00436AF2">
        <w:t>No-Program</w:t>
      </w:r>
      <w:r>
        <w:t xml:space="preserve"> FR</w:t>
      </w:r>
      <w:r w:rsidRPr="00436AF2">
        <w:t xml:space="preserve"> </w:t>
      </w:r>
      <w:r>
        <w:t>Score</w:t>
      </w:r>
      <w:bookmarkEnd w:id="1147"/>
      <w:bookmarkEnd w:id="1148"/>
    </w:p>
    <w:p w14:paraId="117D00F6" w14:textId="4E7098D6" w:rsidR="00D34C6E" w:rsidRDefault="00D34C6E" w:rsidP="00D34C6E">
      <w:pPr>
        <w:rPr>
          <w:rFonts w:eastAsia="Franklin Gothic Book"/>
        </w:rPr>
      </w:pPr>
      <w:r w:rsidRPr="009B67BF">
        <w:rPr>
          <w:rFonts w:eastAsia="Franklin Gothic Book"/>
        </w:rPr>
        <w:t xml:space="preserve">Evaluators will administer a </w:t>
      </w:r>
      <w:r>
        <w:rPr>
          <w:rFonts w:eastAsia="Franklin Gothic Book"/>
        </w:rPr>
        <w:t xml:space="preserve">counterfactual likelihood </w:t>
      </w:r>
      <w:r w:rsidRPr="009B67BF">
        <w:rPr>
          <w:rFonts w:eastAsia="Franklin Gothic Book"/>
        </w:rPr>
        <w:t>survey question</w:t>
      </w:r>
      <w:r>
        <w:rPr>
          <w:rFonts w:eastAsia="Franklin Gothic Book"/>
        </w:rPr>
        <w:t>. This question will</w:t>
      </w:r>
      <w:r w:rsidRPr="009B67BF">
        <w:rPr>
          <w:rFonts w:eastAsia="Franklin Gothic Book"/>
        </w:rPr>
        <w:t xml:space="preserve"> obtain respondent ratings on a 0</w:t>
      </w:r>
      <w:r>
        <w:rPr>
          <w:rFonts w:eastAsia="Franklin Gothic Book"/>
        </w:rPr>
        <w:t xml:space="preserve"> </w:t>
      </w:r>
      <w:r w:rsidRPr="009B67BF">
        <w:rPr>
          <w:rFonts w:eastAsia="Franklin Gothic Book"/>
        </w:rPr>
        <w:t>to</w:t>
      </w:r>
      <w:r>
        <w:rPr>
          <w:rFonts w:eastAsia="Franklin Gothic Book"/>
        </w:rPr>
        <w:t xml:space="preserve"> </w:t>
      </w:r>
      <w:r w:rsidRPr="009B67BF">
        <w:rPr>
          <w:rFonts w:eastAsia="Franklin Gothic Book"/>
        </w:rPr>
        <w:t>10-point numeric scale</w:t>
      </w:r>
      <w:r>
        <w:rPr>
          <w:rFonts w:eastAsia="Franklin Gothic Book"/>
        </w:rPr>
        <w:t xml:space="preserve"> (where 0 means “not at all likely” and 10 means “extremely likely”)</w:t>
      </w:r>
      <w:r w:rsidRPr="009B67BF">
        <w:rPr>
          <w:rFonts w:eastAsia="Franklin Gothic Book"/>
        </w:rPr>
        <w:t xml:space="preserve"> of the </w:t>
      </w:r>
      <w:bookmarkStart w:id="1149" w:name="V8_Same"/>
      <w:r w:rsidRPr="009B67BF">
        <w:rPr>
          <w:rFonts w:eastAsia="Franklin Gothic Book"/>
        </w:rPr>
        <w:t>likelihood of the respondent</w:t>
      </w:r>
      <w:r>
        <w:rPr>
          <w:rFonts w:eastAsia="Franklin Gothic Book"/>
        </w:rPr>
        <w:t xml:space="preserve">, absent the program, </w:t>
      </w:r>
      <w:r w:rsidRPr="009B67BF">
        <w:rPr>
          <w:rFonts w:eastAsia="Franklin Gothic Book"/>
        </w:rPr>
        <w:t xml:space="preserve">to implement </w:t>
      </w:r>
      <w:r>
        <w:rPr>
          <w:rFonts w:eastAsia="Franklin Gothic Book"/>
        </w:rPr>
        <w:t xml:space="preserve">equipment of the same level of high efficiency as the unit </w:t>
      </w:r>
      <w:proofErr w:type="gramStart"/>
      <w:r>
        <w:rPr>
          <w:rFonts w:eastAsia="Franklin Gothic Book"/>
        </w:rPr>
        <w:t>they  installed</w:t>
      </w:r>
      <w:bookmarkEnd w:id="1149"/>
      <w:proofErr w:type="gramEnd"/>
      <w:r w:rsidRPr="009B67BF">
        <w:rPr>
          <w:rFonts w:eastAsia="Franklin Gothic Book"/>
        </w:rPr>
        <w:t xml:space="preserve">. Evaluators will calculate the </w:t>
      </w:r>
      <w:r>
        <w:rPr>
          <w:rFonts w:eastAsia="Franklin Gothic Book"/>
        </w:rPr>
        <w:t>“</w:t>
      </w:r>
      <w:r w:rsidRPr="009B67BF">
        <w:rPr>
          <w:rFonts w:eastAsia="Franklin Gothic Book"/>
        </w:rPr>
        <w:t xml:space="preserve">No-Program </w:t>
      </w:r>
      <w:r>
        <w:rPr>
          <w:rFonts w:eastAsia="Franklin Gothic Book"/>
        </w:rPr>
        <w:t xml:space="preserve">FR </w:t>
      </w:r>
      <w:r w:rsidRPr="009B67BF">
        <w:rPr>
          <w:rFonts w:eastAsia="Franklin Gothic Book"/>
        </w:rPr>
        <w:t>Score</w:t>
      </w:r>
      <w:r>
        <w:rPr>
          <w:rFonts w:eastAsia="Franklin Gothic Book"/>
        </w:rPr>
        <w:t>”</w:t>
      </w:r>
      <w:r w:rsidRPr="009B67BF">
        <w:rPr>
          <w:rFonts w:eastAsia="Franklin Gothic Book"/>
        </w:rPr>
        <w:t xml:space="preserve"> as the numeric score of the likelihood of the respondent to implement specified energy efficiency measures in the absence o</w:t>
      </w:r>
      <w:r>
        <w:rPr>
          <w:rFonts w:eastAsia="Franklin Gothic Book"/>
        </w:rPr>
        <w:t>f the program divided by 10. This</w:t>
      </w:r>
      <w:r w:rsidRPr="009B67BF">
        <w:rPr>
          <w:rFonts w:eastAsia="Franklin Gothic Book"/>
        </w:rPr>
        <w:t xml:space="preserve"> score can range from 0 (no free ridership) to 1 (full free rider).</w:t>
      </w:r>
    </w:p>
    <w:p w14:paraId="039AA933" w14:textId="77777777" w:rsidR="00D34C6E" w:rsidRPr="009B67BF" w:rsidRDefault="00D34C6E" w:rsidP="00D34C6E">
      <w:pPr>
        <w:rPr>
          <w:rFonts w:eastAsia="Franklin Gothic Book"/>
        </w:rPr>
      </w:pPr>
      <w:r w:rsidRPr="001070AA">
        <w:rPr>
          <w:rFonts w:eastAsia="Franklin Gothic Book"/>
        </w:rPr>
        <w:t>Note that under one of the two deferred free ridership specifications (see next subsection), a timing adjustment is applied to the “No-Program FR Score.” Under this specification, the resulting score is referred to as the “Adjusted</w:t>
      </w:r>
      <w:r w:rsidRPr="00556347">
        <w:rPr>
          <w:rFonts w:eastAsia="Franklin Gothic Book"/>
        </w:rPr>
        <w:t xml:space="preserve"> </w:t>
      </w:r>
      <w:r w:rsidRPr="00BD1D92">
        <w:rPr>
          <w:rFonts w:eastAsia="Franklin Gothic Book"/>
        </w:rPr>
        <w:t>No-Program FR Score.”</w:t>
      </w:r>
    </w:p>
    <w:p w14:paraId="5F59B61C" w14:textId="77777777" w:rsidR="00D34C6E" w:rsidRPr="00436AF2" w:rsidRDefault="00D34C6E" w:rsidP="00D34C6E">
      <w:pPr>
        <w:pStyle w:val="Heading5"/>
        <w:numPr>
          <w:ilvl w:val="4"/>
          <w:numId w:val="8"/>
        </w:numPr>
      </w:pPr>
      <w:bookmarkStart w:id="1150" w:name="_Toc442804231"/>
      <w:bookmarkStart w:id="1151" w:name="_Toc442805448"/>
      <w:bookmarkStart w:id="1152" w:name="_Ref466459216"/>
      <w:r w:rsidRPr="00436AF2">
        <w:t>Timing and Deferred Free Ridership</w:t>
      </w:r>
      <w:bookmarkEnd w:id="1150"/>
      <w:bookmarkEnd w:id="1151"/>
      <w:bookmarkEnd w:id="1152"/>
    </w:p>
    <w:p w14:paraId="0FAC2CF0" w14:textId="77777777" w:rsidR="00D34C6E" w:rsidRPr="009B67BF" w:rsidRDefault="00D34C6E" w:rsidP="00D34C6E">
      <w:pPr>
        <w:rPr>
          <w:rFonts w:eastAsia="Franklin Gothic Book"/>
        </w:rPr>
      </w:pPr>
      <w:r w:rsidRPr="009B67BF">
        <w:rPr>
          <w:rFonts w:eastAsia="Franklin Gothic Book"/>
        </w:rPr>
        <w:t xml:space="preserve">Evaluators will ask about the likely timing of measure installation in the absence of the program in two different ways. This is referred to as the counterfactual </w:t>
      </w:r>
      <w:r>
        <w:rPr>
          <w:rFonts w:eastAsia="Franklin Gothic Book"/>
        </w:rPr>
        <w:t xml:space="preserve">timing question </w:t>
      </w:r>
      <w:r w:rsidRPr="009B67BF">
        <w:rPr>
          <w:rFonts w:eastAsia="Franklin Gothic Book"/>
        </w:rPr>
        <w:t>since the evaluators are asking the respondent to speculate on what might have happened</w:t>
      </w:r>
      <w:r>
        <w:rPr>
          <w:rFonts w:eastAsia="Franklin Gothic Book"/>
        </w:rPr>
        <w:t xml:space="preserve"> within a particular timeframe</w:t>
      </w:r>
      <w:r w:rsidRPr="009B67BF">
        <w:rPr>
          <w:rFonts w:eastAsia="Franklin Gothic Book"/>
        </w:rPr>
        <w:t>.</w:t>
      </w:r>
    </w:p>
    <w:p w14:paraId="5B44A1B7" w14:textId="77777777" w:rsidR="00D34C6E" w:rsidRPr="009B67BF" w:rsidRDefault="00D34C6E" w:rsidP="00D34C6E">
      <w:pPr>
        <w:rPr>
          <w:rFonts w:eastAsia="Franklin Gothic Book"/>
        </w:rPr>
      </w:pPr>
      <w:r w:rsidRPr="009B67BF">
        <w:rPr>
          <w:rFonts w:eastAsia="Franklin Gothic Book"/>
        </w:rPr>
        <w:t xml:space="preserve">The </w:t>
      </w:r>
      <w:r>
        <w:rPr>
          <w:rFonts w:eastAsia="Franklin Gothic Book"/>
        </w:rPr>
        <w:t>first</w:t>
      </w:r>
      <w:r w:rsidRPr="009B67BF">
        <w:rPr>
          <w:rFonts w:eastAsia="Franklin Gothic Book"/>
        </w:rPr>
        <w:t xml:space="preserve"> question will present a series of date ranges (e.g., within one year, between 12 months and 2 years, etc.) and ask the respondent to pick one representing their best estimate of when the measure would have been implemented in the absence of the program. The </w:t>
      </w:r>
      <w:r>
        <w:rPr>
          <w:rFonts w:eastAsia="Franklin Gothic Book"/>
        </w:rPr>
        <w:t xml:space="preserve">free ridership </w:t>
      </w:r>
      <w:r w:rsidRPr="009B67BF">
        <w:rPr>
          <w:rFonts w:eastAsia="Franklin Gothic Book"/>
        </w:rPr>
        <w:t xml:space="preserve">algorithm uses the midpoint of each date range, referred to as </w:t>
      </w:r>
      <w:r>
        <w:rPr>
          <w:rFonts w:eastAsia="Franklin Gothic Book"/>
        </w:rPr>
        <w:t>“</w:t>
      </w:r>
      <w:r w:rsidRPr="009B67BF">
        <w:rPr>
          <w:rFonts w:eastAsia="Franklin Gothic Book"/>
        </w:rPr>
        <w:t>Number of Months Expedited</w:t>
      </w:r>
      <w:r>
        <w:rPr>
          <w:rFonts w:eastAsia="Franklin Gothic Book"/>
        </w:rPr>
        <w:t>”</w:t>
      </w:r>
      <w:r w:rsidRPr="009B67BF">
        <w:rPr>
          <w:rFonts w:eastAsia="Franklin Gothic Book"/>
        </w:rPr>
        <w:t xml:space="preserve"> below. For respondents that report accelerated adoption due to the </w:t>
      </w:r>
      <w:r w:rsidRPr="009B67BF">
        <w:rPr>
          <w:rFonts w:eastAsia="Franklin Gothic Book"/>
        </w:rPr>
        <w:lastRenderedPageBreak/>
        <w:t>program, this variable can take on values from 6 to 48 months.</w:t>
      </w:r>
    </w:p>
    <w:p w14:paraId="72FCE1F6" w14:textId="77777777" w:rsidR="00D34C6E" w:rsidRDefault="00D34C6E" w:rsidP="00D34C6E">
      <w:pPr>
        <w:rPr>
          <w:rFonts w:eastAsia="Franklin Gothic Book"/>
        </w:rPr>
      </w:pPr>
      <w:r w:rsidRPr="009B67BF">
        <w:rPr>
          <w:rFonts w:eastAsia="Franklin Gothic Book"/>
        </w:rPr>
        <w:t xml:space="preserve">The </w:t>
      </w:r>
      <w:r>
        <w:rPr>
          <w:rFonts w:eastAsia="Franklin Gothic Book"/>
        </w:rPr>
        <w:t>second</w:t>
      </w:r>
      <w:r w:rsidRPr="009B67BF">
        <w:rPr>
          <w:rFonts w:eastAsia="Franklin Gothic Book"/>
        </w:rPr>
        <w:t xml:space="preserve"> question will prompt the respondent to use a</w:t>
      </w:r>
      <w:r>
        <w:rPr>
          <w:rFonts w:eastAsia="Franklin Gothic Book"/>
        </w:rPr>
        <w:t xml:space="preserve"> 0 to 10-point</w:t>
      </w:r>
      <w:r w:rsidRPr="009B67BF">
        <w:rPr>
          <w:rFonts w:eastAsia="Franklin Gothic Book"/>
        </w:rPr>
        <w:t xml:space="preserve"> numeric scale to report the likelihood, in the absence of the program, of implementing the same measure within 12 months of when it was actually implemented. This is the </w:t>
      </w:r>
      <w:r>
        <w:rPr>
          <w:rFonts w:eastAsia="Franklin Gothic Book"/>
        </w:rPr>
        <w:t>“</w:t>
      </w:r>
      <w:r w:rsidRPr="009B67BF">
        <w:rPr>
          <w:rFonts w:eastAsia="Franklin Gothic Book"/>
        </w:rPr>
        <w:t>Likelihood of Implementing within One Year</w:t>
      </w:r>
      <w:r>
        <w:rPr>
          <w:rFonts w:eastAsia="Franklin Gothic Book"/>
        </w:rPr>
        <w:t>”</w:t>
      </w:r>
      <w:r w:rsidRPr="009B67BF">
        <w:rPr>
          <w:rFonts w:eastAsia="Franklin Gothic Book"/>
        </w:rPr>
        <w:t xml:space="preserve"> in the formulas below. </w:t>
      </w:r>
    </w:p>
    <w:p w14:paraId="6A759D90" w14:textId="77777777" w:rsidR="00D34C6E" w:rsidRDefault="00D34C6E" w:rsidP="00D34C6E">
      <w:pPr>
        <w:rPr>
          <w:rFonts w:eastAsia="Franklin Gothic Book"/>
        </w:rPr>
      </w:pPr>
      <w:r w:rsidRPr="009B67BF">
        <w:rPr>
          <w:rFonts w:eastAsia="Franklin Gothic Book"/>
        </w:rPr>
        <w:t xml:space="preserve">Evaluators will use the Likelihood of Implementing within One Year and/or the Number of Months Expedited variables to calculate </w:t>
      </w:r>
      <w:r>
        <w:rPr>
          <w:rFonts w:eastAsia="Franklin Gothic Book"/>
        </w:rPr>
        <w:t>two</w:t>
      </w:r>
      <w:r w:rsidRPr="009B67BF">
        <w:rPr>
          <w:rFonts w:eastAsia="Franklin Gothic Book"/>
        </w:rPr>
        <w:t xml:space="preserve"> alternative ways of accounting for deferred free ridership:</w:t>
      </w:r>
    </w:p>
    <w:p w14:paraId="3D2A9F9D" w14:textId="77777777" w:rsidR="00D34C6E" w:rsidRPr="009B67BF" w:rsidRDefault="00D34C6E" w:rsidP="00D34C6E">
      <w:pPr>
        <w:ind w:left="360" w:hanging="180"/>
        <w:rPr>
          <w:rFonts w:eastAsia="Franklin Gothic Book"/>
        </w:rPr>
      </w:pPr>
      <w:r w:rsidRPr="009B67BF">
        <w:rPr>
          <w:rFonts w:eastAsia="Franklin Gothic Book"/>
        </w:rPr>
        <w:t xml:space="preserve">1) Calculate </w:t>
      </w:r>
      <w:r w:rsidRPr="007F5DA2">
        <w:rPr>
          <w:rFonts w:eastAsia="Franklin Gothic Book"/>
          <w:i/>
        </w:rPr>
        <w:t>Timing Adjustment 1</w:t>
      </w:r>
      <w:r w:rsidRPr="009B67BF">
        <w:rPr>
          <w:rFonts w:eastAsia="Franklin Gothic Book"/>
        </w:rPr>
        <w:t xml:space="preserve"> as equal to: </w:t>
      </w:r>
    </w:p>
    <w:p w14:paraId="273A1F01" w14:textId="77777777" w:rsidR="00D34C6E" w:rsidRPr="001D4CEF" w:rsidRDefault="00D34C6E" w:rsidP="00D34C6E">
      <w:pPr>
        <w:jc w:val="center"/>
        <w:rPr>
          <w:rFonts w:eastAsia="Franklin Gothic Book"/>
          <w:i/>
        </w:rPr>
      </w:pPr>
      <w:r w:rsidRPr="001D4CEF">
        <w:rPr>
          <w:rFonts w:eastAsia="Franklin Gothic Book"/>
          <w:i/>
        </w:rPr>
        <w:t>1 - (Number of Months Expedited - 6)/42</w:t>
      </w:r>
    </w:p>
    <w:p w14:paraId="7BC44273" w14:textId="77777777" w:rsidR="00D34C6E" w:rsidRDefault="00D34C6E" w:rsidP="00D34C6E">
      <w:pPr>
        <w:ind w:left="360"/>
        <w:rPr>
          <w:rFonts w:eastAsia="Franklin Gothic Book"/>
        </w:rPr>
      </w:pPr>
      <w:r>
        <w:rPr>
          <w:rFonts w:eastAsia="Franklin Gothic Book"/>
        </w:rPr>
        <w:t xml:space="preserve">Timing Adjustment 1 is multiplied by the </w:t>
      </w:r>
      <w:r w:rsidRPr="009B67BF">
        <w:rPr>
          <w:rFonts w:eastAsia="Franklin Gothic Book"/>
        </w:rPr>
        <w:t xml:space="preserve">No-Program </w:t>
      </w:r>
      <w:r>
        <w:rPr>
          <w:rFonts w:eastAsia="Franklin Gothic Book"/>
        </w:rPr>
        <w:t xml:space="preserve">FR </w:t>
      </w:r>
      <w:r w:rsidRPr="009B67BF">
        <w:rPr>
          <w:rFonts w:eastAsia="Franklin Gothic Book"/>
        </w:rPr>
        <w:t>Score</w:t>
      </w:r>
      <w:r>
        <w:rPr>
          <w:rFonts w:eastAsia="Franklin Gothic Book"/>
        </w:rPr>
        <w:t>; it can range from 0 (full deferred free ridership) to 1 (no deferred free ridership). The application of Timing Adjustment 1 is shown in Figure 3-1.</w:t>
      </w:r>
    </w:p>
    <w:p w14:paraId="333634DB" w14:textId="77777777" w:rsidR="00D34C6E" w:rsidRPr="009B67BF" w:rsidRDefault="00D34C6E" w:rsidP="00D34C6E">
      <w:pPr>
        <w:spacing w:after="60"/>
        <w:ind w:left="360" w:hanging="180"/>
        <w:rPr>
          <w:rFonts w:eastAsia="Franklin Gothic Book"/>
        </w:rPr>
      </w:pPr>
      <w:r>
        <w:rPr>
          <w:rFonts w:eastAsia="Franklin Gothic Book"/>
        </w:rPr>
        <w:t>2</w:t>
      </w:r>
      <w:r w:rsidRPr="009B67BF">
        <w:rPr>
          <w:rFonts w:eastAsia="Franklin Gothic Book"/>
        </w:rPr>
        <w:t xml:space="preserve">) Calculate </w:t>
      </w:r>
      <w:r w:rsidRPr="007F5DA2">
        <w:rPr>
          <w:rFonts w:eastAsia="Franklin Gothic Book"/>
          <w:i/>
        </w:rPr>
        <w:t>Timing Adjustment 2</w:t>
      </w:r>
      <w:r w:rsidRPr="009B67BF">
        <w:rPr>
          <w:rFonts w:eastAsia="Franklin Gothic Book"/>
        </w:rPr>
        <w:t xml:space="preserve"> as equal to: </w:t>
      </w:r>
    </w:p>
    <w:p w14:paraId="419691CC" w14:textId="77777777" w:rsidR="00D34C6E" w:rsidRDefault="00D34C6E" w:rsidP="00D34C6E">
      <w:pPr>
        <w:jc w:val="center"/>
        <w:rPr>
          <w:rFonts w:eastAsia="Franklin Gothic Book"/>
          <w:i/>
        </w:rPr>
      </w:pPr>
      <w:r w:rsidRPr="001D4CEF">
        <w:rPr>
          <w:rFonts w:eastAsia="Franklin Gothic Book"/>
          <w:i/>
        </w:rPr>
        <w:t>1 - ((Number of Months Expedited - 6)/</w:t>
      </w:r>
      <w:proofErr w:type="gramStart"/>
      <w:r w:rsidRPr="001D4CEF">
        <w:rPr>
          <w:rFonts w:eastAsia="Franklin Gothic Book"/>
          <w:i/>
        </w:rPr>
        <w:t>42)*</w:t>
      </w:r>
      <w:proofErr w:type="gramEnd"/>
      <w:r w:rsidRPr="001D4CEF">
        <w:rPr>
          <w:rFonts w:eastAsia="Franklin Gothic Book"/>
          <w:i/>
        </w:rPr>
        <w:t>((10 - Likelihood of Implementing within One Year)/10)</w:t>
      </w:r>
    </w:p>
    <w:p w14:paraId="48640997" w14:textId="77777777" w:rsidR="00D34C6E" w:rsidRDefault="00D34C6E" w:rsidP="00D34C6E">
      <w:pPr>
        <w:ind w:left="360"/>
        <w:rPr>
          <w:rFonts w:eastAsia="Franklin Gothic Book"/>
        </w:rPr>
      </w:pPr>
      <w:r>
        <w:rPr>
          <w:rFonts w:eastAsia="Franklin Gothic Book"/>
        </w:rPr>
        <w:t xml:space="preserve">Timing Adjustment 2 is multiplied by the average of the Program Components FR Score, the Program Influence FR Score, and the </w:t>
      </w:r>
      <w:r w:rsidRPr="009B67BF">
        <w:rPr>
          <w:rFonts w:eastAsia="Franklin Gothic Book"/>
        </w:rPr>
        <w:t xml:space="preserve">No-Program </w:t>
      </w:r>
      <w:r>
        <w:rPr>
          <w:rFonts w:eastAsia="Franklin Gothic Book"/>
        </w:rPr>
        <w:t xml:space="preserve">FR </w:t>
      </w:r>
      <w:r w:rsidRPr="009B67BF">
        <w:rPr>
          <w:rFonts w:eastAsia="Franklin Gothic Book"/>
        </w:rPr>
        <w:t>Score</w:t>
      </w:r>
      <w:r>
        <w:rPr>
          <w:rFonts w:eastAsia="Franklin Gothic Book"/>
        </w:rPr>
        <w:t>; it can range from 0 (full deferred free ridership) to 1 (no deferred free ridership). The application of Timing Adjustment 2 is shown in Figure 3-2.</w:t>
      </w:r>
    </w:p>
    <w:p w14:paraId="40D0AE76" w14:textId="77777777" w:rsidR="00D34C6E" w:rsidRPr="009B67BF" w:rsidRDefault="00D34C6E" w:rsidP="00D34C6E">
      <w:pPr>
        <w:rPr>
          <w:rFonts w:eastAsia="Franklin Gothic Book"/>
        </w:rPr>
      </w:pPr>
      <w:r w:rsidRPr="009B67BF">
        <w:rPr>
          <w:rFonts w:eastAsia="Franklin Gothic Book"/>
        </w:rPr>
        <w:t>How these timing adjustment</w:t>
      </w:r>
      <w:r>
        <w:rPr>
          <w:rFonts w:eastAsia="Franklin Gothic Book"/>
        </w:rPr>
        <w:t>s</w:t>
      </w:r>
      <w:r w:rsidRPr="009B67BF">
        <w:rPr>
          <w:rFonts w:eastAsia="Franklin Gothic Book"/>
        </w:rPr>
        <w:t xml:space="preserve"> are accounted for in the </w:t>
      </w:r>
      <w:r>
        <w:rPr>
          <w:rFonts w:eastAsia="Franklin Gothic Book"/>
        </w:rPr>
        <w:t>calculation</w:t>
      </w:r>
      <w:r w:rsidRPr="009B67BF">
        <w:rPr>
          <w:rFonts w:eastAsia="Franklin Gothic Book"/>
        </w:rPr>
        <w:t xml:space="preserve"> of the </w:t>
      </w:r>
      <w:r>
        <w:rPr>
          <w:rFonts w:eastAsia="Franklin Gothic Book"/>
        </w:rPr>
        <w:t xml:space="preserve">Final FR Value </w:t>
      </w:r>
      <w:r w:rsidRPr="009B67BF">
        <w:rPr>
          <w:rFonts w:eastAsia="Franklin Gothic Book"/>
        </w:rPr>
        <w:t>is described below in the subsection “</w:t>
      </w:r>
      <w:r>
        <w:rPr>
          <w:rFonts w:eastAsia="Franklin Gothic Book"/>
        </w:rPr>
        <w:t>3.1.1.2 Construction of Core Free Ridership Value</w:t>
      </w:r>
      <w:r w:rsidRPr="009B67BF">
        <w:rPr>
          <w:rFonts w:eastAsia="Franklin Gothic Book"/>
        </w:rPr>
        <w:t>.”</w:t>
      </w:r>
    </w:p>
    <w:p w14:paraId="20C1BF15" w14:textId="77777777" w:rsidR="00D34C6E" w:rsidRPr="006D168B" w:rsidRDefault="00D34C6E" w:rsidP="00D34C6E">
      <w:pPr>
        <w:pStyle w:val="Heading5"/>
        <w:numPr>
          <w:ilvl w:val="4"/>
          <w:numId w:val="8"/>
        </w:numPr>
      </w:pPr>
      <w:bookmarkStart w:id="1153" w:name="_Toc442804232"/>
      <w:bookmarkStart w:id="1154" w:name="_Toc442805449"/>
      <w:r w:rsidRPr="006D168B">
        <w:t>Consistency Checks</w:t>
      </w:r>
      <w:bookmarkEnd w:id="1153"/>
      <w:bookmarkEnd w:id="1154"/>
    </w:p>
    <w:p w14:paraId="43CC56C7" w14:textId="50A417E4" w:rsidR="00D34C6E" w:rsidRPr="009B67BF" w:rsidRDefault="00D34C6E" w:rsidP="00D34C6E">
      <w:pPr>
        <w:rPr>
          <w:rFonts w:eastAsia="Franklin Gothic Book"/>
        </w:rPr>
      </w:pPr>
      <w:r w:rsidRPr="009B67BF">
        <w:rPr>
          <w:rFonts w:eastAsia="Franklin Gothic Book"/>
        </w:rPr>
        <w:t xml:space="preserve">Respondents </w:t>
      </w:r>
      <w:r>
        <w:rPr>
          <w:rFonts w:eastAsia="Franklin Gothic Book"/>
        </w:rPr>
        <w:t>may</w:t>
      </w:r>
      <w:r w:rsidRPr="009B67BF">
        <w:rPr>
          <w:rFonts w:eastAsia="Franklin Gothic Book"/>
        </w:rPr>
        <w:t xml:space="preserve"> be asked one or more questions to facilitate understanding and potentially reconcil</w:t>
      </w:r>
      <w:r>
        <w:rPr>
          <w:rFonts w:eastAsia="Franklin Gothic Book"/>
        </w:rPr>
        <w:t>e</w:t>
      </w:r>
      <w:r w:rsidRPr="009B67BF">
        <w:rPr>
          <w:rFonts w:eastAsia="Franklin Gothic Book"/>
        </w:rPr>
        <w:t xml:space="preserve"> apparently inconsistent responses. </w:t>
      </w:r>
      <w:r>
        <w:rPr>
          <w:rFonts w:eastAsia="Franklin Gothic Book"/>
        </w:rPr>
        <w:t xml:space="preserve">Some questions may be asked of all respondents; others may be asked when previous answers appear inconsistent. Evaluators should report on the amount of inconsistency encountered </w:t>
      </w:r>
      <w:r w:rsidR="005872DB">
        <w:rPr>
          <w:rFonts w:eastAsia="Franklin Gothic Book"/>
        </w:rPr>
        <w:t>and, on the resolution,</w:t>
      </w:r>
      <w:r>
        <w:rPr>
          <w:rFonts w:eastAsia="Franklin Gothic Book"/>
        </w:rPr>
        <w:t xml:space="preserve"> to inform future protocol revisions. </w:t>
      </w:r>
      <w:r w:rsidRPr="009B67BF">
        <w:rPr>
          <w:rFonts w:eastAsia="Franklin Gothic Book"/>
        </w:rPr>
        <w:t>Three consistency checks are outlined below.</w:t>
      </w:r>
    </w:p>
    <w:p w14:paraId="1129FB72" w14:textId="77777777" w:rsidR="00D34C6E" w:rsidRPr="00F96879" w:rsidRDefault="00D34C6E" w:rsidP="00D34C6E">
      <w:pPr>
        <w:keepNext/>
        <w:keepLines/>
        <w:rPr>
          <w:rFonts w:eastAsia="Franklin Gothic Book"/>
          <w:b/>
        </w:rPr>
      </w:pPr>
      <w:r w:rsidRPr="00F96879">
        <w:rPr>
          <w:rFonts w:eastAsia="Franklin Gothic Book"/>
          <w:b/>
        </w:rPr>
        <w:t>Program Influence/Program Components Consistency Check</w:t>
      </w:r>
    </w:p>
    <w:p w14:paraId="129FEE27" w14:textId="77777777" w:rsidR="00D34C6E" w:rsidRDefault="00D34C6E" w:rsidP="00D34C6E">
      <w:pPr>
        <w:keepNext/>
        <w:keepLines/>
        <w:rPr>
          <w:rFonts w:eastAsia="Franklin Gothic Book"/>
        </w:rPr>
      </w:pPr>
      <w:r w:rsidRPr="009B67BF">
        <w:rPr>
          <w:rFonts w:eastAsia="Franklin Gothic Book"/>
        </w:rPr>
        <w:t xml:space="preserve">A Program Influence/Program Components consistency check </w:t>
      </w:r>
      <w:r>
        <w:rPr>
          <w:rFonts w:eastAsia="Franklin Gothic Book"/>
        </w:rPr>
        <w:t>is</w:t>
      </w:r>
      <w:r w:rsidRPr="009B67BF">
        <w:rPr>
          <w:rFonts w:eastAsia="Franklin Gothic Book"/>
        </w:rPr>
        <w:t xml:space="preserve"> triggered </w:t>
      </w:r>
      <w:r>
        <w:rPr>
          <w:rFonts w:eastAsia="Franklin Gothic Book"/>
        </w:rPr>
        <w:t>when</w:t>
      </w:r>
      <w:r w:rsidRPr="009B67BF">
        <w:rPr>
          <w:rFonts w:eastAsia="Franklin Gothic Book"/>
        </w:rPr>
        <w:t xml:space="preserve"> the following conditions </w:t>
      </w:r>
      <w:r>
        <w:rPr>
          <w:rFonts w:eastAsia="Franklin Gothic Book"/>
        </w:rPr>
        <w:t xml:space="preserve">are </w:t>
      </w:r>
      <w:r w:rsidRPr="009B67BF">
        <w:rPr>
          <w:rFonts w:eastAsia="Franklin Gothic Book"/>
        </w:rPr>
        <w:t xml:space="preserve">met: </w:t>
      </w:r>
    </w:p>
    <w:p w14:paraId="1C800851" w14:textId="77777777" w:rsidR="00D34C6E" w:rsidRDefault="00D34C6E" w:rsidP="00D34C6E">
      <w:pPr>
        <w:spacing w:after="60"/>
        <w:ind w:left="720"/>
        <w:rPr>
          <w:rFonts w:eastAsia="Franklin Gothic Book"/>
        </w:rPr>
      </w:pPr>
      <w:r w:rsidRPr="009B67BF">
        <w:rPr>
          <w:rFonts w:eastAsia="Franklin Gothic Book"/>
        </w:rPr>
        <w:t xml:space="preserve">1) The </w:t>
      </w:r>
      <w:r>
        <w:rPr>
          <w:rFonts w:eastAsia="Franklin Gothic Book"/>
        </w:rPr>
        <w:t xml:space="preserve">number of Program Points (supporting calculation of the </w:t>
      </w:r>
      <w:r w:rsidRPr="009B67BF">
        <w:rPr>
          <w:rFonts w:eastAsia="Franklin Gothic Book"/>
        </w:rPr>
        <w:t xml:space="preserve">Program Influence </w:t>
      </w:r>
      <w:r>
        <w:rPr>
          <w:rFonts w:eastAsia="Franklin Gothic Book"/>
        </w:rPr>
        <w:t xml:space="preserve">FR </w:t>
      </w:r>
      <w:r w:rsidRPr="009B67BF">
        <w:rPr>
          <w:rFonts w:eastAsia="Franklin Gothic Book"/>
        </w:rPr>
        <w:t>Score</w:t>
      </w:r>
      <w:r>
        <w:rPr>
          <w:rFonts w:eastAsia="Franklin Gothic Book"/>
        </w:rPr>
        <w:t>)</w:t>
      </w:r>
      <w:r w:rsidRPr="009B67BF">
        <w:rPr>
          <w:rFonts w:eastAsia="Franklin Gothic Book"/>
        </w:rPr>
        <w:t xml:space="preserve"> is greater than 70</w:t>
      </w:r>
      <w:r>
        <w:rPr>
          <w:rFonts w:eastAsia="Franklin Gothic Book"/>
        </w:rPr>
        <w:t>;</w:t>
      </w:r>
      <w:r w:rsidRPr="009B67BF">
        <w:rPr>
          <w:rFonts w:eastAsia="Franklin Gothic Book"/>
        </w:rPr>
        <w:t xml:space="preserve"> and </w:t>
      </w:r>
    </w:p>
    <w:p w14:paraId="76CBBD1A" w14:textId="77777777" w:rsidR="00D34C6E" w:rsidRPr="009B67BF" w:rsidRDefault="00D34C6E" w:rsidP="00D34C6E">
      <w:pPr>
        <w:ind w:left="720"/>
        <w:rPr>
          <w:rFonts w:eastAsia="Franklin Gothic Book"/>
        </w:rPr>
      </w:pPr>
      <w:r w:rsidRPr="009B67BF">
        <w:rPr>
          <w:rFonts w:eastAsia="Franklin Gothic Book"/>
        </w:rPr>
        <w:t xml:space="preserve">2) </w:t>
      </w:r>
      <w:r>
        <w:rPr>
          <w:rFonts w:eastAsia="Franklin Gothic Book"/>
        </w:rPr>
        <w:t>No program factor is rated greater than 2.</w:t>
      </w:r>
    </w:p>
    <w:p w14:paraId="012278B3" w14:textId="77777777" w:rsidR="00D34C6E" w:rsidRDefault="00D34C6E" w:rsidP="00D34C6E">
      <w:pPr>
        <w:rPr>
          <w:rFonts w:eastAsia="Franklin Gothic Book"/>
        </w:rPr>
      </w:pPr>
      <w:r w:rsidRPr="009B67BF">
        <w:rPr>
          <w:rFonts w:eastAsia="Franklin Gothic Book"/>
        </w:rPr>
        <w:t xml:space="preserve">A Program Influence/Program Components consistency check </w:t>
      </w:r>
      <w:r>
        <w:rPr>
          <w:rFonts w:eastAsia="Franklin Gothic Book"/>
        </w:rPr>
        <w:t>is</w:t>
      </w:r>
      <w:r w:rsidRPr="009B67BF">
        <w:rPr>
          <w:rFonts w:eastAsia="Franklin Gothic Book"/>
        </w:rPr>
        <w:t xml:space="preserve"> also triggered by the following conditions being met: </w:t>
      </w:r>
    </w:p>
    <w:p w14:paraId="227D0E05" w14:textId="77777777" w:rsidR="00D34C6E" w:rsidRDefault="00D34C6E" w:rsidP="00D34C6E">
      <w:pPr>
        <w:spacing w:after="60"/>
        <w:ind w:left="720"/>
        <w:rPr>
          <w:rFonts w:eastAsia="Franklin Gothic Book"/>
        </w:rPr>
      </w:pPr>
      <w:r w:rsidRPr="009B67BF">
        <w:rPr>
          <w:rFonts w:eastAsia="Franklin Gothic Book"/>
        </w:rPr>
        <w:t xml:space="preserve">1) The </w:t>
      </w:r>
      <w:r>
        <w:rPr>
          <w:rFonts w:eastAsia="Franklin Gothic Book"/>
        </w:rPr>
        <w:t xml:space="preserve">number of Program Points (supporting calculation of the </w:t>
      </w:r>
      <w:r w:rsidRPr="009B67BF">
        <w:rPr>
          <w:rFonts w:eastAsia="Franklin Gothic Book"/>
        </w:rPr>
        <w:t xml:space="preserve">Program Influence </w:t>
      </w:r>
      <w:r>
        <w:rPr>
          <w:rFonts w:eastAsia="Franklin Gothic Book"/>
        </w:rPr>
        <w:t xml:space="preserve">FR </w:t>
      </w:r>
      <w:r w:rsidRPr="009B67BF">
        <w:rPr>
          <w:rFonts w:eastAsia="Franklin Gothic Book"/>
        </w:rPr>
        <w:t>Score</w:t>
      </w:r>
      <w:r>
        <w:rPr>
          <w:rFonts w:eastAsia="Franklin Gothic Book"/>
        </w:rPr>
        <w:t>)</w:t>
      </w:r>
      <w:r w:rsidRPr="009B67BF">
        <w:rPr>
          <w:rFonts w:eastAsia="Franklin Gothic Book"/>
        </w:rPr>
        <w:t xml:space="preserve"> is less than 30</w:t>
      </w:r>
      <w:r>
        <w:rPr>
          <w:rFonts w:eastAsia="Franklin Gothic Book"/>
        </w:rPr>
        <w:t>;</w:t>
      </w:r>
      <w:r w:rsidRPr="009B67BF">
        <w:rPr>
          <w:rFonts w:eastAsia="Franklin Gothic Book"/>
        </w:rPr>
        <w:t xml:space="preserve"> and</w:t>
      </w:r>
    </w:p>
    <w:p w14:paraId="328FA8FD" w14:textId="77777777" w:rsidR="00D34C6E" w:rsidRPr="009B67BF" w:rsidRDefault="00D34C6E" w:rsidP="00D34C6E">
      <w:pPr>
        <w:ind w:left="720"/>
        <w:rPr>
          <w:rFonts w:eastAsia="Franklin Gothic Book"/>
        </w:rPr>
      </w:pPr>
      <w:r w:rsidRPr="009B67BF">
        <w:rPr>
          <w:rFonts w:eastAsia="Franklin Gothic Book"/>
        </w:rPr>
        <w:t xml:space="preserve">2) </w:t>
      </w:r>
      <w:r>
        <w:rPr>
          <w:rFonts w:eastAsia="Franklin Gothic Book"/>
        </w:rPr>
        <w:t xml:space="preserve">At least one program factor is rated greater than 7. </w:t>
      </w:r>
      <w:r w:rsidRPr="009B67BF">
        <w:rPr>
          <w:rFonts w:eastAsia="Franklin Gothic Book"/>
        </w:rPr>
        <w:t>In t</w:t>
      </w:r>
      <w:r>
        <w:rPr>
          <w:rFonts w:eastAsia="Franklin Gothic Book"/>
        </w:rPr>
        <w:t>his instance, the highest-rated</w:t>
      </w:r>
      <w:r w:rsidRPr="009B67BF">
        <w:rPr>
          <w:rFonts w:eastAsia="Franklin Gothic Book"/>
        </w:rPr>
        <w:t xml:space="preserve"> program factor</w:t>
      </w:r>
      <w:r>
        <w:rPr>
          <w:rFonts w:eastAsia="Franklin Gothic Book"/>
        </w:rPr>
        <w:t>(</w:t>
      </w:r>
      <w:r w:rsidRPr="009B67BF">
        <w:rPr>
          <w:rFonts w:eastAsia="Franklin Gothic Book"/>
        </w:rPr>
        <w:t>s</w:t>
      </w:r>
      <w:r>
        <w:rPr>
          <w:rFonts w:eastAsia="Franklin Gothic Book"/>
        </w:rPr>
        <w:t>)</w:t>
      </w:r>
      <w:r w:rsidRPr="009B67BF">
        <w:rPr>
          <w:rFonts w:eastAsia="Franklin Gothic Book"/>
        </w:rPr>
        <w:t xml:space="preserve"> with a </w:t>
      </w:r>
      <w:r>
        <w:rPr>
          <w:rFonts w:eastAsia="Franklin Gothic Book"/>
        </w:rPr>
        <w:t>rating</w:t>
      </w:r>
      <w:r w:rsidRPr="009B67BF">
        <w:rPr>
          <w:rFonts w:eastAsia="Franklin Gothic Book"/>
        </w:rPr>
        <w:t xml:space="preserve"> of greater than 7 will be referenced in the consistency check question.</w:t>
      </w:r>
    </w:p>
    <w:p w14:paraId="4C52C8B7" w14:textId="77777777" w:rsidR="00D34C6E" w:rsidRPr="00436AF2" w:rsidRDefault="00D34C6E" w:rsidP="00D34C6E">
      <w:pPr>
        <w:rPr>
          <w:rFonts w:eastAsia="Franklin Gothic Book"/>
          <w:b/>
        </w:rPr>
      </w:pPr>
      <w:r w:rsidRPr="00436AF2">
        <w:rPr>
          <w:rFonts w:eastAsia="Franklin Gothic Book"/>
          <w:b/>
        </w:rPr>
        <w:t>Program Components/No</w:t>
      </w:r>
      <w:r>
        <w:rPr>
          <w:rFonts w:eastAsia="Franklin Gothic Book"/>
          <w:b/>
        </w:rPr>
        <w:t>-</w:t>
      </w:r>
      <w:r w:rsidRPr="00436AF2">
        <w:rPr>
          <w:rFonts w:eastAsia="Franklin Gothic Book"/>
          <w:b/>
        </w:rPr>
        <w:t>Program Consistency Check</w:t>
      </w:r>
    </w:p>
    <w:p w14:paraId="1EEAEBA9" w14:textId="77777777" w:rsidR="00D34C6E" w:rsidRDefault="00D34C6E" w:rsidP="00D34C6E">
      <w:pPr>
        <w:rPr>
          <w:rFonts w:eastAsia="Franklin Gothic Book"/>
        </w:rPr>
      </w:pPr>
      <w:r w:rsidRPr="009B67BF">
        <w:rPr>
          <w:rFonts w:eastAsia="Franklin Gothic Book"/>
        </w:rPr>
        <w:t>A Program Components/No</w:t>
      </w:r>
      <w:r>
        <w:rPr>
          <w:rFonts w:eastAsia="Franklin Gothic Book"/>
        </w:rPr>
        <w:t>-</w:t>
      </w:r>
      <w:r w:rsidRPr="009B67BF">
        <w:rPr>
          <w:rFonts w:eastAsia="Franklin Gothic Book"/>
        </w:rPr>
        <w:t xml:space="preserve">Program consistency check </w:t>
      </w:r>
      <w:r>
        <w:rPr>
          <w:rFonts w:eastAsia="Franklin Gothic Book"/>
        </w:rPr>
        <w:t>is</w:t>
      </w:r>
      <w:r w:rsidRPr="009B67BF">
        <w:rPr>
          <w:rFonts w:eastAsia="Franklin Gothic Book"/>
        </w:rPr>
        <w:t xml:space="preserve"> triggered </w:t>
      </w:r>
      <w:r>
        <w:rPr>
          <w:rFonts w:eastAsia="Franklin Gothic Book"/>
        </w:rPr>
        <w:t>when</w:t>
      </w:r>
      <w:r w:rsidRPr="009B67BF">
        <w:rPr>
          <w:rFonts w:eastAsia="Franklin Gothic Book"/>
        </w:rPr>
        <w:t xml:space="preserve"> the following conditions </w:t>
      </w:r>
      <w:r>
        <w:rPr>
          <w:rFonts w:eastAsia="Franklin Gothic Book"/>
        </w:rPr>
        <w:t xml:space="preserve">are </w:t>
      </w:r>
      <w:r w:rsidRPr="009B67BF">
        <w:rPr>
          <w:rFonts w:eastAsia="Franklin Gothic Book"/>
        </w:rPr>
        <w:t>met:</w:t>
      </w:r>
    </w:p>
    <w:p w14:paraId="355F8604" w14:textId="2BC310C8" w:rsidR="00D34C6E" w:rsidRDefault="00D34C6E" w:rsidP="00D34C6E">
      <w:pPr>
        <w:spacing w:after="60"/>
        <w:ind w:left="720"/>
        <w:rPr>
          <w:rFonts w:eastAsia="Franklin Gothic Book"/>
        </w:rPr>
      </w:pPr>
      <w:r w:rsidRPr="009B67BF">
        <w:rPr>
          <w:rFonts w:eastAsia="Franklin Gothic Book"/>
        </w:rPr>
        <w:t xml:space="preserve">1) The </w:t>
      </w:r>
      <w:r>
        <w:rPr>
          <w:rFonts w:eastAsia="Franklin Gothic Book"/>
        </w:rPr>
        <w:t xml:space="preserve">likelihood of </w:t>
      </w:r>
      <w:proofErr w:type="gramStart"/>
      <w:r>
        <w:rPr>
          <w:rFonts w:eastAsia="Franklin Gothic Book"/>
        </w:rPr>
        <w:t>installing ,</w:t>
      </w:r>
      <w:proofErr w:type="gramEnd"/>
      <w:r>
        <w:rPr>
          <w:rFonts w:eastAsia="Franklin Gothic Book"/>
        </w:rPr>
        <w:t xml:space="preserve"> absent the program, equipment of the same level of high efficiency as the unit installed with the program (supporting calculation of the </w:t>
      </w:r>
      <w:r w:rsidRPr="009B67BF">
        <w:rPr>
          <w:rFonts w:eastAsia="Franklin Gothic Book"/>
        </w:rPr>
        <w:t xml:space="preserve">No-Program </w:t>
      </w:r>
      <w:r>
        <w:rPr>
          <w:rFonts w:eastAsia="Franklin Gothic Book"/>
        </w:rPr>
        <w:t xml:space="preserve">FR </w:t>
      </w:r>
      <w:r w:rsidRPr="009B67BF">
        <w:rPr>
          <w:rFonts w:eastAsia="Franklin Gothic Book"/>
        </w:rPr>
        <w:t>Score</w:t>
      </w:r>
      <w:r>
        <w:rPr>
          <w:rFonts w:eastAsia="Franklin Gothic Book"/>
        </w:rPr>
        <w:t>)</w:t>
      </w:r>
      <w:r w:rsidRPr="009B67BF">
        <w:rPr>
          <w:rFonts w:eastAsia="Franklin Gothic Book"/>
        </w:rPr>
        <w:t xml:space="preserve"> is greater than 7</w:t>
      </w:r>
      <w:r>
        <w:rPr>
          <w:rFonts w:eastAsia="Franklin Gothic Book"/>
        </w:rPr>
        <w:t>;</w:t>
      </w:r>
      <w:r w:rsidRPr="009B67BF">
        <w:rPr>
          <w:rFonts w:eastAsia="Franklin Gothic Book"/>
        </w:rPr>
        <w:t xml:space="preserve"> and </w:t>
      </w:r>
    </w:p>
    <w:p w14:paraId="2CA51634" w14:textId="77777777" w:rsidR="00D34C6E" w:rsidRPr="009B67BF" w:rsidRDefault="00D34C6E" w:rsidP="00D34C6E">
      <w:pPr>
        <w:ind w:left="720"/>
        <w:rPr>
          <w:rFonts w:eastAsia="Franklin Gothic Book"/>
        </w:rPr>
      </w:pPr>
      <w:r w:rsidRPr="009B67BF">
        <w:rPr>
          <w:rFonts w:eastAsia="Franklin Gothic Book"/>
        </w:rPr>
        <w:t xml:space="preserve">2) </w:t>
      </w:r>
      <w:r>
        <w:rPr>
          <w:rFonts w:eastAsia="Franklin Gothic Book"/>
        </w:rPr>
        <w:t>At least one program factor is rated greater than 7.</w:t>
      </w:r>
    </w:p>
    <w:p w14:paraId="54519F0F" w14:textId="77777777" w:rsidR="00D34C6E" w:rsidRDefault="00D34C6E" w:rsidP="00D34C6E">
      <w:pPr>
        <w:rPr>
          <w:rFonts w:eastAsia="Franklin Gothic Book"/>
        </w:rPr>
      </w:pPr>
      <w:r w:rsidRPr="009B67BF">
        <w:rPr>
          <w:rFonts w:eastAsia="Franklin Gothic Book"/>
        </w:rPr>
        <w:t>A Program Components/No</w:t>
      </w:r>
      <w:r>
        <w:rPr>
          <w:rFonts w:eastAsia="Franklin Gothic Book"/>
        </w:rPr>
        <w:t>-</w:t>
      </w:r>
      <w:r w:rsidRPr="009B67BF">
        <w:rPr>
          <w:rFonts w:eastAsia="Franklin Gothic Book"/>
        </w:rPr>
        <w:t xml:space="preserve">Program consistency check </w:t>
      </w:r>
      <w:r>
        <w:rPr>
          <w:rFonts w:eastAsia="Franklin Gothic Book"/>
        </w:rPr>
        <w:t>is also</w:t>
      </w:r>
      <w:r w:rsidRPr="009B67BF">
        <w:rPr>
          <w:rFonts w:eastAsia="Franklin Gothic Book"/>
        </w:rPr>
        <w:t xml:space="preserve"> triggered </w:t>
      </w:r>
      <w:r>
        <w:rPr>
          <w:rFonts w:eastAsia="Franklin Gothic Book"/>
        </w:rPr>
        <w:t>when</w:t>
      </w:r>
      <w:r w:rsidRPr="009B67BF">
        <w:rPr>
          <w:rFonts w:eastAsia="Franklin Gothic Book"/>
        </w:rPr>
        <w:t xml:space="preserve"> the following conditions </w:t>
      </w:r>
      <w:r>
        <w:rPr>
          <w:rFonts w:eastAsia="Franklin Gothic Book"/>
        </w:rPr>
        <w:t xml:space="preserve">are </w:t>
      </w:r>
      <w:r w:rsidRPr="009B67BF">
        <w:rPr>
          <w:rFonts w:eastAsia="Franklin Gothic Book"/>
        </w:rPr>
        <w:t>met:</w:t>
      </w:r>
    </w:p>
    <w:p w14:paraId="5A4FD7F1" w14:textId="208A5993" w:rsidR="00D34C6E" w:rsidRDefault="00D34C6E" w:rsidP="00D34C6E">
      <w:pPr>
        <w:ind w:left="720"/>
        <w:rPr>
          <w:rFonts w:eastAsia="Franklin Gothic Book"/>
        </w:rPr>
      </w:pPr>
      <w:r w:rsidRPr="009B67BF">
        <w:rPr>
          <w:rFonts w:eastAsia="Franklin Gothic Book"/>
        </w:rPr>
        <w:t xml:space="preserve">1) The </w:t>
      </w:r>
      <w:r>
        <w:rPr>
          <w:rFonts w:eastAsia="Franklin Gothic Book"/>
        </w:rPr>
        <w:t>likelihood of installing equipment, absent the program, of the same level of high efficiency as the unit installed with the program (supporting calculation of the</w:t>
      </w:r>
      <w:r w:rsidRPr="009B67BF">
        <w:rPr>
          <w:rFonts w:eastAsia="Franklin Gothic Book"/>
        </w:rPr>
        <w:t xml:space="preserve"> No-Program </w:t>
      </w:r>
      <w:r>
        <w:rPr>
          <w:rFonts w:eastAsia="Franklin Gothic Book"/>
        </w:rPr>
        <w:t xml:space="preserve">FR </w:t>
      </w:r>
      <w:r w:rsidRPr="009B67BF">
        <w:rPr>
          <w:rFonts w:eastAsia="Franklin Gothic Book"/>
        </w:rPr>
        <w:t>Score</w:t>
      </w:r>
      <w:r>
        <w:rPr>
          <w:rFonts w:eastAsia="Franklin Gothic Book"/>
        </w:rPr>
        <w:t>)</w:t>
      </w:r>
      <w:r w:rsidRPr="009B67BF">
        <w:rPr>
          <w:rFonts w:eastAsia="Franklin Gothic Book"/>
        </w:rPr>
        <w:t xml:space="preserve"> is less than 3</w:t>
      </w:r>
      <w:r>
        <w:rPr>
          <w:rFonts w:eastAsia="Franklin Gothic Book"/>
        </w:rPr>
        <w:t>;</w:t>
      </w:r>
      <w:r w:rsidRPr="009B67BF">
        <w:rPr>
          <w:rFonts w:eastAsia="Franklin Gothic Book"/>
        </w:rPr>
        <w:t xml:space="preserve"> and </w:t>
      </w:r>
    </w:p>
    <w:p w14:paraId="441C1C0E" w14:textId="77777777" w:rsidR="00D34C6E" w:rsidRPr="009B67BF" w:rsidRDefault="00D34C6E" w:rsidP="00D34C6E">
      <w:pPr>
        <w:ind w:left="720"/>
        <w:rPr>
          <w:rFonts w:eastAsia="Franklin Gothic Book"/>
        </w:rPr>
      </w:pPr>
      <w:r w:rsidRPr="009B67BF">
        <w:rPr>
          <w:rFonts w:eastAsia="Franklin Gothic Book"/>
        </w:rPr>
        <w:lastRenderedPageBreak/>
        <w:t xml:space="preserve">2) </w:t>
      </w:r>
      <w:r>
        <w:rPr>
          <w:rFonts w:eastAsia="Franklin Gothic Book"/>
        </w:rPr>
        <w:t>No program factor is rated greater than 2.</w:t>
      </w:r>
    </w:p>
    <w:p w14:paraId="056D2752" w14:textId="77777777" w:rsidR="00D34C6E" w:rsidRPr="00436AF2" w:rsidRDefault="00D34C6E" w:rsidP="00D34C6E">
      <w:pPr>
        <w:rPr>
          <w:rFonts w:eastAsia="Franklin Gothic Book"/>
          <w:b/>
        </w:rPr>
      </w:pPr>
      <w:r w:rsidRPr="00436AF2">
        <w:rPr>
          <w:rFonts w:eastAsia="Franklin Gothic Book"/>
          <w:b/>
        </w:rPr>
        <w:t>Timing of Installation Decision/Level of Program Attribution</w:t>
      </w:r>
      <w:r>
        <w:rPr>
          <w:rFonts w:eastAsia="Franklin Gothic Book"/>
          <w:b/>
        </w:rPr>
        <w:t xml:space="preserve"> Consistency Check</w:t>
      </w:r>
    </w:p>
    <w:p w14:paraId="478A2D49" w14:textId="77777777" w:rsidR="00D34C6E" w:rsidRDefault="00D34C6E" w:rsidP="00D34C6E">
      <w:pPr>
        <w:rPr>
          <w:rFonts w:eastAsia="Franklin Gothic Book"/>
        </w:rPr>
      </w:pPr>
      <w:r w:rsidRPr="009B67BF">
        <w:rPr>
          <w:rFonts w:eastAsia="Franklin Gothic Book"/>
        </w:rPr>
        <w:t xml:space="preserve">The survey should contain a question to ask whether the respondent learned about the program after finalizing project specifications, including, where applicable, equipment efficiency level and number of units. The Timing of Installation Decision/Level of Program Attribution consistency check </w:t>
      </w:r>
      <w:r>
        <w:rPr>
          <w:rFonts w:eastAsia="Franklin Gothic Book"/>
        </w:rPr>
        <w:t>is</w:t>
      </w:r>
      <w:r w:rsidRPr="009B67BF">
        <w:rPr>
          <w:rFonts w:eastAsia="Franklin Gothic Book"/>
        </w:rPr>
        <w:t xml:space="preserve"> triggered by the following conditions being met: </w:t>
      </w:r>
    </w:p>
    <w:p w14:paraId="1AF821B6" w14:textId="77777777" w:rsidR="00D34C6E" w:rsidRDefault="00D34C6E" w:rsidP="00D34C6E">
      <w:pPr>
        <w:spacing w:after="60"/>
        <w:ind w:firstLine="720"/>
        <w:rPr>
          <w:rFonts w:eastAsia="Franklin Gothic Book"/>
        </w:rPr>
      </w:pPr>
      <w:r w:rsidRPr="009B67BF">
        <w:rPr>
          <w:rFonts w:eastAsia="Franklin Gothic Book"/>
        </w:rPr>
        <w:t>1) A respondent learned about the program after finalizing project specifications</w:t>
      </w:r>
      <w:r>
        <w:rPr>
          <w:rFonts w:eastAsia="Franklin Gothic Book"/>
        </w:rPr>
        <w:t>;</w:t>
      </w:r>
      <w:r w:rsidRPr="009B67BF">
        <w:rPr>
          <w:rFonts w:eastAsia="Franklin Gothic Book"/>
        </w:rPr>
        <w:t xml:space="preserve"> and </w:t>
      </w:r>
    </w:p>
    <w:p w14:paraId="3C3214F0" w14:textId="77777777" w:rsidR="00D34C6E" w:rsidRDefault="00D34C6E" w:rsidP="00D34C6E">
      <w:pPr>
        <w:spacing w:after="60"/>
        <w:ind w:firstLine="720"/>
        <w:rPr>
          <w:rFonts w:eastAsia="Franklin Gothic Book"/>
        </w:rPr>
      </w:pPr>
      <w:r w:rsidRPr="009B67BF">
        <w:rPr>
          <w:rFonts w:eastAsia="Franklin Gothic Book"/>
        </w:rPr>
        <w:t xml:space="preserve">2) </w:t>
      </w:r>
      <w:r>
        <w:rPr>
          <w:rFonts w:eastAsia="Franklin Gothic Book"/>
        </w:rPr>
        <w:t>A</w:t>
      </w:r>
      <w:r w:rsidRPr="009B67BF">
        <w:rPr>
          <w:rFonts w:eastAsia="Franklin Gothic Book"/>
        </w:rPr>
        <w:t>ny of the following occur:</w:t>
      </w:r>
    </w:p>
    <w:p w14:paraId="685A2283" w14:textId="77777777" w:rsidR="00D34C6E" w:rsidRDefault="00D34C6E" w:rsidP="00D34C6E">
      <w:pPr>
        <w:spacing w:after="60"/>
        <w:ind w:left="1080"/>
        <w:rPr>
          <w:rFonts w:eastAsia="Franklin Gothic Book"/>
        </w:rPr>
      </w:pPr>
      <w:r w:rsidRPr="009B67BF">
        <w:rPr>
          <w:rFonts w:eastAsia="Franklin Gothic Book"/>
        </w:rPr>
        <w:t xml:space="preserve">a) </w:t>
      </w:r>
      <w:r>
        <w:rPr>
          <w:rFonts w:eastAsia="Franklin Gothic Book"/>
        </w:rPr>
        <w:t>T</w:t>
      </w:r>
      <w:r w:rsidRPr="009B67BF">
        <w:rPr>
          <w:rFonts w:eastAsia="Franklin Gothic Book"/>
        </w:rPr>
        <w:t xml:space="preserve">he </w:t>
      </w:r>
      <w:r>
        <w:rPr>
          <w:rFonts w:eastAsia="Franklin Gothic Book"/>
        </w:rPr>
        <w:t>number of Program Points (supporting calculation of the</w:t>
      </w:r>
      <w:r w:rsidRPr="009B67BF">
        <w:rPr>
          <w:rFonts w:eastAsia="Franklin Gothic Book"/>
        </w:rPr>
        <w:t xml:space="preserve"> Program Influence </w:t>
      </w:r>
      <w:r>
        <w:rPr>
          <w:rFonts w:eastAsia="Franklin Gothic Book"/>
        </w:rPr>
        <w:t xml:space="preserve">FR </w:t>
      </w:r>
      <w:r w:rsidRPr="009B67BF">
        <w:rPr>
          <w:rFonts w:eastAsia="Franklin Gothic Book"/>
        </w:rPr>
        <w:t>Score</w:t>
      </w:r>
      <w:r>
        <w:rPr>
          <w:rFonts w:eastAsia="Franklin Gothic Book"/>
        </w:rPr>
        <w:t>)</w:t>
      </w:r>
      <w:r w:rsidRPr="009B67BF">
        <w:rPr>
          <w:rFonts w:eastAsia="Franklin Gothic Book"/>
        </w:rPr>
        <w:t xml:space="preserve"> </w:t>
      </w:r>
      <w:r>
        <w:rPr>
          <w:rFonts w:eastAsia="Franklin Gothic Book"/>
        </w:rPr>
        <w:t>is greater than</w:t>
      </w:r>
      <w:r w:rsidRPr="009B67BF">
        <w:rPr>
          <w:rFonts w:eastAsia="Franklin Gothic Book"/>
        </w:rPr>
        <w:t xml:space="preserve"> 7</w:t>
      </w:r>
      <w:r>
        <w:rPr>
          <w:rFonts w:eastAsia="Franklin Gothic Book"/>
        </w:rPr>
        <w:t>0;</w:t>
      </w:r>
      <w:r w:rsidRPr="009B67BF">
        <w:rPr>
          <w:rFonts w:eastAsia="Franklin Gothic Book"/>
        </w:rPr>
        <w:t xml:space="preserve"> </w:t>
      </w:r>
    </w:p>
    <w:p w14:paraId="64EAE7EF" w14:textId="7D176C36" w:rsidR="00D34C6E" w:rsidRDefault="00D34C6E" w:rsidP="00D34C6E">
      <w:pPr>
        <w:spacing w:after="60"/>
        <w:ind w:left="1080"/>
        <w:rPr>
          <w:rFonts w:eastAsia="Franklin Gothic Book"/>
        </w:rPr>
      </w:pPr>
      <w:r w:rsidRPr="009B67BF">
        <w:rPr>
          <w:rFonts w:eastAsia="Franklin Gothic Book"/>
        </w:rPr>
        <w:t xml:space="preserve">b) </w:t>
      </w:r>
      <w:r>
        <w:rPr>
          <w:rFonts w:eastAsia="Franklin Gothic Book"/>
        </w:rPr>
        <w:t>T</w:t>
      </w:r>
      <w:r w:rsidRPr="009B67BF">
        <w:rPr>
          <w:rFonts w:eastAsia="Franklin Gothic Book"/>
        </w:rPr>
        <w:t xml:space="preserve">he </w:t>
      </w:r>
      <w:r>
        <w:rPr>
          <w:rFonts w:eastAsia="Franklin Gothic Book"/>
        </w:rPr>
        <w:t xml:space="preserve">likelihood of </w:t>
      </w:r>
      <w:proofErr w:type="gramStart"/>
      <w:r>
        <w:rPr>
          <w:rFonts w:eastAsia="Franklin Gothic Book"/>
        </w:rPr>
        <w:t>installing ,</w:t>
      </w:r>
      <w:proofErr w:type="gramEnd"/>
      <w:r>
        <w:rPr>
          <w:rFonts w:eastAsia="Franklin Gothic Book"/>
        </w:rPr>
        <w:t xml:space="preserve"> absent the program, equipment of the same level of high efficiency as the unit installed with the program (supporting calculation of the </w:t>
      </w:r>
      <w:r w:rsidRPr="009B67BF">
        <w:rPr>
          <w:rFonts w:eastAsia="Franklin Gothic Book"/>
        </w:rPr>
        <w:t xml:space="preserve">No-Program </w:t>
      </w:r>
      <w:r>
        <w:rPr>
          <w:rFonts w:eastAsia="Franklin Gothic Book"/>
        </w:rPr>
        <w:t xml:space="preserve">FR </w:t>
      </w:r>
      <w:r w:rsidRPr="009B67BF">
        <w:rPr>
          <w:rFonts w:eastAsia="Franklin Gothic Book"/>
        </w:rPr>
        <w:t>Score</w:t>
      </w:r>
      <w:r>
        <w:rPr>
          <w:rFonts w:eastAsia="Franklin Gothic Book"/>
        </w:rPr>
        <w:t>)</w:t>
      </w:r>
      <w:r w:rsidRPr="009B67BF">
        <w:rPr>
          <w:rFonts w:eastAsia="Franklin Gothic Book"/>
        </w:rPr>
        <w:t xml:space="preserve"> is less than 3</w:t>
      </w:r>
      <w:r>
        <w:rPr>
          <w:rFonts w:eastAsia="Franklin Gothic Book"/>
        </w:rPr>
        <w:t>;</w:t>
      </w:r>
      <w:r w:rsidRPr="009B67BF">
        <w:rPr>
          <w:rFonts w:eastAsia="Franklin Gothic Book"/>
        </w:rPr>
        <w:t xml:space="preserve"> or </w:t>
      </w:r>
    </w:p>
    <w:p w14:paraId="22D0AEB1" w14:textId="77777777" w:rsidR="00D34C6E" w:rsidRPr="009B67BF" w:rsidRDefault="00D34C6E" w:rsidP="00D34C6E">
      <w:pPr>
        <w:ind w:left="1080"/>
        <w:rPr>
          <w:rFonts w:eastAsia="Franklin Gothic Book"/>
        </w:rPr>
      </w:pPr>
      <w:r w:rsidRPr="009B67BF">
        <w:rPr>
          <w:rFonts w:eastAsia="Franklin Gothic Book"/>
        </w:rPr>
        <w:t xml:space="preserve">c) </w:t>
      </w:r>
      <w:r>
        <w:rPr>
          <w:rFonts w:eastAsia="Franklin Gothic Book"/>
        </w:rPr>
        <w:t xml:space="preserve">At least one program factor is rated greater than 7. </w:t>
      </w:r>
    </w:p>
    <w:p w14:paraId="3ACA813C" w14:textId="77777777" w:rsidR="00D34C6E" w:rsidRPr="009B67BF" w:rsidRDefault="00D34C6E" w:rsidP="00D34C6E">
      <w:pPr>
        <w:rPr>
          <w:rFonts w:eastAsia="Franklin Gothic Book"/>
        </w:rPr>
      </w:pPr>
      <w:r w:rsidRPr="009B67BF">
        <w:rPr>
          <w:rFonts w:eastAsia="Franklin Gothic Book"/>
        </w:rPr>
        <w:t xml:space="preserve">When the Timing of Installation Decision/Level of Program Attribution consistency check is administered, if the </w:t>
      </w:r>
      <w:r>
        <w:rPr>
          <w:rFonts w:eastAsia="Franklin Gothic Book"/>
        </w:rPr>
        <w:t xml:space="preserve">respondent rating of the importance of the vendor on the decision to implement the project </w:t>
      </w:r>
      <w:r w:rsidRPr="009B67BF">
        <w:rPr>
          <w:rFonts w:eastAsia="Franklin Gothic Book"/>
        </w:rPr>
        <w:t>is greater than 7, then an open-ended question will be triggered to obtain infor</w:t>
      </w:r>
      <w:r>
        <w:rPr>
          <w:rFonts w:eastAsia="Franklin Gothic Book"/>
        </w:rPr>
        <w:t>mation regarding the role the vendor</w:t>
      </w:r>
      <w:r w:rsidRPr="009B67BF">
        <w:rPr>
          <w:rFonts w:eastAsia="Franklin Gothic Book"/>
        </w:rPr>
        <w:t xml:space="preserve"> played in the participant decision to implement the project.</w:t>
      </w:r>
    </w:p>
    <w:p w14:paraId="05CCB8D6" w14:textId="77777777" w:rsidR="00D34C6E" w:rsidRPr="009B67BF" w:rsidRDefault="00D34C6E" w:rsidP="001A2AE6">
      <w:pPr>
        <w:pStyle w:val="Heading4"/>
      </w:pPr>
      <w:bookmarkStart w:id="1155" w:name="_Ref442025753"/>
      <w:bookmarkStart w:id="1156" w:name="_Toc442804233"/>
      <w:bookmarkStart w:id="1157" w:name="_Toc442805450"/>
      <w:r w:rsidRPr="009B67BF">
        <w:t xml:space="preserve">Construction of </w:t>
      </w:r>
      <w:r>
        <w:t xml:space="preserve">Core </w:t>
      </w:r>
      <w:r w:rsidRPr="009B67BF">
        <w:t xml:space="preserve">Free Ridership </w:t>
      </w:r>
      <w:r>
        <w:t>Value</w:t>
      </w:r>
      <w:bookmarkEnd w:id="1155"/>
      <w:bookmarkEnd w:id="1156"/>
      <w:bookmarkEnd w:id="1157"/>
    </w:p>
    <w:p w14:paraId="19DB9BA6" w14:textId="77777777" w:rsidR="00D34C6E" w:rsidRPr="0064304C" w:rsidRDefault="00D34C6E" w:rsidP="00D34C6E">
      <w:pPr>
        <w:rPr>
          <w:rFonts w:eastAsia="Franklin Gothic Book"/>
        </w:rPr>
      </w:pPr>
      <w:r w:rsidRPr="009B67BF">
        <w:rPr>
          <w:rFonts w:eastAsia="Franklin Gothic Book"/>
        </w:rPr>
        <w:t xml:space="preserve">This protocol designates </w:t>
      </w:r>
      <w:r>
        <w:rPr>
          <w:rFonts w:eastAsia="Franklin Gothic Book"/>
        </w:rPr>
        <w:t xml:space="preserve">two options of constructing the core free ridership value. </w:t>
      </w:r>
      <w:r w:rsidRPr="0064304C">
        <w:rPr>
          <w:rFonts w:eastAsia="Franklin Gothic Book"/>
        </w:rPr>
        <w:t xml:space="preserve">Evaluators will calculate free ridership using </w:t>
      </w:r>
      <w:r>
        <w:rPr>
          <w:rFonts w:eastAsia="Franklin Gothic Book"/>
        </w:rPr>
        <w:t>both options</w:t>
      </w:r>
      <w:r w:rsidRPr="0064304C">
        <w:rPr>
          <w:rFonts w:eastAsia="Franklin Gothic Book"/>
        </w:rPr>
        <w:t xml:space="preserve"> and will select one </w:t>
      </w:r>
      <w:r>
        <w:rPr>
          <w:rFonts w:eastAsia="Franklin Gothic Book"/>
        </w:rPr>
        <w:t xml:space="preserve">option </w:t>
      </w:r>
      <w:r w:rsidRPr="0064304C">
        <w:rPr>
          <w:rFonts w:eastAsia="Franklin Gothic Book"/>
        </w:rPr>
        <w:t xml:space="preserve">for purposes of calculating the annual incremental energy savings for comparing to the legislated goal. Evaluators will present the results of </w:t>
      </w:r>
      <w:r>
        <w:rPr>
          <w:rFonts w:eastAsia="Franklin Gothic Book"/>
        </w:rPr>
        <w:t>both</w:t>
      </w:r>
      <w:r w:rsidRPr="0064304C">
        <w:rPr>
          <w:rFonts w:eastAsia="Franklin Gothic Book"/>
        </w:rPr>
        <w:t xml:space="preserve"> estimates of free ridership in EM&amp;V reporting.</w:t>
      </w:r>
    </w:p>
    <w:p w14:paraId="18EEE1BC" w14:textId="77777777" w:rsidR="00D34C6E" w:rsidRPr="0064304C" w:rsidRDefault="00D34C6E" w:rsidP="00D34C6E">
      <w:pPr>
        <w:rPr>
          <w:rFonts w:eastAsia="Franklin Gothic Book"/>
        </w:rPr>
      </w:pPr>
      <w:r w:rsidRPr="0064304C">
        <w:rPr>
          <w:rFonts w:eastAsia="Franklin Gothic Book"/>
        </w:rPr>
        <w:t xml:space="preserve">Evaluators will calculate free ridership </w:t>
      </w:r>
      <w:r>
        <w:rPr>
          <w:rFonts w:eastAsia="Franklin Gothic Book"/>
        </w:rPr>
        <w:t>values</w:t>
      </w:r>
      <w:r w:rsidRPr="0064304C">
        <w:rPr>
          <w:rFonts w:eastAsia="Franklin Gothic Book"/>
        </w:rPr>
        <w:t xml:space="preserve"> in the following </w:t>
      </w:r>
      <w:r>
        <w:rPr>
          <w:rFonts w:eastAsia="Franklin Gothic Book"/>
        </w:rPr>
        <w:t>two</w:t>
      </w:r>
      <w:r w:rsidRPr="0064304C">
        <w:rPr>
          <w:rFonts w:eastAsia="Franklin Gothic Book"/>
        </w:rPr>
        <w:t xml:space="preserve"> ways:</w:t>
      </w:r>
    </w:p>
    <w:p w14:paraId="1F56A624" w14:textId="77777777" w:rsidR="00D34C6E" w:rsidRPr="0064304C" w:rsidRDefault="00D34C6E" w:rsidP="00D34C6E">
      <w:pPr>
        <w:spacing w:after="60"/>
        <w:ind w:left="720" w:hanging="360"/>
        <w:rPr>
          <w:rFonts w:eastAsia="Franklin Gothic Book"/>
        </w:rPr>
      </w:pPr>
      <w:r w:rsidRPr="0064304C">
        <w:rPr>
          <w:rFonts w:eastAsia="Franklin Gothic Book"/>
        </w:rPr>
        <w:t xml:space="preserve">1) </w:t>
      </w:r>
      <w:r>
        <w:rPr>
          <w:rFonts w:eastAsia="Franklin Gothic Book"/>
        </w:rPr>
        <w:t xml:space="preserve">Core FR Algorithm 1 = </w:t>
      </w:r>
      <w:proofErr w:type="gramStart"/>
      <w:r w:rsidRPr="0064304C">
        <w:rPr>
          <w:rFonts w:eastAsia="Franklin Gothic Book"/>
        </w:rPr>
        <w:t>AVERAGE(</w:t>
      </w:r>
      <w:proofErr w:type="gramEnd"/>
      <w:r w:rsidRPr="0064304C">
        <w:rPr>
          <w:rFonts w:eastAsia="Franklin Gothic Book"/>
        </w:rPr>
        <w:t xml:space="preserve">[Program Components </w:t>
      </w:r>
      <w:r>
        <w:rPr>
          <w:rFonts w:eastAsia="Franklin Gothic Book"/>
        </w:rPr>
        <w:t xml:space="preserve">FR </w:t>
      </w:r>
      <w:r w:rsidRPr="0064304C">
        <w:rPr>
          <w:rFonts w:eastAsia="Franklin Gothic Book"/>
        </w:rPr>
        <w:t xml:space="preserve">Score], [Program Influence </w:t>
      </w:r>
      <w:r>
        <w:rPr>
          <w:rFonts w:eastAsia="Franklin Gothic Book"/>
        </w:rPr>
        <w:t xml:space="preserve">FR </w:t>
      </w:r>
      <w:r w:rsidRPr="0064304C">
        <w:rPr>
          <w:rFonts w:eastAsia="Franklin Gothic Book"/>
        </w:rPr>
        <w:t xml:space="preserve">Score], [No-Program </w:t>
      </w:r>
      <w:r>
        <w:rPr>
          <w:rFonts w:eastAsia="Franklin Gothic Book"/>
        </w:rPr>
        <w:t xml:space="preserve">FR </w:t>
      </w:r>
      <w:r w:rsidRPr="0064304C">
        <w:rPr>
          <w:rFonts w:eastAsia="Franklin Gothic Book"/>
        </w:rPr>
        <w:t>Score*Timing Adjustment 1])</w:t>
      </w:r>
    </w:p>
    <w:p w14:paraId="5A30796F" w14:textId="77777777" w:rsidR="00D34C6E" w:rsidRPr="0064304C" w:rsidRDefault="00D34C6E" w:rsidP="00D34C6E">
      <w:pPr>
        <w:ind w:left="720" w:hanging="360"/>
        <w:rPr>
          <w:rFonts w:eastAsia="Franklin Gothic Book"/>
        </w:rPr>
      </w:pPr>
      <w:r w:rsidRPr="0064304C">
        <w:rPr>
          <w:rFonts w:eastAsia="Franklin Gothic Book"/>
        </w:rPr>
        <w:t xml:space="preserve">2) </w:t>
      </w:r>
      <w:r>
        <w:rPr>
          <w:rFonts w:eastAsia="Franklin Gothic Book"/>
        </w:rPr>
        <w:t xml:space="preserve">Core FR Algorithm 2 = </w:t>
      </w:r>
      <w:proofErr w:type="gramStart"/>
      <w:r w:rsidRPr="0064304C">
        <w:rPr>
          <w:rFonts w:eastAsia="Franklin Gothic Book"/>
        </w:rPr>
        <w:t>AVERAGE(</w:t>
      </w:r>
      <w:proofErr w:type="gramEnd"/>
      <w:r w:rsidRPr="0064304C">
        <w:rPr>
          <w:rFonts w:eastAsia="Franklin Gothic Book"/>
        </w:rPr>
        <w:t xml:space="preserve">[Program Components </w:t>
      </w:r>
      <w:r>
        <w:rPr>
          <w:rFonts w:eastAsia="Franklin Gothic Book"/>
        </w:rPr>
        <w:t xml:space="preserve">FR </w:t>
      </w:r>
      <w:r w:rsidRPr="0064304C">
        <w:rPr>
          <w:rFonts w:eastAsia="Franklin Gothic Book"/>
        </w:rPr>
        <w:t xml:space="preserve">Score], [Program Influence </w:t>
      </w:r>
      <w:r>
        <w:rPr>
          <w:rFonts w:eastAsia="Franklin Gothic Book"/>
        </w:rPr>
        <w:t xml:space="preserve">FR </w:t>
      </w:r>
      <w:r w:rsidRPr="0064304C">
        <w:rPr>
          <w:rFonts w:eastAsia="Franklin Gothic Book"/>
        </w:rPr>
        <w:t xml:space="preserve">Score], [No-Program </w:t>
      </w:r>
      <w:r>
        <w:rPr>
          <w:rFonts w:eastAsia="Franklin Gothic Book"/>
        </w:rPr>
        <w:t xml:space="preserve">FR </w:t>
      </w:r>
      <w:r w:rsidRPr="0064304C">
        <w:rPr>
          <w:rFonts w:eastAsia="Franklin Gothic Book"/>
        </w:rPr>
        <w:t>Score]) * Timing Adjustment 2</w:t>
      </w:r>
    </w:p>
    <w:p w14:paraId="10AF86AC" w14:textId="77777777" w:rsidR="00D34C6E" w:rsidRPr="009B67BF" w:rsidRDefault="00D34C6E" w:rsidP="00D34C6E">
      <w:pPr>
        <w:rPr>
          <w:rFonts w:eastAsia="Franklin Gothic Book"/>
        </w:rPr>
      </w:pPr>
      <w:r w:rsidRPr="008148EE">
        <w:rPr>
          <w:rFonts w:eastAsia="Franklin Gothic Book"/>
        </w:rPr>
        <w:t xml:space="preserve">The </w:t>
      </w:r>
      <w:r>
        <w:rPr>
          <w:rFonts w:eastAsia="Franklin Gothic Book"/>
        </w:rPr>
        <w:t>two</w:t>
      </w:r>
      <w:r w:rsidRPr="008148EE">
        <w:rPr>
          <w:rFonts w:eastAsia="Franklin Gothic Book"/>
        </w:rPr>
        <w:t xml:space="preserve"> Core FR Algorithms listed above are graphically presented </w:t>
      </w:r>
      <w:r w:rsidRPr="0073280D">
        <w:rPr>
          <w:rFonts w:eastAsia="Franklin Gothic Book"/>
        </w:rPr>
        <w:t>in</w:t>
      </w:r>
      <w:r>
        <w:rPr>
          <w:rFonts w:eastAsia="Franklin Gothic Book"/>
        </w:rPr>
        <w:t xml:space="preserve"> Figure 3-1 and Figure 3-2, </w:t>
      </w:r>
      <w:r w:rsidRPr="0003457B">
        <w:rPr>
          <w:rFonts w:eastAsia="Franklin Gothic Book"/>
        </w:rPr>
        <w:t>respectively.</w:t>
      </w:r>
      <w:r>
        <w:rPr>
          <w:rFonts w:eastAsia="Franklin Gothic Book"/>
        </w:rPr>
        <w:t xml:space="preserve"> </w:t>
      </w:r>
    </w:p>
    <w:p w14:paraId="38CE24D0" w14:textId="77777777" w:rsidR="00D34C6E" w:rsidRDefault="00D34C6E" w:rsidP="001A2AE6">
      <w:pPr>
        <w:pStyle w:val="Heading4"/>
      </w:pPr>
      <w:bookmarkStart w:id="1158" w:name="_Toc442804234"/>
      <w:bookmarkStart w:id="1159" w:name="_Toc442805451"/>
      <w:bookmarkStart w:id="1160" w:name="_Hlk512409313"/>
      <w:bookmarkStart w:id="1161" w:name="_Toc431366153"/>
      <w:bookmarkStart w:id="1162" w:name="_Toc431526441"/>
      <w:r>
        <w:t>Vendor Influence in the Free Ridership Calculation</w:t>
      </w:r>
      <w:bookmarkEnd w:id="1158"/>
      <w:bookmarkEnd w:id="1159"/>
    </w:p>
    <w:p w14:paraId="57671F78" w14:textId="77777777" w:rsidR="00D34C6E" w:rsidRPr="00235EED" w:rsidRDefault="00D34C6E" w:rsidP="00D34C6E">
      <w:pPr>
        <w:pStyle w:val="Heading5"/>
        <w:numPr>
          <w:ilvl w:val="4"/>
          <w:numId w:val="8"/>
        </w:numPr>
      </w:pPr>
      <w:bookmarkStart w:id="1163" w:name="_Toc442804235"/>
      <w:bookmarkStart w:id="1164" w:name="_Toc442805452"/>
      <w:bookmarkEnd w:id="1160"/>
      <w:r w:rsidRPr="00235EED">
        <w:t xml:space="preserve">Treatment of Participant’s Rating of </w:t>
      </w:r>
      <w:r>
        <w:t>Vendor</w:t>
      </w:r>
      <w:r w:rsidRPr="00235EED">
        <w:t xml:space="preserve"> in the Program Components </w:t>
      </w:r>
      <w:r>
        <w:t xml:space="preserve">FR </w:t>
      </w:r>
      <w:r w:rsidRPr="00235EED">
        <w:t xml:space="preserve">Score of the </w:t>
      </w:r>
      <w:r>
        <w:t>Core</w:t>
      </w:r>
      <w:r w:rsidRPr="00235EED">
        <w:t xml:space="preserve"> FR Algorithm</w:t>
      </w:r>
      <w:bookmarkEnd w:id="1163"/>
      <w:bookmarkEnd w:id="1164"/>
    </w:p>
    <w:p w14:paraId="2A2F2B9E" w14:textId="77777777" w:rsidR="00D34C6E" w:rsidRPr="00235EED" w:rsidRDefault="00D34C6E" w:rsidP="00D34C6E">
      <w:r w:rsidRPr="00235EED">
        <w:t xml:space="preserve">The Program Components </w:t>
      </w:r>
      <w:r>
        <w:t xml:space="preserve">FR </w:t>
      </w:r>
      <w:r w:rsidRPr="00235EED">
        <w:t xml:space="preserve">Score of the participant Core </w:t>
      </w:r>
      <w:r>
        <w:t>FR</w:t>
      </w:r>
      <w:r w:rsidRPr="00235EED">
        <w:t xml:space="preserve"> algorithm is based on participant ratings of program and non-program factors. </w:t>
      </w:r>
      <w:r>
        <w:t>Vendors</w:t>
      </w:r>
      <w:r w:rsidRPr="002F5FEF">
        <w:rPr>
          <w:rStyle w:val="FootnoteReference"/>
        </w:rPr>
        <w:footnoteReference w:id="66"/>
      </w:r>
      <w:r w:rsidRPr="00235EED">
        <w:t xml:space="preserve"> often receive a high rating for their influence on the participant’s decision to install the efficient measure. To implement the Core FR algorithm, the evaluator needs to decide whether the </w:t>
      </w:r>
      <w:r>
        <w:t>vendor</w:t>
      </w:r>
      <w:r w:rsidRPr="00235EED">
        <w:t xml:space="preserve"> rating should be considered a program </w:t>
      </w:r>
      <w:r>
        <w:t>factor</w:t>
      </w:r>
      <w:r w:rsidRPr="00235EED">
        <w:t xml:space="preserve"> or a non-program </w:t>
      </w:r>
      <w:r>
        <w:t>factor</w:t>
      </w:r>
      <w:r w:rsidRPr="00235EED">
        <w:t xml:space="preserve">. This section outlines three scenarios for the treatment of the participant’s rating of a </w:t>
      </w:r>
      <w:r>
        <w:t>vendor</w:t>
      </w:r>
      <w:r w:rsidRPr="00235EED">
        <w:t xml:space="preserve"> in the Program Components </w:t>
      </w:r>
      <w:r>
        <w:t xml:space="preserve">FR </w:t>
      </w:r>
      <w:r w:rsidRPr="00235EED">
        <w:t xml:space="preserve">Score of the </w:t>
      </w:r>
      <w:r>
        <w:t>Core</w:t>
      </w:r>
      <w:r w:rsidRPr="00235EED">
        <w:t xml:space="preserve"> FR algorithm.</w:t>
      </w:r>
    </w:p>
    <w:p w14:paraId="6EA90AE3" w14:textId="77777777" w:rsidR="00D34C6E" w:rsidRPr="00D920BA" w:rsidRDefault="00D34C6E" w:rsidP="00D34C6E">
      <w:pPr>
        <w:keepNext/>
        <w:keepLines/>
        <w:rPr>
          <w:b/>
        </w:rPr>
      </w:pPr>
      <w:r w:rsidRPr="00D920BA">
        <w:rPr>
          <w:b/>
        </w:rPr>
        <w:t xml:space="preserve">Scenario #1: Vendors are automatically considered a program </w:t>
      </w:r>
      <w:r>
        <w:rPr>
          <w:b/>
        </w:rPr>
        <w:t>factor</w:t>
      </w:r>
      <w:r w:rsidRPr="00D920BA">
        <w:rPr>
          <w:b/>
        </w:rPr>
        <w:t xml:space="preserve"> </w:t>
      </w:r>
    </w:p>
    <w:p w14:paraId="66139309" w14:textId="77777777" w:rsidR="00D34C6E" w:rsidRPr="00235EED" w:rsidRDefault="00D34C6E" w:rsidP="00D34C6E">
      <w:pPr>
        <w:keepNext/>
        <w:keepLines/>
      </w:pPr>
      <w:r w:rsidRPr="00235EED">
        <w:t xml:space="preserve">The </w:t>
      </w:r>
      <w:r>
        <w:t>vendor</w:t>
      </w:r>
      <w:r w:rsidRPr="00235EED">
        <w:t xml:space="preserve"> is considered a program </w:t>
      </w:r>
      <w:r>
        <w:t>factor</w:t>
      </w:r>
      <w:r w:rsidRPr="00235EED">
        <w:t xml:space="preserve"> in the calculation of the Program Components </w:t>
      </w:r>
      <w:r>
        <w:t xml:space="preserve">FR </w:t>
      </w:r>
      <w:r w:rsidRPr="00235EED">
        <w:t xml:space="preserve">Score in the FR algorithm if the program meets specific criteria, which could include the following: </w:t>
      </w:r>
    </w:p>
    <w:p w14:paraId="17FCA1C1" w14:textId="77777777" w:rsidR="00D34C6E" w:rsidRPr="00235EED" w:rsidRDefault="00D34C6E" w:rsidP="00D34C6E">
      <w:pPr>
        <w:pStyle w:val="ListParagraph"/>
        <w:widowControl/>
        <w:numPr>
          <w:ilvl w:val="0"/>
          <w:numId w:val="24"/>
        </w:numPr>
        <w:spacing w:after="60"/>
        <w:contextualSpacing w:val="0"/>
      </w:pPr>
      <w:r w:rsidRPr="00235EED">
        <w:t>Trade allies are an integral component of program delivery, as supported by program logic</w:t>
      </w:r>
    </w:p>
    <w:p w14:paraId="51D628A7" w14:textId="77777777" w:rsidR="00D34C6E" w:rsidRDefault="00D34C6E" w:rsidP="00D34C6E">
      <w:pPr>
        <w:pStyle w:val="ListParagraph"/>
        <w:widowControl/>
        <w:numPr>
          <w:ilvl w:val="0"/>
          <w:numId w:val="24"/>
        </w:numPr>
        <w:spacing w:after="60"/>
        <w:contextualSpacing w:val="0"/>
      </w:pPr>
      <w:r w:rsidRPr="00235EED">
        <w:lastRenderedPageBreak/>
        <w:t xml:space="preserve">The trade ally network consists of a limited number of </w:t>
      </w:r>
      <w:r>
        <w:t>Program Administrator-</w:t>
      </w:r>
      <w:r w:rsidRPr="00235EED">
        <w:t>selected, pre-approved trade allies</w:t>
      </w:r>
    </w:p>
    <w:p w14:paraId="1FE269B5" w14:textId="77777777" w:rsidR="00D34C6E" w:rsidRPr="00235EED" w:rsidRDefault="00D34C6E" w:rsidP="00D34C6E">
      <w:pPr>
        <w:pStyle w:val="ListParagraph"/>
        <w:widowControl/>
        <w:numPr>
          <w:ilvl w:val="0"/>
          <w:numId w:val="24"/>
        </w:numPr>
        <w:spacing w:after="60"/>
        <w:contextualSpacing w:val="0"/>
      </w:pPr>
      <w:r>
        <w:t>Only trade allies can implement projects and submit applications on behalf of the customer</w:t>
      </w:r>
    </w:p>
    <w:p w14:paraId="4BFE12D4" w14:textId="77777777" w:rsidR="00D34C6E" w:rsidRPr="00235EED" w:rsidRDefault="00D34C6E" w:rsidP="00D34C6E">
      <w:pPr>
        <w:pStyle w:val="ListParagraph"/>
        <w:widowControl/>
        <w:numPr>
          <w:ilvl w:val="0"/>
          <w:numId w:val="24"/>
        </w:numPr>
        <w:spacing w:after="60"/>
        <w:contextualSpacing w:val="0"/>
      </w:pPr>
      <w:r w:rsidRPr="00235EED">
        <w:t>Trade allies complete sign</w:t>
      </w:r>
      <w:r>
        <w:t>ed agreements with the P</w:t>
      </w:r>
      <w:r w:rsidRPr="00235EED">
        <w:t xml:space="preserve">rogram </w:t>
      </w:r>
      <w:r>
        <w:t>A</w:t>
      </w:r>
      <w:r w:rsidRPr="00235EED">
        <w:t xml:space="preserve">dministrator </w:t>
      </w:r>
    </w:p>
    <w:p w14:paraId="6D253331" w14:textId="77777777" w:rsidR="00D34C6E" w:rsidRPr="00235EED" w:rsidRDefault="00D34C6E" w:rsidP="00D34C6E">
      <w:pPr>
        <w:pStyle w:val="ListParagraph"/>
        <w:widowControl/>
        <w:numPr>
          <w:ilvl w:val="0"/>
          <w:numId w:val="24"/>
        </w:numPr>
        <w:contextualSpacing w:val="0"/>
      </w:pPr>
      <w:r w:rsidRPr="00235EED">
        <w:t xml:space="preserve">Trade </w:t>
      </w:r>
      <w:proofErr w:type="gramStart"/>
      <w:r w:rsidRPr="00235EED">
        <w:t>allies</w:t>
      </w:r>
      <w:proofErr w:type="gramEnd"/>
      <w:r w:rsidRPr="00235EED">
        <w:t xml:space="preserve"> </w:t>
      </w:r>
      <w:r>
        <w:t>complete</w:t>
      </w:r>
      <w:r w:rsidRPr="00235EED">
        <w:t xml:space="preserve"> program-sponsored training</w:t>
      </w:r>
    </w:p>
    <w:p w14:paraId="4729D962" w14:textId="77777777" w:rsidR="00D34C6E" w:rsidRPr="00235EED" w:rsidRDefault="00D34C6E" w:rsidP="00D34C6E">
      <w:r w:rsidRPr="00235EED">
        <w:t xml:space="preserve">In these cases, the </w:t>
      </w:r>
      <w:r>
        <w:t>vendor</w:t>
      </w:r>
      <w:r w:rsidRPr="00235EED">
        <w:t xml:space="preserve"> is automatically considered a program </w:t>
      </w:r>
      <w:r>
        <w:t>factor</w:t>
      </w:r>
      <w:r w:rsidRPr="00235EED">
        <w:t xml:space="preserve">, and no additional input from the </w:t>
      </w:r>
      <w:r>
        <w:t>vendor</w:t>
      </w:r>
      <w:r w:rsidRPr="00235EED">
        <w:t xml:space="preserve"> is needed regarding the customer’s decision-making process related to the project. The participant’s influence rating for the </w:t>
      </w:r>
      <w:r>
        <w:t>vendor</w:t>
      </w:r>
      <w:r w:rsidRPr="00235EED">
        <w:t xml:space="preserve"> goes directly into the Program Components</w:t>
      </w:r>
      <w:r>
        <w:t xml:space="preserve"> FR</w:t>
      </w:r>
      <w:r w:rsidRPr="00235EED">
        <w:t xml:space="preserve"> Score algorithm as a program </w:t>
      </w:r>
      <w:r>
        <w:t>factor (if it is the highest rating given to any program factor)</w:t>
      </w:r>
      <w:r w:rsidRPr="00235EED">
        <w:t>.</w:t>
      </w:r>
    </w:p>
    <w:p w14:paraId="2B8564BC" w14:textId="77777777" w:rsidR="00D34C6E" w:rsidRPr="00D920BA" w:rsidRDefault="00D34C6E" w:rsidP="00D34C6E">
      <w:pPr>
        <w:keepNext/>
        <w:keepLines/>
        <w:rPr>
          <w:b/>
        </w:rPr>
      </w:pPr>
      <w:r w:rsidRPr="00D920BA">
        <w:rPr>
          <w:b/>
        </w:rPr>
        <w:t xml:space="preserve">Scenario #2: Vendors are considered a program </w:t>
      </w:r>
      <w:r>
        <w:rPr>
          <w:b/>
        </w:rPr>
        <w:t>factor</w:t>
      </w:r>
      <w:r w:rsidRPr="00D920BA">
        <w:rPr>
          <w:b/>
        </w:rPr>
        <w:t xml:space="preserve"> if the program influenced their recommendation to implement the efficient project</w:t>
      </w:r>
    </w:p>
    <w:p w14:paraId="37765BDC" w14:textId="77777777" w:rsidR="00D34C6E" w:rsidRDefault="00D34C6E" w:rsidP="00D34C6E">
      <w:pPr>
        <w:keepNext/>
        <w:keepLines/>
      </w:pPr>
      <w:r w:rsidRPr="00692EB8">
        <w:t xml:space="preserve">For programs that </w:t>
      </w:r>
      <w:r>
        <w:t>have a trade ally network, but do not meet the conditions under Scenario #1 above, follow-up interviews with vendors may be used to determine if the vendor should be considered a program factor. To qualify for Scenario #2, a program’s trade ally network should meet the following conditions:</w:t>
      </w:r>
    </w:p>
    <w:p w14:paraId="52AEDF69" w14:textId="77777777" w:rsidR="00D34C6E" w:rsidRPr="00692EB8" w:rsidRDefault="00D34C6E" w:rsidP="00D34C6E">
      <w:pPr>
        <w:pStyle w:val="ListParagraph"/>
        <w:widowControl/>
        <w:numPr>
          <w:ilvl w:val="0"/>
          <w:numId w:val="43"/>
        </w:numPr>
        <w:spacing w:after="60"/>
        <w:contextualSpacing w:val="0"/>
        <w:jc w:val="left"/>
      </w:pPr>
      <w:r>
        <w:t>Trade allies</w:t>
      </w:r>
      <w:r w:rsidRPr="00692EB8">
        <w:t xml:space="preserve"> </w:t>
      </w:r>
      <w:r>
        <w:t>are</w:t>
      </w:r>
      <w:r w:rsidRPr="00692EB8">
        <w:t xml:space="preserve"> registered with the program</w:t>
      </w:r>
    </w:p>
    <w:p w14:paraId="19BDACD8" w14:textId="77777777" w:rsidR="00D34C6E" w:rsidRPr="00692EB8" w:rsidRDefault="00D34C6E" w:rsidP="00D34C6E">
      <w:pPr>
        <w:pStyle w:val="ListParagraph"/>
        <w:widowControl/>
        <w:numPr>
          <w:ilvl w:val="0"/>
          <w:numId w:val="43"/>
        </w:numPr>
        <w:spacing w:after="60"/>
        <w:contextualSpacing w:val="0"/>
        <w:jc w:val="left"/>
      </w:pPr>
      <w:r w:rsidRPr="00692EB8">
        <w:t xml:space="preserve">Trade allies </w:t>
      </w:r>
      <w:r>
        <w:t xml:space="preserve">typically </w:t>
      </w:r>
      <w:r w:rsidRPr="00692EB8">
        <w:t>complete signed agreem</w:t>
      </w:r>
      <w:r>
        <w:t>ents with the Program Administrator</w:t>
      </w:r>
    </w:p>
    <w:p w14:paraId="1C9C8AF3" w14:textId="77777777" w:rsidR="00D34C6E" w:rsidRPr="00692EB8" w:rsidRDefault="00D34C6E" w:rsidP="00D34C6E">
      <w:pPr>
        <w:pStyle w:val="ListParagraph"/>
        <w:widowControl/>
        <w:numPr>
          <w:ilvl w:val="0"/>
          <w:numId w:val="43"/>
        </w:numPr>
        <w:spacing w:after="60"/>
        <w:contextualSpacing w:val="0"/>
        <w:jc w:val="left"/>
      </w:pPr>
      <w:r w:rsidRPr="00692EB8">
        <w:t xml:space="preserve">Trade </w:t>
      </w:r>
      <w:proofErr w:type="gramStart"/>
      <w:r w:rsidRPr="00692EB8">
        <w:t>allies</w:t>
      </w:r>
      <w:proofErr w:type="gramEnd"/>
      <w:r w:rsidRPr="00692EB8">
        <w:t xml:space="preserve"> </w:t>
      </w:r>
      <w:r>
        <w:t>complete</w:t>
      </w:r>
      <w:r w:rsidRPr="00692EB8">
        <w:t xml:space="preserve"> program-sponsored training</w:t>
      </w:r>
    </w:p>
    <w:p w14:paraId="3C8B53C2" w14:textId="77777777" w:rsidR="00D34C6E" w:rsidRPr="00692EB8" w:rsidRDefault="00D34C6E" w:rsidP="00D34C6E">
      <w:pPr>
        <w:pStyle w:val="ListParagraph"/>
        <w:widowControl/>
        <w:numPr>
          <w:ilvl w:val="0"/>
          <w:numId w:val="43"/>
        </w:numPr>
        <w:jc w:val="left"/>
      </w:pPr>
      <w:r>
        <w:t>Trade allies drive program participation, as supported by p</w:t>
      </w:r>
      <w:r w:rsidRPr="00692EB8">
        <w:t xml:space="preserve">rogram logic </w:t>
      </w:r>
    </w:p>
    <w:p w14:paraId="48191E41" w14:textId="77777777" w:rsidR="00D34C6E" w:rsidRDefault="00D34C6E" w:rsidP="00D34C6E">
      <w:r>
        <w:t xml:space="preserve">In these cases, </w:t>
      </w:r>
      <w:r w:rsidRPr="00692EB8">
        <w:t>if</w:t>
      </w:r>
      <w:r>
        <w:t xml:space="preserve"> </w:t>
      </w:r>
      <w:r w:rsidRPr="00692EB8">
        <w:t xml:space="preserve">the size of the project warrants </w:t>
      </w:r>
      <w:r>
        <w:t>a greater</w:t>
      </w:r>
      <w:r w:rsidRPr="00692EB8">
        <w:t xml:space="preserve"> level of effort</w:t>
      </w:r>
      <w:r>
        <w:t>, a follow-up interview</w:t>
      </w:r>
      <w:r w:rsidRPr="00692EB8">
        <w:t xml:space="preserve"> </w:t>
      </w:r>
      <w:r>
        <w:t>with the vendor may be used to determine if the participant’s rating of the vendor’s influence should be included as a program factor. A follow-up interview is triggered under the following conditions:</w:t>
      </w:r>
    </w:p>
    <w:p w14:paraId="06AA8938" w14:textId="77777777" w:rsidR="00D34C6E" w:rsidRDefault="00D34C6E" w:rsidP="00D34C6E">
      <w:pPr>
        <w:pStyle w:val="ListParagraph"/>
        <w:widowControl/>
        <w:numPr>
          <w:ilvl w:val="0"/>
          <w:numId w:val="44"/>
        </w:numPr>
        <w:spacing w:after="60"/>
        <w:contextualSpacing w:val="0"/>
        <w:jc w:val="left"/>
      </w:pPr>
      <w:r>
        <w:t>The p</w:t>
      </w:r>
      <w:r w:rsidRPr="009E19B9">
        <w:t xml:space="preserve">articipant </w:t>
      </w:r>
      <w:r>
        <w:t>rated the influence of the vendor as</w:t>
      </w:r>
      <w:r w:rsidRPr="009E19B9">
        <w:t xml:space="preserve"> 8, 9, or 10</w:t>
      </w:r>
      <w:r>
        <w:t xml:space="preserve"> (on a scale from 0 to 10)</w:t>
      </w:r>
    </w:p>
    <w:p w14:paraId="575EE882" w14:textId="77777777" w:rsidR="00D34C6E" w:rsidRPr="00692EB8" w:rsidRDefault="00D34C6E" w:rsidP="00D34C6E">
      <w:pPr>
        <w:pStyle w:val="ListParagraph"/>
        <w:widowControl/>
        <w:numPr>
          <w:ilvl w:val="0"/>
          <w:numId w:val="44"/>
        </w:numPr>
        <w:contextualSpacing w:val="0"/>
        <w:jc w:val="left"/>
      </w:pPr>
      <w:r w:rsidRPr="009E19B9">
        <w:t xml:space="preserve">The rating the participant gave to </w:t>
      </w:r>
      <w:r>
        <w:t>vendor</w:t>
      </w:r>
      <w:r w:rsidRPr="009E19B9">
        <w:t xml:space="preserve"> influence is higher than any of the program </w:t>
      </w:r>
      <w:r>
        <w:t>factor</w:t>
      </w:r>
      <w:r w:rsidRPr="009E19B9">
        <w:t xml:space="preserve"> </w:t>
      </w:r>
      <w:r>
        <w:t>ratings</w:t>
      </w:r>
    </w:p>
    <w:p w14:paraId="6F0AA1C9" w14:textId="77777777" w:rsidR="00D34C6E" w:rsidRDefault="00D34C6E" w:rsidP="00D34C6E">
      <w:r>
        <w:t>If completed, the interview should include the following questions:</w:t>
      </w:r>
    </w:p>
    <w:p w14:paraId="05ED7EB4" w14:textId="77777777" w:rsidR="00D34C6E" w:rsidRDefault="00D34C6E" w:rsidP="00D34C6E">
      <w:pPr>
        <w:spacing w:after="60"/>
        <w:ind w:left="720" w:hanging="720"/>
      </w:pPr>
      <w:r>
        <w:t>FR1a</w:t>
      </w:r>
      <w:r>
        <w:tab/>
        <w:t>On a scale of 0 to 10 where 0 is NOT AT ALL IMPORTANT and 10 is EXTREMELY IMPORTANT, how important was the &lt;PROGRAM&gt;, including incentives as well as program services and information, in influencing your decision to recommend that &lt;CUSTOMER&gt; install the energy efficient &lt;MEASURE&gt; at this time?</w:t>
      </w:r>
    </w:p>
    <w:p w14:paraId="03227B6A" w14:textId="77777777" w:rsidR="00D34C6E" w:rsidRDefault="00D34C6E" w:rsidP="00D34C6E">
      <w:pPr>
        <w:spacing w:after="60"/>
        <w:ind w:left="720" w:hanging="720"/>
      </w:pPr>
      <w:r>
        <w:t>FR1b</w:t>
      </w:r>
      <w:r>
        <w:tab/>
        <w:t>On the same scale, how important was y</w:t>
      </w:r>
      <w:r w:rsidRPr="004C6E27">
        <w:t>our firm’s past participation in an in</w:t>
      </w:r>
      <w:r>
        <w:t xml:space="preserve">centive or study-based program </w:t>
      </w:r>
      <w:r w:rsidRPr="004C6E27">
        <w:t xml:space="preserve">sponsored by </w:t>
      </w:r>
      <w:r>
        <w:t>&lt;PROGRAM ADMINISTRATOR&gt;</w:t>
      </w:r>
      <w:r w:rsidRPr="004C6E27">
        <w:t>?</w:t>
      </w:r>
    </w:p>
    <w:p w14:paraId="5CE53193" w14:textId="77777777" w:rsidR="00D34C6E" w:rsidRDefault="00D34C6E" w:rsidP="00D34C6E">
      <w:pPr>
        <w:spacing w:after="60"/>
        <w:ind w:left="720" w:hanging="720"/>
      </w:pPr>
      <w:r>
        <w:t>FR2</w:t>
      </w:r>
      <w:r>
        <w:tab/>
        <w:t>And using a 0 to 10 likelihood scale where 0 is NOT AT ALL LIKELY and 10 is EXTREMELY LIKELY, if the &lt;PROGRAM&gt;, including incentives as well as program services and information, had not been available, what is the likelihood that you would have recommended this specific &lt;MEASURE&gt; to &lt;CUSTOMER&gt;?</w:t>
      </w:r>
    </w:p>
    <w:p w14:paraId="5FABCAB7" w14:textId="77777777" w:rsidR="00D34C6E" w:rsidRDefault="00D34C6E" w:rsidP="00D34C6E">
      <w:pPr>
        <w:spacing w:after="60"/>
        <w:ind w:left="720" w:hanging="720"/>
      </w:pPr>
      <w:r>
        <w:t>FR3a</w:t>
      </w:r>
      <w:r>
        <w:tab/>
      </w:r>
      <w:r w:rsidRPr="004C6E27">
        <w:t xml:space="preserve">Approximately, in what percent of projects did you recommend </w:t>
      </w:r>
      <w:r>
        <w:t>&lt;</w:t>
      </w:r>
      <w:r w:rsidRPr="004C6E27">
        <w:t>MEASURE</w:t>
      </w:r>
      <w:r>
        <w:t>&gt;</w:t>
      </w:r>
      <w:r w:rsidRPr="004C6E27">
        <w:t xml:space="preserve"> BEFORE you learne</w:t>
      </w:r>
      <w:r>
        <w:t>d about the &lt;PROGRAM&gt;</w:t>
      </w:r>
      <w:r w:rsidRPr="004C6E27">
        <w:t>?</w:t>
      </w:r>
    </w:p>
    <w:p w14:paraId="5C8CB80E" w14:textId="77777777" w:rsidR="00D34C6E" w:rsidRDefault="00D34C6E" w:rsidP="00D34C6E">
      <w:pPr>
        <w:ind w:left="720" w:hanging="720"/>
      </w:pPr>
      <w:r>
        <w:t>FR3b</w:t>
      </w:r>
      <w:r>
        <w:tab/>
      </w:r>
      <w:r w:rsidRPr="004C6E27">
        <w:t>A</w:t>
      </w:r>
      <w:r>
        <w:t>nd a</w:t>
      </w:r>
      <w:r w:rsidRPr="004C6E27">
        <w:t xml:space="preserve">pproximately, in what percent of projects do you recommend </w:t>
      </w:r>
      <w:r>
        <w:t>&lt;</w:t>
      </w:r>
      <w:r w:rsidRPr="004C6E27">
        <w:t>MEASURE</w:t>
      </w:r>
      <w:r>
        <w:t>&gt;</w:t>
      </w:r>
      <w:r w:rsidRPr="004C6E27">
        <w:t xml:space="preserve"> now that you have worked with </w:t>
      </w:r>
      <w:r>
        <w:t>the &lt;PROGRAM&gt;</w:t>
      </w:r>
      <w:r w:rsidRPr="004C6E27">
        <w:t>?</w:t>
      </w:r>
    </w:p>
    <w:p w14:paraId="1D7DC84E" w14:textId="77777777" w:rsidR="00D34C6E" w:rsidRDefault="00D34C6E" w:rsidP="00D34C6E">
      <w:r>
        <w:t>The interview will also include consistency checks, if the vendor provides inconsistent responses to these questions.</w:t>
      </w:r>
    </w:p>
    <w:p w14:paraId="7D7A1C4B" w14:textId="77777777" w:rsidR="00D34C6E" w:rsidRDefault="00D34C6E" w:rsidP="00D34C6E">
      <w:r>
        <w:t>T</w:t>
      </w:r>
      <w:r w:rsidRPr="00552783">
        <w:t xml:space="preserve">he </w:t>
      </w:r>
      <w:r>
        <w:t>vendor</w:t>
      </w:r>
      <w:r w:rsidRPr="00552783">
        <w:t xml:space="preserve"> is viewed as a program </w:t>
      </w:r>
      <w:r>
        <w:t>factor</w:t>
      </w:r>
      <w:r w:rsidRPr="00552783">
        <w:t xml:space="preserve"> and the rating the </w:t>
      </w:r>
      <w:r>
        <w:t>participant</w:t>
      </w:r>
      <w:r w:rsidRPr="00552783">
        <w:t xml:space="preserve"> provided for the </w:t>
      </w:r>
      <w:r>
        <w:t>vendor</w:t>
      </w:r>
      <w:r w:rsidRPr="00552783">
        <w:t xml:space="preserve"> </w:t>
      </w:r>
      <w:r>
        <w:t>goes into the Program Components FR Score algorithm as a program factor if, after consideration of any consistency checks:</w:t>
      </w:r>
    </w:p>
    <w:p w14:paraId="509C5FC8" w14:textId="77777777" w:rsidR="00D34C6E" w:rsidRDefault="00D34C6E" w:rsidP="00D34C6E">
      <w:pPr>
        <w:pStyle w:val="ListParagraph"/>
        <w:widowControl/>
        <w:numPr>
          <w:ilvl w:val="0"/>
          <w:numId w:val="45"/>
        </w:numPr>
        <w:spacing w:after="60"/>
        <w:contextualSpacing w:val="0"/>
      </w:pPr>
      <w:r>
        <w:t>The response to Q. FR1a or FR1b is 8, 9, or 10</w:t>
      </w:r>
    </w:p>
    <w:p w14:paraId="1A136349" w14:textId="77777777" w:rsidR="00D34C6E" w:rsidRPr="00552783" w:rsidRDefault="00D34C6E" w:rsidP="00D34C6E">
      <w:pPr>
        <w:pStyle w:val="ListParagraph"/>
        <w:spacing w:after="60"/>
        <w:ind w:left="0"/>
        <w:contextualSpacing w:val="0"/>
        <w:rPr>
          <w:u w:val="single"/>
        </w:rPr>
      </w:pPr>
      <w:r w:rsidRPr="00552783">
        <w:rPr>
          <w:u w:val="single"/>
        </w:rPr>
        <w:t>OR</w:t>
      </w:r>
    </w:p>
    <w:p w14:paraId="74D4A302" w14:textId="77777777" w:rsidR="00D34C6E" w:rsidRDefault="00D34C6E" w:rsidP="00D34C6E">
      <w:pPr>
        <w:pStyle w:val="ListParagraph"/>
        <w:widowControl/>
        <w:numPr>
          <w:ilvl w:val="0"/>
          <w:numId w:val="45"/>
        </w:numPr>
        <w:spacing w:after="60"/>
        <w:contextualSpacing w:val="0"/>
      </w:pPr>
      <w:r>
        <w:t>The response to Q. FR2 is 0, 1, or 2</w:t>
      </w:r>
    </w:p>
    <w:p w14:paraId="1C7E8C79" w14:textId="77777777" w:rsidR="00D34C6E" w:rsidRPr="00183E56" w:rsidRDefault="00D34C6E" w:rsidP="00D34C6E">
      <w:pPr>
        <w:spacing w:after="60"/>
        <w:rPr>
          <w:u w:val="single"/>
        </w:rPr>
      </w:pPr>
      <w:r w:rsidRPr="00183E56">
        <w:rPr>
          <w:u w:val="single"/>
        </w:rPr>
        <w:t>OR</w:t>
      </w:r>
    </w:p>
    <w:p w14:paraId="3DDFC477" w14:textId="77777777" w:rsidR="00D34C6E" w:rsidRPr="00692EB8" w:rsidRDefault="00D34C6E" w:rsidP="00D34C6E">
      <w:pPr>
        <w:pStyle w:val="ListParagraph"/>
        <w:widowControl/>
        <w:numPr>
          <w:ilvl w:val="0"/>
          <w:numId w:val="45"/>
        </w:numPr>
        <w:contextualSpacing w:val="0"/>
      </w:pPr>
      <w:r>
        <w:lastRenderedPageBreak/>
        <w:t>The difference between the responses to FR3b and FR3a is 80% or greater</w:t>
      </w:r>
    </w:p>
    <w:p w14:paraId="4C80E026" w14:textId="77777777" w:rsidR="00D34C6E" w:rsidRDefault="00D34C6E" w:rsidP="00D34C6E">
      <w:r>
        <w:t xml:space="preserve">If none of these conditions are met, the </w:t>
      </w:r>
      <w:r w:rsidRPr="00552783">
        <w:t xml:space="preserve">rating the </w:t>
      </w:r>
      <w:r>
        <w:t>participant</w:t>
      </w:r>
      <w:r w:rsidRPr="00552783">
        <w:t xml:space="preserve"> provided for the </w:t>
      </w:r>
      <w:r>
        <w:t>vendor</w:t>
      </w:r>
      <w:r w:rsidRPr="00552783">
        <w:t xml:space="preserve"> </w:t>
      </w:r>
      <w:r>
        <w:t>does not go into the Program Components FR Score algorithm as a program factor.</w:t>
      </w:r>
    </w:p>
    <w:p w14:paraId="0723E042" w14:textId="77777777" w:rsidR="00D34C6E" w:rsidRDefault="00D34C6E" w:rsidP="00D34C6E">
      <w:r>
        <w:t>In the event that an interview is not completed (e.g., the size of the project did not warrant a vendor interview or the vendor could not be reached), the evaluation reports should explain how the rating the participant provided for the vendor was treated. Guidelines for these situations may be added</w:t>
      </w:r>
      <w:r w:rsidRPr="00500F33">
        <w:t xml:space="preserve"> </w:t>
      </w:r>
      <w:r w:rsidRPr="004201C2">
        <w:t>to this document in the future</w:t>
      </w:r>
      <w:r>
        <w:t>.</w:t>
      </w:r>
    </w:p>
    <w:p w14:paraId="065EFE46" w14:textId="77777777" w:rsidR="00D34C6E" w:rsidRPr="00D920BA" w:rsidRDefault="00D34C6E" w:rsidP="00D34C6E">
      <w:pPr>
        <w:rPr>
          <w:b/>
        </w:rPr>
      </w:pPr>
      <w:r w:rsidRPr="00D920BA">
        <w:rPr>
          <w:b/>
        </w:rPr>
        <w:t xml:space="preserve">Scenario #3: Vendors are considered a non-program </w:t>
      </w:r>
      <w:r>
        <w:rPr>
          <w:b/>
        </w:rPr>
        <w:t>factor</w:t>
      </w:r>
      <w:r w:rsidRPr="00D920BA">
        <w:rPr>
          <w:b/>
        </w:rPr>
        <w:t xml:space="preserve"> </w:t>
      </w:r>
    </w:p>
    <w:p w14:paraId="054D830C" w14:textId="77777777" w:rsidR="00D34C6E" w:rsidRDefault="00D34C6E" w:rsidP="00D34C6E">
      <w:r w:rsidRPr="00235EED">
        <w:t xml:space="preserve">For programs that do NOT have a trade ally network that meets the conditions under Scenario #2, </w:t>
      </w:r>
      <w:r>
        <w:t>vendor</w:t>
      </w:r>
      <w:r w:rsidRPr="00235EED">
        <w:t xml:space="preserve">s are considered a non-program </w:t>
      </w:r>
      <w:r>
        <w:t>factor</w:t>
      </w:r>
      <w:r w:rsidRPr="00235EED">
        <w:t xml:space="preserve">. In these cases, the participant’s rating of the </w:t>
      </w:r>
      <w:r>
        <w:t>vendor</w:t>
      </w:r>
      <w:r w:rsidRPr="00235EED">
        <w:t xml:space="preserve"> </w:t>
      </w:r>
      <w:r>
        <w:t xml:space="preserve">does not </w:t>
      </w:r>
      <w:r w:rsidRPr="00235EED">
        <w:t xml:space="preserve">go directly into the Program Components </w:t>
      </w:r>
      <w:r>
        <w:t xml:space="preserve">FR </w:t>
      </w:r>
      <w:r w:rsidRPr="00235EED">
        <w:t xml:space="preserve">Score algorithm as a program </w:t>
      </w:r>
      <w:r>
        <w:t>fac</w:t>
      </w:r>
      <w:r w:rsidRPr="00235EED">
        <w:t>t</w:t>
      </w:r>
      <w:r>
        <w:t>or</w:t>
      </w:r>
      <w:r w:rsidRPr="00235EED">
        <w:t>.</w:t>
      </w:r>
    </w:p>
    <w:p w14:paraId="09A91F02" w14:textId="77777777" w:rsidR="00D34C6E" w:rsidRDefault="00D34C6E" w:rsidP="00D34C6E">
      <w:pPr>
        <w:pStyle w:val="Heading2"/>
        <w:keepLines w:val="0"/>
        <w:widowControl/>
        <w:numPr>
          <w:ilvl w:val="1"/>
          <w:numId w:val="8"/>
        </w:numPr>
        <w:jc w:val="left"/>
      </w:pPr>
      <w:bookmarkStart w:id="1165" w:name="_Toc442975703"/>
      <w:bookmarkStart w:id="1166" w:name="_Ref439690234"/>
      <w:bookmarkStart w:id="1167" w:name="_Ref442612996"/>
      <w:bookmarkStart w:id="1168" w:name="_Toc442804237"/>
      <w:bookmarkStart w:id="1169" w:name="_Toc442805454"/>
      <w:bookmarkStart w:id="1170" w:name="_Toc472494693"/>
      <w:bookmarkStart w:id="1171" w:name="_Toc520462891"/>
      <w:bookmarkStart w:id="1172" w:name="_Toc473108035"/>
      <w:bookmarkStart w:id="1173" w:name="_Toc520824147"/>
      <w:bookmarkStart w:id="1174" w:name="_Toc16619930"/>
      <w:bookmarkStart w:id="1175" w:name="_Toc113619785"/>
      <w:bookmarkEnd w:id="1165"/>
      <w:r>
        <w:t xml:space="preserve">Core Non-Residential </w:t>
      </w:r>
      <w:r w:rsidRPr="009B67BF">
        <w:t>Spillover</w:t>
      </w:r>
      <w:bookmarkEnd w:id="1161"/>
      <w:bookmarkEnd w:id="1162"/>
      <w:bookmarkEnd w:id="1166"/>
      <w:r>
        <w:t xml:space="preserve"> Protocol</w:t>
      </w:r>
      <w:bookmarkEnd w:id="1167"/>
      <w:bookmarkEnd w:id="1168"/>
      <w:bookmarkEnd w:id="1169"/>
      <w:bookmarkEnd w:id="1170"/>
      <w:bookmarkEnd w:id="1171"/>
      <w:bookmarkEnd w:id="1172"/>
      <w:bookmarkEnd w:id="1173"/>
      <w:bookmarkEnd w:id="1174"/>
      <w:bookmarkEnd w:id="1175"/>
    </w:p>
    <w:p w14:paraId="38173351" w14:textId="77777777" w:rsidR="00D34C6E" w:rsidRPr="00F13118" w:rsidRDefault="00D34C6E" w:rsidP="00D34C6E">
      <w:r w:rsidRPr="00F13118">
        <w:t>Spillover refers to energy savings associated with energy</w:t>
      </w:r>
      <w:r>
        <w:t>-</w:t>
      </w:r>
      <w:r w:rsidRPr="00F13118">
        <w:t>efficient equipment installed by consumers who were influenced by an energy efficiency program, but without direct</w:t>
      </w:r>
      <w:r>
        <w:t xml:space="preserve"> intervention (e.g.,</w:t>
      </w:r>
      <w:r w:rsidRPr="00F13118">
        <w:t xml:space="preserve"> financial </w:t>
      </w:r>
      <w:r>
        <w:t xml:space="preserve">or technical </w:t>
      </w:r>
      <w:r w:rsidRPr="00F13118">
        <w:t>assistance</w:t>
      </w:r>
      <w:r>
        <w:t>)</w:t>
      </w:r>
      <w:r w:rsidRPr="00F13118">
        <w:t xml:space="preserve"> from the program.</w:t>
      </w:r>
    </w:p>
    <w:p w14:paraId="6D188EFA" w14:textId="77777777" w:rsidR="00D34C6E" w:rsidRDefault="00D34C6E" w:rsidP="00D34C6E">
      <w:pPr>
        <w:spacing w:after="60"/>
      </w:pPr>
      <w:r w:rsidRPr="00F13118">
        <w:t xml:space="preserve">To place the spillover protocols in context, we begin by defining the NTGR as: </w:t>
      </w:r>
    </w:p>
    <w:p w14:paraId="623203E1" w14:textId="77777777" w:rsidR="00D34C6E" w:rsidRPr="00F13118" w:rsidRDefault="00D34C6E" w:rsidP="00D34C6E">
      <w:pPr>
        <w:ind w:left="720"/>
      </w:pPr>
      <w:r w:rsidRPr="00F13118">
        <w:t>NTGR</w:t>
      </w:r>
      <w:r>
        <w:t xml:space="preserve"> </w:t>
      </w:r>
      <w:r w:rsidRPr="00F13118">
        <w:t>=</w:t>
      </w:r>
      <w:r>
        <w:t xml:space="preserve"> </w:t>
      </w:r>
      <w:r w:rsidRPr="00F13118">
        <w:t xml:space="preserve">(1 – Free Ridership </w:t>
      </w:r>
      <w:r>
        <w:t>Value</w:t>
      </w:r>
      <w:r w:rsidRPr="00F13118">
        <w:t xml:space="preserve"> + </w:t>
      </w:r>
      <w:r>
        <w:t>P</w:t>
      </w:r>
      <w:r w:rsidRPr="00F13118">
        <w:t>SO Rate + NPSO Rate)</w:t>
      </w:r>
      <w:r w:rsidRPr="00F13118">
        <w:tab/>
      </w:r>
    </w:p>
    <w:p w14:paraId="33CBC0B5" w14:textId="77777777" w:rsidR="00D34C6E" w:rsidRDefault="00D34C6E" w:rsidP="00D34C6E">
      <w:r w:rsidRPr="00F13118">
        <w:t>Where</w:t>
      </w:r>
      <w:r>
        <w:t>:</w:t>
      </w:r>
    </w:p>
    <w:tbl>
      <w:tblPr>
        <w:tblW w:w="0" w:type="auto"/>
        <w:tblInd w:w="378"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2070"/>
        <w:gridCol w:w="4320"/>
      </w:tblGrid>
      <w:tr w:rsidR="00D34C6E" w:rsidRPr="002F5FEF" w14:paraId="7CD407C7" w14:textId="77777777" w:rsidTr="002B6C05">
        <w:tc>
          <w:tcPr>
            <w:tcW w:w="2070" w:type="dxa"/>
            <w:shd w:val="clear" w:color="auto" w:fill="auto"/>
          </w:tcPr>
          <w:p w14:paraId="2AAC9DCC" w14:textId="77777777" w:rsidR="00D34C6E" w:rsidRPr="002F5FEF" w:rsidRDefault="00D34C6E" w:rsidP="002B6C05">
            <w:r w:rsidRPr="002F5FEF">
              <w:t>PSO Rate =</w:t>
            </w:r>
          </w:p>
        </w:tc>
        <w:tc>
          <w:tcPr>
            <w:tcW w:w="4320" w:type="dxa"/>
            <w:shd w:val="clear" w:color="auto" w:fill="auto"/>
          </w:tcPr>
          <w:p w14:paraId="3B2E5DDF" w14:textId="77777777" w:rsidR="00D34C6E" w:rsidRPr="002F5FEF" w:rsidRDefault="00D34C6E" w:rsidP="002B6C05">
            <w:r w:rsidRPr="002F5FEF">
              <w:t>Participant spillover rate</w:t>
            </w:r>
          </w:p>
        </w:tc>
      </w:tr>
      <w:tr w:rsidR="00D34C6E" w:rsidRPr="002F5FEF" w14:paraId="08AF5062" w14:textId="77777777" w:rsidTr="002B6C05">
        <w:tc>
          <w:tcPr>
            <w:tcW w:w="2070" w:type="dxa"/>
            <w:shd w:val="clear" w:color="auto" w:fill="auto"/>
          </w:tcPr>
          <w:p w14:paraId="6D3B6057" w14:textId="77777777" w:rsidR="00D34C6E" w:rsidRPr="002F5FEF" w:rsidRDefault="00D34C6E" w:rsidP="002B6C05">
            <w:r w:rsidRPr="002F5FEF">
              <w:t>NPSO Rate =</w:t>
            </w:r>
          </w:p>
        </w:tc>
        <w:tc>
          <w:tcPr>
            <w:tcW w:w="4320" w:type="dxa"/>
            <w:shd w:val="clear" w:color="auto" w:fill="auto"/>
          </w:tcPr>
          <w:p w14:paraId="19EBDDF9" w14:textId="77777777" w:rsidR="00D34C6E" w:rsidRPr="002F5FEF" w:rsidRDefault="00D34C6E" w:rsidP="002B6C05">
            <w:r w:rsidRPr="002F5FEF">
              <w:t>Nonparticipant spillover rate</w:t>
            </w:r>
          </w:p>
        </w:tc>
      </w:tr>
    </w:tbl>
    <w:p w14:paraId="48AB788C" w14:textId="77777777" w:rsidR="00D34C6E" w:rsidRPr="00F13118" w:rsidRDefault="00D34C6E" w:rsidP="00D34C6E">
      <w:r w:rsidRPr="00F13118">
        <w:t>The term (1-Free Ridership) is referred to as the Core NTGR for an efficiency program.</w:t>
      </w:r>
    </w:p>
    <w:p w14:paraId="753C6E7E" w14:textId="77777777" w:rsidR="00D34C6E" w:rsidRPr="009B67BF" w:rsidRDefault="00D34C6E" w:rsidP="0088039F">
      <w:pPr>
        <w:pStyle w:val="Heading3"/>
      </w:pPr>
      <w:bookmarkStart w:id="1176" w:name="_Toc431366154"/>
      <w:bookmarkStart w:id="1177" w:name="_Toc431526442"/>
      <w:bookmarkStart w:id="1178" w:name="_Toc442804238"/>
      <w:bookmarkStart w:id="1179" w:name="_Toc442805455"/>
      <w:bookmarkStart w:id="1180" w:name="_Toc472494694"/>
      <w:bookmarkStart w:id="1181" w:name="_Toc520462892"/>
      <w:bookmarkStart w:id="1182" w:name="_Toc473108036"/>
      <w:bookmarkStart w:id="1183" w:name="_Toc520824148"/>
      <w:bookmarkStart w:id="1184" w:name="_Toc16619931"/>
      <w:bookmarkStart w:id="1185" w:name="_Toc113619786"/>
      <w:r>
        <w:t xml:space="preserve">Core </w:t>
      </w:r>
      <w:r w:rsidRPr="009B67BF">
        <w:t>Participant Spillover</w:t>
      </w:r>
      <w:bookmarkEnd w:id="1176"/>
      <w:bookmarkEnd w:id="1177"/>
      <w:r>
        <w:t xml:space="preserve"> Protocol</w:t>
      </w:r>
      <w:bookmarkEnd w:id="1178"/>
      <w:bookmarkEnd w:id="1179"/>
      <w:bookmarkEnd w:id="1180"/>
      <w:bookmarkEnd w:id="1181"/>
      <w:bookmarkEnd w:id="1182"/>
      <w:bookmarkEnd w:id="1183"/>
      <w:bookmarkEnd w:id="1184"/>
      <w:bookmarkEnd w:id="1185"/>
    </w:p>
    <w:p w14:paraId="2A67DD99" w14:textId="77777777" w:rsidR="00D34C6E" w:rsidRPr="009B67BF" w:rsidRDefault="00D34C6E" w:rsidP="00D34C6E">
      <w:r>
        <w:t>The Core P</w:t>
      </w:r>
      <w:r w:rsidRPr="009B67BF">
        <w:t xml:space="preserve">articipant </w:t>
      </w:r>
      <w:r>
        <w:t>S</w:t>
      </w:r>
      <w:r w:rsidRPr="009B67BF">
        <w:t>pillover protocol</w:t>
      </w:r>
      <w:r>
        <w:t xml:space="preserve"> is generally applicable to most </w:t>
      </w:r>
      <w:r w:rsidRPr="009B67BF">
        <w:t>commercial, industrial, and public sector programs.</w:t>
      </w:r>
    </w:p>
    <w:p w14:paraId="6DACF9F1" w14:textId="77777777" w:rsidR="00D34C6E" w:rsidRPr="009B67BF" w:rsidRDefault="00D34C6E" w:rsidP="001A2AE6">
      <w:pPr>
        <w:pStyle w:val="Heading4"/>
      </w:pPr>
      <w:bookmarkStart w:id="1186" w:name="_Toc431366156"/>
      <w:bookmarkStart w:id="1187" w:name="_Toc431526443"/>
      <w:bookmarkStart w:id="1188" w:name="_Toc442804239"/>
      <w:bookmarkStart w:id="1189" w:name="_Toc442805456"/>
      <w:r w:rsidRPr="009B67BF">
        <w:t>Research Methods</w:t>
      </w:r>
      <w:bookmarkEnd w:id="1186"/>
      <w:bookmarkEnd w:id="1187"/>
      <w:bookmarkEnd w:id="1188"/>
      <w:bookmarkEnd w:id="1189"/>
    </w:p>
    <w:p w14:paraId="1FFD77B5" w14:textId="77777777" w:rsidR="00D34C6E" w:rsidRPr="009B67BF" w:rsidRDefault="00D34C6E" w:rsidP="00D34C6E">
      <w:r w:rsidRPr="004A2ACC">
        <w:rPr>
          <w:b/>
        </w:rPr>
        <w:t xml:space="preserve">Data collection approach. </w:t>
      </w:r>
      <w:r w:rsidRPr="009B67BF">
        <w:t>An initial determination of participant spillover may be made based on self-reported findings from surveys of program participants. At a minimum, surveys collecting data pertaining to participant spillover will obtain general information on the specific measures installed and information substantiating their attribution to an energy efficiency program. Research on the specific characteristics of the energy efficient equipment installed and the baseline and operating conditions needed to estimate savings may be done in one of two ways: 1) a detailed battery of measure specific questions may be administered as part of the initial survey</w:t>
      </w:r>
      <w:r>
        <w:t>;</w:t>
      </w:r>
      <w:r w:rsidRPr="009B67BF">
        <w:t xml:space="preserve"> or 2) a separate in-depth follow-up interview may be conducted by the engineer or analyst responsible for the energy savings calculation. In either case, an engineer or analyst will use the collected data to develop an estimate of spillover savings for each project.</w:t>
      </w:r>
    </w:p>
    <w:p w14:paraId="59E6169F" w14:textId="77777777" w:rsidR="00D34C6E" w:rsidRPr="009B67BF" w:rsidRDefault="00D34C6E" w:rsidP="00D34C6E">
      <w:r w:rsidRPr="004A2ACC">
        <w:rPr>
          <w:b/>
        </w:rPr>
        <w:t xml:space="preserve">Sample Frame. </w:t>
      </w:r>
      <w:r w:rsidRPr="009B67BF">
        <w:t>One target for participant spillover research may be the most recent year’s program participants who have been sampled for free ridership or process surveys. In the case where a stand-alone spillover study is being conducted, the sample frame may be broader and include those whose participation occurred during the time period of two prior program years.</w:t>
      </w:r>
    </w:p>
    <w:p w14:paraId="6AFEB09E" w14:textId="77777777" w:rsidR="00D34C6E" w:rsidRPr="009B67BF" w:rsidRDefault="00D34C6E" w:rsidP="00D34C6E">
      <w:r w:rsidRPr="009B67BF">
        <w:t>Because evaluated spillover energy impacts associated with the sample are being extrapolated to the program population, it is important that the sample frame be limited to participating customers for which spillover may potentially be claimed.</w:t>
      </w:r>
    </w:p>
    <w:p w14:paraId="47CA9BF4" w14:textId="77777777" w:rsidR="00D34C6E" w:rsidRPr="009B67BF" w:rsidRDefault="00D34C6E" w:rsidP="00D34C6E">
      <w:r w:rsidRPr="009B67BF">
        <w:t>Sample frames should be constructed in accordance with the following guidelines:</w:t>
      </w:r>
    </w:p>
    <w:p w14:paraId="42CDB18A" w14:textId="77777777" w:rsidR="00D34C6E" w:rsidRPr="009B67BF" w:rsidRDefault="00D34C6E" w:rsidP="00D34C6E">
      <w:pPr>
        <w:pStyle w:val="ListParagraph"/>
        <w:widowControl/>
        <w:numPr>
          <w:ilvl w:val="0"/>
          <w:numId w:val="21"/>
        </w:numPr>
        <w:spacing w:after="60"/>
        <w:contextualSpacing w:val="0"/>
      </w:pPr>
      <w:r w:rsidRPr="009B67BF">
        <w:lastRenderedPageBreak/>
        <w:t xml:space="preserve">Self-directing </w:t>
      </w:r>
      <w:r w:rsidRPr="002B13A9">
        <w:rPr>
          <w:rFonts w:eastAsia="Franklin Gothic Book"/>
        </w:rPr>
        <w:t>customers</w:t>
      </w:r>
      <w:r w:rsidRPr="009B67BF">
        <w:t xml:space="preserve"> as defined by 220 ILCS 5/8-104(m) should be excluded from the sample frame for natural gas spillover.</w:t>
      </w:r>
    </w:p>
    <w:p w14:paraId="6820C310" w14:textId="77777777" w:rsidR="00D34C6E" w:rsidRPr="009B67BF" w:rsidRDefault="00D34C6E" w:rsidP="00D34C6E">
      <w:pPr>
        <w:pStyle w:val="ListParagraph"/>
        <w:widowControl/>
        <w:numPr>
          <w:ilvl w:val="0"/>
          <w:numId w:val="21"/>
        </w:numPr>
        <w:contextualSpacing w:val="0"/>
      </w:pPr>
      <w:r w:rsidRPr="002B13A9">
        <w:rPr>
          <w:rFonts w:eastAsia="Franklin Gothic Book"/>
        </w:rPr>
        <w:t>Customers</w:t>
      </w:r>
      <w:r w:rsidRPr="009B67BF">
        <w:t xml:space="preserve"> of municipal electric utilities should be excluded from the sample frame for electric spillover.</w:t>
      </w:r>
    </w:p>
    <w:p w14:paraId="4BE8250A" w14:textId="77777777" w:rsidR="00D34C6E" w:rsidRDefault="00D34C6E" w:rsidP="00D34C6E">
      <w:r w:rsidRPr="004A2ACC">
        <w:rPr>
          <w:b/>
        </w:rPr>
        <w:t xml:space="preserve">Timing of Data Collection. </w:t>
      </w:r>
      <w:r w:rsidRPr="004201C2">
        <w:t>Evaluators may either administer the participant spillover module as part of a comprehensive net-to-gross survey, or they may elect to implement it separately. A follow-up in-depth interview may also be conducted by an engineer or analyst to obtain additional details needed to quantify savings</w:t>
      </w:r>
      <w:r>
        <w:t xml:space="preserve">. </w:t>
      </w:r>
      <w:r w:rsidRPr="009B67BF">
        <w:t xml:space="preserve">Optimally, the spillover inquiry should be timed in order to allow sufficient time for spillover to occur; at a minimum, three months after the program-incented measure is installed. Projects installed up to </w:t>
      </w:r>
      <w:r>
        <w:t>two</w:t>
      </w:r>
      <w:r w:rsidRPr="009B67BF">
        <w:t xml:space="preserve"> years after program participation occurred may be counted as spillover, provided it can be substantiated.</w:t>
      </w:r>
    </w:p>
    <w:p w14:paraId="23E1BD83" w14:textId="77777777" w:rsidR="00D34C6E" w:rsidRPr="009B67BF" w:rsidRDefault="00D34C6E" w:rsidP="001A2AE6">
      <w:pPr>
        <w:pStyle w:val="Heading4"/>
      </w:pPr>
      <w:bookmarkStart w:id="1190" w:name="_Toc431366157"/>
      <w:bookmarkStart w:id="1191" w:name="_Toc431526444"/>
      <w:bookmarkStart w:id="1192" w:name="_Toc442804240"/>
      <w:bookmarkStart w:id="1193" w:name="_Toc442805457"/>
      <w:r w:rsidRPr="009B67BF">
        <w:t>Approach for Identifying and Quantifying Spillover</w:t>
      </w:r>
      <w:bookmarkEnd w:id="1190"/>
      <w:bookmarkEnd w:id="1191"/>
      <w:bookmarkEnd w:id="1192"/>
      <w:bookmarkEnd w:id="1193"/>
    </w:p>
    <w:p w14:paraId="26300C01" w14:textId="77777777" w:rsidR="00D34C6E" w:rsidRPr="009B67BF" w:rsidRDefault="00D34C6E" w:rsidP="00D34C6E">
      <w:r w:rsidRPr="004A2ACC">
        <w:rPr>
          <w:b/>
        </w:rPr>
        <w:t xml:space="preserve">Attribution </w:t>
      </w:r>
      <w:r>
        <w:rPr>
          <w:b/>
        </w:rPr>
        <w:t>Criteria</w:t>
      </w:r>
      <w:r w:rsidRPr="004A2ACC">
        <w:rPr>
          <w:b/>
        </w:rPr>
        <w:t xml:space="preserve">. </w:t>
      </w:r>
      <w:r>
        <w:t>P</w:t>
      </w:r>
      <w:r w:rsidRPr="009B67BF">
        <w:t xml:space="preserve">rogram attribution is </w:t>
      </w:r>
      <w:r>
        <w:t>determined by</w:t>
      </w:r>
      <w:r w:rsidRPr="009B67BF">
        <w:t xml:space="preserve"> </w:t>
      </w:r>
      <w:r>
        <w:t xml:space="preserve">the </w:t>
      </w:r>
      <w:r w:rsidRPr="009B67BF">
        <w:t>responses to the following two survey questions:</w:t>
      </w:r>
    </w:p>
    <w:p w14:paraId="1C494BCC" w14:textId="77777777" w:rsidR="00D34C6E" w:rsidRPr="009B67BF" w:rsidRDefault="00D34C6E" w:rsidP="00D34C6E">
      <w:pPr>
        <w:widowControl/>
        <w:numPr>
          <w:ilvl w:val="0"/>
          <w:numId w:val="13"/>
        </w:numPr>
        <w:spacing w:after="60"/>
        <w:ind w:right="14" w:hanging="360"/>
      </w:pPr>
      <w:r w:rsidRPr="009B67BF">
        <w:t>How important was your experience in the &lt;PROGRAM&gt; in y</w:t>
      </w:r>
      <w:r>
        <w:t>our decision to implement this m</w:t>
      </w:r>
      <w:r w:rsidRPr="009B67BF">
        <w:t>easure, using a scale of 0 to 10, where 0 is not at all important and 10 is extremely important?</w:t>
      </w:r>
    </w:p>
    <w:p w14:paraId="42ED84E3" w14:textId="77777777" w:rsidR="00D34C6E" w:rsidRPr="009B67BF" w:rsidRDefault="00D34C6E" w:rsidP="00D34C6E">
      <w:pPr>
        <w:widowControl/>
        <w:numPr>
          <w:ilvl w:val="0"/>
          <w:numId w:val="13"/>
        </w:numPr>
        <w:ind w:right="14" w:hanging="360"/>
      </w:pPr>
      <w:r w:rsidRPr="009B67BF">
        <w:t>If you had not participated in the &lt;PROGRAM&gt;, how likely is it that your organization would still have implemented this measure, using a 0 to 10 scale</w:t>
      </w:r>
      <w:r>
        <w:t>,</w:t>
      </w:r>
      <w:r w:rsidRPr="009B67BF">
        <w:t xml:space="preserve"> where 0 means you definitely WOULD NOT have implemented this measure and 10 means you definitely WOULD have implemented this measure?</w:t>
      </w:r>
    </w:p>
    <w:p w14:paraId="2D0FBFA6" w14:textId="77777777" w:rsidR="00D34C6E" w:rsidRDefault="00D34C6E" w:rsidP="00D34C6E">
      <w:r w:rsidRPr="009B67BF">
        <w:t xml:space="preserve">The response to the first question cited above is </w:t>
      </w:r>
      <w:r>
        <w:t>“</w:t>
      </w:r>
      <w:r w:rsidRPr="009B67BF">
        <w:t>Measure Attribution Score 1</w:t>
      </w:r>
      <w:r>
        <w:t>,”</w:t>
      </w:r>
      <w:r w:rsidRPr="009B67BF">
        <w:t xml:space="preserve"> and the response to the second question cited above is </w:t>
      </w:r>
      <w:r>
        <w:t>“</w:t>
      </w:r>
      <w:r w:rsidRPr="009B67BF">
        <w:t>Measure Attribution Score 2.</w:t>
      </w:r>
      <w:r>
        <w:t>”</w:t>
      </w:r>
      <w:r w:rsidRPr="009B67BF">
        <w:t xml:space="preserve"> </w:t>
      </w:r>
    </w:p>
    <w:p w14:paraId="50380C36" w14:textId="77777777" w:rsidR="00D34C6E" w:rsidRDefault="00D34C6E" w:rsidP="00D34C6E">
      <w:r>
        <w:t>There are two methods by which the attribution may be calculated:</w:t>
      </w:r>
    </w:p>
    <w:p w14:paraId="11394358" w14:textId="77777777" w:rsidR="00D34C6E" w:rsidRPr="001E70C2" w:rsidRDefault="00D34C6E" w:rsidP="0092016D">
      <w:pPr>
        <w:pStyle w:val="ListParagraph"/>
        <w:widowControl/>
        <w:numPr>
          <w:ilvl w:val="0"/>
          <w:numId w:val="75"/>
        </w:numPr>
        <w:spacing w:after="60"/>
        <w:ind w:right="14"/>
      </w:pPr>
      <w:r>
        <w:t>Program attribution is established</w:t>
      </w:r>
      <w:r w:rsidRPr="00086135">
        <w:t xml:space="preserve"> if the average of Measure Attribution Score 1 and (10 – Measure Attribution Score 2) exceeds </w:t>
      </w:r>
      <w:r>
        <w:t>5.0</w:t>
      </w:r>
      <w:r>
        <w:rPr>
          <w:rStyle w:val="FootnoteReference"/>
        </w:rPr>
        <w:footnoteReference w:id="67"/>
      </w:r>
      <w:r w:rsidRPr="00086135">
        <w:t>; either the Measure Attribution Score 1 or (10 – Measure Attribution Score 2)</w:t>
      </w:r>
      <w:r>
        <w:t xml:space="preserve"> could be below 5.0</w:t>
      </w:r>
      <w:r w:rsidRPr="00E0311D">
        <w:t>—as long as</w:t>
      </w:r>
      <w:r>
        <w:t xml:space="preserve"> the average is greater than 5.0,</w:t>
      </w:r>
      <w:r w:rsidRPr="00E0311D">
        <w:t xml:space="preserve"> the threshold is met.  </w:t>
      </w:r>
      <w:r>
        <w:t>If the average is greater than 5.0</w:t>
      </w:r>
      <w:r w:rsidRPr="00E0311D">
        <w:t>, 100% of the measure energy savings referenced in the question are considered to be attributable to the program. If t</w:t>
      </w:r>
      <w:r>
        <w:t>he average is not greater than 5.0</w:t>
      </w:r>
      <w:r w:rsidRPr="00E0311D">
        <w:t xml:space="preserve">, none of the measure energy savings are considered to be attributable to the program. </w:t>
      </w:r>
    </w:p>
    <w:p w14:paraId="5CD944A2" w14:textId="77777777" w:rsidR="00D34C6E" w:rsidRDefault="00D34C6E" w:rsidP="0092016D">
      <w:pPr>
        <w:widowControl/>
        <w:numPr>
          <w:ilvl w:val="0"/>
          <w:numId w:val="75"/>
        </w:numPr>
        <w:ind w:right="14"/>
      </w:pPr>
      <w:r>
        <w:t xml:space="preserve">An attribution rate may be calculated as equal to </w:t>
      </w:r>
      <w:r w:rsidRPr="00086135">
        <w:t>the sum of Measure Attribution Score 1 and (10 – Measure Attribution Score 2)</w:t>
      </w:r>
      <w:r w:rsidRPr="00E0311D">
        <w:t>, divided by 20. For instance, if the attribution rate is 0.3, then 30% of the measure energy savings referenced in the question are considered to be attributable to the program.</w:t>
      </w:r>
    </w:p>
    <w:p w14:paraId="162AE780" w14:textId="77777777" w:rsidR="00D34C6E" w:rsidRDefault="00D34C6E" w:rsidP="00D34C6E">
      <w:r>
        <w:t>Program attribution option 2 must be used in cases in which evaluators have performed the data collection and analysis required to attribute energy savings using option 2 identified above.</w:t>
      </w:r>
    </w:p>
    <w:p w14:paraId="06FFDB84" w14:textId="77777777" w:rsidR="00D34C6E" w:rsidRPr="009B67BF" w:rsidRDefault="00D34C6E" w:rsidP="00D34C6E">
      <w:r w:rsidRPr="004A2ACC">
        <w:rPr>
          <w:b/>
        </w:rPr>
        <w:t xml:space="preserve">Calculation of Spillover Measure Energy Savings. </w:t>
      </w:r>
      <w:r w:rsidRPr="009B67BF">
        <w:t>Energy savings of spillover measures shall be calculated in one of two ways.</w:t>
      </w:r>
    </w:p>
    <w:p w14:paraId="20950B68" w14:textId="77777777" w:rsidR="00D34C6E" w:rsidRPr="009B67BF" w:rsidRDefault="00D34C6E" w:rsidP="00D34C6E">
      <w:pPr>
        <w:pStyle w:val="ListParagraph"/>
        <w:widowControl/>
        <w:numPr>
          <w:ilvl w:val="0"/>
          <w:numId w:val="20"/>
        </w:numPr>
        <w:spacing w:after="60"/>
        <w:contextualSpacing w:val="0"/>
      </w:pPr>
      <w:r w:rsidRPr="009B67BF">
        <w:t xml:space="preserve">Those addressed in the </w:t>
      </w:r>
      <w:r>
        <w:t>IL-</w:t>
      </w:r>
      <w:r w:rsidRPr="009B67BF">
        <w:t xml:space="preserve">TRM shall be calculated in accordance with the methods and algorithms specified in the </w:t>
      </w:r>
      <w:r>
        <w:t>IL-</w:t>
      </w:r>
      <w:r w:rsidRPr="009B67BF">
        <w:t xml:space="preserve">TRM, and shall reference the </w:t>
      </w:r>
      <w:r>
        <w:t>IL-</w:t>
      </w:r>
      <w:r w:rsidRPr="009B67BF">
        <w:t xml:space="preserve">TRM-defined </w:t>
      </w:r>
      <w:r>
        <w:t>time-of-sale or new construction</w:t>
      </w:r>
      <w:r w:rsidRPr="009B67BF">
        <w:t xml:space="preserve"> baseline. </w:t>
      </w:r>
    </w:p>
    <w:p w14:paraId="10E34DF4" w14:textId="77777777" w:rsidR="00D34C6E" w:rsidRPr="009B67BF" w:rsidRDefault="00D34C6E" w:rsidP="00D34C6E">
      <w:pPr>
        <w:pStyle w:val="ListParagraph"/>
        <w:widowControl/>
        <w:numPr>
          <w:ilvl w:val="0"/>
          <w:numId w:val="20"/>
        </w:numPr>
        <w:contextualSpacing w:val="0"/>
      </w:pPr>
      <w:r w:rsidRPr="009B67BF">
        <w:t xml:space="preserve">For measures not addressed in the </w:t>
      </w:r>
      <w:r>
        <w:t>IL-</w:t>
      </w:r>
      <w:r w:rsidRPr="009B67BF">
        <w:t>TRM, evaluators shall quantify savings using accepted industry-wide savings methods that conform to IPMVP</w:t>
      </w:r>
      <w:r>
        <w:t xml:space="preserve"> or </w:t>
      </w:r>
      <w:r w:rsidRPr="009B67BF">
        <w:t>other industry protocols</w:t>
      </w:r>
      <w:r>
        <w:t xml:space="preserve"> and documents</w:t>
      </w:r>
      <w:r w:rsidRPr="009B67BF">
        <w:t>.</w:t>
      </w:r>
    </w:p>
    <w:p w14:paraId="7B3253D1" w14:textId="77777777" w:rsidR="00D34C6E" w:rsidRPr="009B67BF" w:rsidRDefault="00D34C6E" w:rsidP="00D34C6E">
      <w:r w:rsidRPr="009B67BF">
        <w:t>Evaluators will make every effort to ensure that there is no double-counting of participant spillover energy savings across multiple sources of participant and nonparticipant spillover (such as participating customer and trade ally surveys)</w:t>
      </w:r>
      <w:r>
        <w:t xml:space="preserve"> and will document that effort</w:t>
      </w:r>
      <w:r w:rsidRPr="009B67BF">
        <w:t xml:space="preserve">. </w:t>
      </w:r>
    </w:p>
    <w:p w14:paraId="54C67262" w14:textId="77777777" w:rsidR="00D34C6E" w:rsidRPr="009B67BF" w:rsidRDefault="00D34C6E" w:rsidP="00D34C6E">
      <w:r w:rsidRPr="009B67BF">
        <w:lastRenderedPageBreak/>
        <w:t>Measure implementation must have occurred within one year of the participant spillover study data collection effort in order to be countable as participant spillover.</w:t>
      </w:r>
    </w:p>
    <w:p w14:paraId="5C1F045F" w14:textId="77777777" w:rsidR="00D34C6E" w:rsidRPr="009B67BF" w:rsidRDefault="00D34C6E" w:rsidP="00D34C6E">
      <w:r w:rsidRPr="009B67BF">
        <w:t>For the purposes of accounting for spillover savings attributable to a program, spillover will only be quantified for measures implemented within the Program Administrator’s service territory.</w:t>
      </w:r>
    </w:p>
    <w:p w14:paraId="2CF7AA7F" w14:textId="77777777" w:rsidR="00D34C6E" w:rsidRPr="009B67BF" w:rsidRDefault="00D34C6E" w:rsidP="001A2AE6">
      <w:pPr>
        <w:pStyle w:val="Heading4"/>
      </w:pPr>
      <w:bookmarkStart w:id="1194" w:name="_Toc431366158"/>
      <w:bookmarkStart w:id="1195" w:name="_Toc431526445"/>
      <w:bookmarkStart w:id="1196" w:name="_Toc442804241"/>
      <w:bookmarkStart w:id="1197" w:name="_Toc442805458"/>
      <w:r w:rsidRPr="009B67BF">
        <w:t>Key Participant Spillover Survey Questions</w:t>
      </w:r>
      <w:bookmarkEnd w:id="1194"/>
      <w:bookmarkEnd w:id="1195"/>
      <w:bookmarkEnd w:id="1196"/>
      <w:bookmarkEnd w:id="1197"/>
    </w:p>
    <w:p w14:paraId="345498E3" w14:textId="77777777" w:rsidR="00D34C6E" w:rsidRPr="009B67BF" w:rsidRDefault="00D34C6E" w:rsidP="00D34C6E">
      <w:r w:rsidRPr="009B67BF">
        <w:t xml:space="preserve">The Participant Spillover question module is designed to be a general inquiry that seeks to: (1) assess whether additional energy efficiency improvements were implemented since the rebated project was completed; </w:t>
      </w:r>
      <w:r>
        <w:br/>
      </w:r>
      <w:r w:rsidRPr="009B67BF">
        <w:t xml:space="preserve">(2) confirm that these measures either had not received program incentives, or that there were no plans to submit them for program incentives in the future; (3) gather basic information about the additional energy efficiency measures </w:t>
      </w:r>
      <w:r>
        <w:t>(</w:t>
      </w:r>
      <w:r w:rsidRPr="009B67BF">
        <w:t>e.g., their type, size, quantities, and energy efficiency rating</w:t>
      </w:r>
      <w:r>
        <w:t>)</w:t>
      </w:r>
      <w:r w:rsidRPr="009B67BF">
        <w:t xml:space="preserve">; </w:t>
      </w:r>
      <w:r>
        <w:t xml:space="preserve">and </w:t>
      </w:r>
      <w:r w:rsidRPr="009B67BF">
        <w:t>(4) establish program attribution.</w:t>
      </w:r>
    </w:p>
    <w:p w14:paraId="2C7A12A2" w14:textId="77777777" w:rsidR="00D34C6E" w:rsidRPr="009B67BF" w:rsidRDefault="00D34C6E" w:rsidP="00D34C6E">
      <w:r w:rsidRPr="009B67BF">
        <w:t>The basic question structure is shown below. The measure-specific questions can be repeated in order to capture multiple measures. Note that there is considerable flexibility to tailor the questions to specific types of applications and programs.</w:t>
      </w:r>
    </w:p>
    <w:p w14:paraId="6229A658" w14:textId="77777777" w:rsidR="00D34C6E" w:rsidRPr="009B67BF" w:rsidRDefault="00D34C6E" w:rsidP="00D34C6E">
      <w:pPr>
        <w:pStyle w:val="ListParagraph"/>
        <w:widowControl/>
        <w:numPr>
          <w:ilvl w:val="0"/>
          <w:numId w:val="19"/>
        </w:numPr>
        <w:spacing w:after="60"/>
        <w:contextualSpacing w:val="0"/>
        <w:jc w:val="left"/>
      </w:pPr>
      <w:r w:rsidRPr="009B67BF">
        <w:t>Since your participation in the &lt;PROGRAM&gt;, did you implement any ADDITIONAL energy efficiency improvements at this facility or at your other facilities within &lt;PROGRAM ADMINISTRATOR&gt;’s service territory that did NOT receive incentives through &lt;PROGRAM&gt;?</w:t>
      </w:r>
    </w:p>
    <w:p w14:paraId="72DF6179" w14:textId="77777777" w:rsidR="00D34C6E" w:rsidRPr="009B67BF" w:rsidRDefault="00D34C6E" w:rsidP="00D34C6E">
      <w:pPr>
        <w:pStyle w:val="ListParagraph"/>
        <w:widowControl/>
        <w:numPr>
          <w:ilvl w:val="0"/>
          <w:numId w:val="19"/>
        </w:numPr>
        <w:contextualSpacing w:val="0"/>
        <w:jc w:val="left"/>
      </w:pPr>
      <w:r w:rsidRPr="009B67BF">
        <w:t>What measures did you implement without an incentive?</w:t>
      </w:r>
    </w:p>
    <w:p w14:paraId="7EAB412F" w14:textId="77777777" w:rsidR="00D34C6E" w:rsidRPr="009B67BF" w:rsidRDefault="00D34C6E" w:rsidP="00D34C6E">
      <w:r w:rsidRPr="009B67BF">
        <w:t>MEASURE-SPECIFIC QUESTIONS [repeated for each spillover measure]</w:t>
      </w:r>
      <w:r w:rsidRPr="002F5FEF">
        <w:rPr>
          <w:rStyle w:val="FootnoteReference"/>
        </w:rPr>
        <w:footnoteReference w:id="68"/>
      </w:r>
    </w:p>
    <w:p w14:paraId="0AF0AD60" w14:textId="77777777" w:rsidR="00D34C6E" w:rsidRPr="009B67BF" w:rsidRDefault="00D34C6E" w:rsidP="00D34C6E">
      <w:pPr>
        <w:pStyle w:val="ListParagraph"/>
        <w:widowControl/>
        <w:numPr>
          <w:ilvl w:val="0"/>
          <w:numId w:val="22"/>
        </w:numPr>
        <w:spacing w:after="60"/>
        <w:contextualSpacing w:val="0"/>
      </w:pPr>
      <w:r w:rsidRPr="009B67BF">
        <w:t>How important was your experience in the &lt;PROGRAM&gt; in your decision to implement this &lt;MEASUREX&gt;? Please use a scale of 0 to 10, where 0 is not at all important and 10 is extremely important</w:t>
      </w:r>
      <w:r>
        <w:t>.</w:t>
      </w:r>
    </w:p>
    <w:p w14:paraId="4E37F4BF" w14:textId="77777777" w:rsidR="00D34C6E" w:rsidRPr="009B67BF" w:rsidRDefault="00D34C6E" w:rsidP="00D34C6E">
      <w:pPr>
        <w:pStyle w:val="ListParagraph"/>
        <w:widowControl/>
        <w:numPr>
          <w:ilvl w:val="0"/>
          <w:numId w:val="22"/>
        </w:numPr>
        <w:contextualSpacing w:val="0"/>
      </w:pPr>
      <w:r w:rsidRPr="009B67BF">
        <w:t>Can you explain how your experience with the &lt;PROGRAM&gt; influenced your decision to install this additional high</w:t>
      </w:r>
      <w:r>
        <w:t>-</w:t>
      </w:r>
      <w:r w:rsidRPr="009B67BF">
        <w:t>efficiency measure?</w:t>
      </w:r>
    </w:p>
    <w:p w14:paraId="53B5180E" w14:textId="77777777" w:rsidR="00D34C6E" w:rsidRPr="009B67BF" w:rsidRDefault="00D34C6E" w:rsidP="00D34C6E">
      <w:pPr>
        <w:pStyle w:val="ListParagraph"/>
        <w:widowControl/>
        <w:numPr>
          <w:ilvl w:val="0"/>
          <w:numId w:val="22"/>
        </w:numPr>
        <w:spacing w:after="60"/>
        <w:contextualSpacing w:val="0"/>
      </w:pPr>
      <w:r w:rsidRPr="009B67BF">
        <w:t>If you had not participated in the &lt;PROGRAM&gt;, how likely is it that your organization would still have implemented &lt;MEASURE&gt;</w:t>
      </w:r>
      <w:r>
        <w:t>?</w:t>
      </w:r>
      <w:r w:rsidRPr="009B67BF">
        <w:t xml:space="preserve"> Please use a 0 to 10, scale where 0 means you definitely WOULD NOT have implemented this measure and 10 means you definitely WOULD have implemented this measure</w:t>
      </w:r>
      <w:r>
        <w:t>.</w:t>
      </w:r>
    </w:p>
    <w:p w14:paraId="6568B4AA" w14:textId="77777777" w:rsidR="00D34C6E" w:rsidRPr="009B67BF" w:rsidRDefault="00D34C6E" w:rsidP="00D34C6E">
      <w:pPr>
        <w:pStyle w:val="ListParagraph"/>
        <w:widowControl/>
        <w:numPr>
          <w:ilvl w:val="0"/>
          <w:numId w:val="22"/>
        </w:numPr>
        <w:spacing w:after="60"/>
        <w:contextualSpacing w:val="0"/>
      </w:pPr>
      <w:r w:rsidRPr="009B67BF">
        <w:t>How many of &lt;MEASURE&gt; did you install?</w:t>
      </w:r>
      <w:r>
        <w:t>3</w:t>
      </w:r>
    </w:p>
    <w:p w14:paraId="7CE7C6F4" w14:textId="77777777" w:rsidR="00D34C6E" w:rsidRPr="009B67BF" w:rsidRDefault="00D34C6E" w:rsidP="00D34C6E">
      <w:pPr>
        <w:pStyle w:val="ListParagraph"/>
        <w:widowControl/>
        <w:numPr>
          <w:ilvl w:val="0"/>
          <w:numId w:val="22"/>
        </w:numPr>
        <w:spacing w:after="60"/>
        <w:contextualSpacing w:val="0"/>
      </w:pPr>
      <w:r w:rsidRPr="009B67BF">
        <w:t>Questions to further define the measure (as applicable):</w:t>
      </w:r>
    </w:p>
    <w:p w14:paraId="62C87FBE" w14:textId="77777777" w:rsidR="00D34C6E" w:rsidRPr="009B67BF" w:rsidRDefault="00D34C6E" w:rsidP="00D34C6E">
      <w:pPr>
        <w:pStyle w:val="ListParagraph"/>
        <w:widowControl/>
        <w:numPr>
          <w:ilvl w:val="1"/>
          <w:numId w:val="22"/>
        </w:numPr>
        <w:spacing w:after="0"/>
        <w:ind w:left="1080"/>
        <w:contextualSpacing w:val="0"/>
      </w:pPr>
      <w:r w:rsidRPr="009B67BF">
        <w:t>Type</w:t>
      </w:r>
    </w:p>
    <w:p w14:paraId="40D974AA" w14:textId="77777777" w:rsidR="00D34C6E" w:rsidRPr="009B67BF" w:rsidRDefault="00D34C6E" w:rsidP="00D34C6E">
      <w:pPr>
        <w:pStyle w:val="ListParagraph"/>
        <w:widowControl/>
        <w:numPr>
          <w:ilvl w:val="1"/>
          <w:numId w:val="22"/>
        </w:numPr>
        <w:spacing w:after="0"/>
        <w:ind w:left="1080"/>
        <w:contextualSpacing w:val="0"/>
      </w:pPr>
      <w:r w:rsidRPr="009B67BF">
        <w:t>Efficiency</w:t>
      </w:r>
    </w:p>
    <w:p w14:paraId="715D7306" w14:textId="77777777" w:rsidR="00D34C6E" w:rsidRPr="009B67BF" w:rsidRDefault="00D34C6E" w:rsidP="00D34C6E">
      <w:pPr>
        <w:pStyle w:val="ListParagraph"/>
        <w:widowControl/>
        <w:numPr>
          <w:ilvl w:val="1"/>
          <w:numId w:val="22"/>
        </w:numPr>
        <w:spacing w:after="0"/>
        <w:ind w:left="1080"/>
        <w:contextualSpacing w:val="0"/>
      </w:pPr>
      <w:r w:rsidRPr="009B67BF">
        <w:t>Size</w:t>
      </w:r>
    </w:p>
    <w:p w14:paraId="2912A225" w14:textId="77777777" w:rsidR="00D34C6E" w:rsidRDefault="00D34C6E" w:rsidP="00D34C6E">
      <w:pPr>
        <w:pStyle w:val="ListParagraph"/>
        <w:widowControl/>
        <w:numPr>
          <w:ilvl w:val="1"/>
          <w:numId w:val="22"/>
        </w:numPr>
        <w:spacing w:after="60"/>
        <w:ind w:left="1080"/>
        <w:contextualSpacing w:val="0"/>
      </w:pPr>
      <w:r w:rsidRPr="009B67BF">
        <w:t>Other attributes</w:t>
      </w:r>
    </w:p>
    <w:p w14:paraId="4AE32DBF" w14:textId="77777777" w:rsidR="00D34C6E" w:rsidRDefault="00D34C6E" w:rsidP="00D34C6E">
      <w:pPr>
        <w:pStyle w:val="ListParagraph"/>
        <w:widowControl/>
        <w:numPr>
          <w:ilvl w:val="0"/>
          <w:numId w:val="22"/>
        </w:numPr>
        <w:contextualSpacing w:val="0"/>
      </w:pPr>
      <w:r w:rsidRPr="009B67BF">
        <w:t>Can you briefly explain why you decided to install this energy efficiency measure on your own, rather than going through the &lt;PROGRAM&gt;?</w:t>
      </w:r>
    </w:p>
    <w:p w14:paraId="58753B7C" w14:textId="77777777" w:rsidR="008C2B38" w:rsidRDefault="008C2B38" w:rsidP="008C2B38">
      <w:r>
        <w:t xml:space="preserve">Since spillover is best conceptualized as a program-level concept, the preferred approach is to ask the influence questions (Q.1-3 above) relative to the participant’s experience with the </w:t>
      </w:r>
      <w:r w:rsidRPr="008C2B38">
        <w:rPr>
          <w:i/>
          <w:iCs/>
        </w:rPr>
        <w:t>program</w:t>
      </w:r>
      <w:r>
        <w:t xml:space="preserve">, rather than relative to the participant’s experience with a specific </w:t>
      </w:r>
      <w:r w:rsidRPr="008C2B38">
        <w:rPr>
          <w:i/>
          <w:iCs/>
        </w:rPr>
        <w:t>project</w:t>
      </w:r>
      <w:r>
        <w:t xml:space="preserve"> or </w:t>
      </w:r>
      <w:r w:rsidRPr="008C2B38">
        <w:rPr>
          <w:i/>
          <w:iCs/>
        </w:rPr>
        <w:t>incented measure</w:t>
      </w:r>
      <w:r>
        <w:t xml:space="preserve"> (in cases where a unique participant implemented more than one project/measure through the program during the evaluation period). </w:t>
      </w:r>
    </w:p>
    <w:p w14:paraId="085EDD18" w14:textId="77777777" w:rsidR="00D34C6E" w:rsidRPr="009B67BF" w:rsidRDefault="00D34C6E" w:rsidP="001A2AE6">
      <w:pPr>
        <w:pStyle w:val="Heading4"/>
      </w:pPr>
      <w:bookmarkStart w:id="1198" w:name="_Toc431366159"/>
      <w:bookmarkStart w:id="1199" w:name="_Toc431526446"/>
      <w:bookmarkStart w:id="1200" w:name="_Toc442804242"/>
      <w:bookmarkStart w:id="1201" w:name="_Toc442805459"/>
      <w:bookmarkStart w:id="1202" w:name="_Toc403987479"/>
      <w:r w:rsidRPr="009B67BF">
        <w:t>Reporting of Results</w:t>
      </w:r>
      <w:bookmarkEnd w:id="1198"/>
      <w:bookmarkEnd w:id="1199"/>
      <w:bookmarkEnd w:id="1200"/>
      <w:bookmarkEnd w:id="1201"/>
    </w:p>
    <w:p w14:paraId="3A5499FE" w14:textId="5D4D97EA" w:rsidR="00D34C6E" w:rsidRPr="009B67BF" w:rsidRDefault="00D34C6E" w:rsidP="00D34C6E">
      <w:r w:rsidRPr="009B67BF">
        <w:t xml:space="preserve">Evaluators will report the following information relating to </w:t>
      </w:r>
      <w:r>
        <w:t xml:space="preserve">participant </w:t>
      </w:r>
      <w:r w:rsidRPr="009B67BF">
        <w:t>spillover data collection and analysis in annual EM&amp;V reporting: 1) the number of participants surveyed</w:t>
      </w:r>
      <w:r>
        <w:t>;</w:t>
      </w:r>
      <w:r w:rsidRPr="009B67BF">
        <w:t xml:space="preserve"> 2) the number of survey respondents reporting </w:t>
      </w:r>
      <w:r w:rsidR="00307511">
        <w:t>additional energy efficiency improvements</w:t>
      </w:r>
      <w:r>
        <w:t>;</w:t>
      </w:r>
      <w:r w:rsidRPr="009B67BF">
        <w:t xml:space="preserve"> 3) the number of survey respondents who meet the spillover attribution threshold</w:t>
      </w:r>
      <w:r>
        <w:t>;</w:t>
      </w:r>
      <w:r w:rsidRPr="009B67BF">
        <w:t xml:space="preserve"> 4) the number of respondents for which spillover savings were actually quantified</w:t>
      </w:r>
      <w:r>
        <w:t>;</w:t>
      </w:r>
      <w:r w:rsidRPr="009B67BF">
        <w:t xml:space="preserve"> 5) the spillover savings for each </w:t>
      </w:r>
      <w:r w:rsidR="00307511">
        <w:lastRenderedPageBreak/>
        <w:t>respondent</w:t>
      </w:r>
      <w:r w:rsidRPr="009B67BF">
        <w:t xml:space="preserve"> and overall</w:t>
      </w:r>
      <w:r>
        <w:t>;</w:t>
      </w:r>
      <w:r w:rsidRPr="009B67BF">
        <w:t xml:space="preserve"> and 6) the spillover rate. The term (1-Free Ridership) is referred to as the Core NTGR.</w:t>
      </w:r>
    </w:p>
    <w:p w14:paraId="5AA4688F" w14:textId="5EBDBC14" w:rsidR="00D34C6E" w:rsidRPr="009B67BF" w:rsidRDefault="00D34C6E" w:rsidP="00D34C6E">
      <w:r w:rsidRPr="009B67BF">
        <w:t xml:space="preserve">The report </w:t>
      </w:r>
      <w:r w:rsidR="001324D2">
        <w:t xml:space="preserve">summarizing spillover </w:t>
      </w:r>
      <w:r w:rsidRPr="009B67BF">
        <w:t xml:space="preserve">should also describe the means by which the </w:t>
      </w:r>
      <w:r>
        <w:t xml:space="preserve">participant </w:t>
      </w:r>
      <w:r w:rsidRPr="009B67BF">
        <w:t xml:space="preserve">spillover rate is calculated. </w:t>
      </w:r>
    </w:p>
    <w:p w14:paraId="31AD428E" w14:textId="39AE5BF8" w:rsidR="00D34C6E" w:rsidRPr="009B67BF" w:rsidRDefault="001324D2" w:rsidP="00B80464">
      <w:r w:rsidRPr="009B67BF" w:rsidDel="001324D2">
        <w:t xml:space="preserve"> </w:t>
      </w:r>
      <w:r w:rsidR="00B80464">
        <w:t>The preferred approach is to estimate</w:t>
      </w:r>
      <w:r w:rsidR="000D1749">
        <w:t xml:space="preserve"> </w:t>
      </w:r>
      <w:r w:rsidR="00D34C6E" w:rsidRPr="009B67BF">
        <w:t>program spillover effects by summing spillover estimates for the sample and dividing this sum by the total ex</w:t>
      </w:r>
      <w:r w:rsidR="00D34C6E">
        <w:t xml:space="preserve"> </w:t>
      </w:r>
      <w:r w:rsidR="00D34C6E" w:rsidRPr="009B67BF">
        <w:t>ante or ex</w:t>
      </w:r>
      <w:r w:rsidR="00D34C6E">
        <w:t xml:space="preserve"> </w:t>
      </w:r>
      <w:r w:rsidR="00D34C6E" w:rsidRPr="009B67BF">
        <w:t xml:space="preserve">post (if available) gross savings for </w:t>
      </w:r>
      <w:r w:rsidR="00E804C8">
        <w:t xml:space="preserve">all projects completed by the respondents in </w:t>
      </w:r>
      <w:r w:rsidR="00D34C6E" w:rsidRPr="009B67BF">
        <w:t xml:space="preserve">the sample to produce the </w:t>
      </w:r>
      <w:r w:rsidR="00D34C6E">
        <w:t xml:space="preserve">participant </w:t>
      </w:r>
      <w:r w:rsidR="00D34C6E" w:rsidRPr="009B67BF">
        <w:t xml:space="preserve">spillover rate. This </w:t>
      </w:r>
      <w:r w:rsidR="00D34C6E">
        <w:t xml:space="preserve">participant </w:t>
      </w:r>
      <w:r w:rsidR="00D34C6E" w:rsidRPr="009B67BF">
        <w:t>spillover rate can be added to the Core NTGR for the sample to yield the NTGR. If the sample is stratified, sampling weights must be applied before applying the NTGR to the ex post gross savings of the participant population.</w:t>
      </w:r>
    </w:p>
    <w:p w14:paraId="5EDF1222" w14:textId="655F19E2" w:rsidR="00D34C6E" w:rsidRDefault="00D525F6" w:rsidP="00D34C6E">
      <w:r>
        <w:t>Using this approach,</w:t>
      </w:r>
      <w:r w:rsidR="00D34C6E" w:rsidRPr="009B67BF">
        <w:t xml:space="preserve"> the </w:t>
      </w:r>
      <w:r w:rsidR="00D34C6E">
        <w:t xml:space="preserve">participant </w:t>
      </w:r>
      <w:r w:rsidR="00D34C6E" w:rsidRPr="009B67BF">
        <w:t xml:space="preserve">spillover rate </w:t>
      </w:r>
      <w:r>
        <w:t>is</w:t>
      </w:r>
      <w:r w:rsidR="00D34C6E" w:rsidRPr="009B67BF">
        <w:t xml:space="preserve"> calculated </w:t>
      </w:r>
      <w:r w:rsidR="00D34C6E">
        <w:t>using the following formula</w:t>
      </w:r>
      <w:r w:rsidR="0008525A">
        <w:t>:</w:t>
      </w:r>
    </w:p>
    <w:p w14:paraId="2EC7864F" w14:textId="441B8C1E" w:rsidR="00D34C6E" w:rsidRPr="001702D1" w:rsidRDefault="00D34C6E" w:rsidP="00D34C6E">
      <w:pPr>
        <w:ind w:left="360"/>
      </w:pPr>
      <m:oMathPara>
        <m:oMath>
          <m:r>
            <w:rPr>
              <w:rFonts w:ascii="Cambria Math" w:hAnsi="Cambria Math"/>
            </w:rPr>
            <m:t>Participant Spillo</m:t>
          </m:r>
          <m:r>
            <w:rPr>
              <w:rFonts w:ascii="Cambria Math" w:hAnsi="Cambria Math" w:cs="Cambria Math"/>
            </w:rPr>
            <m:t>v</m:t>
          </m:r>
          <m:r>
            <w:rPr>
              <w:rFonts w:ascii="Cambria Math" w:hAnsi="Cambria Math"/>
            </w:rPr>
            <m:t>er Rate=</m:t>
          </m:r>
          <m:f>
            <m:fPr>
              <m:ctrlPr>
                <w:rPr>
                  <w:rFonts w:ascii="Cambria Math" w:hAnsi="Cambria Math"/>
                  <w:i/>
                  <w:iCs/>
                </w:rPr>
              </m:ctrlPr>
            </m:fPr>
            <m:num>
              <m:r>
                <w:rPr>
                  <w:rFonts w:ascii="Cambria Math" w:hAnsi="Cambria Math"/>
                </w:rPr>
                <m:t>ISO+OSO in sample</m:t>
              </m:r>
            </m:num>
            <m:den>
              <m:r>
                <w:rPr>
                  <w:rFonts w:ascii="Cambria Math" w:hAnsi="Cambria Math"/>
                </w:rPr>
                <m:t>Ex Post Gross Impacts for all projects by respondents in sample</m:t>
              </m:r>
            </m:den>
          </m:f>
        </m:oMath>
      </m:oMathPara>
    </w:p>
    <w:p w14:paraId="37784404" w14:textId="77777777" w:rsidR="00D34C6E" w:rsidRPr="009B67BF" w:rsidRDefault="00D34C6E" w:rsidP="00D34C6E">
      <w:pPr>
        <w:ind w:left="360"/>
      </w:pPr>
      <w:r w:rsidRPr="009B67BF">
        <w:t>Where</w:t>
      </w:r>
      <w:r>
        <w:t>:</w:t>
      </w:r>
    </w:p>
    <w:p w14:paraId="1BD61397" w14:textId="77777777" w:rsidR="00D34C6E" w:rsidRPr="009B67BF" w:rsidRDefault="00D34C6E" w:rsidP="00D34C6E">
      <w:pPr>
        <w:spacing w:after="60"/>
        <w:ind w:left="720"/>
      </w:pPr>
      <w:r w:rsidRPr="009B67BF">
        <w:t>ISO = Inside participant spillover</w:t>
      </w:r>
    </w:p>
    <w:p w14:paraId="7EBA3BED" w14:textId="77777777" w:rsidR="00D34C6E" w:rsidRDefault="00D34C6E" w:rsidP="00D34C6E">
      <w:pPr>
        <w:ind w:left="720"/>
      </w:pPr>
      <w:r w:rsidRPr="009B67BF">
        <w:t>OSO = Outside participant spillover</w:t>
      </w:r>
    </w:p>
    <w:p w14:paraId="30E59919" w14:textId="77777777" w:rsidR="005D1BE3" w:rsidRDefault="005D1BE3" w:rsidP="005D1BE3">
      <w:r>
        <w:t xml:space="preserve">An alternative method is to add the participant spillover rate to each project’s Core NTGR. The project-level NTGRs are then weighted by each project’s ex ante or ex post (if available) gross savings as a share of the total. This savings-weighted NTGR can then be applied to the ex post gross savings of the participant population. If the sample is stratified, sampling weights must be applied before applying the NTGR to the ex post gross savings of the participant population. If this method is chosen, the influence questions (Q.1-3 above) must be asked relative to the participant’s experience with a specific </w:t>
      </w:r>
      <w:r>
        <w:rPr>
          <w:i/>
          <w:iCs/>
        </w:rPr>
        <w:t>project</w:t>
      </w:r>
      <w:r>
        <w:t xml:space="preserve"> and the following formula is used:</w:t>
      </w:r>
    </w:p>
    <w:p w14:paraId="732F1B30" w14:textId="77777777" w:rsidR="005D1BE3" w:rsidRDefault="005D1BE3" w:rsidP="005D1BE3">
      <w:pPr>
        <w:ind w:left="360"/>
      </w:pPr>
      <m:oMathPara>
        <m:oMath>
          <m:r>
            <w:rPr>
              <w:rFonts w:ascii="Cambria Math" w:hAnsi="Cambria Math"/>
            </w:rPr>
            <m:t>Participant Spillo</m:t>
          </m:r>
          <m:r>
            <w:rPr>
              <w:rFonts w:ascii="Cambria Math" w:hAnsi="Cambria Math" w:cs="Cambria Math"/>
            </w:rPr>
            <m:t>v</m:t>
          </m:r>
          <m:r>
            <w:rPr>
              <w:rFonts w:ascii="Cambria Math" w:hAnsi="Cambria Math"/>
            </w:rPr>
            <m:t>er Rate=</m:t>
          </m:r>
          <m:f>
            <m:fPr>
              <m:ctrlPr>
                <w:rPr>
                  <w:rFonts w:ascii="Cambria Math" w:hAnsi="Cambria Math"/>
                  <w:i/>
                  <w:iCs/>
                </w:rPr>
              </m:ctrlPr>
            </m:fPr>
            <m:num>
              <m:r>
                <w:rPr>
                  <w:rFonts w:ascii="Cambria Math" w:hAnsi="Cambria Math"/>
                </w:rPr>
                <m:t>ISO+OSO in sample</m:t>
              </m:r>
            </m:num>
            <m:den>
              <m:r>
                <w:rPr>
                  <w:rFonts w:ascii="Cambria Math" w:hAnsi="Cambria Math"/>
                </w:rPr>
                <m:t xml:space="preserve">Ex Post Gross Impacts for all sampled projects </m:t>
              </m:r>
            </m:den>
          </m:f>
        </m:oMath>
      </m:oMathPara>
    </w:p>
    <w:p w14:paraId="5FE3C4C5" w14:textId="1F3F6D21" w:rsidR="005D1BE3" w:rsidRPr="005D1BE3" w:rsidRDefault="005D1BE3" w:rsidP="005D1BE3">
      <w:r>
        <w:t xml:space="preserve">Irrespective of the approach used to calculate the participant spillover rate, it is essential that the wording of the influence questions (i.e., whether relative to the participant’s experience with the </w:t>
      </w:r>
      <w:r>
        <w:rPr>
          <w:i/>
          <w:iCs/>
        </w:rPr>
        <w:t>program</w:t>
      </w:r>
      <w:r>
        <w:t xml:space="preserve"> or relative to the participant’s experience with a specific </w:t>
      </w:r>
      <w:r>
        <w:rPr>
          <w:i/>
          <w:iCs/>
        </w:rPr>
        <w:t>project or incented measure</w:t>
      </w:r>
      <w:r>
        <w:t xml:space="preserve">) match the impacts included in the denominator of the participant spillover rate.   </w:t>
      </w:r>
    </w:p>
    <w:p w14:paraId="4999FC84" w14:textId="77777777" w:rsidR="00D34C6E" w:rsidRPr="004E5871" w:rsidRDefault="00D34C6E" w:rsidP="0088039F">
      <w:pPr>
        <w:pStyle w:val="Heading3"/>
      </w:pPr>
      <w:bookmarkStart w:id="1203" w:name="_Toc472494695"/>
      <w:bookmarkStart w:id="1204" w:name="_Toc520462893"/>
      <w:bookmarkStart w:id="1205" w:name="_Toc473108037"/>
      <w:bookmarkStart w:id="1206" w:name="_Toc520824149"/>
      <w:bookmarkStart w:id="1207" w:name="_Toc16619932"/>
      <w:bookmarkStart w:id="1208" w:name="_Toc113619787"/>
      <w:bookmarkStart w:id="1209" w:name="_Toc431366160"/>
      <w:bookmarkStart w:id="1210" w:name="_Toc431526447"/>
      <w:bookmarkStart w:id="1211" w:name="_Toc442804243"/>
      <w:bookmarkStart w:id="1212" w:name="_Toc442805460"/>
      <w:bookmarkEnd w:id="1202"/>
      <w:r>
        <w:t xml:space="preserve">Core </w:t>
      </w:r>
      <w:r w:rsidRPr="004E5871">
        <w:t>Nonparticipant Spillover</w:t>
      </w:r>
      <w:r>
        <w:t xml:space="preserve"> Protocol</w:t>
      </w:r>
      <w:bookmarkEnd w:id="1203"/>
      <w:bookmarkEnd w:id="1204"/>
      <w:bookmarkEnd w:id="1205"/>
      <w:bookmarkEnd w:id="1206"/>
      <w:bookmarkEnd w:id="1207"/>
      <w:bookmarkEnd w:id="1208"/>
    </w:p>
    <w:p w14:paraId="337932E3" w14:textId="77777777" w:rsidR="00D34C6E" w:rsidRPr="004E5871" w:rsidRDefault="00D34C6E" w:rsidP="00D34C6E">
      <w:r w:rsidRPr="004E5871">
        <w:t>The evaluation may perform research to measure nonparticipant spillover</w:t>
      </w:r>
      <w:r>
        <w:t xml:space="preserve"> (NPSO)</w:t>
      </w:r>
      <w:r w:rsidRPr="004E5871">
        <w:t>. Evaluators will make efforts to ensure that there is no double-counting of energy savings across multiple sources and will document those efforts.</w:t>
      </w:r>
    </w:p>
    <w:p w14:paraId="4BA20DA0" w14:textId="77777777" w:rsidR="00D34C6E" w:rsidRPr="00D077E4" w:rsidRDefault="00D34C6E" w:rsidP="00D34C6E">
      <w:pPr>
        <w:keepNext/>
        <w:widowControl/>
        <w:numPr>
          <w:ilvl w:val="3"/>
          <w:numId w:val="8"/>
        </w:numPr>
        <w:outlineLvl w:val="3"/>
        <w:rPr>
          <w:rFonts w:ascii="Calibri Light" w:hAnsi="Calibri Light"/>
          <w:b/>
          <w:iCs/>
        </w:rPr>
      </w:pPr>
      <w:r w:rsidRPr="00D077E4">
        <w:rPr>
          <w:rFonts w:ascii="Calibri Light" w:hAnsi="Calibri Light"/>
          <w:b/>
          <w:iCs/>
        </w:rPr>
        <w:t xml:space="preserve">Core </w:t>
      </w:r>
      <w:r>
        <w:rPr>
          <w:rFonts w:ascii="Calibri Light" w:hAnsi="Calibri Light"/>
          <w:b/>
          <w:iCs/>
        </w:rPr>
        <w:t>Nonp</w:t>
      </w:r>
      <w:r w:rsidRPr="00D077E4">
        <w:rPr>
          <w:rFonts w:ascii="Calibri Light" w:hAnsi="Calibri Light"/>
          <w:b/>
          <w:iCs/>
        </w:rPr>
        <w:t>articipant Spillover Protocol</w:t>
      </w:r>
      <w:r>
        <w:rPr>
          <w:rFonts w:ascii="Calibri Light" w:hAnsi="Calibri Light"/>
          <w:b/>
          <w:iCs/>
        </w:rPr>
        <w:t xml:space="preserve"> – Measured from End Users</w:t>
      </w:r>
    </w:p>
    <w:p w14:paraId="22F180D4" w14:textId="77777777" w:rsidR="00D34C6E" w:rsidRDefault="00D34C6E" w:rsidP="00D34C6E">
      <w:pPr>
        <w:widowControl/>
        <w:tabs>
          <w:tab w:val="left" w:pos="0"/>
        </w:tabs>
        <w:autoSpaceDE w:val="0"/>
        <w:autoSpaceDN w:val="0"/>
        <w:adjustRightInd w:val="0"/>
        <w:snapToGrid w:val="0"/>
        <w:rPr>
          <w:szCs w:val="20"/>
        </w:rPr>
      </w:pPr>
      <w:r w:rsidRPr="00502C9B">
        <w:t xml:space="preserve">NPSO for end users is defined as the energy savings that are achieved when a nonparticipant end user—as a result of the influence of a Program Administrator’s programs—implements energy efficiency </w:t>
      </w:r>
      <w:r w:rsidRPr="00502C9B">
        <w:rPr>
          <w:szCs w:val="20"/>
        </w:rPr>
        <w:t xml:space="preserve">measures </w:t>
      </w:r>
      <w:r w:rsidRPr="00502C9B">
        <w:rPr>
          <w:i/>
          <w:szCs w:val="20"/>
        </w:rPr>
        <w:t>outside</w:t>
      </w:r>
      <w:r w:rsidRPr="00502C9B">
        <w:rPr>
          <w:szCs w:val="20"/>
        </w:rPr>
        <w:t xml:space="preserve"> of the </w:t>
      </w:r>
      <w:r>
        <w:rPr>
          <w:szCs w:val="20"/>
        </w:rPr>
        <w:t>Program Administrator</w:t>
      </w:r>
      <w:r w:rsidRPr="00502C9B">
        <w:rPr>
          <w:szCs w:val="20"/>
        </w:rPr>
        <w:t xml:space="preserve">’s programs. </w:t>
      </w:r>
    </w:p>
    <w:p w14:paraId="25E8065B" w14:textId="77777777" w:rsidR="00D34C6E" w:rsidRDefault="00D34C6E" w:rsidP="00D34C6E">
      <w:pPr>
        <w:widowControl/>
        <w:tabs>
          <w:tab w:val="left" w:pos="0"/>
        </w:tabs>
        <w:autoSpaceDE w:val="0"/>
        <w:autoSpaceDN w:val="0"/>
        <w:adjustRightInd w:val="0"/>
        <w:snapToGrid w:val="0"/>
        <w:rPr>
          <w:spacing w:val="-8"/>
          <w:w w:val="105"/>
        </w:rPr>
      </w:pPr>
      <w:r w:rsidRPr="00B922B0">
        <w:rPr>
          <w:szCs w:val="20"/>
        </w:rPr>
        <w:t xml:space="preserve">One option for the evaluator would be to survey nonparticipating customers and estimate spillover savings for any efficient measures installed that respondents are able to attribute to specific </w:t>
      </w:r>
      <w:r>
        <w:rPr>
          <w:szCs w:val="20"/>
        </w:rPr>
        <w:t>Program Administrator</w:t>
      </w:r>
      <w:r w:rsidRPr="00B922B0">
        <w:rPr>
          <w:szCs w:val="20"/>
        </w:rPr>
        <w:t xml:space="preserve"> programs. However, in many cases,</w:t>
      </w:r>
      <w:r>
        <w:rPr>
          <w:spacing w:val="-8"/>
          <w:w w:val="105"/>
          <w:szCs w:val="20"/>
        </w:rPr>
        <w:t xml:space="preserve"> </w:t>
      </w:r>
      <w:r w:rsidRPr="00B922B0">
        <w:rPr>
          <w:spacing w:val="-8"/>
          <w:w w:val="105"/>
          <w:szCs w:val="20"/>
        </w:rPr>
        <w:t xml:space="preserve">nonparticipants might </w:t>
      </w:r>
      <w:r>
        <w:rPr>
          <w:spacing w:val="-8"/>
          <w:w w:val="105"/>
          <w:szCs w:val="20"/>
        </w:rPr>
        <w:t xml:space="preserve">find it difficult, if not impossible, to reliably attribute </w:t>
      </w:r>
      <w:r w:rsidRPr="00B922B0">
        <w:rPr>
          <w:spacing w:val="-8"/>
          <w:w w:val="105"/>
          <w:szCs w:val="20"/>
        </w:rPr>
        <w:t xml:space="preserve">any of their installations to </w:t>
      </w:r>
      <w:r>
        <w:rPr>
          <w:spacing w:val="-8"/>
          <w:w w:val="105"/>
          <w:szCs w:val="20"/>
        </w:rPr>
        <w:t xml:space="preserve">the influence of a </w:t>
      </w:r>
      <w:r w:rsidRPr="00B922B0">
        <w:rPr>
          <w:spacing w:val="-8"/>
          <w:w w:val="105"/>
          <w:szCs w:val="20"/>
        </w:rPr>
        <w:t xml:space="preserve">specific </w:t>
      </w:r>
      <w:r>
        <w:rPr>
          <w:spacing w:val="-8"/>
          <w:w w:val="105"/>
          <w:szCs w:val="20"/>
        </w:rPr>
        <w:t xml:space="preserve">Program Administrator </w:t>
      </w:r>
      <w:r w:rsidRPr="00B922B0">
        <w:rPr>
          <w:spacing w:val="-8"/>
          <w:w w:val="105"/>
          <w:szCs w:val="20"/>
        </w:rPr>
        <w:t xml:space="preserve">program. If an evaluator suspects that nonresidential nonparticipants will not be able to reliably attribute spillover savings to any particular </w:t>
      </w:r>
      <w:r>
        <w:rPr>
          <w:spacing w:val="-8"/>
          <w:w w:val="105"/>
          <w:szCs w:val="20"/>
        </w:rPr>
        <w:t>Program Administrator</w:t>
      </w:r>
      <w:r w:rsidRPr="00B922B0">
        <w:rPr>
          <w:spacing w:val="-8"/>
          <w:w w:val="105"/>
          <w:szCs w:val="20"/>
        </w:rPr>
        <w:t xml:space="preserve"> program, a second option would be to survey nonparticipants and estimate spillover savings from the installation of efficient measures that respondents are able to attribute to their general </w:t>
      </w:r>
      <w:r w:rsidRPr="00B922B0">
        <w:rPr>
          <w:szCs w:val="20"/>
        </w:rPr>
        <w:t xml:space="preserve">knowledge of the </w:t>
      </w:r>
      <w:r>
        <w:rPr>
          <w:szCs w:val="20"/>
        </w:rPr>
        <w:t>Program Administrator</w:t>
      </w:r>
      <w:r w:rsidRPr="00B922B0">
        <w:rPr>
          <w:szCs w:val="20"/>
        </w:rPr>
        <w:t xml:space="preserve"> incentives and information, regardless of the particular program source. </w:t>
      </w:r>
      <w:r w:rsidRPr="00B922B0">
        <w:rPr>
          <w:spacing w:val="-8"/>
          <w:w w:val="105"/>
          <w:szCs w:val="20"/>
        </w:rPr>
        <w:t xml:space="preserve">These protocols are written assuming that the NPSO for end users will be estimated using this second option. </w:t>
      </w:r>
    </w:p>
    <w:p w14:paraId="51489385" w14:textId="77777777" w:rsidR="00D34C6E" w:rsidRDefault="00D34C6E" w:rsidP="00D34C6E">
      <w:pPr>
        <w:widowControl/>
        <w:tabs>
          <w:tab w:val="left" w:pos="0"/>
        </w:tabs>
        <w:autoSpaceDE w:val="0"/>
        <w:autoSpaceDN w:val="0"/>
        <w:adjustRightInd w:val="0"/>
        <w:snapToGrid w:val="0"/>
        <w:rPr>
          <w:spacing w:val="-8"/>
          <w:w w:val="105"/>
          <w:szCs w:val="20"/>
        </w:rPr>
      </w:pPr>
      <w:r w:rsidRPr="002C4535">
        <w:t>Note that th</w:t>
      </w:r>
      <w:r>
        <w:t>is</w:t>
      </w:r>
      <w:r w:rsidRPr="002C4535">
        <w:t xml:space="preserve"> </w:t>
      </w:r>
      <w:r>
        <w:t>protocol</w:t>
      </w:r>
      <w:r w:rsidRPr="002C4535">
        <w:t xml:space="preserve"> do</w:t>
      </w:r>
      <w:r>
        <w:t>es</w:t>
      </w:r>
      <w:r w:rsidRPr="002C4535">
        <w:t xml:space="preserve"> not address estimating spillover for upstream and midstream programs where the end user is assumed to be completely ignorant of any </w:t>
      </w:r>
      <w:r>
        <w:t>Program Administrator</w:t>
      </w:r>
      <w:r w:rsidRPr="002C4535">
        <w:t xml:space="preserve"> influence.</w:t>
      </w:r>
      <w:r w:rsidRPr="002C4535">
        <w:rPr>
          <w:sz w:val="24"/>
          <w:szCs w:val="24"/>
        </w:rPr>
        <w:t xml:space="preserve"> </w:t>
      </w:r>
      <w:r w:rsidRPr="002C4535">
        <w:rPr>
          <w:spacing w:val="-8"/>
          <w:w w:val="105"/>
        </w:rPr>
        <w:t xml:space="preserve">Of course, when considered feasible, evaluators are free to estimate spillover and spillover rates at the program-specific level with the suggested questions presented in Section </w:t>
      </w:r>
      <w:r>
        <w:rPr>
          <w:spacing w:val="-8"/>
          <w:w w:val="105"/>
        </w:rPr>
        <w:t>3.2.2.1.2</w:t>
      </w:r>
      <w:r w:rsidRPr="002C4535">
        <w:rPr>
          <w:spacing w:val="-8"/>
          <w:w w:val="105"/>
        </w:rPr>
        <w:t xml:space="preserve"> modified appropriately.</w:t>
      </w:r>
      <w:r>
        <w:rPr>
          <w:spacing w:val="-8"/>
          <w:w w:val="105"/>
        </w:rPr>
        <w:t xml:space="preserve"> </w:t>
      </w:r>
    </w:p>
    <w:p w14:paraId="68503393" w14:textId="77777777" w:rsidR="00D34C6E" w:rsidRPr="00F13118" w:rsidRDefault="00D34C6E" w:rsidP="00D34C6E">
      <w:pPr>
        <w:pStyle w:val="Heading5"/>
        <w:numPr>
          <w:ilvl w:val="4"/>
          <w:numId w:val="8"/>
        </w:numPr>
      </w:pPr>
      <w:r w:rsidRPr="00F13118">
        <w:lastRenderedPageBreak/>
        <w:t>Research Methods</w:t>
      </w:r>
    </w:p>
    <w:p w14:paraId="67D77B92" w14:textId="77777777" w:rsidR="00D34C6E" w:rsidRDefault="00D34C6E" w:rsidP="00D34C6E">
      <w:r w:rsidRPr="00BB489F">
        <w:rPr>
          <w:b/>
        </w:rPr>
        <w:t xml:space="preserve">Data Collection Approach. </w:t>
      </w:r>
      <w:r w:rsidRPr="00F13118">
        <w:t xml:space="preserve">An initial determination of spillover may be made based on self-reported findings from surveys of nonparticipants. At a minimum, surveys collecting data pertaining to nonparticipant spillover will obtain general information on the specific measures installed and information substantiating </w:t>
      </w:r>
      <w:r>
        <w:t>the influence of</w:t>
      </w:r>
      <w:r w:rsidRPr="00F13118">
        <w:t xml:space="preserve"> </w:t>
      </w:r>
      <w:r>
        <w:t>the Program Administrator on the installation decision</w:t>
      </w:r>
      <w:r w:rsidRPr="00F13118">
        <w:t xml:space="preserve">. Research on the specific characteristics of the energy efficient equipment installed and the baseline and operating conditions needed to estimate savings may be done in one of two ways: </w:t>
      </w:r>
      <w:r>
        <w:t>(</w:t>
      </w:r>
      <w:r w:rsidRPr="00F13118">
        <w:t xml:space="preserve">1) a detailed battery of measure specific questions may be administered as part of the initial survey, or </w:t>
      </w:r>
      <w:r>
        <w:t>(</w:t>
      </w:r>
      <w:r w:rsidRPr="00F13118">
        <w:t>2) a separate in-depth follow-up interview may be conducted by the engineer or analyst responsible for the energy savings calculation.</w:t>
      </w:r>
      <w:r>
        <w:rPr>
          <w:rStyle w:val="FootnoteReference"/>
        </w:rPr>
        <w:footnoteReference w:id="69"/>
      </w:r>
      <w:r w:rsidRPr="00F13118">
        <w:t xml:space="preserve"> Projects installed within the last two years </w:t>
      </w:r>
      <w:r w:rsidRPr="00E63D67">
        <w:t xml:space="preserve">of the </w:t>
      </w:r>
      <w:r>
        <w:t>non</w:t>
      </w:r>
      <w:r w:rsidRPr="00E63D67">
        <w:t xml:space="preserve">participant spillover study data collection effort </w:t>
      </w:r>
      <w:r w:rsidRPr="00F13118">
        <w:t xml:space="preserve">may be counted as spillover, provided </w:t>
      </w:r>
      <w:r>
        <w:t>program attribution</w:t>
      </w:r>
      <w:r w:rsidRPr="00F13118">
        <w:t xml:space="preserve"> </w:t>
      </w:r>
      <w:r>
        <w:t xml:space="preserve">and energy savings </w:t>
      </w:r>
      <w:r w:rsidRPr="00F13118">
        <w:t xml:space="preserve">can be substantiated. In either case, an engineer or analyst will use the collected data to develop an estimate of spillover savings for each project. </w:t>
      </w:r>
    </w:p>
    <w:p w14:paraId="50AC82D4" w14:textId="77777777" w:rsidR="00D34C6E" w:rsidRDefault="00D34C6E" w:rsidP="00D34C6E">
      <w:r w:rsidRPr="00BB489F">
        <w:rPr>
          <w:b/>
        </w:rPr>
        <w:t xml:space="preserve">Sample Frame. </w:t>
      </w:r>
      <w:r w:rsidRPr="00F13118">
        <w:t>The sample frame for nonparticipant end user spillover research is composed of customers who have not participated in any program</w:t>
      </w:r>
      <w:r>
        <w:t>s</w:t>
      </w:r>
      <w:r w:rsidRPr="00F13118">
        <w:t xml:space="preserve"> within the last three years. Because evaluated spillover </w:t>
      </w:r>
      <w:r>
        <w:t>savings</w:t>
      </w:r>
      <w:r w:rsidRPr="00F13118">
        <w:t xml:space="preserve"> associated with the sample are being extrapolated to the nonparticipant population, it is important that the sample frame be limited to nonparticipants for </w:t>
      </w:r>
      <w:r>
        <w:t>whom</w:t>
      </w:r>
      <w:r w:rsidRPr="00F13118">
        <w:t xml:space="preserve"> spillover may potentially be claimed. </w:t>
      </w:r>
    </w:p>
    <w:p w14:paraId="0523E359" w14:textId="77777777" w:rsidR="00D34C6E" w:rsidRPr="00B9661F" w:rsidRDefault="00D34C6E" w:rsidP="00D34C6E">
      <w:pPr>
        <w:pStyle w:val="Default"/>
        <w:spacing w:after="60"/>
        <w:jc w:val="both"/>
        <w:rPr>
          <w:rFonts w:ascii="Calibri" w:hAnsi="Calibri" w:cs="Calibri"/>
          <w:sz w:val="20"/>
          <w:szCs w:val="20"/>
        </w:rPr>
      </w:pPr>
      <w:r w:rsidRPr="00B9661F">
        <w:rPr>
          <w:rFonts w:ascii="Calibri" w:hAnsi="Calibri" w:cs="Calibri"/>
          <w:sz w:val="20"/>
          <w:szCs w:val="20"/>
        </w:rPr>
        <w:t xml:space="preserve">Sample frames should be constructed in accordance with the following guidelines: </w:t>
      </w:r>
    </w:p>
    <w:p w14:paraId="4CD58920" w14:textId="77777777" w:rsidR="00D34C6E" w:rsidRPr="00A31C38" w:rsidRDefault="00D34C6E" w:rsidP="00D34C6E">
      <w:pPr>
        <w:pStyle w:val="ListParagraph"/>
        <w:numPr>
          <w:ilvl w:val="0"/>
          <w:numId w:val="49"/>
        </w:numPr>
        <w:spacing w:after="60"/>
        <w:contextualSpacing w:val="0"/>
      </w:pPr>
      <w:r w:rsidRPr="00A31C38">
        <w:t xml:space="preserve">Self-directing customers as defined by 220 ILCS 5/8-104(m) should be excluded from the sample frame for natural gas spillover. </w:t>
      </w:r>
    </w:p>
    <w:p w14:paraId="36FA6884" w14:textId="77777777" w:rsidR="00D34C6E" w:rsidRDefault="00D34C6E" w:rsidP="00D34C6E">
      <w:pPr>
        <w:pStyle w:val="ListParagraph"/>
        <w:numPr>
          <w:ilvl w:val="0"/>
          <w:numId w:val="49"/>
        </w:numPr>
        <w:spacing w:after="60"/>
        <w:contextualSpacing w:val="0"/>
      </w:pPr>
      <w:r w:rsidRPr="00A31C38">
        <w:t xml:space="preserve">Customers of municipal electric utilities should be excluded from the sample frame for electric spillover. </w:t>
      </w:r>
    </w:p>
    <w:p w14:paraId="3F886C44" w14:textId="77777777" w:rsidR="00D34C6E" w:rsidRDefault="00D34C6E" w:rsidP="00D34C6E">
      <w:pPr>
        <w:pStyle w:val="ListParagraph"/>
        <w:numPr>
          <w:ilvl w:val="0"/>
          <w:numId w:val="49"/>
        </w:numPr>
        <w:spacing w:after="60"/>
        <w:contextualSpacing w:val="0"/>
      </w:pPr>
      <w:r>
        <w:t>Entities eligible to participate in the Illinois Department of Commerce and Economic Opportunity programs will not be included in sample frames for the study of nonparticipant spillover attributable to utility-administered programs.</w:t>
      </w:r>
    </w:p>
    <w:p w14:paraId="6FAE3E26" w14:textId="77777777" w:rsidR="00D34C6E" w:rsidRPr="00A31C38" w:rsidRDefault="00D34C6E" w:rsidP="00D34C6E">
      <w:pPr>
        <w:pStyle w:val="ListParagraph"/>
        <w:numPr>
          <w:ilvl w:val="0"/>
          <w:numId w:val="49"/>
        </w:numPr>
        <w:contextualSpacing w:val="0"/>
      </w:pPr>
      <w:r>
        <w:t>Entities eligible to participate in the utilities’ programs will not be included in sample frames for the study of nonparticipant spillover attributable to programs administered by the Department of Commerce and Economic Opportunity.</w:t>
      </w:r>
    </w:p>
    <w:p w14:paraId="0A9322A8" w14:textId="77777777" w:rsidR="00D34C6E" w:rsidRDefault="00D34C6E" w:rsidP="00D34C6E">
      <w:r w:rsidRPr="00D17006">
        <w:rPr>
          <w:b/>
          <w:szCs w:val="20"/>
        </w:rPr>
        <w:t xml:space="preserve">Timing of Data Collection. </w:t>
      </w:r>
      <w:r w:rsidRPr="00D17006">
        <w:rPr>
          <w:szCs w:val="20"/>
        </w:rPr>
        <w:t>Evaluators might administer the nonparticipant end user spillover study in parallel with the program impact evaluation</w:t>
      </w:r>
      <w:r>
        <w:rPr>
          <w:szCs w:val="20"/>
        </w:rPr>
        <w:t>, potential study or saturation study research,</w:t>
      </w:r>
      <w:r w:rsidRPr="00D17006">
        <w:rPr>
          <w:szCs w:val="20"/>
        </w:rPr>
        <w:t xml:space="preserve"> or at a different time. </w:t>
      </w:r>
    </w:p>
    <w:p w14:paraId="49A53B68" w14:textId="77777777" w:rsidR="00D34C6E" w:rsidRPr="00BA791D" w:rsidRDefault="00D34C6E" w:rsidP="00D34C6E">
      <w:pPr>
        <w:pStyle w:val="Heading5"/>
        <w:numPr>
          <w:ilvl w:val="4"/>
          <w:numId w:val="8"/>
        </w:numPr>
      </w:pPr>
      <w:r w:rsidRPr="00BA791D">
        <w:t>Approach for Identifying and Quantifying Spillover</w:t>
      </w:r>
    </w:p>
    <w:p w14:paraId="62E4DD58" w14:textId="77777777" w:rsidR="00D34C6E" w:rsidRDefault="00D34C6E" w:rsidP="00D34C6E">
      <w:r w:rsidRPr="00BB489F">
        <w:rPr>
          <w:b/>
        </w:rPr>
        <w:t xml:space="preserve">Key Nonparticipant Spillover Survey Questions. </w:t>
      </w:r>
      <w:r w:rsidRPr="00F13118">
        <w:t xml:space="preserve">The nonparticipant end user spillover question module is designed to be a general inquiry that seeks to: (1) assess whether additional energy efficiency improvements were implemented </w:t>
      </w:r>
      <w:r>
        <w:t>during the study period</w:t>
      </w:r>
      <w:r w:rsidRPr="00F13118">
        <w:t xml:space="preserve">; (2) confirm that these measures had not received program incentives and that there were no plans to submit them for program incentives in the future; (3) gather basic information about the additional energy efficiency measure(s), e.g., the type, size, quantities, and energy efficiency rating; </w:t>
      </w:r>
      <w:r>
        <w:t xml:space="preserve">and </w:t>
      </w:r>
      <w:r w:rsidRPr="00F13118">
        <w:t>(4) establish</w:t>
      </w:r>
      <w:r>
        <w:t xml:space="preserve"> the Program Administrator </w:t>
      </w:r>
      <w:r w:rsidRPr="00F13118">
        <w:t>importance ratings.</w:t>
      </w:r>
      <w:r>
        <w:t xml:space="preserve"> Note that while the example questions can be customized to assess the influence of a specific program in the Program Administrator portfolio, they are currently worded to capture influence of the Program Administrator, regardless of program source. </w:t>
      </w:r>
    </w:p>
    <w:p w14:paraId="010C6DA3" w14:textId="77777777" w:rsidR="00D34C6E" w:rsidRDefault="00D34C6E" w:rsidP="00D34C6E">
      <w:r>
        <w:t>Below are example questions that might be used in a nonparticipant spillover survey. They are grouped by the following topics</w:t>
      </w:r>
      <w:r w:rsidRPr="00F13118">
        <w:t xml:space="preserve">: </w:t>
      </w:r>
    </w:p>
    <w:p w14:paraId="54D6B292" w14:textId="77777777" w:rsidR="00D34C6E" w:rsidRPr="00F13118" w:rsidRDefault="00D34C6E" w:rsidP="00D34C6E">
      <w:pPr>
        <w:pStyle w:val="ListParagraph"/>
        <w:numPr>
          <w:ilvl w:val="0"/>
          <w:numId w:val="49"/>
        </w:numPr>
        <w:spacing w:after="60"/>
        <w:contextualSpacing w:val="0"/>
        <w:jc w:val="left"/>
      </w:pPr>
      <w:r w:rsidRPr="00E01DE0">
        <w:rPr>
          <w:b/>
        </w:rPr>
        <w:t>Threshold conditions:</w:t>
      </w:r>
      <w:r w:rsidRPr="00F13118">
        <w:t xml:space="preserve"> Is there some credible evidence </w:t>
      </w:r>
      <w:r>
        <w:t xml:space="preserve">that it was at least possible for the Program Administrator to have influenced the decision to install additional energy efficient measures? </w:t>
      </w:r>
    </w:p>
    <w:p w14:paraId="4B8D7942" w14:textId="77777777" w:rsidR="00D34C6E" w:rsidRPr="00F13118" w:rsidRDefault="00D34C6E" w:rsidP="00D34C6E">
      <w:pPr>
        <w:pStyle w:val="ListParagraph"/>
        <w:numPr>
          <w:ilvl w:val="0"/>
          <w:numId w:val="49"/>
        </w:numPr>
        <w:spacing w:after="60"/>
        <w:contextualSpacing w:val="0"/>
        <w:jc w:val="left"/>
      </w:pPr>
      <w:r w:rsidRPr="00E01DE0">
        <w:rPr>
          <w:b/>
        </w:rPr>
        <w:t>Measure description:</w:t>
      </w:r>
      <w:r w:rsidRPr="00F13118">
        <w:t xml:space="preserve"> Enough information needs to be collected </w:t>
      </w:r>
      <w:r>
        <w:t>for</w:t>
      </w:r>
      <w:r w:rsidRPr="00F13118">
        <w:t xml:space="preserve"> the measure and its operation to support a credible estimate of savings</w:t>
      </w:r>
    </w:p>
    <w:p w14:paraId="0D71C5B3" w14:textId="77777777" w:rsidR="00D34C6E" w:rsidRDefault="00D34C6E" w:rsidP="00D34C6E">
      <w:pPr>
        <w:pStyle w:val="ListParagraph"/>
        <w:numPr>
          <w:ilvl w:val="0"/>
          <w:numId w:val="49"/>
        </w:numPr>
        <w:contextualSpacing w:val="0"/>
        <w:jc w:val="left"/>
      </w:pPr>
      <w:r w:rsidRPr="00E01DE0">
        <w:rPr>
          <w:b/>
        </w:rPr>
        <w:t>Attribution:</w:t>
      </w:r>
      <w:r w:rsidRPr="00F13118">
        <w:t xml:space="preserve"> Is there credible evidence that the </w:t>
      </w:r>
      <w:r>
        <w:t>Program Administrator</w:t>
      </w:r>
      <w:r w:rsidRPr="00F13118">
        <w:t xml:space="preserve"> had substantial influence on the end user’s decision to install the efficient measure outside </w:t>
      </w:r>
      <w:r>
        <w:t xml:space="preserve">of any of the programs in the Program </w:t>
      </w:r>
      <w:r>
        <w:lastRenderedPageBreak/>
        <w:t>Administrator portfolio</w:t>
      </w:r>
      <w:r w:rsidRPr="00F13118">
        <w:t>?</w:t>
      </w:r>
    </w:p>
    <w:p w14:paraId="60BA2D01" w14:textId="77777777" w:rsidR="00D34C6E" w:rsidRDefault="00D34C6E" w:rsidP="00D34C6E">
      <w:pPr>
        <w:spacing w:before="240"/>
      </w:pPr>
      <w:r w:rsidRPr="00BB489F">
        <w:rPr>
          <w:b/>
        </w:rPr>
        <w:t xml:space="preserve">Threshold Conditions. </w:t>
      </w:r>
      <w:r w:rsidRPr="00F13118">
        <w:t xml:space="preserve">Spillover cases are identified using a threshold approach in which certain </w:t>
      </w:r>
      <w:r>
        <w:t xml:space="preserve">minimal </w:t>
      </w:r>
      <w:r w:rsidRPr="00F13118">
        <w:t xml:space="preserve">conditions must be met </w:t>
      </w:r>
      <w:r>
        <w:t>for a customer’s installation to be considered for spillover</w:t>
      </w:r>
      <w:r w:rsidRPr="00F13118">
        <w:t xml:space="preserve">. The </w:t>
      </w:r>
      <w:r>
        <w:t>following are example questions that evaluators may use (individually or in combination) to determine that program administrator influence on the installation is possible</w:t>
      </w:r>
      <w:r w:rsidRPr="00F13118">
        <w:t>:</w:t>
      </w:r>
    </w:p>
    <w:p w14:paraId="615D7C6B" w14:textId="77777777" w:rsidR="00D34C6E" w:rsidRPr="00E01DE0" w:rsidRDefault="00D34C6E" w:rsidP="00D34C6E">
      <w:pPr>
        <w:pStyle w:val="ListParagraph"/>
        <w:widowControl/>
        <w:numPr>
          <w:ilvl w:val="0"/>
          <w:numId w:val="52"/>
        </w:numPr>
        <w:spacing w:after="60"/>
        <w:ind w:right="14"/>
        <w:contextualSpacing w:val="0"/>
        <w:rPr>
          <w:color w:val="000000"/>
          <w:szCs w:val="20"/>
        </w:rPr>
      </w:pPr>
      <w:r>
        <w:rPr>
          <w:color w:val="000000"/>
          <w:szCs w:val="20"/>
        </w:rPr>
        <w:t>Before installing these measures, did you know</w:t>
      </w:r>
      <w:r w:rsidRPr="00E01DE0">
        <w:rPr>
          <w:color w:val="000000"/>
          <w:szCs w:val="20"/>
        </w:rPr>
        <w:t xml:space="preserve"> that &lt;</w:t>
      </w:r>
      <w:r>
        <w:rPr>
          <w:color w:val="000000"/>
          <w:szCs w:val="20"/>
        </w:rPr>
        <w:t>PROGRAM ADMINISTRATOR</w:t>
      </w:r>
      <w:r w:rsidRPr="00E01DE0">
        <w:rPr>
          <w:color w:val="000000"/>
          <w:szCs w:val="20"/>
        </w:rPr>
        <w:t>&gt; offers energy efficiency programs</w:t>
      </w:r>
      <w:r>
        <w:rPr>
          <w:color w:val="000000"/>
          <w:szCs w:val="20"/>
        </w:rPr>
        <w:t>, incentives, and information</w:t>
      </w:r>
      <w:r w:rsidRPr="00E01DE0">
        <w:rPr>
          <w:color w:val="000000"/>
          <w:szCs w:val="20"/>
        </w:rPr>
        <w:t xml:space="preserve"> to help their business customers make energy efficiency improvements at their facilities?</w:t>
      </w:r>
    </w:p>
    <w:p w14:paraId="5A7AF4C7" w14:textId="77777777" w:rsidR="00D34C6E" w:rsidRDefault="00D34C6E" w:rsidP="00D34C6E">
      <w:pPr>
        <w:pStyle w:val="ListParagraph"/>
        <w:widowControl/>
        <w:numPr>
          <w:ilvl w:val="0"/>
          <w:numId w:val="52"/>
        </w:numPr>
        <w:ind w:right="14"/>
        <w:contextualSpacing w:val="0"/>
        <w:rPr>
          <w:color w:val="000000"/>
          <w:szCs w:val="20"/>
        </w:rPr>
      </w:pPr>
      <w:r w:rsidRPr="00E01DE0">
        <w:rPr>
          <w:color w:val="000000"/>
          <w:szCs w:val="20"/>
        </w:rPr>
        <w:t>&lt;</w:t>
      </w:r>
      <w:r>
        <w:rPr>
          <w:color w:val="000000"/>
          <w:szCs w:val="20"/>
        </w:rPr>
        <w:t>PROGRAM ADMINISTRATOR</w:t>
      </w:r>
      <w:r w:rsidRPr="00E01DE0">
        <w:rPr>
          <w:color w:val="000000"/>
          <w:szCs w:val="20"/>
        </w:rPr>
        <w:t>&gt;</w:t>
      </w:r>
      <w:r>
        <w:rPr>
          <w:color w:val="000000"/>
          <w:szCs w:val="20"/>
        </w:rPr>
        <w:t xml:space="preserve"> </w:t>
      </w:r>
      <w:r w:rsidRPr="00E01DE0">
        <w:rPr>
          <w:color w:val="000000"/>
          <w:szCs w:val="20"/>
        </w:rPr>
        <w:t>offer</w:t>
      </w:r>
      <w:r>
        <w:rPr>
          <w:color w:val="000000"/>
          <w:szCs w:val="20"/>
        </w:rPr>
        <w:t>s</w:t>
      </w:r>
      <w:r w:rsidRPr="00E01DE0">
        <w:rPr>
          <w:color w:val="000000"/>
          <w:szCs w:val="20"/>
        </w:rPr>
        <w:t xml:space="preserve"> incentives for energy efficient equipment upgrades and improvements</w:t>
      </w:r>
      <w:r>
        <w:rPr>
          <w:color w:val="000000"/>
          <w:szCs w:val="20"/>
        </w:rPr>
        <w:t xml:space="preserve"> through its</w:t>
      </w:r>
      <w:r w:rsidRPr="00E01DE0">
        <w:rPr>
          <w:color w:val="000000"/>
          <w:szCs w:val="20"/>
        </w:rPr>
        <w:t xml:space="preserve"> &lt;PORTFOLIO NAME&gt; </w:t>
      </w:r>
      <w:r>
        <w:rPr>
          <w:color w:val="000000"/>
          <w:szCs w:val="20"/>
        </w:rPr>
        <w:t>programs. Before installing these measures, had you heard about the &lt;PORTFOLIO NAME&gt; programs?</w:t>
      </w:r>
    </w:p>
    <w:p w14:paraId="3A0D6350" w14:textId="77777777" w:rsidR="00D34C6E" w:rsidRDefault="00D34C6E" w:rsidP="00D34C6E">
      <w:r>
        <w:t>If the answer to either question is “yes”, then the threshold condition is met.</w:t>
      </w:r>
    </w:p>
    <w:p w14:paraId="2EA7D8EB" w14:textId="77777777" w:rsidR="00D34C6E" w:rsidRPr="00F13118" w:rsidRDefault="00D34C6E" w:rsidP="00D34C6E">
      <w:r w:rsidRPr="00BB489F">
        <w:rPr>
          <w:b/>
        </w:rPr>
        <w:t xml:space="preserve">Measure Description. </w:t>
      </w:r>
      <w:r w:rsidRPr="00F13118">
        <w:t>The interview (either the initial interview or a separate in-depth follow-up interview) can be used to determine the following basic attributes (as applicable) required to support a credible estimate of savings:</w:t>
      </w:r>
    </w:p>
    <w:p w14:paraId="78397593" w14:textId="77777777" w:rsidR="00D34C6E" w:rsidRPr="00F13118" w:rsidRDefault="00D34C6E" w:rsidP="00D34C6E">
      <w:pPr>
        <w:pStyle w:val="ListParagraph"/>
        <w:numPr>
          <w:ilvl w:val="0"/>
          <w:numId w:val="50"/>
        </w:numPr>
        <w:spacing w:after="60"/>
      </w:pPr>
      <w:r w:rsidRPr="00F13118">
        <w:t>Type</w:t>
      </w:r>
    </w:p>
    <w:p w14:paraId="4F60902C" w14:textId="77777777" w:rsidR="00D34C6E" w:rsidRPr="00F13118" w:rsidRDefault="00D34C6E" w:rsidP="00D34C6E">
      <w:pPr>
        <w:pStyle w:val="ListParagraph"/>
        <w:numPr>
          <w:ilvl w:val="0"/>
          <w:numId w:val="50"/>
        </w:numPr>
        <w:spacing w:after="60"/>
      </w:pPr>
      <w:r w:rsidRPr="00F13118">
        <w:t>Efficiency</w:t>
      </w:r>
    </w:p>
    <w:p w14:paraId="4687C6EB" w14:textId="77777777" w:rsidR="00D34C6E" w:rsidRPr="00F13118" w:rsidRDefault="00D34C6E" w:rsidP="00D34C6E">
      <w:pPr>
        <w:pStyle w:val="ListParagraph"/>
        <w:numPr>
          <w:ilvl w:val="0"/>
          <w:numId w:val="50"/>
        </w:numPr>
        <w:spacing w:after="60"/>
      </w:pPr>
      <w:r w:rsidRPr="00F13118">
        <w:t>Size</w:t>
      </w:r>
    </w:p>
    <w:p w14:paraId="61E70487" w14:textId="77777777" w:rsidR="00D34C6E" w:rsidRDefault="00D34C6E" w:rsidP="00D34C6E">
      <w:pPr>
        <w:pStyle w:val="ListParagraph"/>
        <w:numPr>
          <w:ilvl w:val="0"/>
          <w:numId w:val="50"/>
        </w:numPr>
      </w:pPr>
      <w:r w:rsidRPr="00F13118">
        <w:t>Other attributes</w:t>
      </w:r>
    </w:p>
    <w:p w14:paraId="76A5A31B" w14:textId="77777777" w:rsidR="00D34C6E" w:rsidRPr="00F13118" w:rsidRDefault="00D34C6E" w:rsidP="00D34C6E">
      <w:r>
        <w:t xml:space="preserve">The named measure(s) must represent equipment that is more energy efficient than either: (1) equipment required by codes or standards; (2) industry-standard practice for certain types of equipment; or (3) for Custom measures, the minimum efficiency equipment available to meet the customer’s requirements. </w:t>
      </w:r>
      <w:r w:rsidRPr="00144C0F">
        <w:t xml:space="preserve">For detailed example questions designed to </w:t>
      </w:r>
      <w:r>
        <w:t>collect engineering information required to</w:t>
      </w:r>
      <w:r w:rsidRPr="00144C0F">
        <w:t xml:space="preserve"> estimate </w:t>
      </w:r>
      <w:r>
        <w:t xml:space="preserve">spillover </w:t>
      </w:r>
      <w:r w:rsidRPr="00144C0F">
        <w:t xml:space="preserve">savings for </w:t>
      </w:r>
      <w:r>
        <w:t xml:space="preserve">a variety of </w:t>
      </w:r>
      <w:r w:rsidRPr="00144C0F">
        <w:t xml:space="preserve">measures, see </w:t>
      </w:r>
      <w:hyperlink r:id="rId50" w:history="1">
        <w:r w:rsidRPr="000E4CEE">
          <w:rPr>
            <w:rStyle w:val="Hyperlink"/>
          </w:rPr>
          <w:t>http://www.ilsag.info/il_ntg_methods.html</w:t>
        </w:r>
      </w:hyperlink>
      <w:r>
        <w:t>.</w:t>
      </w:r>
    </w:p>
    <w:p w14:paraId="4B6F2A82" w14:textId="77777777" w:rsidR="00D34C6E" w:rsidRPr="00F13118" w:rsidRDefault="00D34C6E" w:rsidP="00D34C6E">
      <w:r w:rsidRPr="00BB489F">
        <w:rPr>
          <w:b/>
        </w:rPr>
        <w:t xml:space="preserve">Attribution. </w:t>
      </w:r>
      <w:r w:rsidRPr="00F13118">
        <w:t>The following questions are suggested to assess attribution</w:t>
      </w:r>
      <w:r>
        <w:t>. These questions should be asked separately for each potential spillover measure:</w:t>
      </w:r>
    </w:p>
    <w:p w14:paraId="02BEA60E" w14:textId="77777777" w:rsidR="00D34C6E" w:rsidRDefault="00D34C6E" w:rsidP="00D34C6E">
      <w:pPr>
        <w:pStyle w:val="ListParagraph"/>
        <w:widowControl/>
        <w:numPr>
          <w:ilvl w:val="0"/>
          <w:numId w:val="53"/>
        </w:numPr>
        <w:spacing w:after="60"/>
        <w:ind w:right="12"/>
        <w:rPr>
          <w:color w:val="000000"/>
          <w:szCs w:val="20"/>
        </w:rPr>
      </w:pPr>
      <w:r w:rsidRPr="004977DA">
        <w:rPr>
          <w:color w:val="000000"/>
          <w:szCs w:val="20"/>
        </w:rPr>
        <w:t xml:space="preserve">Earlier you mentioned that you </w:t>
      </w:r>
      <w:r>
        <w:rPr>
          <w:color w:val="000000"/>
          <w:szCs w:val="20"/>
        </w:rPr>
        <w:t>knew</w:t>
      </w:r>
      <w:r w:rsidRPr="004977DA">
        <w:rPr>
          <w:color w:val="000000"/>
          <w:szCs w:val="20"/>
        </w:rPr>
        <w:t xml:space="preserve"> that &lt;</w:t>
      </w:r>
      <w:r>
        <w:rPr>
          <w:color w:val="000000"/>
          <w:szCs w:val="20"/>
        </w:rPr>
        <w:t>PROGRAM ADMINISTRATOR</w:t>
      </w:r>
      <w:r w:rsidRPr="004977DA">
        <w:rPr>
          <w:color w:val="000000"/>
          <w:szCs w:val="20"/>
        </w:rPr>
        <w:t xml:space="preserve">&gt; offers </w:t>
      </w:r>
      <w:r>
        <w:rPr>
          <w:color w:val="000000"/>
          <w:szCs w:val="20"/>
        </w:rPr>
        <w:t>incentives</w:t>
      </w:r>
      <w:r w:rsidRPr="004977DA">
        <w:rPr>
          <w:color w:val="000000"/>
          <w:szCs w:val="20"/>
        </w:rPr>
        <w:t xml:space="preserve"> to customers for installing energy efficient equipment, and also provides information to customers to help them reduc</w:t>
      </w:r>
      <w:r w:rsidRPr="00066ECA">
        <w:rPr>
          <w:color w:val="000000"/>
          <w:szCs w:val="20"/>
        </w:rPr>
        <w:t xml:space="preserve">e their energy usage. Thinking about all of the reasons you chose to </w:t>
      </w:r>
      <w:r w:rsidRPr="007971D1">
        <w:rPr>
          <w:color w:val="000000"/>
          <w:szCs w:val="20"/>
        </w:rPr>
        <w:t xml:space="preserve">install the </w:t>
      </w:r>
      <w:r w:rsidRPr="00CC37A7">
        <w:rPr>
          <w:color w:val="000000"/>
          <w:szCs w:val="20"/>
        </w:rPr>
        <w:t xml:space="preserve">energy efficient &lt;MEASURE&gt;, did your </w:t>
      </w:r>
      <w:r>
        <w:rPr>
          <w:color w:val="000000"/>
          <w:szCs w:val="20"/>
        </w:rPr>
        <w:t>knowledge</w:t>
      </w:r>
      <w:r w:rsidRPr="00CC37A7">
        <w:rPr>
          <w:color w:val="000000"/>
          <w:szCs w:val="20"/>
        </w:rPr>
        <w:t xml:space="preserve"> of these </w:t>
      </w:r>
      <w:r>
        <w:rPr>
          <w:color w:val="000000"/>
          <w:szCs w:val="20"/>
        </w:rPr>
        <w:t>incentives</w:t>
      </w:r>
      <w:r w:rsidRPr="00CC37A7">
        <w:rPr>
          <w:color w:val="000000"/>
          <w:szCs w:val="20"/>
        </w:rPr>
        <w:t xml:space="preserve"> and information available through </w:t>
      </w:r>
      <w:r w:rsidRPr="005265DA">
        <w:rPr>
          <w:color w:val="000000"/>
          <w:szCs w:val="20"/>
        </w:rPr>
        <w:t>&lt;</w:t>
      </w:r>
      <w:r>
        <w:rPr>
          <w:color w:val="000000"/>
          <w:szCs w:val="20"/>
        </w:rPr>
        <w:t>PROGRAM ADMINISTRATOR</w:t>
      </w:r>
      <w:r w:rsidRPr="005265DA">
        <w:rPr>
          <w:color w:val="000000"/>
          <w:szCs w:val="20"/>
        </w:rPr>
        <w:t>&gt; have ANY INFLUENCE on your decision to install &lt;MEASURE&gt;?</w:t>
      </w:r>
    </w:p>
    <w:p w14:paraId="66F51EFB" w14:textId="77777777" w:rsidR="00D34C6E" w:rsidRPr="000214E1" w:rsidRDefault="00D34C6E" w:rsidP="00D34C6E">
      <w:pPr>
        <w:widowControl/>
        <w:ind w:left="360" w:right="12"/>
        <w:rPr>
          <w:color w:val="000000"/>
          <w:szCs w:val="20"/>
          <w:u w:val="single"/>
        </w:rPr>
      </w:pPr>
      <w:r w:rsidRPr="000214E1">
        <w:rPr>
          <w:color w:val="000000"/>
          <w:szCs w:val="20"/>
          <w:u w:val="single"/>
        </w:rPr>
        <w:t>ASK IF Q1=YES</w:t>
      </w:r>
    </w:p>
    <w:p w14:paraId="64B2705B" w14:textId="77777777" w:rsidR="00D34C6E" w:rsidRPr="000214E1" w:rsidRDefault="00D34C6E" w:rsidP="00D34C6E">
      <w:pPr>
        <w:pStyle w:val="ListParagraph"/>
        <w:widowControl/>
        <w:numPr>
          <w:ilvl w:val="0"/>
          <w:numId w:val="53"/>
        </w:numPr>
        <w:spacing w:after="60"/>
        <w:ind w:right="14"/>
        <w:contextualSpacing w:val="0"/>
        <w:rPr>
          <w:color w:val="000000"/>
          <w:szCs w:val="20"/>
        </w:rPr>
      </w:pPr>
      <w:r w:rsidRPr="00066ECA">
        <w:t>Using a scale of 0 to 10</w:t>
      </w:r>
      <w:r w:rsidRPr="00AD4428">
        <w:t xml:space="preserve">, </w:t>
      </w:r>
      <w:r w:rsidRPr="00EF094A">
        <w:t>where 0 is not at all influential and 10 is extremely influential</w:t>
      </w:r>
      <w:r w:rsidRPr="00AD4428">
        <w:t>,</w:t>
      </w:r>
      <w:r w:rsidRPr="00066ECA">
        <w:t xml:space="preserve"> how much influence did your knowledge of the </w:t>
      </w:r>
      <w:r>
        <w:t>incentive</w:t>
      </w:r>
      <w:r w:rsidRPr="00066ECA">
        <w:t>s and information &lt;</w:t>
      </w:r>
      <w:r>
        <w:t>PROGRAM ADMINISTRATOR</w:t>
      </w:r>
      <w:r w:rsidRPr="00066ECA">
        <w:t xml:space="preserve">&gt; offers have on your decision to install your energy efficient &lt;MEASURE&gt;? </w:t>
      </w:r>
    </w:p>
    <w:p w14:paraId="2C8D367D" w14:textId="77777777" w:rsidR="00D34C6E" w:rsidRPr="00760812" w:rsidRDefault="00D34C6E" w:rsidP="00D34C6E">
      <w:pPr>
        <w:pStyle w:val="ListParagraph"/>
        <w:widowControl/>
        <w:numPr>
          <w:ilvl w:val="0"/>
          <w:numId w:val="53"/>
        </w:numPr>
        <w:ind w:right="14"/>
        <w:contextualSpacing w:val="0"/>
        <w:rPr>
          <w:u w:val="single"/>
        </w:rPr>
      </w:pPr>
      <w:r w:rsidRPr="007971D1">
        <w:rPr>
          <w:color w:val="000000"/>
          <w:szCs w:val="20"/>
        </w:rPr>
        <w:t xml:space="preserve">Just to make sure that we understand you correctly, please answer the following hypothetical question. </w:t>
      </w:r>
      <w:r>
        <w:rPr>
          <w:color w:val="000000"/>
          <w:szCs w:val="20"/>
        </w:rPr>
        <w:t xml:space="preserve">If you </w:t>
      </w:r>
      <w:r w:rsidRPr="007971D1">
        <w:rPr>
          <w:color w:val="000000"/>
          <w:szCs w:val="20"/>
        </w:rPr>
        <w:t xml:space="preserve">had you NOT </w:t>
      </w:r>
      <w:r>
        <w:rPr>
          <w:color w:val="000000"/>
          <w:szCs w:val="20"/>
        </w:rPr>
        <w:t>known about the incentives and information &lt;PROGRAM ADMINISTRATOR</w:t>
      </w:r>
      <w:r w:rsidRPr="007971D1">
        <w:rPr>
          <w:color w:val="000000"/>
          <w:szCs w:val="20"/>
        </w:rPr>
        <w:t>&gt;</w:t>
      </w:r>
      <w:r>
        <w:rPr>
          <w:color w:val="000000"/>
          <w:szCs w:val="20"/>
        </w:rPr>
        <w:t xml:space="preserve"> offers,</w:t>
      </w:r>
      <w:r w:rsidRPr="007971D1">
        <w:rPr>
          <w:color w:val="000000"/>
          <w:szCs w:val="20"/>
        </w:rPr>
        <w:t xml:space="preserve"> </w:t>
      </w:r>
      <w:r>
        <w:rPr>
          <w:color w:val="000000"/>
          <w:szCs w:val="20"/>
        </w:rPr>
        <w:t>w</w:t>
      </w:r>
      <w:r w:rsidRPr="007971D1">
        <w:rPr>
          <w:color w:val="000000"/>
          <w:szCs w:val="20"/>
        </w:rPr>
        <w:t>ould you still have installed your energy efficient &lt;MEASURE&gt;</w:t>
      </w:r>
      <w:r>
        <w:rPr>
          <w:color w:val="000000"/>
          <w:szCs w:val="20"/>
        </w:rPr>
        <w:t xml:space="preserve">? </w:t>
      </w:r>
      <w:r w:rsidRPr="007971D1">
        <w:rPr>
          <w:color w:val="000000"/>
          <w:szCs w:val="20"/>
        </w:rPr>
        <w:t xml:space="preserve"> Please use a </w:t>
      </w:r>
      <w:r>
        <w:rPr>
          <w:color w:val="000000"/>
          <w:szCs w:val="20"/>
        </w:rPr>
        <w:t xml:space="preserve">scale of </w:t>
      </w:r>
      <w:r w:rsidRPr="007971D1">
        <w:rPr>
          <w:color w:val="000000"/>
          <w:szCs w:val="20"/>
        </w:rPr>
        <w:t>0 to 10</w:t>
      </w:r>
      <w:r>
        <w:rPr>
          <w:color w:val="000000"/>
          <w:szCs w:val="20"/>
        </w:rPr>
        <w:t>,</w:t>
      </w:r>
      <w:r w:rsidRPr="007971D1">
        <w:rPr>
          <w:color w:val="000000"/>
          <w:szCs w:val="20"/>
        </w:rPr>
        <w:t xml:space="preserve"> where 0 means you definitely WOULD NOT have installed your energy efficient &lt;MEASURE&gt; and 10 means you definitely WOULD have done so.</w:t>
      </w:r>
    </w:p>
    <w:p w14:paraId="407034AC" w14:textId="77777777" w:rsidR="00D34C6E" w:rsidRPr="00B943C5" w:rsidRDefault="00D34C6E" w:rsidP="00D34C6E">
      <w:r w:rsidRPr="0002498E">
        <w:rPr>
          <w:b/>
        </w:rPr>
        <w:t>Consistency Checks</w:t>
      </w:r>
    </w:p>
    <w:p w14:paraId="2BA18D77" w14:textId="069F5B3E" w:rsidR="00D34C6E" w:rsidRDefault="00D34C6E" w:rsidP="00D34C6E">
      <w:pPr>
        <w:rPr>
          <w:color w:val="000000"/>
          <w:szCs w:val="20"/>
          <w:u w:val="single"/>
        </w:rPr>
      </w:pPr>
      <w:r>
        <w:t xml:space="preserve">Respondents may be asked one or more questions to facilitate understanding and potentially reconcile apparently inconsistent responses.  Evaluators should report on the amount of inconsistency encountered </w:t>
      </w:r>
      <w:r w:rsidR="00143DB8">
        <w:t>and, on the resolution,</w:t>
      </w:r>
      <w:r>
        <w:t xml:space="preserve"> to inform future protocol revisions. </w:t>
      </w:r>
    </w:p>
    <w:p w14:paraId="6FBCE60B" w14:textId="77777777" w:rsidR="00D34C6E" w:rsidRPr="008A261C" w:rsidRDefault="00D34C6E" w:rsidP="00D34C6E">
      <w:pPr>
        <w:widowControl/>
        <w:ind w:left="360" w:right="12"/>
        <w:rPr>
          <w:color w:val="000000"/>
          <w:szCs w:val="20"/>
          <w:u w:val="single"/>
        </w:rPr>
      </w:pPr>
      <w:r w:rsidRPr="008A261C">
        <w:rPr>
          <w:color w:val="000000"/>
          <w:szCs w:val="20"/>
          <w:u w:val="single"/>
        </w:rPr>
        <w:t>ASK IF Q2&gt;</w:t>
      </w:r>
      <w:r>
        <w:rPr>
          <w:color w:val="000000"/>
          <w:szCs w:val="20"/>
          <w:u w:val="single"/>
        </w:rPr>
        <w:t>7</w:t>
      </w:r>
      <w:r w:rsidRPr="008A261C">
        <w:rPr>
          <w:color w:val="000000"/>
          <w:szCs w:val="20"/>
          <w:u w:val="single"/>
        </w:rPr>
        <w:t xml:space="preserve"> </w:t>
      </w:r>
      <w:r>
        <w:rPr>
          <w:color w:val="000000"/>
          <w:szCs w:val="20"/>
          <w:u w:val="single"/>
        </w:rPr>
        <w:t>AND</w:t>
      </w:r>
      <w:r w:rsidRPr="008A261C">
        <w:rPr>
          <w:color w:val="000000"/>
          <w:szCs w:val="20"/>
          <w:u w:val="single"/>
        </w:rPr>
        <w:t xml:space="preserve"> Q3</w:t>
      </w:r>
      <w:r>
        <w:rPr>
          <w:color w:val="000000"/>
          <w:szCs w:val="20"/>
          <w:u w:val="single"/>
        </w:rPr>
        <w:t xml:space="preserve">&gt;7 OR </w:t>
      </w:r>
      <w:r>
        <w:rPr>
          <w:color w:val="000000"/>
          <w:szCs w:val="20"/>
        </w:rPr>
        <w:t>Q2&lt;3 AND Q3&lt;3</w:t>
      </w:r>
    </w:p>
    <w:p w14:paraId="3CD22FB4" w14:textId="77777777" w:rsidR="00D34C6E" w:rsidRDefault="00D34C6E" w:rsidP="00D34C6E">
      <w:pPr>
        <w:pStyle w:val="ListParagraph"/>
        <w:widowControl/>
        <w:numPr>
          <w:ilvl w:val="0"/>
          <w:numId w:val="53"/>
        </w:numPr>
        <w:spacing w:after="60"/>
        <w:ind w:right="12"/>
        <w:rPr>
          <w:color w:val="000000"/>
          <w:szCs w:val="20"/>
        </w:rPr>
      </w:pPr>
      <w:r>
        <w:rPr>
          <w:color w:val="000000"/>
          <w:szCs w:val="20"/>
        </w:rPr>
        <w:lastRenderedPageBreak/>
        <w:t>In your own words, c</w:t>
      </w:r>
      <w:r w:rsidRPr="00A50F49">
        <w:rPr>
          <w:color w:val="000000"/>
          <w:szCs w:val="20"/>
        </w:rPr>
        <w:t xml:space="preserve">an you explain HOW your knowledge of the </w:t>
      </w:r>
      <w:r>
        <w:rPr>
          <w:color w:val="000000"/>
          <w:szCs w:val="20"/>
        </w:rPr>
        <w:t>incentive</w:t>
      </w:r>
      <w:r w:rsidRPr="00A50F49">
        <w:rPr>
          <w:color w:val="000000"/>
          <w:szCs w:val="20"/>
        </w:rPr>
        <w:t xml:space="preserve">s and information </w:t>
      </w:r>
      <w:r>
        <w:rPr>
          <w:color w:val="000000"/>
          <w:szCs w:val="20"/>
        </w:rPr>
        <w:t xml:space="preserve">&lt;PROGRAM ADMINISTRATOR&gt; </w:t>
      </w:r>
      <w:r w:rsidRPr="00A50F49">
        <w:rPr>
          <w:color w:val="000000"/>
          <w:szCs w:val="20"/>
        </w:rPr>
        <w:t>offers influenced your decision to purchase or install your energy efficient &lt;MEASURE&gt;?</w:t>
      </w:r>
    </w:p>
    <w:p w14:paraId="667CE208" w14:textId="77777777" w:rsidR="00D34C6E" w:rsidRPr="002F5FEF" w:rsidRDefault="00D34C6E" w:rsidP="00D34C6E">
      <w:pPr>
        <w:pStyle w:val="HeaderIL"/>
        <w:pBdr>
          <w:bottom w:val="none" w:sz="0" w:space="0" w:color="auto"/>
        </w:pBdr>
        <w:jc w:val="both"/>
        <w:rPr>
          <w:rFonts w:eastAsia="Calibri"/>
        </w:rPr>
      </w:pPr>
      <w:r w:rsidRPr="002F5FEF">
        <w:rPr>
          <w:rFonts w:eastAsia="Calibri" w:cs="Calibri"/>
          <w:szCs w:val="20"/>
        </w:rPr>
        <w:t xml:space="preserve">The evaluation analyst will assess the response to this </w:t>
      </w:r>
      <w:proofErr w:type="gramStart"/>
      <w:r w:rsidRPr="002F5FEF">
        <w:rPr>
          <w:rFonts w:eastAsia="Calibri" w:cs="Calibri"/>
          <w:szCs w:val="20"/>
        </w:rPr>
        <w:t>open ended</w:t>
      </w:r>
      <w:proofErr w:type="gramEnd"/>
      <w:r w:rsidRPr="002F5FEF">
        <w:rPr>
          <w:rFonts w:eastAsia="Calibri" w:cs="Calibri"/>
          <w:szCs w:val="20"/>
        </w:rPr>
        <w:t xml:space="preserve"> question and its consistency with the other questions, and, if warranted based on clear additional information, they will adjust the score based on expert judgment. If an inconsistency exists and the open-ended response does not resolve the inconsistency, the</w:t>
      </w:r>
      <w:r w:rsidRPr="002F5FEF">
        <w:rPr>
          <w:rFonts w:eastAsia="Calibri"/>
        </w:rPr>
        <w:t xml:space="preserve"> respondent will be removed from the calculation. All instances of this occurring should be documented in the final report. Additional consistency checks, triggered and resolved within the survey with additional questions to participants, remain optional.</w:t>
      </w:r>
    </w:p>
    <w:p w14:paraId="5FF83E59" w14:textId="77777777" w:rsidR="00D34C6E" w:rsidRDefault="00D34C6E" w:rsidP="00D34C6E">
      <w:pPr>
        <w:rPr>
          <w:b/>
        </w:rPr>
      </w:pPr>
      <w:r w:rsidRPr="00BB489F">
        <w:rPr>
          <w:b/>
        </w:rPr>
        <w:t xml:space="preserve">Nonparticipant End User Spillover Algorithm. </w:t>
      </w:r>
      <w:r w:rsidRPr="00A31C38">
        <w:t xml:space="preserve">The response to </w:t>
      </w:r>
      <w:r w:rsidRPr="004E5871">
        <w:t xml:space="preserve">question </w:t>
      </w:r>
      <w:r>
        <w:t xml:space="preserve">#2 </w:t>
      </w:r>
      <w:r w:rsidRPr="004E5871">
        <w:t xml:space="preserve">cited above is “Measure Attribution Score 1,” and the response to </w:t>
      </w:r>
      <w:r>
        <w:t>question #3</w:t>
      </w:r>
      <w:r w:rsidRPr="004E5871">
        <w:t xml:space="preserve"> cited above is “Measure Attribution Score 2.” </w:t>
      </w:r>
    </w:p>
    <w:p w14:paraId="517CB652" w14:textId="77777777" w:rsidR="00D34C6E" w:rsidRDefault="00D34C6E" w:rsidP="00D34C6E">
      <w:r>
        <w:t>There are two methods by which the attribution may be calculated:</w:t>
      </w:r>
    </w:p>
    <w:p w14:paraId="386B4766" w14:textId="77777777" w:rsidR="00D34C6E" w:rsidRPr="00A44F97" w:rsidRDefault="00D34C6E" w:rsidP="00D34C6E">
      <w:pPr>
        <w:pStyle w:val="ListParagraph"/>
        <w:numPr>
          <w:ilvl w:val="0"/>
          <w:numId w:val="54"/>
        </w:numPr>
        <w:spacing w:after="60"/>
        <w:contextualSpacing w:val="0"/>
        <w:rPr>
          <w:szCs w:val="20"/>
        </w:rPr>
      </w:pPr>
      <w:r>
        <w:t>Provided that the open-ended responses do not contradict influence of the Program Administrator, s</w:t>
      </w:r>
      <w:r w:rsidRPr="0001481C">
        <w:rPr>
          <w:szCs w:val="20"/>
        </w:rPr>
        <w:t xml:space="preserve">pillover is considered to be attributable to the </w:t>
      </w:r>
      <w:r>
        <w:rPr>
          <w:szCs w:val="20"/>
        </w:rPr>
        <w:t xml:space="preserve">Program Administrator </w:t>
      </w:r>
      <w:r w:rsidRPr="0001481C">
        <w:rPr>
          <w:szCs w:val="20"/>
        </w:rPr>
        <w:t>if the average of the Measure Attribution Score 1 and (10 – Measure Attribution Score 2) exceeds 5.0</w:t>
      </w:r>
      <w:r>
        <w:rPr>
          <w:rStyle w:val="FootnoteReference"/>
          <w:szCs w:val="20"/>
        </w:rPr>
        <w:footnoteReference w:id="70"/>
      </w:r>
      <w:r w:rsidRPr="0001481C">
        <w:rPr>
          <w:szCs w:val="20"/>
        </w:rPr>
        <w:t xml:space="preserve">; either the Measure Attribution Score 1 or (10 – Measure Attribution Score 2) could be below 5.0—as long as the average is greater than 5.0, the threshold is met.  If the average is greater than 5.0, 100% of the </w:t>
      </w:r>
      <w:r>
        <w:rPr>
          <w:szCs w:val="20"/>
        </w:rPr>
        <w:t>measure energy</w:t>
      </w:r>
      <w:r w:rsidRPr="0001481C">
        <w:rPr>
          <w:szCs w:val="20"/>
        </w:rPr>
        <w:t xml:space="preserve"> savings referenced in the question are considered to be attributable to the </w:t>
      </w:r>
      <w:r>
        <w:rPr>
          <w:szCs w:val="20"/>
        </w:rPr>
        <w:t>Program Administrator</w:t>
      </w:r>
      <w:r w:rsidRPr="0001481C">
        <w:rPr>
          <w:szCs w:val="20"/>
        </w:rPr>
        <w:t xml:space="preserve">. If the average is not greater than 5.0, none of the </w:t>
      </w:r>
      <w:r>
        <w:rPr>
          <w:szCs w:val="20"/>
        </w:rPr>
        <w:t>measure energy</w:t>
      </w:r>
      <w:r w:rsidRPr="0001481C">
        <w:rPr>
          <w:szCs w:val="20"/>
        </w:rPr>
        <w:t xml:space="preserve"> savings are considered to be attributable to the </w:t>
      </w:r>
      <w:r>
        <w:rPr>
          <w:szCs w:val="20"/>
        </w:rPr>
        <w:t>Program Administrator</w:t>
      </w:r>
      <w:r w:rsidRPr="0001481C">
        <w:rPr>
          <w:szCs w:val="20"/>
        </w:rPr>
        <w:t xml:space="preserve">. </w:t>
      </w:r>
    </w:p>
    <w:p w14:paraId="069EE535" w14:textId="77777777" w:rsidR="00D34C6E" w:rsidRPr="00F13118" w:rsidRDefault="00D34C6E" w:rsidP="00D34C6E">
      <w:pPr>
        <w:pStyle w:val="ListParagraph"/>
        <w:numPr>
          <w:ilvl w:val="0"/>
          <w:numId w:val="54"/>
        </w:numPr>
        <w:contextualSpacing w:val="0"/>
      </w:pPr>
      <w:r>
        <w:t xml:space="preserve">Provided that the open-ended responses do not contradict influence of the Program Administrator, the attribution rate is calculated as equal to </w:t>
      </w:r>
      <w:r w:rsidRPr="0001481C">
        <w:rPr>
          <w:szCs w:val="20"/>
        </w:rPr>
        <w:t xml:space="preserve">the </w:t>
      </w:r>
      <w:r>
        <w:rPr>
          <w:szCs w:val="20"/>
        </w:rPr>
        <w:t xml:space="preserve">sum </w:t>
      </w:r>
      <w:r w:rsidRPr="0001481C">
        <w:rPr>
          <w:szCs w:val="20"/>
        </w:rPr>
        <w:t>of Measure Attribution Score 1 and (10 – Measure Attribution Score 2)</w:t>
      </w:r>
      <w:r>
        <w:rPr>
          <w:szCs w:val="20"/>
        </w:rPr>
        <w:t>, divided by 20</w:t>
      </w:r>
      <w:r w:rsidRPr="0001481C">
        <w:rPr>
          <w:szCs w:val="20"/>
        </w:rPr>
        <w:t xml:space="preserve">. For instance, if the </w:t>
      </w:r>
      <w:r>
        <w:rPr>
          <w:szCs w:val="20"/>
        </w:rPr>
        <w:t>attribution rate</w:t>
      </w:r>
      <w:r w:rsidRPr="0001481C">
        <w:rPr>
          <w:szCs w:val="20"/>
        </w:rPr>
        <w:t xml:space="preserve"> is </w:t>
      </w:r>
      <w:r>
        <w:rPr>
          <w:szCs w:val="20"/>
        </w:rPr>
        <w:t>0.3</w:t>
      </w:r>
      <w:r w:rsidRPr="0001481C">
        <w:rPr>
          <w:szCs w:val="20"/>
        </w:rPr>
        <w:t xml:space="preserve">, then </w:t>
      </w:r>
      <w:r>
        <w:rPr>
          <w:szCs w:val="20"/>
        </w:rPr>
        <w:t>3</w:t>
      </w:r>
      <w:r w:rsidRPr="0001481C">
        <w:rPr>
          <w:szCs w:val="20"/>
        </w:rPr>
        <w:t>0% of the measure energy savings referenced in the question are considered to be attributable to the</w:t>
      </w:r>
      <w:r>
        <w:rPr>
          <w:szCs w:val="20"/>
        </w:rPr>
        <w:t xml:space="preserve"> Program Administrator</w:t>
      </w:r>
      <w:r w:rsidRPr="0001481C">
        <w:rPr>
          <w:szCs w:val="20"/>
        </w:rPr>
        <w:t>.</w:t>
      </w:r>
    </w:p>
    <w:p w14:paraId="18CBCADE" w14:textId="77777777" w:rsidR="00D34C6E" w:rsidRPr="00F13118" w:rsidRDefault="00D34C6E" w:rsidP="00D34C6E">
      <w:r w:rsidRPr="00BB489F">
        <w:rPr>
          <w:b/>
        </w:rPr>
        <w:t xml:space="preserve">Calculation of Spillover Measure Energy Savings. </w:t>
      </w:r>
      <w:r w:rsidRPr="00F13118">
        <w:t xml:space="preserve">Energy savings of spillover measures shall be calculated in one of two ways. </w:t>
      </w:r>
    </w:p>
    <w:p w14:paraId="5D326B5B" w14:textId="77777777" w:rsidR="00D34C6E" w:rsidRPr="00F13118" w:rsidRDefault="00D34C6E" w:rsidP="00D34C6E">
      <w:pPr>
        <w:pStyle w:val="ListParagraph"/>
        <w:numPr>
          <w:ilvl w:val="0"/>
          <w:numId w:val="51"/>
        </w:numPr>
        <w:spacing w:after="60"/>
        <w:contextualSpacing w:val="0"/>
      </w:pPr>
      <w:r w:rsidRPr="00F13118">
        <w:t xml:space="preserve">Those addressed in the </w:t>
      </w:r>
      <w:r>
        <w:t>IL-</w:t>
      </w:r>
      <w:r w:rsidRPr="00F13118">
        <w:t xml:space="preserve">TRM shall be calculated in accordance with the methods and algorithms specified in the </w:t>
      </w:r>
      <w:r>
        <w:t>IL-</w:t>
      </w:r>
      <w:r w:rsidRPr="00F13118">
        <w:t xml:space="preserve">TRM, and shall reference the </w:t>
      </w:r>
      <w:r>
        <w:t>IL-</w:t>
      </w:r>
      <w:r w:rsidRPr="00F13118">
        <w:t xml:space="preserve">TRM-defined </w:t>
      </w:r>
      <w:r>
        <w:t>time-of-sale or new construction</w:t>
      </w:r>
      <w:r w:rsidRPr="009B67BF">
        <w:t xml:space="preserve"> baseline</w:t>
      </w:r>
      <w:r w:rsidRPr="00F13118">
        <w:t xml:space="preserve">. </w:t>
      </w:r>
    </w:p>
    <w:p w14:paraId="724D718D" w14:textId="77777777" w:rsidR="00D34C6E" w:rsidRPr="00F13118" w:rsidRDefault="00D34C6E" w:rsidP="00D34C6E">
      <w:pPr>
        <w:pStyle w:val="ListParagraph"/>
        <w:numPr>
          <w:ilvl w:val="0"/>
          <w:numId w:val="51"/>
        </w:numPr>
        <w:contextualSpacing w:val="0"/>
      </w:pPr>
      <w:r w:rsidRPr="00F13118">
        <w:t xml:space="preserve">For measures not addressed in the </w:t>
      </w:r>
      <w:r>
        <w:t>IL-</w:t>
      </w:r>
      <w:r w:rsidRPr="00F13118">
        <w:t>TRM, evaluators shall quantify savings using accepted industry-wide savings methods that conform to IPMVP and other industry protocols</w:t>
      </w:r>
      <w:r>
        <w:t xml:space="preserve"> and documents.</w:t>
      </w:r>
    </w:p>
    <w:p w14:paraId="200A12DB" w14:textId="77777777" w:rsidR="00D34C6E" w:rsidRPr="00F13118" w:rsidRDefault="00D34C6E" w:rsidP="00D34C6E">
      <w:r w:rsidRPr="00F13118">
        <w:t>Evaluators will make every effort to ensure that there is no double-counting of nonparticipant spillover energy savings across multiple sources of nonparticipant spillover reporting (such as nonparticipating customer and trade ally surveys)</w:t>
      </w:r>
      <w:r>
        <w:t xml:space="preserve"> and will document that effort</w:t>
      </w:r>
      <w:r w:rsidRPr="00F13118">
        <w:t xml:space="preserve">. </w:t>
      </w:r>
    </w:p>
    <w:p w14:paraId="3D820CF0" w14:textId="77777777" w:rsidR="00D34C6E" w:rsidRPr="00F13118" w:rsidRDefault="00D34C6E" w:rsidP="00D34C6E">
      <w:r w:rsidRPr="00F13118">
        <w:t xml:space="preserve">Measure implementation must have occurred within the last two years </w:t>
      </w:r>
      <w:r w:rsidRPr="009B67BF">
        <w:t xml:space="preserve">of the </w:t>
      </w:r>
      <w:r>
        <w:t>non</w:t>
      </w:r>
      <w:r w:rsidRPr="009B67BF">
        <w:t xml:space="preserve">participant spillover study data collection effort </w:t>
      </w:r>
      <w:r w:rsidRPr="00F13118">
        <w:t>in order to be countable as nonparticipant spillover.</w:t>
      </w:r>
    </w:p>
    <w:p w14:paraId="41372190" w14:textId="77777777" w:rsidR="00D34C6E" w:rsidRPr="00F13118" w:rsidRDefault="00D34C6E" w:rsidP="00D34C6E">
      <w:r w:rsidRPr="00F13118">
        <w:t>For the purposes of accounting for spillover savings attributable to</w:t>
      </w:r>
      <w:r>
        <w:t xml:space="preserve"> the Program Administrator</w:t>
      </w:r>
      <w:r w:rsidRPr="00F13118">
        <w:t>, spillover will only be quantified for measures implemented within the Program Administrator’s service territory.</w:t>
      </w:r>
    </w:p>
    <w:p w14:paraId="7B0F6B00" w14:textId="77777777" w:rsidR="00D34C6E" w:rsidRPr="00F13118" w:rsidRDefault="00D34C6E" w:rsidP="00D34C6E">
      <w:pPr>
        <w:pStyle w:val="Heading5"/>
        <w:numPr>
          <w:ilvl w:val="4"/>
          <w:numId w:val="8"/>
        </w:numPr>
      </w:pPr>
      <w:r w:rsidRPr="00F13118">
        <w:t>Reporting of Results</w:t>
      </w:r>
    </w:p>
    <w:p w14:paraId="1988C91A" w14:textId="77777777" w:rsidR="00D34C6E" w:rsidRDefault="00D34C6E" w:rsidP="00D34C6E">
      <w:r w:rsidRPr="009B67BF">
        <w:t xml:space="preserve">Evaluators will report the following information relating to </w:t>
      </w:r>
      <w:r>
        <w:t xml:space="preserve">nonparticipant </w:t>
      </w:r>
      <w:r w:rsidRPr="009B67BF">
        <w:t xml:space="preserve">spillover data collection and analysis in annual EM&amp;V reporting: 1) </w:t>
      </w:r>
      <w:r>
        <w:t xml:space="preserve">how the sample frame was defined, 2) </w:t>
      </w:r>
      <w:r w:rsidRPr="009B67BF">
        <w:t>the number of</w:t>
      </w:r>
      <w:r>
        <w:t xml:space="preserve"> customers</w:t>
      </w:r>
      <w:r w:rsidRPr="009B67BF">
        <w:t xml:space="preserve"> surveyed</w:t>
      </w:r>
      <w:r>
        <w:t>;</w:t>
      </w:r>
      <w:r w:rsidRPr="009B67BF">
        <w:t xml:space="preserve"> </w:t>
      </w:r>
      <w:r>
        <w:t>3</w:t>
      </w:r>
      <w:r w:rsidRPr="009B67BF">
        <w:t>) the number of survey respondents reporting spillover</w:t>
      </w:r>
      <w:r>
        <w:t>;</w:t>
      </w:r>
      <w:r w:rsidRPr="009B67BF">
        <w:t xml:space="preserve"> </w:t>
      </w:r>
      <w:r>
        <w:t>4</w:t>
      </w:r>
      <w:r w:rsidRPr="009B67BF">
        <w:t>) the number of survey respondents who meet the spillover attribution threshold</w:t>
      </w:r>
      <w:r>
        <w:t>;</w:t>
      </w:r>
      <w:r w:rsidRPr="009B67BF">
        <w:t xml:space="preserve"> </w:t>
      </w:r>
      <w:r>
        <w:t>5</w:t>
      </w:r>
      <w:r w:rsidRPr="009B67BF">
        <w:t>) the number of respondents for which spillover savings were actually quantified</w:t>
      </w:r>
      <w:r>
        <w:t>;</w:t>
      </w:r>
      <w:r w:rsidRPr="009B67BF">
        <w:t xml:space="preserve"> </w:t>
      </w:r>
      <w:r>
        <w:t>6</w:t>
      </w:r>
      <w:r w:rsidRPr="009B67BF">
        <w:t>) the spillover savings for each project and overall</w:t>
      </w:r>
      <w:r>
        <w:t>;</w:t>
      </w:r>
      <w:r w:rsidRPr="009B67BF">
        <w:t xml:space="preserve">  </w:t>
      </w:r>
      <w:r>
        <w:t>7</w:t>
      </w:r>
      <w:r w:rsidRPr="009B67BF">
        <w:t xml:space="preserve">) the </w:t>
      </w:r>
      <w:r>
        <w:t xml:space="preserve">nonparticipant </w:t>
      </w:r>
      <w:r w:rsidRPr="009B67BF">
        <w:t>spillover rate</w:t>
      </w:r>
      <w:r>
        <w:t>, and 8) the calculation of the weights used to extrapolate the spillover to the population of nonparticipants from which the sample was drawn</w:t>
      </w:r>
      <w:r w:rsidRPr="009B67BF">
        <w:t>.</w:t>
      </w:r>
      <w:r>
        <w:t xml:space="preserve"> </w:t>
      </w:r>
    </w:p>
    <w:p w14:paraId="2F97A5B7" w14:textId="77777777" w:rsidR="00D34C6E" w:rsidRDefault="00D34C6E" w:rsidP="00D34C6E">
      <w:r w:rsidRPr="005B6CB4">
        <w:t xml:space="preserve">The EM&amp;V report should also describe the means by which the </w:t>
      </w:r>
      <w:r>
        <w:t>non</w:t>
      </w:r>
      <w:r w:rsidRPr="005B6CB4">
        <w:t xml:space="preserve">participant spillover </w:t>
      </w:r>
      <w:r>
        <w:t xml:space="preserve">(NPSO) </w:t>
      </w:r>
      <w:r w:rsidRPr="005B6CB4">
        <w:t xml:space="preserve">rate is calculated. </w:t>
      </w:r>
      <w:r w:rsidRPr="004E5871">
        <w:lastRenderedPageBreak/>
        <w:t xml:space="preserve">For each sampled site, the verified spillover savings </w:t>
      </w:r>
      <w:r>
        <w:t>should be</w:t>
      </w:r>
      <w:r w:rsidRPr="004E5871">
        <w:t xml:space="preserve"> summed across measures to derive the total end user NPSO</w:t>
      </w:r>
      <w:r>
        <w:t xml:space="preserve"> for the sampled sites.</w:t>
      </w:r>
      <w:r>
        <w:rPr>
          <w:rStyle w:val="FootnoteReference"/>
        </w:rPr>
        <w:footnoteReference w:id="71"/>
      </w:r>
      <w:r w:rsidRPr="004E5871">
        <w:t xml:space="preserve"> The estimate of site-level end user NPSO for the entire sample </w:t>
      </w:r>
      <w:r>
        <w:t>is</w:t>
      </w:r>
      <w:r w:rsidRPr="004E5871">
        <w:t xml:space="preserve"> then extrapolated to the entire nonparticipant population using sampling weights.</w:t>
      </w:r>
    </w:p>
    <w:p w14:paraId="67BD2AF4" w14:textId="77777777" w:rsidR="00D34C6E" w:rsidRDefault="00D34C6E" w:rsidP="00D34C6E">
      <w:r>
        <w:t>There are two options for using the estimated NPSO.</w:t>
      </w:r>
    </w:p>
    <w:p w14:paraId="5F25CBCC" w14:textId="77777777" w:rsidR="00D34C6E" w:rsidRPr="00B922B0" w:rsidRDefault="00D34C6E" w:rsidP="00D34C6E">
      <w:pPr>
        <w:pStyle w:val="ListParagraph"/>
        <w:numPr>
          <w:ilvl w:val="0"/>
          <w:numId w:val="55"/>
        </w:numPr>
        <w:spacing w:after="60"/>
        <w:jc w:val="left"/>
      </w:pPr>
      <w:r>
        <w:t xml:space="preserve">Allocate the portfolio-level spillover savings </w:t>
      </w:r>
      <w:r w:rsidRPr="00B922B0">
        <w:rPr>
          <w:spacing w:val="-8"/>
          <w:w w:val="105"/>
          <w:szCs w:val="20"/>
        </w:rPr>
        <w:t xml:space="preserve">to individual programs in the portfolio based on each program’s share of the ex post gross savings. For each program, the spillover rate could </w:t>
      </w:r>
      <w:r>
        <w:rPr>
          <w:spacing w:val="-8"/>
          <w:w w:val="105"/>
          <w:szCs w:val="20"/>
        </w:rPr>
        <w:t xml:space="preserve">then </w:t>
      </w:r>
      <w:r w:rsidRPr="00B922B0">
        <w:rPr>
          <w:spacing w:val="-8"/>
          <w:w w:val="105"/>
          <w:szCs w:val="20"/>
        </w:rPr>
        <w:t xml:space="preserve">be calculated for each program using </w:t>
      </w:r>
      <w:r>
        <w:rPr>
          <w:spacing w:val="-8"/>
          <w:w w:val="105"/>
          <w:szCs w:val="20"/>
        </w:rPr>
        <w:t xml:space="preserve">the equation below </w:t>
      </w:r>
      <w:r w:rsidRPr="00B922B0">
        <w:rPr>
          <w:spacing w:val="-8"/>
          <w:w w:val="105"/>
          <w:szCs w:val="20"/>
        </w:rPr>
        <w:t xml:space="preserve">in which the spillover allocated </w:t>
      </w:r>
      <w:r>
        <w:rPr>
          <w:spacing w:val="-8"/>
          <w:w w:val="105"/>
          <w:szCs w:val="20"/>
        </w:rPr>
        <w:t xml:space="preserve">to </w:t>
      </w:r>
      <w:r w:rsidRPr="00B922B0">
        <w:rPr>
          <w:spacing w:val="-8"/>
          <w:w w:val="105"/>
          <w:szCs w:val="20"/>
        </w:rPr>
        <w:t xml:space="preserve">each program would be the numerator and the </w:t>
      </w:r>
      <w:proofErr w:type="gramStart"/>
      <w:r w:rsidRPr="00B922B0">
        <w:rPr>
          <w:spacing w:val="-8"/>
          <w:w w:val="105"/>
          <w:szCs w:val="20"/>
        </w:rPr>
        <w:t>ex post</w:t>
      </w:r>
      <w:proofErr w:type="gramEnd"/>
      <w:r w:rsidRPr="00B922B0">
        <w:rPr>
          <w:spacing w:val="-8"/>
          <w:w w:val="105"/>
          <w:szCs w:val="20"/>
        </w:rPr>
        <w:t xml:space="preserve"> program-specific gross savings would be</w:t>
      </w:r>
      <w:r w:rsidRPr="00852AA4">
        <w:rPr>
          <w:spacing w:val="-8"/>
          <w:w w:val="105"/>
          <w:szCs w:val="20"/>
        </w:rPr>
        <w:t xml:space="preserve"> the denominator.</w:t>
      </w:r>
    </w:p>
    <w:p w14:paraId="4808464C" w14:textId="77777777" w:rsidR="00D34C6E" w:rsidRPr="004E5871" w:rsidRDefault="00D34C6E" w:rsidP="00D34C6E">
      <w:pPr>
        <w:ind w:firstLine="720"/>
      </w:pPr>
      <m:oMath>
        <m:r>
          <w:rPr>
            <w:rFonts w:ascii="Cambria Math" w:hAnsi="Cambria Math"/>
          </w:rPr>
          <m:t>Program-Specific NPSO Rate=</m:t>
        </m:r>
        <m:f>
          <m:fPr>
            <m:ctrlPr>
              <w:rPr>
                <w:rFonts w:ascii="Cambria Math" w:hAnsi="Cambria Math"/>
              </w:rPr>
            </m:ctrlPr>
          </m:fPr>
          <m:num>
            <m:sSub>
              <m:sSubPr>
                <m:ctrlPr>
                  <w:rPr>
                    <w:rFonts w:ascii="Cambria Math" w:hAnsi="Cambria Math"/>
                    <w:i/>
                  </w:rPr>
                </m:ctrlPr>
              </m:sSubPr>
              <m:e>
                <m:r>
                  <w:rPr>
                    <w:rFonts w:ascii="Cambria Math" w:hAnsi="Cambria Math"/>
                  </w:rPr>
                  <m:t>NPSO</m:t>
                </m:r>
              </m:e>
              <m:sub>
                <m:r>
                  <w:rPr>
                    <w:rFonts w:ascii="Cambria Math" w:hAnsi="Cambria Math"/>
                  </w:rPr>
                  <m:t>Program-Specific</m:t>
                </m:r>
              </m:sub>
            </m:sSub>
          </m:num>
          <m:den>
            <m:sSub>
              <m:sSubPr>
                <m:ctrlPr>
                  <w:rPr>
                    <w:rFonts w:ascii="Cambria Math" w:hAnsi="Cambria Math"/>
                    <w:i/>
                  </w:rPr>
                </m:ctrlPr>
              </m:sSubPr>
              <m:e>
                <m:r>
                  <w:rPr>
                    <w:rFonts w:ascii="Cambria Math" w:hAnsi="Cambria Math"/>
                  </w:rPr>
                  <m:t>Ex Post Gross Impacts</m:t>
                </m:r>
              </m:e>
              <m:sub>
                <m:r>
                  <w:rPr>
                    <w:rFonts w:ascii="Cambria Math" w:hAnsi="Cambria Math"/>
                  </w:rPr>
                  <m:t>Program-Specific</m:t>
                </m:r>
              </m:sub>
            </m:sSub>
          </m:den>
        </m:f>
      </m:oMath>
      <w:r>
        <w:tab/>
      </w:r>
      <w:r>
        <w:tab/>
      </w:r>
    </w:p>
    <w:p w14:paraId="007DAEC0" w14:textId="77777777" w:rsidR="00D34C6E" w:rsidRDefault="00D34C6E" w:rsidP="00D34C6E">
      <w:pPr>
        <w:spacing w:after="60"/>
        <w:ind w:left="720"/>
      </w:pPr>
      <w:r w:rsidRPr="00B922B0">
        <w:rPr>
          <w:spacing w:val="-8"/>
          <w:w w:val="105"/>
          <w:szCs w:val="20"/>
        </w:rPr>
        <w:t xml:space="preserve">The spillover-adjusted NTGR for each program could then be used </w:t>
      </w:r>
      <w:r>
        <w:rPr>
          <w:spacing w:val="-8"/>
          <w:w w:val="105"/>
          <w:szCs w:val="20"/>
        </w:rPr>
        <w:t xml:space="preserve">to adjust the Core NTGR </w:t>
      </w:r>
      <w:r w:rsidRPr="00B922B0">
        <w:rPr>
          <w:spacing w:val="-8"/>
          <w:w w:val="105"/>
          <w:szCs w:val="20"/>
        </w:rPr>
        <w:t>for each program</w:t>
      </w:r>
      <w:r>
        <w:rPr>
          <w:spacing w:val="-8"/>
          <w:w w:val="105"/>
          <w:szCs w:val="20"/>
        </w:rPr>
        <w:t xml:space="preserve"> before calculating the TRC</w:t>
      </w:r>
      <w:r w:rsidRPr="00B922B0">
        <w:rPr>
          <w:spacing w:val="-8"/>
          <w:w w:val="105"/>
          <w:szCs w:val="20"/>
        </w:rPr>
        <w:t>.</w:t>
      </w:r>
      <w:r>
        <w:rPr>
          <w:spacing w:val="-8"/>
          <w:w w:val="105"/>
          <w:szCs w:val="20"/>
        </w:rPr>
        <w:t xml:space="preserve"> </w:t>
      </w:r>
      <w:r w:rsidRPr="004E5871">
        <w:t xml:space="preserve">In calculating the </w:t>
      </w:r>
      <w:r>
        <w:t xml:space="preserve">Program-Specific </w:t>
      </w:r>
      <w:r w:rsidRPr="004E5871">
        <w:t xml:space="preserve">NPSO Rate, the numerator and denominator must be consistent in terms of the time period of measure implementation/potential implementation.  While this time period must be within the last two years, it may be for a </w:t>
      </w:r>
      <w:r>
        <w:t>period</w:t>
      </w:r>
      <w:r w:rsidRPr="004E5871">
        <w:t xml:space="preserve"> of less than two years.</w:t>
      </w:r>
    </w:p>
    <w:p w14:paraId="70A5A6C2" w14:textId="77777777" w:rsidR="00D34C6E" w:rsidRPr="004E5871" w:rsidRDefault="00D34C6E" w:rsidP="00D34C6E">
      <w:pPr>
        <w:pStyle w:val="BodyTextIndent"/>
      </w:pPr>
      <w:r>
        <w:t xml:space="preserve">2.    The NPSO Rate is calculated at the Sector level. The estimated energy savings associated with program-attributable spillover measures implemented during the study period by the entire nonparticipant population is divided by the ex post gross impacts for all the nonresidential programs in the portfolio occurring during the study period. </w:t>
      </w:r>
      <w:r w:rsidRPr="004E5871">
        <w:t xml:space="preserve">The </w:t>
      </w:r>
      <w:r>
        <w:t xml:space="preserve">C&amp;I Sector </w:t>
      </w:r>
      <w:r w:rsidRPr="004E5871">
        <w:t xml:space="preserve">NPSO Rate is calculated </w:t>
      </w:r>
      <w:r>
        <w:t>using the following equation</w:t>
      </w:r>
    </w:p>
    <w:p w14:paraId="1DFB445C" w14:textId="77777777" w:rsidR="00D34C6E" w:rsidRPr="004E5871" w:rsidRDefault="00D34C6E" w:rsidP="00D34C6E">
      <w:pPr>
        <w:ind w:firstLine="720"/>
      </w:pPr>
      <m:oMath>
        <m:r>
          <w:rPr>
            <w:rFonts w:ascii="Cambria Math" w:hAnsi="Cambria Math"/>
          </w:rPr>
          <m:t>Portfolio NPSO Rate=</m:t>
        </m:r>
        <m:f>
          <m:fPr>
            <m:ctrlPr>
              <w:rPr>
                <w:rFonts w:ascii="Cambria Math" w:hAnsi="Cambria Math"/>
              </w:rPr>
            </m:ctrlPr>
          </m:fPr>
          <m:num>
            <m:sSub>
              <m:sSubPr>
                <m:ctrlPr>
                  <w:rPr>
                    <w:rFonts w:ascii="Cambria Math" w:hAnsi="Cambria Math"/>
                    <w:i/>
                  </w:rPr>
                </m:ctrlPr>
              </m:sSubPr>
              <m:e>
                <m:r>
                  <w:rPr>
                    <w:rFonts w:ascii="Cambria Math" w:hAnsi="Cambria Math"/>
                  </w:rPr>
                  <m:t>NPSO</m:t>
                </m:r>
              </m:e>
              <m:sub>
                <m:r>
                  <w:rPr>
                    <w:rFonts w:ascii="Cambria Math" w:hAnsi="Cambria Math"/>
                  </w:rPr>
                  <m:t>Portfolio</m:t>
                </m:r>
              </m:sub>
            </m:sSub>
          </m:num>
          <m:den>
            <m:sSub>
              <m:sSubPr>
                <m:ctrlPr>
                  <w:rPr>
                    <w:rFonts w:ascii="Cambria Math" w:hAnsi="Cambria Math"/>
                    <w:i/>
                  </w:rPr>
                </m:ctrlPr>
              </m:sSubPr>
              <m:e>
                <m:r>
                  <w:rPr>
                    <w:rFonts w:ascii="Cambria Math" w:hAnsi="Cambria Math"/>
                  </w:rPr>
                  <m:t>Ex Post Gross Impacts</m:t>
                </m:r>
              </m:e>
              <m:sub>
                <m:r>
                  <w:rPr>
                    <w:rFonts w:ascii="Cambria Math" w:hAnsi="Cambria Math"/>
                  </w:rPr>
                  <m:t>Portfolio</m:t>
                </m:r>
              </m:sub>
            </m:sSub>
          </m:den>
        </m:f>
      </m:oMath>
      <w:r>
        <w:tab/>
      </w:r>
      <w:r>
        <w:tab/>
      </w:r>
      <w:r>
        <w:tab/>
      </w:r>
      <w:r>
        <w:tab/>
      </w:r>
      <w:r>
        <w:tab/>
      </w:r>
    </w:p>
    <w:p w14:paraId="4B7A4162" w14:textId="11E77720" w:rsidR="00D34C6E" w:rsidRDefault="00D34C6E" w:rsidP="00D34C6E">
      <w:r>
        <w:t>The NPSO rate could then be used to adjust the portfolio core NTGR before calculating the portfolio TRC. Again, i</w:t>
      </w:r>
      <w:r w:rsidRPr="004E5871">
        <w:t xml:space="preserve">n calculating the </w:t>
      </w:r>
      <w:r>
        <w:t xml:space="preserve">Portfolio </w:t>
      </w:r>
      <w:r w:rsidRPr="004E5871">
        <w:t xml:space="preserve">NPSO Rate, the numerator and denominator must be consistent in terms of the time period of measure implementation/potential implementation.  While this time period must be within the last two years, it may be for a </w:t>
      </w:r>
      <w:r>
        <w:t>period</w:t>
      </w:r>
      <w:r w:rsidRPr="004E5871">
        <w:t xml:space="preserve"> of less than two years.</w:t>
      </w:r>
      <w:bookmarkEnd w:id="1209"/>
      <w:bookmarkEnd w:id="1210"/>
      <w:bookmarkEnd w:id="1211"/>
      <w:bookmarkEnd w:id="1212"/>
    </w:p>
    <w:p w14:paraId="2C2B1CC7" w14:textId="77777777" w:rsidR="00D34C6E" w:rsidRDefault="00D34C6E" w:rsidP="00D34C6E">
      <w:pPr>
        <w:pStyle w:val="Heading2"/>
        <w:keepLines w:val="0"/>
        <w:widowControl/>
        <w:numPr>
          <w:ilvl w:val="1"/>
          <w:numId w:val="8"/>
        </w:numPr>
        <w:jc w:val="left"/>
      </w:pPr>
      <w:bookmarkStart w:id="1213" w:name="_Toc440281999"/>
      <w:bookmarkStart w:id="1214" w:name="_Toc440282753"/>
      <w:bookmarkStart w:id="1215" w:name="_Toc440375364"/>
      <w:bookmarkStart w:id="1216" w:name="_Toc431366161"/>
      <w:bookmarkStart w:id="1217" w:name="_Toc431526448"/>
      <w:bookmarkStart w:id="1218" w:name="_Ref442019711"/>
      <w:bookmarkStart w:id="1219" w:name="_Ref442019741"/>
      <w:bookmarkStart w:id="1220" w:name="_Toc442804244"/>
      <w:bookmarkStart w:id="1221" w:name="_Toc442805461"/>
      <w:bookmarkStart w:id="1222" w:name="_Toc472494696"/>
      <w:bookmarkStart w:id="1223" w:name="_Toc520462894"/>
      <w:bookmarkStart w:id="1224" w:name="_Toc473108038"/>
      <w:bookmarkStart w:id="1225" w:name="_Toc520824150"/>
      <w:bookmarkStart w:id="1226" w:name="_Toc16619933"/>
      <w:bookmarkStart w:id="1227" w:name="_Toc113619788"/>
      <w:bookmarkStart w:id="1228" w:name="_Toc411554704"/>
      <w:bookmarkEnd w:id="1213"/>
      <w:bookmarkEnd w:id="1214"/>
      <w:bookmarkEnd w:id="1215"/>
      <w:r w:rsidRPr="009B67BF">
        <w:t xml:space="preserve">Small Business </w:t>
      </w:r>
      <w:bookmarkEnd w:id="1216"/>
      <w:bookmarkEnd w:id="1217"/>
      <w:r>
        <w:t>Protocol</w:t>
      </w:r>
      <w:bookmarkEnd w:id="1218"/>
      <w:bookmarkEnd w:id="1219"/>
      <w:bookmarkEnd w:id="1220"/>
      <w:bookmarkEnd w:id="1221"/>
      <w:bookmarkEnd w:id="1222"/>
      <w:bookmarkEnd w:id="1223"/>
      <w:bookmarkEnd w:id="1224"/>
      <w:bookmarkEnd w:id="1225"/>
      <w:bookmarkEnd w:id="1226"/>
      <w:bookmarkEnd w:id="1227"/>
    </w:p>
    <w:p w14:paraId="0CFBBF69" w14:textId="77777777" w:rsidR="00D34C6E" w:rsidRPr="009B67BF" w:rsidRDefault="00D34C6E" w:rsidP="0088039F">
      <w:pPr>
        <w:pStyle w:val="Heading3"/>
      </w:pPr>
      <w:bookmarkStart w:id="1229" w:name="_Toc431526449"/>
      <w:bookmarkStart w:id="1230" w:name="_Toc442804245"/>
      <w:bookmarkStart w:id="1231" w:name="_Toc442805462"/>
      <w:bookmarkStart w:id="1232" w:name="_Toc472494697"/>
      <w:bookmarkStart w:id="1233" w:name="_Toc520462895"/>
      <w:bookmarkStart w:id="1234" w:name="_Toc473108039"/>
      <w:bookmarkStart w:id="1235" w:name="_Toc520824151"/>
      <w:bookmarkStart w:id="1236" w:name="_Toc16619934"/>
      <w:bookmarkStart w:id="1237" w:name="_Toc113619789"/>
      <w:r w:rsidRPr="009B67BF">
        <w:t>Free Ridership</w:t>
      </w:r>
      <w:bookmarkEnd w:id="1229"/>
      <w:bookmarkEnd w:id="1230"/>
      <w:bookmarkEnd w:id="1231"/>
      <w:bookmarkEnd w:id="1232"/>
      <w:bookmarkEnd w:id="1233"/>
      <w:bookmarkEnd w:id="1234"/>
      <w:bookmarkEnd w:id="1235"/>
      <w:bookmarkEnd w:id="1236"/>
      <w:bookmarkEnd w:id="1237"/>
    </w:p>
    <w:p w14:paraId="30EACCB4" w14:textId="77777777" w:rsidR="00D34C6E" w:rsidRPr="00BB5C10" w:rsidRDefault="00D34C6E" w:rsidP="00D34C6E">
      <w:r w:rsidRPr="00BB5C10">
        <w:t xml:space="preserve">The FR algorithm for non-residential small business programs will follow the Core </w:t>
      </w:r>
      <w:r>
        <w:t>N</w:t>
      </w:r>
      <w:r w:rsidRPr="00BB5C10">
        <w:t>on-</w:t>
      </w:r>
      <w:r>
        <w:t>R</w:t>
      </w:r>
      <w:r w:rsidRPr="00BB5C10">
        <w:t xml:space="preserve">esidential </w:t>
      </w:r>
      <w:r>
        <w:t>FR P</w:t>
      </w:r>
      <w:r w:rsidRPr="00BB5C10">
        <w:t>rotocol, with the following exceptions:</w:t>
      </w:r>
    </w:p>
    <w:p w14:paraId="3ABBD9A7" w14:textId="77777777" w:rsidR="00D34C6E" w:rsidRDefault="00D34C6E" w:rsidP="00D34C6E">
      <w:pPr>
        <w:pStyle w:val="ListParagraph"/>
        <w:widowControl/>
        <w:numPr>
          <w:ilvl w:val="0"/>
          <w:numId w:val="23"/>
        </w:numPr>
        <w:spacing w:after="60"/>
        <w:contextualSpacing w:val="0"/>
        <w:jc w:val="left"/>
      </w:pPr>
      <w:r w:rsidRPr="00C316EC">
        <w:t xml:space="preserve">To reduce respondent burden, the Program Influence </w:t>
      </w:r>
      <w:r>
        <w:t xml:space="preserve">FR </w:t>
      </w:r>
      <w:r w:rsidRPr="00C316EC">
        <w:t xml:space="preserve">Score may be dropped from the Small Business FR algorithm. The influence of nonprogram factors will still be captured in the Program Components </w:t>
      </w:r>
      <w:r>
        <w:t xml:space="preserve">FR </w:t>
      </w:r>
      <w:r w:rsidRPr="00C316EC">
        <w:t>Score.</w:t>
      </w:r>
    </w:p>
    <w:p w14:paraId="5399A15A" w14:textId="41B02DC0" w:rsidR="00D34C6E" w:rsidRPr="00C316EC" w:rsidRDefault="00D34C6E" w:rsidP="00D34C6E">
      <w:pPr>
        <w:pStyle w:val="ListParagraph"/>
        <w:widowControl/>
        <w:numPr>
          <w:ilvl w:val="0"/>
          <w:numId w:val="23"/>
        </w:numPr>
        <w:spacing w:after="60"/>
        <w:contextualSpacing w:val="0"/>
        <w:jc w:val="left"/>
      </w:pPr>
      <w:r w:rsidRPr="00C316EC">
        <w:t xml:space="preserve">The counterfactual </w:t>
      </w:r>
      <w:r>
        <w:t xml:space="preserve">likelihood </w:t>
      </w:r>
      <w:r w:rsidRPr="00C316EC">
        <w:t>question (likelihood the participant would have installed</w:t>
      </w:r>
      <w:r>
        <w:t>, absent the program,</w:t>
      </w:r>
      <w:r w:rsidRPr="00C316EC">
        <w:t xml:space="preserve"> </w:t>
      </w:r>
      <w:r>
        <w:rPr>
          <w:rFonts w:eastAsia="Franklin Gothic Book"/>
        </w:rPr>
        <w:t xml:space="preserve">equipment of the same level of high efficiency as the unit installed with the program) </w:t>
      </w:r>
      <w:r w:rsidRPr="00C316EC">
        <w:t>may be preceded with a 0-10 scale question about the likelihood the participant would have installed any new equipment</w:t>
      </w:r>
      <w:r>
        <w:t>—</w:t>
      </w:r>
      <w:r w:rsidRPr="00C316EC">
        <w:t>either standard efficiency or high efficiency</w:t>
      </w:r>
      <w:r>
        <w:t>—</w:t>
      </w:r>
      <w:r w:rsidRPr="00C316EC">
        <w:t xml:space="preserve">on their own. </w:t>
      </w:r>
    </w:p>
    <w:p w14:paraId="47CFD0B0" w14:textId="77777777" w:rsidR="00D34C6E" w:rsidRPr="00C316EC" w:rsidRDefault="00D34C6E" w:rsidP="00D34C6E">
      <w:pPr>
        <w:pStyle w:val="ListParagraph"/>
        <w:widowControl/>
        <w:numPr>
          <w:ilvl w:val="1"/>
          <w:numId w:val="23"/>
        </w:numPr>
        <w:spacing w:after="60"/>
        <w:ind w:left="1080"/>
        <w:contextualSpacing w:val="0"/>
        <w:jc w:val="left"/>
      </w:pPr>
      <w:r w:rsidRPr="00C316EC">
        <w:t>If the participant provides a likelihood response of 0, then the No</w:t>
      </w:r>
      <w:r>
        <w:t>-</w:t>
      </w:r>
      <w:r w:rsidRPr="00C316EC">
        <w:t xml:space="preserve">Program </w:t>
      </w:r>
      <w:r>
        <w:t xml:space="preserve">FR </w:t>
      </w:r>
      <w:r w:rsidRPr="00C316EC">
        <w:t>Score for that participant is set to 0.</w:t>
      </w:r>
    </w:p>
    <w:p w14:paraId="0A85C55C" w14:textId="77777777" w:rsidR="00D34C6E" w:rsidRDefault="00D34C6E" w:rsidP="00D34C6E">
      <w:pPr>
        <w:pStyle w:val="ListParagraph"/>
        <w:widowControl/>
        <w:numPr>
          <w:ilvl w:val="1"/>
          <w:numId w:val="23"/>
        </w:numPr>
        <w:spacing w:after="60"/>
        <w:ind w:left="1080"/>
        <w:contextualSpacing w:val="0"/>
        <w:jc w:val="left"/>
      </w:pPr>
      <w:r w:rsidRPr="00C316EC">
        <w:t xml:space="preserve">If the participant provides a likelihood response of 1-10, then the participant is asked the same counterfactual questions (including the </w:t>
      </w:r>
      <w:r>
        <w:t xml:space="preserve">first </w:t>
      </w:r>
      <w:r w:rsidRPr="00C316EC">
        <w:t xml:space="preserve">timing question) as in the Core </w:t>
      </w:r>
      <w:r>
        <w:t xml:space="preserve">Non-Residential FR </w:t>
      </w:r>
      <w:r w:rsidRPr="00C316EC">
        <w:t>protocol.</w:t>
      </w:r>
    </w:p>
    <w:p w14:paraId="48F11098" w14:textId="3F6930C4" w:rsidR="00D34C6E" w:rsidRPr="00C316EC" w:rsidRDefault="00D34C6E" w:rsidP="00D34C6E">
      <w:pPr>
        <w:pStyle w:val="ListParagraph"/>
        <w:widowControl/>
        <w:numPr>
          <w:ilvl w:val="0"/>
          <w:numId w:val="23"/>
        </w:numPr>
        <w:contextualSpacing w:val="0"/>
        <w:jc w:val="left"/>
      </w:pPr>
      <w:r w:rsidRPr="00C316EC">
        <w:t>To reduce respondent burden, the second question about timing (likelihood the participant would have installed</w:t>
      </w:r>
      <w:r>
        <w:t>, absent the program,</w:t>
      </w:r>
      <w:r w:rsidRPr="00C316EC">
        <w:t xml:space="preserve"> </w:t>
      </w:r>
      <w:r>
        <w:rPr>
          <w:rFonts w:eastAsia="Franklin Gothic Book"/>
        </w:rPr>
        <w:t xml:space="preserve">equipment of the same level of high efficiency as the unit installed with the program </w:t>
      </w:r>
      <w:r w:rsidRPr="00C316EC">
        <w:t>within 12 months) may be dropped.</w:t>
      </w:r>
      <w:r>
        <w:t xml:space="preserve"> In this case, the only Deferred Free Ridership specification would be the one applying Timing Adjustment 1.</w:t>
      </w:r>
    </w:p>
    <w:p w14:paraId="63167D92" w14:textId="77777777" w:rsidR="00D34C6E" w:rsidRDefault="00D34C6E" w:rsidP="00D34C6E">
      <w:r w:rsidRPr="00C316EC">
        <w:lastRenderedPageBreak/>
        <w:t>The diagram below</w:t>
      </w:r>
      <w:r>
        <w:t>, Figure 3-3,</w:t>
      </w:r>
      <w:r w:rsidRPr="00C316EC">
        <w:t xml:space="preserve"> depicts the </w:t>
      </w:r>
      <w:r>
        <w:t>S</w:t>
      </w:r>
      <w:r w:rsidRPr="00C316EC">
        <w:t xml:space="preserve">mall </w:t>
      </w:r>
      <w:r>
        <w:t>B</w:t>
      </w:r>
      <w:r w:rsidRPr="00C316EC">
        <w:t xml:space="preserve">usiness FR approach with </w:t>
      </w:r>
      <w:r>
        <w:t xml:space="preserve">the above </w:t>
      </w:r>
      <w:r w:rsidRPr="00C316EC">
        <w:t>exceptions implemented.</w:t>
      </w:r>
    </w:p>
    <w:p w14:paraId="70DC2885" w14:textId="5AB636F7" w:rsidR="00D34C6E" w:rsidRPr="00C316EC" w:rsidRDefault="00352A0B" w:rsidP="00D21F1A">
      <w:pPr>
        <w:pStyle w:val="Captions"/>
      </w:pPr>
      <w:bookmarkStart w:id="1238" w:name="_Ref442627437"/>
      <w:bookmarkStart w:id="1239" w:name="_Toc472494751"/>
      <w:bookmarkStart w:id="1240" w:name="_Toc473108111"/>
      <w:bookmarkStart w:id="1241" w:name="_Toc520824259"/>
      <w:bookmarkStart w:id="1242" w:name="_Toc523148241"/>
      <w:bookmarkStart w:id="1243" w:name="_Toc16620003"/>
      <w:bookmarkStart w:id="1244" w:name="_Toc83376830"/>
      <w:r w:rsidRPr="00112B12">
        <w:rPr>
          <w:noProof/>
        </w:rPr>
        <w:drawing>
          <wp:anchor distT="0" distB="0" distL="114300" distR="114300" simplePos="0" relativeHeight="251643392" behindDoc="0" locked="0" layoutInCell="1" allowOverlap="1" wp14:anchorId="6FBE4830" wp14:editId="1B677FC5">
            <wp:simplePos x="0" y="0"/>
            <wp:positionH relativeFrom="column">
              <wp:align>center</wp:align>
            </wp:positionH>
            <wp:positionV relativeFrom="paragraph">
              <wp:posOffset>194310</wp:posOffset>
            </wp:positionV>
            <wp:extent cx="6419088" cy="3611880"/>
            <wp:effectExtent l="0" t="0" r="1270" b="7620"/>
            <wp:wrapSquare wrapText="bothSides"/>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extLst>
                        <a:ext uri="{28A0092B-C50C-407E-A947-70E740481C1C}">
                          <a14:useLocalDpi xmlns:a14="http://schemas.microsoft.com/office/drawing/2010/main" val="0"/>
                        </a:ext>
                      </a:extLst>
                    </a:blip>
                    <a:stretch>
                      <a:fillRect/>
                    </a:stretch>
                  </pic:blipFill>
                  <pic:spPr>
                    <a:xfrm>
                      <a:off x="0" y="0"/>
                      <a:ext cx="6419088" cy="3611880"/>
                    </a:xfrm>
                    <a:prstGeom prst="rect">
                      <a:avLst/>
                    </a:prstGeom>
                  </pic:spPr>
                </pic:pic>
              </a:graphicData>
            </a:graphic>
            <wp14:sizeRelH relativeFrom="margin">
              <wp14:pctWidth>0</wp14:pctWidth>
            </wp14:sizeRelH>
            <wp14:sizeRelV relativeFrom="margin">
              <wp14:pctHeight>0</wp14:pctHeight>
            </wp14:sizeRelV>
          </wp:anchor>
        </w:drawing>
      </w:r>
      <w:r w:rsidR="00D34C6E">
        <w:t>Figure 3</w:t>
      </w:r>
      <w:r w:rsidR="00D34C6E">
        <w:noBreakHyphen/>
      </w:r>
      <w:bookmarkEnd w:id="1238"/>
      <w:r w:rsidR="00D34C6E">
        <w:t>3</w:t>
      </w:r>
      <w:r w:rsidR="00D34C6E" w:rsidRPr="00C316EC">
        <w:rPr>
          <w:rFonts w:eastAsia="Franklin Gothic Book"/>
        </w:rPr>
        <w:t>. Small Business Free Ridership</w:t>
      </w:r>
      <w:bookmarkEnd w:id="1239"/>
      <w:bookmarkEnd w:id="1240"/>
      <w:bookmarkEnd w:id="1241"/>
      <w:bookmarkEnd w:id="1242"/>
      <w:bookmarkEnd w:id="1243"/>
      <w:bookmarkEnd w:id="1244"/>
    </w:p>
    <w:p w14:paraId="10349C95" w14:textId="77777777" w:rsidR="00D34C6E" w:rsidRDefault="00D34C6E" w:rsidP="00D34C6E">
      <w:r w:rsidRPr="00C316EC">
        <w:t xml:space="preserve">Evaluators will calculate free ridership </w:t>
      </w:r>
      <w:r>
        <w:t>values</w:t>
      </w:r>
      <w:r w:rsidRPr="00C316EC">
        <w:t xml:space="preserve"> for small business projects as follows: </w:t>
      </w:r>
    </w:p>
    <w:p w14:paraId="4D67C2BD" w14:textId="77777777" w:rsidR="00D34C6E" w:rsidRDefault="00D34C6E" w:rsidP="00D34C6E">
      <w:pPr>
        <w:spacing w:after="60"/>
        <w:ind w:firstLine="720"/>
      </w:pPr>
      <w:r>
        <w:t xml:space="preserve">(1) </w:t>
      </w:r>
      <w:r w:rsidRPr="00C316EC">
        <w:t xml:space="preserve">If Program Influence </w:t>
      </w:r>
      <w:r>
        <w:t xml:space="preserve">FR </w:t>
      </w:r>
      <w:r w:rsidRPr="00C316EC">
        <w:t>Score is dropped:</w:t>
      </w:r>
    </w:p>
    <w:p w14:paraId="20A6B8DC" w14:textId="77777777" w:rsidR="00D34C6E" w:rsidRPr="00C316EC" w:rsidRDefault="00D34C6E" w:rsidP="00D34C6E">
      <w:pPr>
        <w:spacing w:after="60"/>
        <w:jc w:val="center"/>
      </w:pPr>
      <w:r w:rsidRPr="00C316EC">
        <w:t>FR = AVERAGE (</w:t>
      </w:r>
      <w:r>
        <w:t>[</w:t>
      </w:r>
      <w:r w:rsidRPr="00C316EC">
        <w:t xml:space="preserve">Program Components </w:t>
      </w:r>
      <w:r>
        <w:t xml:space="preserve">FR </w:t>
      </w:r>
      <w:r w:rsidRPr="00C316EC">
        <w:t>Score</w:t>
      </w:r>
      <w:r>
        <w:t>]</w:t>
      </w:r>
      <w:r w:rsidRPr="00C316EC">
        <w:t xml:space="preserve">, </w:t>
      </w:r>
      <w:r>
        <w:t>[</w:t>
      </w:r>
      <w:r w:rsidRPr="00C316EC">
        <w:t xml:space="preserve">No-Program </w:t>
      </w:r>
      <w:r>
        <w:t xml:space="preserve">FR </w:t>
      </w:r>
      <w:r w:rsidRPr="00C316EC">
        <w:t>Score</w:t>
      </w:r>
      <w:r>
        <w:t xml:space="preserve"> * Timing Adjustment 1]</w:t>
      </w:r>
      <w:r w:rsidRPr="00C316EC">
        <w:t>)</w:t>
      </w:r>
    </w:p>
    <w:p w14:paraId="370E8E7D" w14:textId="77777777" w:rsidR="00D34C6E" w:rsidRDefault="00D34C6E" w:rsidP="00D34C6E">
      <w:pPr>
        <w:ind w:firstLine="720"/>
      </w:pPr>
      <w:r>
        <w:t xml:space="preserve">(2) </w:t>
      </w:r>
      <w:r w:rsidRPr="00C316EC">
        <w:t xml:space="preserve">If Program Influence </w:t>
      </w:r>
      <w:r>
        <w:t xml:space="preserve">FR </w:t>
      </w:r>
      <w:r w:rsidRPr="00C316EC">
        <w:t>Score is included:</w:t>
      </w:r>
    </w:p>
    <w:p w14:paraId="447D1E96" w14:textId="77777777" w:rsidR="00D34C6E" w:rsidRPr="00C316EC" w:rsidRDefault="00D34C6E" w:rsidP="00D34C6E">
      <w:pPr>
        <w:jc w:val="center"/>
      </w:pPr>
      <w:r w:rsidRPr="00C316EC">
        <w:t>FR = AVERAGE (</w:t>
      </w:r>
      <w:r>
        <w:t>[</w:t>
      </w:r>
      <w:r w:rsidRPr="00C316EC">
        <w:t xml:space="preserve">Program Components </w:t>
      </w:r>
      <w:r>
        <w:t xml:space="preserve">FR </w:t>
      </w:r>
      <w:r w:rsidRPr="00C316EC">
        <w:t>Score</w:t>
      </w:r>
      <w:r>
        <w:t>]</w:t>
      </w:r>
      <w:r w:rsidRPr="00C316EC">
        <w:t xml:space="preserve">, </w:t>
      </w:r>
      <w:r>
        <w:t>[</w:t>
      </w:r>
      <w:r w:rsidRPr="00C316EC">
        <w:t xml:space="preserve">Program Influence </w:t>
      </w:r>
      <w:r>
        <w:t xml:space="preserve">FR </w:t>
      </w:r>
      <w:r w:rsidRPr="00C316EC">
        <w:t>Score</w:t>
      </w:r>
      <w:r>
        <w:t>]</w:t>
      </w:r>
      <w:r w:rsidRPr="00C316EC">
        <w:t xml:space="preserve">, </w:t>
      </w:r>
      <w:r>
        <w:t>[</w:t>
      </w:r>
      <w:r w:rsidRPr="00C316EC">
        <w:t xml:space="preserve">No-Program </w:t>
      </w:r>
      <w:r>
        <w:t xml:space="preserve">FR </w:t>
      </w:r>
      <w:r w:rsidRPr="00C316EC">
        <w:t>Score</w:t>
      </w:r>
      <w:r>
        <w:t xml:space="preserve"> * Timing Adjustment 1]</w:t>
      </w:r>
      <w:r w:rsidRPr="00C316EC">
        <w:t>)</w:t>
      </w:r>
    </w:p>
    <w:p w14:paraId="0F0B3DC8" w14:textId="77777777" w:rsidR="00D34C6E" w:rsidRPr="009B67BF" w:rsidRDefault="00D34C6E" w:rsidP="00D34C6E">
      <w:pPr>
        <w:pStyle w:val="Heading2"/>
        <w:keepLines w:val="0"/>
        <w:widowControl/>
        <w:numPr>
          <w:ilvl w:val="1"/>
          <w:numId w:val="8"/>
        </w:numPr>
        <w:jc w:val="left"/>
      </w:pPr>
      <w:bookmarkStart w:id="1245" w:name="_Ref442304840"/>
      <w:bookmarkStart w:id="1246" w:name="_Ref442304849"/>
      <w:bookmarkStart w:id="1247" w:name="_Toc442804246"/>
      <w:bookmarkStart w:id="1248" w:name="_Toc442805463"/>
      <w:bookmarkStart w:id="1249" w:name="_Toc472494698"/>
      <w:bookmarkStart w:id="1250" w:name="_Toc520462896"/>
      <w:bookmarkStart w:id="1251" w:name="_Toc473108040"/>
      <w:bookmarkStart w:id="1252" w:name="_Toc520824152"/>
      <w:bookmarkStart w:id="1253" w:name="_Toc16619935"/>
      <w:bookmarkStart w:id="1254" w:name="_Toc113619790"/>
      <w:bookmarkStart w:id="1255" w:name="_Toc435560148"/>
      <w:bookmarkStart w:id="1256" w:name="_Toc435565264"/>
      <w:bookmarkStart w:id="1257" w:name="_Toc431526450"/>
      <w:r>
        <w:t xml:space="preserve">C&amp;I </w:t>
      </w:r>
      <w:r w:rsidRPr="009B67BF">
        <w:t xml:space="preserve">New Construction </w:t>
      </w:r>
      <w:r>
        <w:t>Protocol</w:t>
      </w:r>
      <w:bookmarkEnd w:id="1245"/>
      <w:bookmarkEnd w:id="1246"/>
      <w:bookmarkEnd w:id="1247"/>
      <w:bookmarkEnd w:id="1248"/>
      <w:bookmarkEnd w:id="1249"/>
      <w:bookmarkEnd w:id="1250"/>
      <w:bookmarkEnd w:id="1251"/>
      <w:bookmarkEnd w:id="1252"/>
      <w:bookmarkEnd w:id="1253"/>
      <w:bookmarkEnd w:id="1254"/>
    </w:p>
    <w:p w14:paraId="3D4DDA9A" w14:textId="77777777" w:rsidR="00D34C6E" w:rsidRPr="009B67BF" w:rsidRDefault="00D34C6E" w:rsidP="0088039F">
      <w:pPr>
        <w:pStyle w:val="Heading3"/>
      </w:pPr>
      <w:bookmarkStart w:id="1258" w:name="_Toc442804247"/>
      <w:bookmarkStart w:id="1259" w:name="_Toc442805464"/>
      <w:bookmarkStart w:id="1260" w:name="_Toc472494699"/>
      <w:bookmarkStart w:id="1261" w:name="_Toc520462897"/>
      <w:bookmarkStart w:id="1262" w:name="_Toc473108041"/>
      <w:bookmarkStart w:id="1263" w:name="_Toc520824153"/>
      <w:bookmarkStart w:id="1264" w:name="_Toc16619936"/>
      <w:bookmarkStart w:id="1265" w:name="_Toc113619791"/>
      <w:r w:rsidRPr="009B67BF">
        <w:t>Free Ridership</w:t>
      </w:r>
      <w:bookmarkEnd w:id="1258"/>
      <w:bookmarkEnd w:id="1259"/>
      <w:bookmarkEnd w:id="1260"/>
      <w:bookmarkEnd w:id="1261"/>
      <w:bookmarkEnd w:id="1262"/>
      <w:bookmarkEnd w:id="1263"/>
      <w:bookmarkEnd w:id="1264"/>
      <w:bookmarkEnd w:id="1265"/>
    </w:p>
    <w:p w14:paraId="6EC82195" w14:textId="77777777" w:rsidR="00D34C6E" w:rsidRDefault="00D34C6E" w:rsidP="00D34C6E">
      <w:r>
        <w:t>The FR algorithm for non-residential new construction programs will follow the Core Non-Residential FR protocol, with the following exception:</w:t>
      </w:r>
    </w:p>
    <w:p w14:paraId="0EBD3097" w14:textId="77777777" w:rsidR="00D34C6E" w:rsidRDefault="00D34C6E" w:rsidP="00D34C6E">
      <w:pPr>
        <w:pStyle w:val="ListParagraph"/>
        <w:numPr>
          <w:ilvl w:val="0"/>
          <w:numId w:val="47"/>
        </w:numPr>
      </w:pPr>
      <w:r>
        <w:t>The concept of project timing and deferred free ridership is not applicable to new construction projects.</w:t>
      </w:r>
      <w:r w:rsidRPr="00B67961">
        <w:rPr>
          <w:vertAlign w:val="superscript"/>
        </w:rPr>
        <w:footnoteReference w:id="72"/>
      </w:r>
      <w:r>
        <w:t xml:space="preserve"> As a result, the various deferred free ridership specifications outlined in </w:t>
      </w:r>
      <w:r>
        <w:rPr>
          <w:rFonts w:eastAsia="Franklin Gothic Book"/>
        </w:rPr>
        <w:t xml:space="preserve">Figure 3-1 and Figure 3-2 </w:t>
      </w:r>
      <w:r>
        <w:t>will not be included in the free ridership estimation for new construction projects.</w:t>
      </w:r>
    </w:p>
    <w:p w14:paraId="0AFDD438" w14:textId="77777777" w:rsidR="00D34C6E" w:rsidRDefault="00D34C6E" w:rsidP="00D34C6E">
      <w:pPr>
        <w:keepNext/>
      </w:pPr>
      <w:r>
        <w:lastRenderedPageBreak/>
        <w:t xml:space="preserve">Evaluators will calculate free ridership values for new construction projects as follows: </w:t>
      </w:r>
    </w:p>
    <w:p w14:paraId="46C32722" w14:textId="77777777" w:rsidR="00D34C6E" w:rsidRDefault="00D34C6E" w:rsidP="00D34C6E">
      <w:pPr>
        <w:keepNext/>
        <w:ind w:left="720"/>
      </w:pPr>
      <w:r>
        <w:t>FR = AVERAGE ([Program Components FR Score], [Program Influence FR Score], [No-Program FR Score])</w:t>
      </w:r>
    </w:p>
    <w:p w14:paraId="47C1256F" w14:textId="77777777" w:rsidR="00D34C6E" w:rsidRDefault="00D34C6E" w:rsidP="00D34C6E">
      <w:pPr>
        <w:pStyle w:val="Heading2"/>
        <w:keepLines w:val="0"/>
        <w:widowControl/>
        <w:numPr>
          <w:ilvl w:val="1"/>
          <w:numId w:val="8"/>
        </w:numPr>
        <w:jc w:val="left"/>
      </w:pPr>
      <w:bookmarkStart w:id="1266" w:name="_Ref442304813"/>
      <w:bookmarkStart w:id="1267" w:name="_Ref442304821"/>
      <w:bookmarkStart w:id="1268" w:name="_Toc442804248"/>
      <w:bookmarkStart w:id="1269" w:name="_Toc442805465"/>
      <w:bookmarkStart w:id="1270" w:name="_Toc472494700"/>
      <w:bookmarkStart w:id="1271" w:name="_Toc520462898"/>
      <w:bookmarkStart w:id="1272" w:name="_Toc473108042"/>
      <w:bookmarkStart w:id="1273" w:name="_Toc520824154"/>
      <w:bookmarkStart w:id="1274" w:name="_Toc16619937"/>
      <w:bookmarkStart w:id="1275" w:name="_Toc113619792"/>
      <w:r>
        <w:t>Study-Based Protocol</w:t>
      </w:r>
      <w:bookmarkEnd w:id="1266"/>
      <w:bookmarkEnd w:id="1267"/>
      <w:bookmarkEnd w:id="1268"/>
      <w:bookmarkEnd w:id="1269"/>
      <w:bookmarkEnd w:id="1270"/>
      <w:bookmarkEnd w:id="1271"/>
      <w:bookmarkEnd w:id="1272"/>
      <w:bookmarkEnd w:id="1273"/>
      <w:bookmarkEnd w:id="1274"/>
      <w:bookmarkEnd w:id="1275"/>
    </w:p>
    <w:p w14:paraId="57C5E43F" w14:textId="77777777" w:rsidR="00D34C6E" w:rsidRPr="009B67BF" w:rsidRDefault="00D34C6E" w:rsidP="0088039F">
      <w:pPr>
        <w:pStyle w:val="Heading3"/>
      </w:pPr>
      <w:bookmarkStart w:id="1276" w:name="_Toc442804249"/>
      <w:bookmarkStart w:id="1277" w:name="_Toc442805466"/>
      <w:bookmarkStart w:id="1278" w:name="_Toc472494701"/>
      <w:bookmarkStart w:id="1279" w:name="_Toc520462899"/>
      <w:bookmarkStart w:id="1280" w:name="_Toc473108043"/>
      <w:bookmarkStart w:id="1281" w:name="_Toc520824155"/>
      <w:bookmarkStart w:id="1282" w:name="_Toc16619938"/>
      <w:bookmarkStart w:id="1283" w:name="_Toc113619793"/>
      <w:r w:rsidRPr="009B67BF">
        <w:t>Free Ridership</w:t>
      </w:r>
      <w:bookmarkEnd w:id="1276"/>
      <w:bookmarkEnd w:id="1277"/>
      <w:bookmarkEnd w:id="1278"/>
      <w:bookmarkEnd w:id="1279"/>
      <w:bookmarkEnd w:id="1280"/>
      <w:bookmarkEnd w:id="1281"/>
      <w:bookmarkEnd w:id="1282"/>
      <w:bookmarkEnd w:id="1283"/>
    </w:p>
    <w:p w14:paraId="5DD22551" w14:textId="77777777" w:rsidR="00D34C6E" w:rsidRPr="00CB7750" w:rsidRDefault="00D34C6E" w:rsidP="00D34C6E">
      <w:r w:rsidRPr="00CB7750">
        <w:t xml:space="preserve">The FR algorithm for non-residential study-based programs </w:t>
      </w:r>
      <w:r>
        <w:t xml:space="preserve">(See Figure 3-4) </w:t>
      </w:r>
      <w:r w:rsidRPr="00CB7750">
        <w:t xml:space="preserve">will follow the Core </w:t>
      </w:r>
      <w:r>
        <w:t>N</w:t>
      </w:r>
      <w:r w:rsidRPr="00CB7750">
        <w:t>on-</w:t>
      </w:r>
      <w:r>
        <w:t>R</w:t>
      </w:r>
      <w:r w:rsidRPr="00CB7750">
        <w:t xml:space="preserve">esidential </w:t>
      </w:r>
      <w:r>
        <w:t xml:space="preserve">FR </w:t>
      </w:r>
      <w:r w:rsidRPr="00CB7750">
        <w:t>protocol, with the following exception</w:t>
      </w:r>
      <w:r>
        <w:t>s</w:t>
      </w:r>
      <w:r w:rsidRPr="00CB7750">
        <w:t>:</w:t>
      </w:r>
    </w:p>
    <w:p w14:paraId="61EE8BDC" w14:textId="77777777" w:rsidR="00D34C6E" w:rsidRPr="00B82415" w:rsidRDefault="00D34C6E" w:rsidP="00D34C6E">
      <w:pPr>
        <w:pStyle w:val="ListParagraph"/>
        <w:numPr>
          <w:ilvl w:val="0"/>
          <w:numId w:val="48"/>
        </w:numPr>
        <w:spacing w:after="60"/>
        <w:contextualSpacing w:val="0"/>
      </w:pPr>
      <w:r w:rsidRPr="00B229B8">
        <w:t>The counterfactual likelihood question (Q.4 in</w:t>
      </w:r>
      <w:r>
        <w:t xml:space="preserve"> Figure 3-5 and Figure 3-6</w:t>
      </w:r>
      <w:r w:rsidRPr="00B229B8">
        <w:t>, below) will be preceded by five questions.</w:t>
      </w:r>
      <w:r w:rsidRPr="00B229B8">
        <w:rPr>
          <w:vertAlign w:val="superscript"/>
        </w:rPr>
        <w:footnoteReference w:id="73"/>
      </w:r>
    </w:p>
    <w:p w14:paraId="1778654B" w14:textId="77777777" w:rsidR="00D34C6E" w:rsidRPr="00CB7750" w:rsidRDefault="00D34C6E" w:rsidP="00D34C6E">
      <w:pPr>
        <w:pStyle w:val="ListParagraph"/>
        <w:widowControl/>
        <w:numPr>
          <w:ilvl w:val="0"/>
          <w:numId w:val="35"/>
        </w:numPr>
        <w:spacing w:after="60"/>
        <w:ind w:left="1080"/>
        <w:contextualSpacing w:val="0"/>
      </w:pPr>
      <w:r w:rsidRPr="00CB7750">
        <w:t>Q.1 A 0-10 scale question about the likelihood that the participant would have conducted the study absent the program</w:t>
      </w:r>
      <w:r>
        <w:t xml:space="preserve"> will be included.</w:t>
      </w:r>
    </w:p>
    <w:p w14:paraId="00D2B715" w14:textId="77777777" w:rsidR="00D34C6E" w:rsidRPr="00A7506B" w:rsidRDefault="00D34C6E" w:rsidP="00D34C6E">
      <w:pPr>
        <w:ind w:left="720"/>
        <w:rPr>
          <w:b/>
        </w:rPr>
      </w:pPr>
      <w:r w:rsidRPr="00A7506B">
        <w:rPr>
          <w:b/>
        </w:rPr>
        <w:t>At the measure-group level</w:t>
      </w:r>
      <w:r>
        <w:rPr>
          <w:b/>
        </w:rPr>
        <w:t>, the following should be included</w:t>
      </w:r>
      <w:r w:rsidRPr="00A7506B">
        <w:rPr>
          <w:b/>
        </w:rPr>
        <w:t>:</w:t>
      </w:r>
    </w:p>
    <w:p w14:paraId="2EC64306" w14:textId="77777777" w:rsidR="00D34C6E" w:rsidRPr="00CB7750" w:rsidRDefault="00D34C6E" w:rsidP="00D34C6E">
      <w:pPr>
        <w:pStyle w:val="ListParagraph"/>
        <w:widowControl/>
        <w:numPr>
          <w:ilvl w:val="0"/>
          <w:numId w:val="35"/>
        </w:numPr>
        <w:spacing w:after="60"/>
        <w:ind w:left="1080"/>
        <w:contextualSpacing w:val="0"/>
      </w:pPr>
      <w:r w:rsidRPr="00CB7750">
        <w:t>Q.2a A yes/no question to determine if the participant performs regular maintenance on the equipment treated through the program</w:t>
      </w:r>
    </w:p>
    <w:p w14:paraId="0705FEF9" w14:textId="77777777" w:rsidR="00D34C6E" w:rsidRPr="00CB7750" w:rsidRDefault="00D34C6E" w:rsidP="00D34C6E">
      <w:pPr>
        <w:pStyle w:val="ListParagraph"/>
        <w:widowControl/>
        <w:numPr>
          <w:ilvl w:val="0"/>
          <w:numId w:val="35"/>
        </w:numPr>
        <w:spacing w:after="60"/>
        <w:ind w:left="1080"/>
        <w:contextualSpacing w:val="0"/>
      </w:pPr>
      <w:r w:rsidRPr="00CB7750">
        <w:t>Q.2b If the response to Q.2a is “yes,” a yes/no question to determine if the maintenance always includes the treatme</w:t>
      </w:r>
      <w:r>
        <w:t>nt provided through the program</w:t>
      </w:r>
    </w:p>
    <w:p w14:paraId="0C134182" w14:textId="77777777" w:rsidR="00D34C6E" w:rsidRPr="00CB7750" w:rsidRDefault="00D34C6E" w:rsidP="00D34C6E">
      <w:pPr>
        <w:pStyle w:val="ListParagraph"/>
        <w:widowControl/>
        <w:numPr>
          <w:ilvl w:val="0"/>
          <w:numId w:val="35"/>
        </w:numPr>
        <w:spacing w:after="60"/>
        <w:ind w:left="1080"/>
        <w:contextualSpacing w:val="0"/>
      </w:pPr>
      <w:r w:rsidRPr="00CB7750">
        <w:t>Q.3a A yes/no question to determine if the participant had prior awareness of the performance issu</w:t>
      </w:r>
      <w:r>
        <w:t>es identified through the study</w:t>
      </w:r>
    </w:p>
    <w:p w14:paraId="59C4C60B" w14:textId="77777777" w:rsidR="00D34C6E" w:rsidRPr="00CB7750" w:rsidRDefault="00D34C6E" w:rsidP="00D34C6E">
      <w:pPr>
        <w:pStyle w:val="ListParagraph"/>
        <w:widowControl/>
        <w:numPr>
          <w:ilvl w:val="0"/>
          <w:numId w:val="35"/>
        </w:numPr>
        <w:ind w:left="1080"/>
        <w:contextualSpacing w:val="0"/>
      </w:pPr>
      <w:r w:rsidRPr="00CB7750">
        <w:t>Q.3b A 0-10 scale question about the participant’s level of familiarity with the recommended actions to rectify the performance issue</w:t>
      </w:r>
      <w:r>
        <w:t>.</w:t>
      </w:r>
    </w:p>
    <w:p w14:paraId="6CEE83D3" w14:textId="77777777" w:rsidR="00D34C6E" w:rsidRPr="00CB7750" w:rsidRDefault="00D34C6E" w:rsidP="00D34C6E">
      <w:r w:rsidRPr="00CB7750">
        <w:t>The counterfactual likelihood question (Q.4 – likelihood the participant would have taken action absent the program) and the</w:t>
      </w:r>
      <w:r>
        <w:t xml:space="preserve"> first</w:t>
      </w:r>
      <w:r w:rsidRPr="00CB7750">
        <w:t xml:space="preserve"> counterfactual timing question (</w:t>
      </w:r>
      <w:r>
        <w:t>used to develop Timing Adjustment 1</w:t>
      </w:r>
      <w:r w:rsidRPr="00CB7750">
        <w:t>) will be asked at the measure-group level. Measure-group level responses will be aggregated to the project level, using savings-based weights.</w:t>
      </w:r>
    </w:p>
    <w:p w14:paraId="1544267F" w14:textId="77777777" w:rsidR="00D34C6E" w:rsidRPr="00CB7750" w:rsidRDefault="00D34C6E" w:rsidP="00D34C6E">
      <w:r w:rsidRPr="00CB7750">
        <w:t>There will be two options for developing the No</w:t>
      </w:r>
      <w:r>
        <w:t>-</w:t>
      </w:r>
      <w:r w:rsidRPr="00CB7750">
        <w:t xml:space="preserve">Program </w:t>
      </w:r>
      <w:r>
        <w:t xml:space="preserve">FR </w:t>
      </w:r>
      <w:r w:rsidRPr="00CB7750">
        <w:t>Score:</w:t>
      </w:r>
    </w:p>
    <w:p w14:paraId="72859EE4" w14:textId="77777777" w:rsidR="00D34C6E" w:rsidRDefault="00D34C6E" w:rsidP="00D34C6E">
      <w:pPr>
        <w:pStyle w:val="ListParagraph"/>
        <w:widowControl/>
        <w:numPr>
          <w:ilvl w:val="0"/>
          <w:numId w:val="36"/>
        </w:numPr>
        <w:spacing w:after="60"/>
        <w:contextualSpacing w:val="0"/>
      </w:pPr>
      <w:r w:rsidRPr="00CB7750">
        <w:t xml:space="preserve">The measure-group level </w:t>
      </w:r>
      <w:r>
        <w:t xml:space="preserve">Adjusted </w:t>
      </w:r>
      <w:r w:rsidRPr="00CB7750">
        <w:t>No</w:t>
      </w:r>
      <w:r>
        <w:t>-</w:t>
      </w:r>
      <w:r w:rsidRPr="00CB7750">
        <w:t xml:space="preserve">Program FR Score will be developed following </w:t>
      </w:r>
      <w:r>
        <w:t>Algorithm</w:t>
      </w:r>
      <w:r w:rsidRPr="00CB7750">
        <w:t xml:space="preserve"> 1 of the Core </w:t>
      </w:r>
      <w:r>
        <w:t xml:space="preserve">Non-Residential FR </w:t>
      </w:r>
      <w:r w:rsidRPr="00CB7750">
        <w:t xml:space="preserve">approach, using responses to the counterfactual </w:t>
      </w:r>
      <w:r>
        <w:t xml:space="preserve">likelihood </w:t>
      </w:r>
      <w:r w:rsidRPr="00CB7750">
        <w:t xml:space="preserve">question (Q.4) and </w:t>
      </w:r>
      <w:r>
        <w:t>Timing Adjustment 1</w:t>
      </w:r>
      <w:r w:rsidRPr="00CB7750">
        <w:t>.</w:t>
      </w:r>
    </w:p>
    <w:p w14:paraId="0B2D78FB" w14:textId="77777777" w:rsidR="00D34C6E" w:rsidRDefault="00D34C6E" w:rsidP="00D34C6E">
      <w:pPr>
        <w:pStyle w:val="ListParagraph"/>
        <w:widowControl/>
        <w:numPr>
          <w:ilvl w:val="0"/>
          <w:numId w:val="36"/>
        </w:numPr>
        <w:spacing w:after="60"/>
        <w:contextualSpacing w:val="0"/>
      </w:pPr>
      <w:r w:rsidRPr="00CB7750">
        <w:t>The measure-group level No</w:t>
      </w:r>
      <w:r>
        <w:t>-</w:t>
      </w:r>
      <w:r w:rsidRPr="00CB7750">
        <w:t>Program FR Scores will be assigned, based on responses to Q.1, Q.2b, Q.3a, and Q.3b, as follows:</w:t>
      </w:r>
    </w:p>
    <w:p w14:paraId="6A86FB3D" w14:textId="77777777" w:rsidR="00D34C6E" w:rsidRDefault="00D34C6E" w:rsidP="00D34C6E">
      <w:pPr>
        <w:pStyle w:val="ListParagraph"/>
        <w:widowControl/>
        <w:numPr>
          <w:ilvl w:val="1"/>
          <w:numId w:val="36"/>
        </w:numPr>
        <w:spacing w:after="60"/>
        <w:contextualSpacing w:val="0"/>
      </w:pPr>
      <w:r w:rsidRPr="00CB7750">
        <w:t xml:space="preserve">If Q.2b = Yes, then </w:t>
      </w:r>
      <w:r>
        <w:t xml:space="preserve">No-Program </w:t>
      </w:r>
      <w:r w:rsidRPr="00CB7750">
        <w:t xml:space="preserve">FR </w:t>
      </w:r>
      <w:r>
        <w:t xml:space="preserve">Score </w:t>
      </w:r>
      <w:r w:rsidRPr="00CB7750">
        <w:t>= 1. This assumes that if the participant performs regular maintenance on the treated equipment and that maintenance always includes the issue addressed through the program, then the participant is a full free</w:t>
      </w:r>
      <w:r>
        <w:t xml:space="preserve"> </w:t>
      </w:r>
      <w:r w:rsidRPr="00CB7750">
        <w:t>rider for that measure group</w:t>
      </w:r>
      <w:r>
        <w:t xml:space="preserve"> for purposes of calculating the No-Program FR Score</w:t>
      </w:r>
      <w:r w:rsidRPr="00CB7750">
        <w:t>.</w:t>
      </w:r>
    </w:p>
    <w:p w14:paraId="57614CFE" w14:textId="77777777" w:rsidR="00D34C6E" w:rsidRDefault="00D34C6E" w:rsidP="00D34C6E">
      <w:pPr>
        <w:pStyle w:val="ListParagraph"/>
        <w:widowControl/>
        <w:numPr>
          <w:ilvl w:val="1"/>
          <w:numId w:val="36"/>
        </w:numPr>
        <w:spacing w:after="60"/>
        <w:contextualSpacing w:val="0"/>
      </w:pPr>
      <w:r w:rsidRPr="00CB7750">
        <w:t>If Q.3a = No and Q1 = 0 and Q.2b</w:t>
      </w:r>
      <w:r>
        <w:t xml:space="preserve"> ≠ </w:t>
      </w:r>
      <w:r w:rsidRPr="00CB7750">
        <w:t xml:space="preserve">Yes, then </w:t>
      </w:r>
      <w:r>
        <w:t xml:space="preserve">No-Program </w:t>
      </w:r>
      <w:r w:rsidRPr="00CB7750">
        <w:t xml:space="preserve">FR </w:t>
      </w:r>
      <w:r>
        <w:t xml:space="preserve">Score </w:t>
      </w:r>
      <w:r w:rsidRPr="00CB7750">
        <w:t>= 0. This assumes that if the participant was not aware of the performance issue and had a zero likelihood of performing the study absent the program and their maintenance practices do not always include the issue addressed through the program, then the participant is not a free</w:t>
      </w:r>
      <w:r>
        <w:t xml:space="preserve"> </w:t>
      </w:r>
      <w:r w:rsidRPr="00CB7750">
        <w:t>rider for that measure</w:t>
      </w:r>
      <w:r>
        <w:t xml:space="preserve"> </w:t>
      </w:r>
      <w:r w:rsidRPr="00CB7750">
        <w:t>group</w:t>
      </w:r>
      <w:r>
        <w:t xml:space="preserve"> for purposes of calculating the No-Program FR Score </w:t>
      </w:r>
      <w:r w:rsidRPr="00CB7750">
        <w:t>since they would not have found out about the issue absent the program.</w:t>
      </w:r>
    </w:p>
    <w:p w14:paraId="4AD39373" w14:textId="77777777" w:rsidR="00D34C6E" w:rsidRDefault="00D34C6E" w:rsidP="00D34C6E">
      <w:pPr>
        <w:pStyle w:val="ListParagraph"/>
        <w:widowControl/>
        <w:numPr>
          <w:ilvl w:val="1"/>
          <w:numId w:val="36"/>
        </w:numPr>
        <w:spacing w:after="60"/>
        <w:contextualSpacing w:val="0"/>
      </w:pPr>
      <w:r w:rsidRPr="00CB7750">
        <w:t>If</w:t>
      </w:r>
      <w:r>
        <w:t xml:space="preserve"> Q.3b = 0 and Q1 = 0 and Q.2b ≠</w:t>
      </w:r>
      <w:r w:rsidRPr="00CB7750">
        <w:t xml:space="preserve"> Yes, then </w:t>
      </w:r>
      <w:r>
        <w:t xml:space="preserve">No-Program </w:t>
      </w:r>
      <w:r w:rsidRPr="00CB7750">
        <w:t xml:space="preserve">FR </w:t>
      </w:r>
      <w:r>
        <w:t xml:space="preserve">Score </w:t>
      </w:r>
      <w:r w:rsidRPr="00CB7750">
        <w:t>= 0. This assumes that if the participant had no familiarity with how to rectify the performance issue</w:t>
      </w:r>
      <w:r>
        <w:t>,</w:t>
      </w:r>
      <w:r w:rsidRPr="00CB7750">
        <w:t xml:space="preserve"> had a zero likelihood of performing the study absent the program</w:t>
      </w:r>
      <w:r>
        <w:t>,</w:t>
      </w:r>
      <w:r w:rsidRPr="00CB7750">
        <w:t xml:space="preserve"> and their maintenance practices do not always include the issue addressed through the program, then the participant is not a free</w:t>
      </w:r>
      <w:r>
        <w:t xml:space="preserve"> </w:t>
      </w:r>
      <w:r w:rsidRPr="00CB7750">
        <w:t>rider for that measure</w:t>
      </w:r>
      <w:r>
        <w:t xml:space="preserve"> </w:t>
      </w:r>
      <w:r w:rsidRPr="00CB7750">
        <w:lastRenderedPageBreak/>
        <w:t xml:space="preserve">group </w:t>
      </w:r>
      <w:r>
        <w:t xml:space="preserve">for purposes of calculating the No-Program FR Score </w:t>
      </w:r>
      <w:r w:rsidRPr="00CB7750">
        <w:t>since they would not have known how to address the issue absent the program.</w:t>
      </w:r>
    </w:p>
    <w:p w14:paraId="31CC8130" w14:textId="77777777" w:rsidR="00D34C6E" w:rsidRPr="00CB7750" w:rsidRDefault="00D34C6E" w:rsidP="00D34C6E">
      <w:pPr>
        <w:pStyle w:val="ListParagraph"/>
        <w:widowControl/>
        <w:numPr>
          <w:ilvl w:val="1"/>
          <w:numId w:val="36"/>
        </w:numPr>
        <w:contextualSpacing w:val="0"/>
      </w:pPr>
      <w:r w:rsidRPr="00CB7750">
        <w:t xml:space="preserve">For all other combinations of responses to Q.1, Q.2b, Q.3a, and Q.3b, the measure-group level </w:t>
      </w:r>
      <w:r>
        <w:t xml:space="preserve">Adjusted </w:t>
      </w:r>
      <w:r w:rsidRPr="00CB7750">
        <w:t>No</w:t>
      </w:r>
      <w:r>
        <w:t>-</w:t>
      </w:r>
      <w:r w:rsidRPr="00CB7750">
        <w:t xml:space="preserve">Program FR Scores will be developed following </w:t>
      </w:r>
      <w:r>
        <w:t>Algorithm</w:t>
      </w:r>
      <w:r w:rsidRPr="00CB7750">
        <w:t xml:space="preserve"> 1 of the Core </w:t>
      </w:r>
      <w:r>
        <w:t xml:space="preserve">FR </w:t>
      </w:r>
      <w:r w:rsidRPr="00CB7750">
        <w:t xml:space="preserve">approach, using responses to the counterfactual </w:t>
      </w:r>
      <w:r>
        <w:t xml:space="preserve">likelihood </w:t>
      </w:r>
      <w:r w:rsidRPr="00CB7750">
        <w:t xml:space="preserve">question (Q.4) and </w:t>
      </w:r>
      <w:r>
        <w:t>Timing Adjustment 1</w:t>
      </w:r>
      <w:r w:rsidRPr="00CB7750">
        <w:t xml:space="preserve">. </w:t>
      </w:r>
    </w:p>
    <w:p w14:paraId="0D84E32F" w14:textId="178E9B87" w:rsidR="00D34C6E" w:rsidRDefault="0015224B" w:rsidP="00D21F1A">
      <w:pPr>
        <w:pStyle w:val="Captions"/>
      </w:pPr>
      <w:bookmarkStart w:id="1284" w:name="_Ref442686653"/>
      <w:bookmarkStart w:id="1285" w:name="_Ref442686646"/>
      <w:bookmarkStart w:id="1286" w:name="_Toc472494752"/>
      <w:bookmarkStart w:id="1287" w:name="_Toc473108112"/>
      <w:bookmarkStart w:id="1288" w:name="_Toc520824260"/>
      <w:bookmarkStart w:id="1289" w:name="_Toc523148242"/>
      <w:bookmarkStart w:id="1290" w:name="_Toc16620004"/>
      <w:bookmarkStart w:id="1291" w:name="_Toc83376831"/>
      <w:r w:rsidRPr="00952958">
        <w:rPr>
          <w:noProof/>
        </w:rPr>
        <w:drawing>
          <wp:anchor distT="0" distB="0" distL="114300" distR="114300" simplePos="0" relativeHeight="251646464" behindDoc="0" locked="0" layoutInCell="1" allowOverlap="1" wp14:anchorId="5D10FFC6" wp14:editId="49628FED">
            <wp:simplePos x="0" y="0"/>
            <wp:positionH relativeFrom="column">
              <wp:posOffset>0</wp:posOffset>
            </wp:positionH>
            <wp:positionV relativeFrom="paragraph">
              <wp:posOffset>186690</wp:posOffset>
            </wp:positionV>
            <wp:extent cx="6480175" cy="2647950"/>
            <wp:effectExtent l="0" t="0" r="0" b="0"/>
            <wp:wrapSquare wrapText="bothSides"/>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480175" cy="2647950"/>
                    </a:xfrm>
                    <a:prstGeom prst="rect">
                      <a:avLst/>
                    </a:prstGeom>
                    <a:noFill/>
                    <a:ln>
                      <a:noFill/>
                    </a:ln>
                  </pic:spPr>
                </pic:pic>
              </a:graphicData>
            </a:graphic>
          </wp:anchor>
        </w:drawing>
      </w:r>
      <w:r w:rsidR="00D34C6E">
        <w:t>Figure 3</w:t>
      </w:r>
      <w:r w:rsidR="00D34C6E">
        <w:noBreakHyphen/>
      </w:r>
      <w:bookmarkEnd w:id="1284"/>
      <w:r w:rsidR="00D34C6E">
        <w:t xml:space="preserve">4. </w:t>
      </w:r>
      <w:r w:rsidR="00D34C6E" w:rsidRPr="00D75CF5">
        <w:t>Study-Based Free Ridership—Overview</w:t>
      </w:r>
      <w:bookmarkEnd w:id="1285"/>
      <w:bookmarkEnd w:id="1286"/>
      <w:bookmarkEnd w:id="1287"/>
      <w:bookmarkEnd w:id="1288"/>
      <w:bookmarkEnd w:id="1289"/>
      <w:bookmarkEnd w:id="1290"/>
      <w:bookmarkEnd w:id="1291"/>
    </w:p>
    <w:p w14:paraId="3E0C4642" w14:textId="23EB5E55" w:rsidR="00D34C6E" w:rsidRDefault="00D34C6E" w:rsidP="00D34C6E"/>
    <w:p w14:paraId="5372618D" w14:textId="12F63CCA" w:rsidR="00D34C6E" w:rsidRDefault="0015224B" w:rsidP="00D21F1A">
      <w:pPr>
        <w:pStyle w:val="Captions"/>
      </w:pPr>
      <w:bookmarkStart w:id="1292" w:name="_Ref442627790"/>
      <w:bookmarkStart w:id="1293" w:name="_Toc472494753"/>
      <w:bookmarkStart w:id="1294" w:name="_Toc473108113"/>
      <w:bookmarkStart w:id="1295" w:name="_Toc520824261"/>
      <w:bookmarkStart w:id="1296" w:name="_Toc523148243"/>
      <w:bookmarkStart w:id="1297" w:name="_Toc83376832"/>
      <w:r w:rsidRPr="00952958">
        <w:rPr>
          <w:noProof/>
        </w:rPr>
        <w:drawing>
          <wp:anchor distT="0" distB="0" distL="114300" distR="114300" simplePos="0" relativeHeight="251652608" behindDoc="0" locked="0" layoutInCell="1" allowOverlap="1" wp14:anchorId="2B4044DB" wp14:editId="49C19876">
            <wp:simplePos x="0" y="0"/>
            <wp:positionH relativeFrom="column">
              <wp:posOffset>0</wp:posOffset>
            </wp:positionH>
            <wp:positionV relativeFrom="paragraph">
              <wp:posOffset>188595</wp:posOffset>
            </wp:positionV>
            <wp:extent cx="6663055" cy="3569970"/>
            <wp:effectExtent l="0" t="0" r="4445" b="0"/>
            <wp:wrapSquare wrapText="bothSides"/>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3" cstate="print">
                      <a:extLst>
                        <a:ext uri="{28A0092B-C50C-407E-A947-70E740481C1C}">
                          <a14:useLocalDpi xmlns:a14="http://schemas.microsoft.com/office/drawing/2010/main" val="0"/>
                        </a:ext>
                      </a:extLst>
                    </a:blip>
                    <a:srcRect l="2084" t="6586" r="2072" b="2148"/>
                    <a:stretch>
                      <a:fillRect/>
                    </a:stretch>
                  </pic:blipFill>
                  <pic:spPr bwMode="auto">
                    <a:xfrm>
                      <a:off x="0" y="0"/>
                      <a:ext cx="6663055" cy="3569970"/>
                    </a:xfrm>
                    <a:prstGeom prst="rect">
                      <a:avLst/>
                    </a:prstGeom>
                    <a:noFill/>
                    <a:ln>
                      <a:noFill/>
                    </a:ln>
                  </pic:spPr>
                </pic:pic>
              </a:graphicData>
            </a:graphic>
          </wp:anchor>
        </w:drawing>
      </w:r>
      <w:bookmarkStart w:id="1298" w:name="_Toc16620005"/>
      <w:r w:rsidR="00D34C6E">
        <w:t>Figure 3</w:t>
      </w:r>
      <w:r w:rsidR="00D34C6E">
        <w:noBreakHyphen/>
      </w:r>
      <w:bookmarkEnd w:id="1292"/>
      <w:r w:rsidR="00D34C6E">
        <w:t xml:space="preserve">5. </w:t>
      </w:r>
      <w:r w:rsidR="00D34C6E" w:rsidRPr="00441878">
        <w:t>Study-Based Free Ridership—No-Program FR Score Option #1</w:t>
      </w:r>
      <w:bookmarkEnd w:id="1293"/>
      <w:bookmarkEnd w:id="1294"/>
      <w:bookmarkEnd w:id="1295"/>
      <w:bookmarkEnd w:id="1296"/>
      <w:bookmarkEnd w:id="1297"/>
      <w:bookmarkEnd w:id="1298"/>
    </w:p>
    <w:p w14:paraId="5B13E171" w14:textId="77777777" w:rsidR="00D34C6E" w:rsidRDefault="00D34C6E" w:rsidP="0015224B">
      <w:r>
        <w:br w:type="page"/>
      </w:r>
    </w:p>
    <w:p w14:paraId="24BCA284" w14:textId="09388BF5" w:rsidR="00D34C6E" w:rsidRDefault="0015224B" w:rsidP="00D21F1A">
      <w:pPr>
        <w:pStyle w:val="Captions"/>
      </w:pPr>
      <w:bookmarkStart w:id="1299" w:name="_Ref442627799"/>
      <w:bookmarkStart w:id="1300" w:name="_Toc472494754"/>
      <w:bookmarkStart w:id="1301" w:name="_Toc473108114"/>
      <w:bookmarkStart w:id="1302" w:name="_Toc520824262"/>
      <w:bookmarkStart w:id="1303" w:name="_Toc523148244"/>
      <w:bookmarkStart w:id="1304" w:name="_Toc16620006"/>
      <w:bookmarkStart w:id="1305" w:name="_Toc83376833"/>
      <w:r w:rsidRPr="00952958">
        <w:rPr>
          <w:noProof/>
        </w:rPr>
        <w:lastRenderedPageBreak/>
        <w:drawing>
          <wp:anchor distT="0" distB="0" distL="114300" distR="114300" simplePos="0" relativeHeight="251649536" behindDoc="0" locked="0" layoutInCell="1" allowOverlap="1" wp14:anchorId="6631988D" wp14:editId="03799DDC">
            <wp:simplePos x="0" y="0"/>
            <wp:positionH relativeFrom="column">
              <wp:posOffset>0</wp:posOffset>
            </wp:positionH>
            <wp:positionV relativeFrom="paragraph">
              <wp:posOffset>187325</wp:posOffset>
            </wp:positionV>
            <wp:extent cx="6631305" cy="3569970"/>
            <wp:effectExtent l="0" t="0" r="0" b="0"/>
            <wp:wrapSquare wrapText="bothSides"/>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l="1923" t="6508" r="2084" b="1987"/>
                    <a:stretch>
                      <a:fillRect/>
                    </a:stretch>
                  </pic:blipFill>
                  <pic:spPr bwMode="auto">
                    <a:xfrm>
                      <a:off x="0" y="0"/>
                      <a:ext cx="6631305" cy="3569970"/>
                    </a:xfrm>
                    <a:prstGeom prst="rect">
                      <a:avLst/>
                    </a:prstGeom>
                    <a:noFill/>
                    <a:ln>
                      <a:noFill/>
                    </a:ln>
                  </pic:spPr>
                </pic:pic>
              </a:graphicData>
            </a:graphic>
          </wp:anchor>
        </w:drawing>
      </w:r>
      <w:r w:rsidR="00D34C6E">
        <w:t>Figure 3</w:t>
      </w:r>
      <w:r w:rsidR="00D34C6E">
        <w:noBreakHyphen/>
      </w:r>
      <w:bookmarkEnd w:id="1299"/>
      <w:r w:rsidR="00D34C6E">
        <w:t xml:space="preserve">6. </w:t>
      </w:r>
      <w:r w:rsidR="00D34C6E" w:rsidRPr="0008714F">
        <w:t>Study-Based Free Ridership—No-Program FR Score Option #2</w:t>
      </w:r>
      <w:bookmarkEnd w:id="1300"/>
      <w:bookmarkEnd w:id="1301"/>
      <w:bookmarkEnd w:id="1302"/>
      <w:bookmarkEnd w:id="1303"/>
      <w:bookmarkEnd w:id="1304"/>
      <w:bookmarkEnd w:id="1305"/>
    </w:p>
    <w:p w14:paraId="73B35C18" w14:textId="0B6DAAA7" w:rsidR="00D34C6E" w:rsidRDefault="00D34C6E" w:rsidP="00D34C6E">
      <w:pPr>
        <w:jc w:val="center"/>
      </w:pPr>
    </w:p>
    <w:p w14:paraId="42E1031F" w14:textId="77777777" w:rsidR="00D34C6E" w:rsidRPr="00CB7750" w:rsidRDefault="00D34C6E" w:rsidP="00D34C6E">
      <w:r w:rsidRPr="00CB7750">
        <w:t xml:space="preserve">Evaluators will calculate free ridership </w:t>
      </w:r>
      <w:r>
        <w:t>values</w:t>
      </w:r>
      <w:r w:rsidRPr="00CB7750">
        <w:t xml:space="preserve"> for study-based programs as follows: </w:t>
      </w:r>
    </w:p>
    <w:p w14:paraId="4D41A696" w14:textId="77777777" w:rsidR="00D34C6E" w:rsidRPr="00CB7750" w:rsidRDefault="00D34C6E" w:rsidP="00D34C6E">
      <w:pPr>
        <w:spacing w:after="60"/>
        <w:ind w:left="720"/>
      </w:pPr>
      <w:r w:rsidRPr="00CB7750">
        <w:t>FR = AVERAGE (</w:t>
      </w:r>
      <w:r>
        <w:t>[</w:t>
      </w:r>
      <w:r w:rsidRPr="00CB7750">
        <w:t>Program Components</w:t>
      </w:r>
      <w:r>
        <w:t xml:space="preserve"> FR</w:t>
      </w:r>
      <w:r w:rsidRPr="00CB7750">
        <w:t xml:space="preserve"> Score</w:t>
      </w:r>
      <w:r>
        <w:t>]</w:t>
      </w:r>
      <w:r w:rsidRPr="00CB7750">
        <w:t xml:space="preserve">, </w:t>
      </w:r>
      <w:r>
        <w:t>[</w:t>
      </w:r>
      <w:r w:rsidRPr="00CB7750">
        <w:t xml:space="preserve">Program Influence </w:t>
      </w:r>
      <w:r>
        <w:t xml:space="preserve">FR </w:t>
      </w:r>
      <w:r w:rsidRPr="00CB7750">
        <w:t>Score</w:t>
      </w:r>
      <w:r>
        <w:t>]</w:t>
      </w:r>
      <w:r w:rsidRPr="00CB7750">
        <w:t xml:space="preserve">, </w:t>
      </w:r>
      <w:r>
        <w:t>[</w:t>
      </w:r>
      <w:r w:rsidRPr="00CB7750">
        <w:t xml:space="preserve">No-Program </w:t>
      </w:r>
      <w:r>
        <w:t xml:space="preserve">FR </w:t>
      </w:r>
      <w:r w:rsidRPr="00CB7750">
        <w:t>Score</w:t>
      </w:r>
      <w:r>
        <w:t xml:space="preserve"> * Timing Adjustment 1]</w:t>
      </w:r>
      <w:r w:rsidRPr="00CB7750">
        <w:t>)</w:t>
      </w:r>
    </w:p>
    <w:p w14:paraId="6AA098AA" w14:textId="77777777" w:rsidR="00D34C6E" w:rsidRDefault="00D34C6E" w:rsidP="00D34C6E">
      <w:pPr>
        <w:rPr>
          <w:rFonts w:eastAsia="Franklin Gothic Book"/>
        </w:rPr>
      </w:pPr>
      <w:r w:rsidRPr="00CB7750">
        <w:t>Evaluators will develop estimates of free ridership based on the two No</w:t>
      </w:r>
      <w:r>
        <w:t>-</w:t>
      </w:r>
      <w:r w:rsidRPr="00CB7750">
        <w:t xml:space="preserve">Program </w:t>
      </w:r>
      <w:r>
        <w:t xml:space="preserve">FR </w:t>
      </w:r>
      <w:r w:rsidRPr="00CB7750">
        <w:t xml:space="preserve">Score options outlined above. Evaluators will </w:t>
      </w:r>
      <w:r w:rsidRPr="00CB7750">
        <w:rPr>
          <w:rFonts w:eastAsia="Franklin Gothic Book"/>
        </w:rPr>
        <w:t xml:space="preserve">select one of these for purposes of calculating the annual incremental energy savings </w:t>
      </w:r>
      <w:r>
        <w:rPr>
          <w:rFonts w:eastAsia="Franklin Gothic Book"/>
        </w:rPr>
        <w:t>for comparing to the legislated goal</w:t>
      </w:r>
      <w:r w:rsidRPr="00CB7750">
        <w:rPr>
          <w:rFonts w:eastAsia="Franklin Gothic Book"/>
        </w:rPr>
        <w:t>. Evaluators will present the results of both estimates of free ridership in EM&amp;V reporting.</w:t>
      </w:r>
    </w:p>
    <w:p w14:paraId="2E0D993C" w14:textId="77777777" w:rsidR="00D34C6E" w:rsidRPr="009B67BF" w:rsidRDefault="00D34C6E" w:rsidP="00D34C6E">
      <w:pPr>
        <w:pStyle w:val="Heading2"/>
        <w:keepLines w:val="0"/>
        <w:widowControl/>
        <w:numPr>
          <w:ilvl w:val="1"/>
          <w:numId w:val="8"/>
        </w:numPr>
        <w:jc w:val="left"/>
      </w:pPr>
      <w:bookmarkStart w:id="1306" w:name="_Toc442310040"/>
      <w:bookmarkStart w:id="1307" w:name="_Ref442611133"/>
      <w:bookmarkStart w:id="1308" w:name="_Ref442611145"/>
      <w:bookmarkStart w:id="1309" w:name="_Toc442804250"/>
      <w:bookmarkStart w:id="1310" w:name="_Toc442805467"/>
      <w:bookmarkStart w:id="1311" w:name="_Toc472494702"/>
      <w:bookmarkStart w:id="1312" w:name="_Toc520462900"/>
      <w:bookmarkStart w:id="1313" w:name="_Toc473108044"/>
      <w:bookmarkStart w:id="1314" w:name="_Toc520824156"/>
      <w:bookmarkStart w:id="1315" w:name="_Toc16619939"/>
      <w:bookmarkStart w:id="1316" w:name="_Toc113619794"/>
      <w:bookmarkStart w:id="1317" w:name="_Ref442305146"/>
      <w:bookmarkStart w:id="1318" w:name="_Ref442305151"/>
      <w:r>
        <w:t>Technical Assistance Protocol</w:t>
      </w:r>
      <w:bookmarkEnd w:id="1306"/>
      <w:bookmarkEnd w:id="1307"/>
      <w:bookmarkEnd w:id="1308"/>
      <w:bookmarkEnd w:id="1309"/>
      <w:bookmarkEnd w:id="1310"/>
      <w:bookmarkEnd w:id="1311"/>
      <w:bookmarkEnd w:id="1312"/>
      <w:bookmarkEnd w:id="1313"/>
      <w:bookmarkEnd w:id="1314"/>
      <w:bookmarkEnd w:id="1315"/>
      <w:bookmarkEnd w:id="1316"/>
    </w:p>
    <w:p w14:paraId="5ABC66B7" w14:textId="77777777" w:rsidR="00D34C6E" w:rsidRPr="00143C47" w:rsidRDefault="00D34C6E" w:rsidP="00D34C6E">
      <w:r w:rsidRPr="00143C47">
        <w:t xml:space="preserve">This protocol is applicable to programs that provide technical assistance to encourage the adoption of energy efficiency measures in non-residential facilities, but do not provide financial incentives. </w:t>
      </w:r>
    </w:p>
    <w:p w14:paraId="08BD651B" w14:textId="77777777" w:rsidR="00D34C6E" w:rsidRPr="00143C47" w:rsidRDefault="00D34C6E" w:rsidP="00D34C6E">
      <w:r>
        <w:rPr>
          <w:szCs w:val="20"/>
        </w:rPr>
        <w:t xml:space="preserve">Program-attributable savings from </w:t>
      </w:r>
      <w:proofErr w:type="gramStart"/>
      <w:r>
        <w:rPr>
          <w:szCs w:val="20"/>
        </w:rPr>
        <w:t>Technical</w:t>
      </w:r>
      <w:proofErr w:type="gramEnd"/>
      <w:r>
        <w:rPr>
          <w:szCs w:val="20"/>
        </w:rPr>
        <w:t xml:space="preserve"> assistance programs are achieved when a</w:t>
      </w:r>
      <w:r w:rsidRPr="00173F47">
        <w:rPr>
          <w:szCs w:val="20"/>
        </w:rPr>
        <w:t xml:space="preserve"> </w:t>
      </w:r>
      <w:r w:rsidRPr="00CB0634">
        <w:rPr>
          <w:szCs w:val="20"/>
        </w:rPr>
        <w:t>program participant—as a result of the program’s influence via the training or technical assistance provided—undertakes energy efficiency improvements on their own, without any direct financial assistance from any other Illinois energy efficiency program.</w:t>
      </w:r>
    </w:p>
    <w:p w14:paraId="64DC827D" w14:textId="77777777" w:rsidR="00D34C6E" w:rsidRPr="00554DD9" w:rsidRDefault="00D34C6E" w:rsidP="00D34C6E">
      <w:pPr>
        <w:rPr>
          <w:rFonts w:eastAsia="Franklin Gothic Book"/>
        </w:rPr>
      </w:pPr>
      <w:r w:rsidRPr="00554DD9">
        <w:rPr>
          <w:rFonts w:eastAsia="Franklin Gothic Book"/>
        </w:rPr>
        <w:t>An initial determination of program-attributable savings is made based on self-reported findings from surveys of program participants. At a minimum, surveys collecting data pertaining to participant measure implementation will obtain general information on the specific measures installed and information substantiating their attribution to the program. Research on the specific characteristics of the energy-efficient equipment installed and the baseline and operating conditions needed to estimate savings may be done in one of two ways: 1) a detailed battery of measure specific questions may be administered as part of the initial survey; or 2) a separate in-depth follow-up interview may be conducted by the engineer or analyst responsible for the energy savings calculation. These collected data may be augmented by detailed facility and measure characteristics if provided by program staff.</w:t>
      </w:r>
    </w:p>
    <w:p w14:paraId="7A86F2C3" w14:textId="77777777" w:rsidR="00D34C6E" w:rsidRPr="00554DD9" w:rsidRDefault="00D34C6E" w:rsidP="0088039F">
      <w:pPr>
        <w:pStyle w:val="Heading3"/>
      </w:pPr>
      <w:bookmarkStart w:id="1319" w:name="_Toc472494703"/>
      <w:bookmarkStart w:id="1320" w:name="_Toc520462901"/>
      <w:bookmarkStart w:id="1321" w:name="_Toc473108045"/>
      <w:bookmarkStart w:id="1322" w:name="_Toc520824157"/>
      <w:bookmarkStart w:id="1323" w:name="_Toc16619940"/>
      <w:bookmarkStart w:id="1324" w:name="_Toc113619795"/>
      <w:r w:rsidRPr="00554DD9">
        <w:t>Free Ridership</w:t>
      </w:r>
      <w:bookmarkEnd w:id="1319"/>
      <w:bookmarkEnd w:id="1320"/>
      <w:bookmarkEnd w:id="1321"/>
      <w:bookmarkEnd w:id="1322"/>
      <w:bookmarkEnd w:id="1323"/>
      <w:bookmarkEnd w:id="1324"/>
    </w:p>
    <w:p w14:paraId="261C1EA0" w14:textId="77777777" w:rsidR="00D34C6E" w:rsidRDefault="00D34C6E" w:rsidP="00D34C6E">
      <w:pPr>
        <w:pStyle w:val="ListParagraph"/>
        <w:numPr>
          <w:ilvl w:val="0"/>
          <w:numId w:val="47"/>
        </w:numPr>
        <w:spacing w:after="60"/>
        <w:contextualSpacing w:val="0"/>
      </w:pPr>
      <w:r w:rsidRPr="00343360">
        <w:t xml:space="preserve">The FR algorithm for Technical Assistance programs is identical to the Core Non-Residential FR protocol, </w:t>
      </w:r>
      <w:r w:rsidRPr="00343360">
        <w:lastRenderedPageBreak/>
        <w:t xml:space="preserve">with the following exception: </w:t>
      </w:r>
    </w:p>
    <w:p w14:paraId="1FCF964D" w14:textId="77777777" w:rsidR="00D34C6E" w:rsidRPr="004359B4" w:rsidRDefault="00D34C6E" w:rsidP="00D34C6E">
      <w:pPr>
        <w:pStyle w:val="ListParagraph"/>
        <w:numPr>
          <w:ilvl w:val="1"/>
          <w:numId w:val="47"/>
        </w:numPr>
        <w:spacing w:after="60"/>
        <w:contextualSpacing w:val="0"/>
      </w:pPr>
      <w:r w:rsidRPr="00343360">
        <w:t xml:space="preserve">For the Program Components score, the list of program and non-program components differs extensively from conventional programs and therefore, is described in some detail here. As under the Core Protocol, evaluators administer survey questions to obtain participants’ rating of the importance of a comprehensive list of program and non-program factors on the decision to implement energy efficiency measures. Examples of Technical Assistance program factors that may be included are: </w:t>
      </w:r>
      <w:r w:rsidRPr="004359B4">
        <w:t>Documentation in a program-provided technical report of the energy saving opportunities from installing the measure.</w:t>
      </w:r>
    </w:p>
    <w:p w14:paraId="79C5C7F5" w14:textId="77777777" w:rsidR="00D34C6E" w:rsidRPr="004359B4" w:rsidRDefault="00D34C6E" w:rsidP="00D34C6E">
      <w:pPr>
        <w:pStyle w:val="ListParagraph"/>
        <w:numPr>
          <w:ilvl w:val="0"/>
          <w:numId w:val="47"/>
        </w:numPr>
        <w:spacing w:after="60"/>
        <w:contextualSpacing w:val="0"/>
      </w:pPr>
      <w:r w:rsidRPr="004359B4">
        <w:t>Verbal information or guidance provided by a program representative or energy auditor during a training course or an on-site visit.</w:t>
      </w:r>
    </w:p>
    <w:p w14:paraId="339506DA" w14:textId="0B86D439" w:rsidR="00D34C6E" w:rsidRPr="004359B4" w:rsidRDefault="00D34C6E" w:rsidP="00D34C6E">
      <w:pPr>
        <w:pStyle w:val="ListParagraph"/>
        <w:numPr>
          <w:ilvl w:val="0"/>
          <w:numId w:val="47"/>
        </w:numPr>
        <w:contextualSpacing w:val="0"/>
      </w:pPr>
      <w:r w:rsidRPr="004359B4">
        <w:t xml:space="preserve">A follow-up communication from the utility regarding implementing the recommendations provided through the audit, </w:t>
      </w:r>
      <w:r w:rsidR="00143DB8" w:rsidRPr="004359B4">
        <w:t>training,</w:t>
      </w:r>
      <w:r w:rsidRPr="004359B4">
        <w:t xml:space="preserve"> or technical assistance.</w:t>
      </w:r>
    </w:p>
    <w:p w14:paraId="7734B4FB" w14:textId="77777777" w:rsidR="00D34C6E" w:rsidRPr="004359B4" w:rsidRDefault="00D34C6E" w:rsidP="00D34C6E">
      <w:r w:rsidRPr="004359B4">
        <w:t>Examples of Technical Assistance non-program factors that may be included are:</w:t>
      </w:r>
    </w:p>
    <w:p w14:paraId="3C0FEE94" w14:textId="77777777" w:rsidR="00D34C6E" w:rsidRPr="004359B4" w:rsidRDefault="00D34C6E" w:rsidP="00D34C6E">
      <w:pPr>
        <w:pStyle w:val="ListParagraph"/>
        <w:numPr>
          <w:ilvl w:val="0"/>
          <w:numId w:val="47"/>
        </w:numPr>
        <w:spacing w:after="60"/>
        <w:contextualSpacing w:val="0"/>
      </w:pPr>
      <w:r w:rsidRPr="004359B4">
        <w:t>Information from trade shows, conferences, or other professional gatherings</w:t>
      </w:r>
    </w:p>
    <w:p w14:paraId="4A408519" w14:textId="77777777" w:rsidR="00D34C6E" w:rsidRPr="004359B4" w:rsidRDefault="00D34C6E" w:rsidP="00D34C6E">
      <w:pPr>
        <w:pStyle w:val="ListParagraph"/>
        <w:numPr>
          <w:ilvl w:val="0"/>
          <w:numId w:val="47"/>
        </w:numPr>
        <w:spacing w:after="60"/>
        <w:contextualSpacing w:val="0"/>
      </w:pPr>
      <w:r w:rsidRPr="004359B4">
        <w:t xml:space="preserve">Recommendation from an equipment vendor that sold you the measure and/or installed it </w:t>
      </w:r>
    </w:p>
    <w:p w14:paraId="283EE80D" w14:textId="77777777" w:rsidR="00D34C6E" w:rsidRPr="004359B4" w:rsidRDefault="00D34C6E" w:rsidP="00D34C6E">
      <w:pPr>
        <w:pStyle w:val="ListParagraph"/>
        <w:numPr>
          <w:ilvl w:val="0"/>
          <w:numId w:val="47"/>
        </w:numPr>
        <w:spacing w:after="60"/>
        <w:contextualSpacing w:val="0"/>
      </w:pPr>
      <w:r w:rsidRPr="004359B4">
        <w:t>Previous experience with the measure</w:t>
      </w:r>
    </w:p>
    <w:p w14:paraId="1058F7A5" w14:textId="77777777" w:rsidR="00D34C6E" w:rsidRPr="004359B4" w:rsidRDefault="00D34C6E" w:rsidP="00D34C6E">
      <w:pPr>
        <w:pStyle w:val="ListParagraph"/>
        <w:numPr>
          <w:ilvl w:val="0"/>
          <w:numId w:val="47"/>
        </w:numPr>
        <w:spacing w:after="60"/>
        <w:contextualSpacing w:val="0"/>
      </w:pPr>
      <w:r w:rsidRPr="004359B4">
        <w:t>A recommendation from a design or consulting engineer</w:t>
      </w:r>
    </w:p>
    <w:p w14:paraId="40211BE8" w14:textId="77777777" w:rsidR="00D34C6E" w:rsidRPr="004359B4" w:rsidRDefault="00D34C6E" w:rsidP="00D34C6E">
      <w:pPr>
        <w:pStyle w:val="ListParagraph"/>
        <w:numPr>
          <w:ilvl w:val="0"/>
          <w:numId w:val="47"/>
        </w:numPr>
        <w:spacing w:after="60"/>
        <w:contextualSpacing w:val="0"/>
      </w:pPr>
      <w:r w:rsidRPr="004359B4">
        <w:t xml:space="preserve">Standard practice in your business/industry </w:t>
      </w:r>
    </w:p>
    <w:p w14:paraId="51385824" w14:textId="77777777" w:rsidR="00D34C6E" w:rsidRPr="004359B4" w:rsidRDefault="00D34C6E" w:rsidP="00D34C6E">
      <w:pPr>
        <w:pStyle w:val="ListParagraph"/>
        <w:numPr>
          <w:ilvl w:val="0"/>
          <w:numId w:val="47"/>
        </w:numPr>
        <w:spacing w:after="60"/>
        <w:contextualSpacing w:val="0"/>
      </w:pPr>
      <w:r w:rsidRPr="004359B4">
        <w:t xml:space="preserve">Corporate policy or guidelines </w:t>
      </w:r>
    </w:p>
    <w:p w14:paraId="799A3424" w14:textId="77777777" w:rsidR="00D34C6E" w:rsidRDefault="00D34C6E" w:rsidP="00D34C6E">
      <w:pPr>
        <w:pStyle w:val="ListParagraph"/>
        <w:numPr>
          <w:ilvl w:val="0"/>
          <w:numId w:val="47"/>
        </w:numPr>
        <w:contextualSpacing w:val="0"/>
      </w:pPr>
      <w:r w:rsidRPr="004359B4">
        <w:t>Payback on the investment</w:t>
      </w:r>
    </w:p>
    <w:p w14:paraId="2BCF4BD4" w14:textId="77777777" w:rsidR="00D34C6E" w:rsidRDefault="00D34C6E" w:rsidP="00D34C6E">
      <w:pPr>
        <w:pStyle w:val="ListParagraph"/>
        <w:numPr>
          <w:ilvl w:val="0"/>
          <w:numId w:val="47"/>
        </w:numPr>
        <w:contextualSpacing w:val="0"/>
      </w:pPr>
      <w:r>
        <w:br w:type="page"/>
      </w:r>
    </w:p>
    <w:p w14:paraId="4A9CDC81" w14:textId="77777777" w:rsidR="00D34C6E" w:rsidRPr="009B67BF" w:rsidRDefault="00D34C6E" w:rsidP="00D34C6E">
      <w:pPr>
        <w:pStyle w:val="Heading1"/>
        <w:keepLines w:val="0"/>
        <w:widowControl/>
        <w:numPr>
          <w:ilvl w:val="0"/>
          <w:numId w:val="8"/>
        </w:numPr>
        <w:tabs>
          <w:tab w:val="decimal" w:pos="720"/>
        </w:tabs>
        <w:ind w:left="0" w:firstLine="0"/>
        <w:jc w:val="left"/>
      </w:pPr>
      <w:bookmarkStart w:id="1325" w:name="_Toc431526451"/>
      <w:bookmarkStart w:id="1326" w:name="_Ref441826293"/>
      <w:bookmarkStart w:id="1327" w:name="_Ref441826302"/>
      <w:bookmarkStart w:id="1328" w:name="_Toc442804255"/>
      <w:bookmarkStart w:id="1329" w:name="_Toc442805472"/>
      <w:bookmarkStart w:id="1330" w:name="_Toc472494704"/>
      <w:bookmarkStart w:id="1331" w:name="_Toc520462902"/>
      <w:bookmarkStart w:id="1332" w:name="_Toc473108046"/>
      <w:bookmarkStart w:id="1333" w:name="_Ref522178629"/>
      <w:bookmarkStart w:id="1334" w:name="_Ref522178698"/>
      <w:bookmarkStart w:id="1335" w:name="_Toc520824158"/>
      <w:bookmarkStart w:id="1336" w:name="_Toc16619941"/>
      <w:bookmarkStart w:id="1337" w:name="_Toc113619796"/>
      <w:bookmarkEnd w:id="1255"/>
      <w:bookmarkEnd w:id="1256"/>
      <w:bookmarkEnd w:id="1257"/>
      <w:bookmarkEnd w:id="1317"/>
      <w:bookmarkEnd w:id="1318"/>
      <w:r w:rsidRPr="009B67BF">
        <w:lastRenderedPageBreak/>
        <w:t xml:space="preserve">Residential and </w:t>
      </w:r>
      <w:proofErr w:type="gramStart"/>
      <w:r w:rsidRPr="009B67BF">
        <w:t>Low Income</w:t>
      </w:r>
      <w:proofErr w:type="gramEnd"/>
      <w:r w:rsidRPr="009B67BF">
        <w:t xml:space="preserve"> </w:t>
      </w:r>
      <w:bookmarkEnd w:id="1228"/>
      <w:r w:rsidRPr="009B67BF">
        <w:t>Sector</w:t>
      </w:r>
      <w:r>
        <w:t xml:space="preserve"> Protocol</w:t>
      </w:r>
      <w:r w:rsidRPr="009B67BF">
        <w:t>s</w:t>
      </w:r>
      <w:bookmarkEnd w:id="1325"/>
      <w:bookmarkEnd w:id="1326"/>
      <w:bookmarkEnd w:id="1327"/>
      <w:bookmarkEnd w:id="1328"/>
      <w:bookmarkEnd w:id="1329"/>
      <w:bookmarkEnd w:id="1330"/>
      <w:bookmarkEnd w:id="1331"/>
      <w:bookmarkEnd w:id="1332"/>
      <w:bookmarkEnd w:id="1333"/>
      <w:bookmarkEnd w:id="1334"/>
      <w:bookmarkEnd w:id="1335"/>
      <w:bookmarkEnd w:id="1336"/>
      <w:bookmarkEnd w:id="1337"/>
    </w:p>
    <w:p w14:paraId="7EC42E8E" w14:textId="3E16B6C3" w:rsidR="00D34C6E" w:rsidRDefault="00D34C6E" w:rsidP="00D34C6E">
      <w:pPr>
        <w:rPr>
          <w:rFonts w:eastAsia="Franklin Gothic Book"/>
        </w:rPr>
      </w:pPr>
      <w:r w:rsidRPr="009B67BF">
        <w:rPr>
          <w:rFonts w:eastAsia="Franklin Gothic Book"/>
        </w:rPr>
        <w:t>The table below lists Illinois residential programs and the NTG protocol applicable to each program.</w:t>
      </w:r>
      <w:r>
        <w:rPr>
          <w:rStyle w:val="FootnoteReference"/>
          <w:rFonts w:eastAsia="Franklin Gothic Book"/>
        </w:rPr>
        <w:footnoteReference w:id="74"/>
      </w:r>
      <w:r w:rsidRPr="009E4AF0">
        <w:rPr>
          <w:rFonts w:eastAsia="Franklin Gothic Book"/>
        </w:rPr>
        <w:t xml:space="preserve"> </w:t>
      </w:r>
      <w:r>
        <w:rPr>
          <w:rFonts w:eastAsia="Franklin Gothic Book"/>
        </w:rPr>
        <w:t xml:space="preserve">If the design of a given program changes significantly, then it may mean that the NTG protocol listed for that program in this document is no longer appropriate. If that happens, the evaluator should follow the procedures outlined in Section 1.4: </w:t>
      </w:r>
      <w:r w:rsidRPr="007E1B15">
        <w:rPr>
          <w:rFonts w:eastAsia="Franklin Gothic Book"/>
        </w:rPr>
        <w:t>Diverging from the IL-NTG Methods</w:t>
      </w:r>
      <w:bookmarkStart w:id="1338" w:name="_Toc411554705"/>
      <w:r>
        <w:rPr>
          <w:rFonts w:eastAsia="Franklin Gothic Book"/>
        </w:rPr>
        <w:t>.</w:t>
      </w:r>
    </w:p>
    <w:p w14:paraId="595153E3" w14:textId="77777777" w:rsidR="009C7117" w:rsidRPr="002B20D1" w:rsidRDefault="009C7117" w:rsidP="009C7117">
      <w:pPr>
        <w:pStyle w:val="TableHeading"/>
      </w:pPr>
      <w:bookmarkStart w:id="1339" w:name="_Toc83376853"/>
      <w:r w:rsidRPr="002B20D1">
        <w:t>Table 4</w:t>
      </w:r>
      <w:r w:rsidRPr="002B20D1">
        <w:noBreakHyphen/>
        <w:t>1. Residential and Low Income Programs</w:t>
      </w:r>
      <w:bookmarkEnd w:id="1339"/>
    </w:p>
    <w:tbl>
      <w:tblPr>
        <w:tblW w:w="94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3545"/>
        <w:gridCol w:w="4245"/>
      </w:tblGrid>
      <w:tr w:rsidR="00F11348" w:rsidRPr="002F5FEF" w14:paraId="51857ECC" w14:textId="77777777" w:rsidTr="006B303F">
        <w:trPr>
          <w:trHeight w:val="20"/>
          <w:tblHeader/>
          <w:jc w:val="center"/>
        </w:trPr>
        <w:tc>
          <w:tcPr>
            <w:tcW w:w="1670" w:type="dxa"/>
            <w:shd w:val="clear" w:color="auto" w:fill="FFFFFF" w:themeFill="background1"/>
            <w:vAlign w:val="center"/>
            <w:hideMark/>
          </w:tcPr>
          <w:p w14:paraId="7D97C99F" w14:textId="77777777" w:rsidR="00F11348" w:rsidRPr="00C66D8E" w:rsidRDefault="00F11348" w:rsidP="006B303F">
            <w:pPr>
              <w:spacing w:after="0"/>
              <w:jc w:val="center"/>
              <w:rPr>
                <w:b/>
                <w:bCs/>
                <w:color w:val="000000"/>
                <w:szCs w:val="20"/>
              </w:rPr>
            </w:pPr>
            <w:r w:rsidRPr="00C66D8E">
              <w:rPr>
                <w:b/>
                <w:bCs/>
                <w:color w:val="000000"/>
                <w:szCs w:val="20"/>
              </w:rPr>
              <w:t>Program Administrator</w:t>
            </w:r>
          </w:p>
        </w:tc>
        <w:tc>
          <w:tcPr>
            <w:tcW w:w="3545" w:type="dxa"/>
            <w:shd w:val="clear" w:color="auto" w:fill="FFFFFF" w:themeFill="background1"/>
            <w:vAlign w:val="center"/>
            <w:hideMark/>
          </w:tcPr>
          <w:p w14:paraId="431ECFF9" w14:textId="77777777" w:rsidR="00F11348" w:rsidRPr="00C66D8E" w:rsidRDefault="00F11348" w:rsidP="006B303F">
            <w:pPr>
              <w:spacing w:after="0"/>
              <w:jc w:val="center"/>
              <w:rPr>
                <w:b/>
                <w:bCs/>
                <w:color w:val="000000"/>
                <w:szCs w:val="20"/>
              </w:rPr>
            </w:pPr>
            <w:r w:rsidRPr="00C66D8E">
              <w:rPr>
                <w:b/>
                <w:bCs/>
                <w:color w:val="000000"/>
                <w:szCs w:val="20"/>
              </w:rPr>
              <w:t>Free Ridership Protocol</w:t>
            </w:r>
          </w:p>
        </w:tc>
        <w:tc>
          <w:tcPr>
            <w:tcW w:w="4245" w:type="dxa"/>
            <w:shd w:val="clear" w:color="auto" w:fill="FFFFFF" w:themeFill="background1"/>
            <w:vAlign w:val="center"/>
            <w:hideMark/>
          </w:tcPr>
          <w:p w14:paraId="101D5D00" w14:textId="77777777" w:rsidR="00F11348" w:rsidRPr="00C66D8E" w:rsidRDefault="00F11348" w:rsidP="006B303F">
            <w:pPr>
              <w:spacing w:after="0"/>
              <w:jc w:val="center"/>
              <w:rPr>
                <w:b/>
                <w:bCs/>
                <w:color w:val="000000"/>
                <w:szCs w:val="20"/>
              </w:rPr>
            </w:pPr>
            <w:r w:rsidRPr="00C66D8E">
              <w:rPr>
                <w:b/>
                <w:bCs/>
                <w:color w:val="000000"/>
                <w:szCs w:val="20"/>
              </w:rPr>
              <w:t>Program Name</w:t>
            </w:r>
          </w:p>
        </w:tc>
      </w:tr>
      <w:tr w:rsidR="00F11348" w:rsidRPr="002F5FEF" w14:paraId="6D1E18BD" w14:textId="77777777" w:rsidTr="006B303F">
        <w:trPr>
          <w:trHeight w:val="20"/>
          <w:jc w:val="center"/>
        </w:trPr>
        <w:tc>
          <w:tcPr>
            <w:tcW w:w="1670" w:type="dxa"/>
            <w:vMerge w:val="restart"/>
            <w:shd w:val="clear" w:color="auto" w:fill="FFFFFF" w:themeFill="background1"/>
            <w:vAlign w:val="center"/>
            <w:hideMark/>
          </w:tcPr>
          <w:p w14:paraId="095E41FD" w14:textId="77777777" w:rsidR="00F11348" w:rsidRPr="00C66D8E" w:rsidRDefault="00F11348" w:rsidP="006B303F">
            <w:pPr>
              <w:spacing w:after="0"/>
              <w:jc w:val="left"/>
              <w:rPr>
                <w:color w:val="000000"/>
                <w:szCs w:val="20"/>
              </w:rPr>
            </w:pPr>
            <w:r w:rsidRPr="00C66D8E">
              <w:rPr>
                <w:color w:val="000000"/>
                <w:szCs w:val="20"/>
              </w:rPr>
              <w:t>Ameren Illinois</w:t>
            </w:r>
          </w:p>
        </w:tc>
        <w:tc>
          <w:tcPr>
            <w:tcW w:w="3545" w:type="dxa"/>
            <w:shd w:val="clear" w:color="auto" w:fill="FFFFFF" w:themeFill="background1"/>
            <w:vAlign w:val="center"/>
            <w:hideMark/>
          </w:tcPr>
          <w:p w14:paraId="00162D47" w14:textId="77777777" w:rsidR="00F11348" w:rsidRPr="00C66D8E" w:rsidRDefault="00F11348" w:rsidP="006B303F">
            <w:pPr>
              <w:spacing w:after="0"/>
              <w:jc w:val="left"/>
              <w:rPr>
                <w:color w:val="000000"/>
                <w:szCs w:val="20"/>
              </w:rPr>
            </w:pPr>
            <w:r>
              <w:rPr>
                <w:color w:val="000000"/>
                <w:szCs w:val="20"/>
              </w:rPr>
              <w:fldChar w:fldCharType="begin"/>
            </w:r>
            <w:r>
              <w:rPr>
                <w:color w:val="000000"/>
                <w:szCs w:val="20"/>
              </w:rPr>
              <w:instrText xml:space="preserve"> REF _Ref442305429 \r \h  \* MERGEFORMAT </w:instrText>
            </w:r>
            <w:r>
              <w:rPr>
                <w:color w:val="000000"/>
                <w:szCs w:val="20"/>
              </w:rPr>
            </w:r>
            <w:r>
              <w:rPr>
                <w:color w:val="000000"/>
                <w:szCs w:val="20"/>
              </w:rPr>
              <w:fldChar w:fldCharType="separate"/>
            </w:r>
            <w:r>
              <w:rPr>
                <w:color w:val="000000"/>
                <w:szCs w:val="20"/>
              </w:rPr>
              <w:t>4.2</w:t>
            </w:r>
            <w:r>
              <w:rPr>
                <w:color w:val="000000"/>
                <w:szCs w:val="20"/>
              </w:rPr>
              <w:fldChar w:fldCharType="end"/>
            </w:r>
            <w:r>
              <w:rPr>
                <w:color w:val="000000"/>
                <w:szCs w:val="20"/>
              </w:rPr>
              <w:t xml:space="preserve"> </w:t>
            </w:r>
            <w:r>
              <w:rPr>
                <w:color w:val="000000"/>
                <w:szCs w:val="20"/>
              </w:rPr>
              <w:fldChar w:fldCharType="begin"/>
            </w:r>
            <w:r>
              <w:rPr>
                <w:color w:val="000000"/>
                <w:szCs w:val="20"/>
              </w:rPr>
              <w:instrText xml:space="preserve"> REF _Ref442305429 \h  \* MERGEFORMAT </w:instrText>
            </w:r>
            <w:r>
              <w:rPr>
                <w:color w:val="000000"/>
                <w:szCs w:val="20"/>
              </w:rPr>
            </w:r>
            <w:r>
              <w:rPr>
                <w:color w:val="000000"/>
                <w:szCs w:val="20"/>
              </w:rPr>
              <w:fldChar w:fldCharType="separate"/>
            </w:r>
            <w:r w:rsidRPr="009B67BF">
              <w:t xml:space="preserve">Appliance Recycling </w:t>
            </w:r>
            <w:r>
              <w:t>Protocol</w:t>
            </w:r>
            <w:r>
              <w:rPr>
                <w:color w:val="000000"/>
                <w:szCs w:val="20"/>
              </w:rPr>
              <w:fldChar w:fldCharType="end"/>
            </w:r>
          </w:p>
        </w:tc>
        <w:tc>
          <w:tcPr>
            <w:tcW w:w="4245" w:type="dxa"/>
            <w:shd w:val="clear" w:color="auto" w:fill="FFFFFF" w:themeFill="background1"/>
            <w:vAlign w:val="center"/>
            <w:hideMark/>
          </w:tcPr>
          <w:p w14:paraId="6DD3B044" w14:textId="77777777" w:rsidR="00F11348" w:rsidRPr="00C66D8E" w:rsidRDefault="00F11348" w:rsidP="006B303F">
            <w:pPr>
              <w:spacing w:after="0"/>
              <w:jc w:val="left"/>
              <w:rPr>
                <w:color w:val="000000"/>
                <w:szCs w:val="20"/>
              </w:rPr>
            </w:pPr>
            <w:r w:rsidRPr="00C66D8E">
              <w:rPr>
                <w:color w:val="000000"/>
                <w:szCs w:val="20"/>
              </w:rPr>
              <w:t>Appliance Recycling</w:t>
            </w:r>
            <w:r>
              <w:rPr>
                <w:color w:val="000000"/>
                <w:szCs w:val="20"/>
              </w:rPr>
              <w:t xml:space="preserve"> Initiative</w:t>
            </w:r>
          </w:p>
        </w:tc>
      </w:tr>
      <w:tr w:rsidR="00F11348" w:rsidRPr="002F5FEF" w14:paraId="20CEE016" w14:textId="77777777" w:rsidTr="006B303F">
        <w:trPr>
          <w:trHeight w:val="20"/>
          <w:jc w:val="center"/>
        </w:trPr>
        <w:tc>
          <w:tcPr>
            <w:tcW w:w="1670" w:type="dxa"/>
            <w:vMerge/>
            <w:vAlign w:val="center"/>
            <w:hideMark/>
          </w:tcPr>
          <w:p w14:paraId="36A7F1D6" w14:textId="77777777" w:rsidR="00F11348" w:rsidRPr="00C66D8E" w:rsidRDefault="00F11348" w:rsidP="006B303F">
            <w:pPr>
              <w:spacing w:after="0"/>
              <w:jc w:val="left"/>
              <w:rPr>
                <w:color w:val="000000"/>
                <w:szCs w:val="20"/>
              </w:rPr>
            </w:pPr>
          </w:p>
        </w:tc>
        <w:tc>
          <w:tcPr>
            <w:tcW w:w="3545" w:type="dxa"/>
            <w:shd w:val="clear" w:color="auto" w:fill="FFFFFF" w:themeFill="background1"/>
            <w:vAlign w:val="center"/>
            <w:hideMark/>
          </w:tcPr>
          <w:p w14:paraId="63F57D3A" w14:textId="77777777" w:rsidR="00F11348" w:rsidRPr="00C66D8E" w:rsidRDefault="00F11348" w:rsidP="006B303F">
            <w:pPr>
              <w:spacing w:after="0"/>
              <w:jc w:val="left"/>
              <w:rPr>
                <w:color w:val="000000"/>
                <w:szCs w:val="20"/>
              </w:rPr>
            </w:pPr>
            <w:r>
              <w:rPr>
                <w:color w:val="000000"/>
                <w:szCs w:val="20"/>
              </w:rPr>
              <w:fldChar w:fldCharType="begin"/>
            </w:r>
            <w:r>
              <w:rPr>
                <w:color w:val="000000"/>
                <w:szCs w:val="20"/>
              </w:rPr>
              <w:instrText xml:space="preserve"> REF _Ref442305444 \r \h  \* MERGEFORMAT </w:instrText>
            </w:r>
            <w:r>
              <w:rPr>
                <w:color w:val="000000"/>
                <w:szCs w:val="20"/>
              </w:rPr>
            </w:r>
            <w:r>
              <w:rPr>
                <w:color w:val="000000"/>
                <w:szCs w:val="20"/>
              </w:rPr>
              <w:fldChar w:fldCharType="separate"/>
            </w:r>
            <w:r>
              <w:rPr>
                <w:color w:val="000000"/>
                <w:szCs w:val="20"/>
              </w:rPr>
              <w:t>4.3</w:t>
            </w:r>
            <w:r>
              <w:rPr>
                <w:color w:val="000000"/>
                <w:szCs w:val="20"/>
              </w:rPr>
              <w:fldChar w:fldCharType="end"/>
            </w:r>
            <w:r>
              <w:rPr>
                <w:color w:val="000000"/>
                <w:szCs w:val="20"/>
              </w:rPr>
              <w:t xml:space="preserve"> </w:t>
            </w:r>
            <w:r>
              <w:rPr>
                <w:color w:val="000000"/>
                <w:szCs w:val="20"/>
              </w:rPr>
              <w:fldChar w:fldCharType="begin"/>
            </w:r>
            <w:r>
              <w:rPr>
                <w:color w:val="000000"/>
                <w:szCs w:val="20"/>
              </w:rPr>
              <w:instrText xml:space="preserve"> REF _Ref442305444 \h  \* MERGEFORMAT </w:instrText>
            </w:r>
            <w:r>
              <w:rPr>
                <w:color w:val="000000"/>
                <w:szCs w:val="20"/>
              </w:rPr>
            </w:r>
            <w:r>
              <w:rPr>
                <w:color w:val="000000"/>
                <w:szCs w:val="20"/>
              </w:rPr>
              <w:fldChar w:fldCharType="separate"/>
            </w:r>
            <w:r w:rsidRPr="009B67BF">
              <w:t xml:space="preserve">Residential Upstream Lighting </w:t>
            </w:r>
            <w:r>
              <w:t>Protocol</w:t>
            </w:r>
            <w:r>
              <w:rPr>
                <w:color w:val="000000"/>
                <w:szCs w:val="20"/>
              </w:rPr>
              <w:fldChar w:fldCharType="end"/>
            </w:r>
          </w:p>
        </w:tc>
        <w:tc>
          <w:tcPr>
            <w:tcW w:w="4245" w:type="dxa"/>
            <w:shd w:val="clear" w:color="auto" w:fill="FFFFFF" w:themeFill="background1"/>
            <w:vAlign w:val="center"/>
            <w:hideMark/>
          </w:tcPr>
          <w:p w14:paraId="5BD1F5C8" w14:textId="77777777" w:rsidR="00F11348" w:rsidRPr="00C66D8E" w:rsidRDefault="00F11348" w:rsidP="006B303F">
            <w:pPr>
              <w:spacing w:after="0"/>
              <w:jc w:val="left"/>
              <w:rPr>
                <w:color w:val="000000"/>
                <w:szCs w:val="20"/>
              </w:rPr>
            </w:pPr>
            <w:r>
              <w:rPr>
                <w:color w:val="000000"/>
                <w:szCs w:val="20"/>
              </w:rPr>
              <w:t>Retail Products Initiative – Lighting Products</w:t>
            </w:r>
          </w:p>
        </w:tc>
      </w:tr>
      <w:tr w:rsidR="00F11348" w:rsidRPr="002F5FEF" w14:paraId="4678D978" w14:textId="77777777" w:rsidTr="006B303F">
        <w:trPr>
          <w:trHeight w:val="20"/>
          <w:jc w:val="center"/>
        </w:trPr>
        <w:tc>
          <w:tcPr>
            <w:tcW w:w="1670" w:type="dxa"/>
            <w:vMerge/>
            <w:vAlign w:val="center"/>
            <w:hideMark/>
          </w:tcPr>
          <w:p w14:paraId="3B776B15" w14:textId="77777777" w:rsidR="00F11348" w:rsidRPr="00C66D8E" w:rsidRDefault="00F11348" w:rsidP="006B303F">
            <w:pPr>
              <w:spacing w:after="0"/>
              <w:jc w:val="left"/>
              <w:rPr>
                <w:color w:val="000000"/>
                <w:szCs w:val="20"/>
              </w:rPr>
            </w:pPr>
          </w:p>
        </w:tc>
        <w:tc>
          <w:tcPr>
            <w:tcW w:w="3545" w:type="dxa"/>
            <w:shd w:val="clear" w:color="auto" w:fill="FFFFFF" w:themeFill="background1"/>
            <w:vAlign w:val="center"/>
            <w:hideMark/>
          </w:tcPr>
          <w:p w14:paraId="6F53DC38" w14:textId="77777777" w:rsidR="00F11348" w:rsidRPr="00C66D8E" w:rsidRDefault="00F11348" w:rsidP="006B303F">
            <w:pPr>
              <w:spacing w:after="0"/>
              <w:jc w:val="left"/>
              <w:rPr>
                <w:color w:val="000000"/>
                <w:szCs w:val="20"/>
              </w:rPr>
            </w:pPr>
            <w:r>
              <w:rPr>
                <w:color w:val="000000"/>
                <w:szCs w:val="20"/>
              </w:rPr>
              <w:fldChar w:fldCharType="begin"/>
            </w:r>
            <w:r>
              <w:rPr>
                <w:color w:val="000000"/>
                <w:szCs w:val="20"/>
              </w:rPr>
              <w:instrText xml:space="preserve"> REF _Ref442020776 \r \h  \* MERGEFORMAT </w:instrText>
            </w:r>
            <w:r>
              <w:rPr>
                <w:color w:val="000000"/>
                <w:szCs w:val="20"/>
              </w:rPr>
            </w:r>
            <w:r>
              <w:rPr>
                <w:color w:val="000000"/>
                <w:szCs w:val="20"/>
              </w:rPr>
              <w:fldChar w:fldCharType="separate"/>
            </w:r>
            <w:r>
              <w:rPr>
                <w:color w:val="000000"/>
                <w:szCs w:val="20"/>
              </w:rPr>
              <w:t>4.4</w:t>
            </w:r>
            <w:r>
              <w:rPr>
                <w:color w:val="000000"/>
                <w:szCs w:val="20"/>
              </w:rPr>
              <w:fldChar w:fldCharType="end"/>
            </w:r>
            <w:r>
              <w:rPr>
                <w:color w:val="000000"/>
                <w:szCs w:val="20"/>
              </w:rPr>
              <w:t xml:space="preserve"> </w:t>
            </w:r>
            <w:r>
              <w:rPr>
                <w:color w:val="000000"/>
                <w:szCs w:val="20"/>
              </w:rPr>
              <w:fldChar w:fldCharType="begin"/>
            </w:r>
            <w:r>
              <w:rPr>
                <w:color w:val="000000"/>
                <w:szCs w:val="20"/>
              </w:rPr>
              <w:instrText xml:space="preserve"> REF _Ref442020776 \h  \* MERGEFORMAT </w:instrText>
            </w:r>
            <w:r>
              <w:rPr>
                <w:color w:val="000000"/>
                <w:szCs w:val="20"/>
              </w:rPr>
            </w:r>
            <w:r>
              <w:rPr>
                <w:color w:val="000000"/>
                <w:szCs w:val="20"/>
              </w:rPr>
              <w:fldChar w:fldCharType="separate"/>
            </w:r>
            <w:r w:rsidRPr="009B67BF">
              <w:t>Prescriptive Rebate (With No Audit)</w:t>
            </w:r>
            <w:r>
              <w:t xml:space="preserve"> Protocol</w:t>
            </w:r>
            <w:r>
              <w:rPr>
                <w:color w:val="000000"/>
                <w:szCs w:val="20"/>
              </w:rPr>
              <w:fldChar w:fldCharType="end"/>
            </w:r>
          </w:p>
        </w:tc>
        <w:tc>
          <w:tcPr>
            <w:tcW w:w="4245" w:type="dxa"/>
            <w:shd w:val="clear" w:color="auto" w:fill="FFFFFF" w:themeFill="background1"/>
            <w:vAlign w:val="center"/>
            <w:hideMark/>
          </w:tcPr>
          <w:p w14:paraId="11346860" w14:textId="77777777" w:rsidR="00F11348" w:rsidRDefault="00F11348" w:rsidP="006B303F">
            <w:pPr>
              <w:spacing w:after="0"/>
              <w:jc w:val="left"/>
              <w:rPr>
                <w:color w:val="000000"/>
                <w:szCs w:val="20"/>
              </w:rPr>
            </w:pPr>
            <w:r>
              <w:rPr>
                <w:color w:val="000000"/>
                <w:szCs w:val="20"/>
              </w:rPr>
              <w:t>Retail Products Initiative – Non-Lighting Products</w:t>
            </w:r>
          </w:p>
          <w:p w14:paraId="2294EDF0" w14:textId="77777777" w:rsidR="00F11348" w:rsidRPr="00834416" w:rsidRDefault="00F11348" w:rsidP="006B303F">
            <w:pPr>
              <w:spacing w:after="0"/>
              <w:jc w:val="left"/>
              <w:rPr>
                <w:color w:val="000000"/>
                <w:szCs w:val="20"/>
                <w:vertAlign w:val="superscript"/>
              </w:rPr>
            </w:pPr>
            <w:r>
              <w:rPr>
                <w:color w:val="000000"/>
                <w:szCs w:val="20"/>
              </w:rPr>
              <w:t>Retail Products Initiative - Efficient Choice Tool*</w:t>
            </w:r>
          </w:p>
        </w:tc>
      </w:tr>
      <w:tr w:rsidR="00F11348" w:rsidRPr="002F5FEF" w14:paraId="02BA42F2" w14:textId="77777777" w:rsidTr="006B303F">
        <w:trPr>
          <w:trHeight w:val="20"/>
          <w:jc w:val="center"/>
        </w:trPr>
        <w:tc>
          <w:tcPr>
            <w:tcW w:w="1670" w:type="dxa"/>
            <w:vMerge/>
            <w:vAlign w:val="center"/>
          </w:tcPr>
          <w:p w14:paraId="253B9CCC" w14:textId="77777777" w:rsidR="00F11348" w:rsidRPr="00C66D8E" w:rsidRDefault="00F11348" w:rsidP="006B303F">
            <w:pPr>
              <w:spacing w:after="0"/>
              <w:jc w:val="left"/>
              <w:rPr>
                <w:color w:val="000000"/>
                <w:szCs w:val="20"/>
              </w:rPr>
            </w:pPr>
          </w:p>
        </w:tc>
        <w:tc>
          <w:tcPr>
            <w:tcW w:w="3545" w:type="dxa"/>
            <w:shd w:val="clear" w:color="auto" w:fill="FFFFFF" w:themeFill="background1"/>
            <w:vAlign w:val="center"/>
          </w:tcPr>
          <w:p w14:paraId="7AFB0D88" w14:textId="77777777" w:rsidR="00F11348" w:rsidRDefault="00F11348" w:rsidP="006B303F">
            <w:pPr>
              <w:spacing w:after="0"/>
              <w:jc w:val="left"/>
              <w:rPr>
                <w:color w:val="000000"/>
                <w:szCs w:val="20"/>
              </w:rPr>
            </w:pPr>
            <w:r>
              <w:rPr>
                <w:color w:val="000000"/>
                <w:szCs w:val="20"/>
              </w:rPr>
              <w:t>4.5 Single-Family Home Energy Audit Protocol</w:t>
            </w:r>
          </w:p>
        </w:tc>
        <w:tc>
          <w:tcPr>
            <w:tcW w:w="4245" w:type="dxa"/>
            <w:shd w:val="clear" w:color="auto" w:fill="FFFFFF" w:themeFill="background1"/>
            <w:vAlign w:val="center"/>
          </w:tcPr>
          <w:p w14:paraId="0C4308EE" w14:textId="77777777" w:rsidR="00F11348" w:rsidRDefault="00F11348" w:rsidP="006B303F">
            <w:pPr>
              <w:spacing w:after="0"/>
              <w:jc w:val="left"/>
              <w:rPr>
                <w:color w:val="000000"/>
                <w:szCs w:val="20"/>
              </w:rPr>
            </w:pPr>
            <w:r>
              <w:rPr>
                <w:color w:val="000000"/>
                <w:szCs w:val="20"/>
              </w:rPr>
              <w:t>Market Rate Single Family Initiative – Home Efficiency</w:t>
            </w:r>
          </w:p>
        </w:tc>
      </w:tr>
      <w:tr w:rsidR="00F11348" w:rsidRPr="002F5FEF" w14:paraId="7CDBC92B" w14:textId="77777777" w:rsidTr="006B303F">
        <w:trPr>
          <w:trHeight w:val="20"/>
          <w:jc w:val="center"/>
        </w:trPr>
        <w:tc>
          <w:tcPr>
            <w:tcW w:w="1670" w:type="dxa"/>
            <w:vMerge/>
            <w:vAlign w:val="center"/>
            <w:hideMark/>
          </w:tcPr>
          <w:p w14:paraId="3EA6DF08" w14:textId="77777777" w:rsidR="00F11348" w:rsidRPr="00C66D8E" w:rsidRDefault="00F11348" w:rsidP="006B303F">
            <w:pPr>
              <w:spacing w:after="0"/>
              <w:jc w:val="left"/>
              <w:rPr>
                <w:color w:val="000000"/>
                <w:szCs w:val="20"/>
              </w:rPr>
            </w:pPr>
          </w:p>
        </w:tc>
        <w:tc>
          <w:tcPr>
            <w:tcW w:w="3545" w:type="dxa"/>
            <w:shd w:val="clear" w:color="auto" w:fill="FFFFFF" w:themeFill="background1"/>
            <w:vAlign w:val="center"/>
            <w:hideMark/>
          </w:tcPr>
          <w:p w14:paraId="22C71AB0" w14:textId="77777777" w:rsidR="00F11348" w:rsidRPr="00C66D8E" w:rsidRDefault="00F11348" w:rsidP="006B303F">
            <w:pPr>
              <w:spacing w:after="0"/>
              <w:jc w:val="left"/>
              <w:rPr>
                <w:color w:val="000000"/>
                <w:szCs w:val="20"/>
              </w:rPr>
            </w:pPr>
            <w:r>
              <w:rPr>
                <w:color w:val="000000"/>
                <w:szCs w:val="20"/>
              </w:rPr>
              <w:fldChar w:fldCharType="begin"/>
            </w:r>
            <w:r>
              <w:rPr>
                <w:color w:val="000000"/>
                <w:szCs w:val="20"/>
              </w:rPr>
              <w:instrText xml:space="preserve"> REF _Ref442019850 \r \h  \* MERGEFORMAT </w:instrText>
            </w:r>
            <w:r>
              <w:rPr>
                <w:color w:val="000000"/>
                <w:szCs w:val="20"/>
              </w:rPr>
            </w:r>
            <w:r>
              <w:rPr>
                <w:color w:val="000000"/>
                <w:szCs w:val="20"/>
              </w:rPr>
              <w:fldChar w:fldCharType="separate"/>
            </w:r>
            <w:r>
              <w:rPr>
                <w:color w:val="000000"/>
                <w:szCs w:val="20"/>
              </w:rPr>
              <w:t>4.6</w:t>
            </w:r>
            <w:r>
              <w:rPr>
                <w:color w:val="000000"/>
                <w:szCs w:val="20"/>
              </w:rPr>
              <w:fldChar w:fldCharType="end"/>
            </w:r>
            <w:r>
              <w:rPr>
                <w:color w:val="000000"/>
                <w:szCs w:val="20"/>
              </w:rPr>
              <w:t xml:space="preserve"> </w:t>
            </w:r>
            <w:r>
              <w:rPr>
                <w:color w:val="000000"/>
                <w:szCs w:val="20"/>
              </w:rPr>
              <w:fldChar w:fldCharType="begin"/>
            </w:r>
            <w:r>
              <w:rPr>
                <w:color w:val="000000"/>
                <w:szCs w:val="20"/>
              </w:rPr>
              <w:instrText xml:space="preserve"> REF _Ref442019850 \h  \* MERGEFORMAT </w:instrText>
            </w:r>
            <w:r>
              <w:rPr>
                <w:color w:val="000000"/>
                <w:szCs w:val="20"/>
              </w:rPr>
            </w:r>
            <w:r>
              <w:rPr>
                <w:color w:val="000000"/>
                <w:szCs w:val="20"/>
              </w:rPr>
              <w:fldChar w:fldCharType="separate"/>
            </w:r>
            <w:r w:rsidRPr="009B67BF">
              <w:t xml:space="preserve">Multifamily </w:t>
            </w:r>
            <w:r>
              <w:t>Protocol</w:t>
            </w:r>
            <w:r>
              <w:rPr>
                <w:color w:val="000000"/>
                <w:szCs w:val="20"/>
              </w:rPr>
              <w:fldChar w:fldCharType="end"/>
            </w:r>
          </w:p>
        </w:tc>
        <w:tc>
          <w:tcPr>
            <w:tcW w:w="4245" w:type="dxa"/>
            <w:shd w:val="clear" w:color="auto" w:fill="FFFFFF" w:themeFill="background1"/>
            <w:vAlign w:val="center"/>
            <w:hideMark/>
          </w:tcPr>
          <w:p w14:paraId="4B57A82E" w14:textId="77777777" w:rsidR="00F11348" w:rsidRPr="00C66D8E" w:rsidRDefault="00F11348" w:rsidP="006B303F">
            <w:pPr>
              <w:spacing w:after="0"/>
              <w:jc w:val="left"/>
              <w:rPr>
                <w:color w:val="000000"/>
                <w:szCs w:val="20"/>
              </w:rPr>
            </w:pPr>
            <w:r>
              <w:rPr>
                <w:color w:val="000000"/>
                <w:szCs w:val="20"/>
              </w:rPr>
              <w:t>Market Rate Multifamily Initiative</w:t>
            </w:r>
          </w:p>
        </w:tc>
      </w:tr>
      <w:tr w:rsidR="00F11348" w:rsidRPr="002F5FEF" w14:paraId="4D96C62E" w14:textId="77777777" w:rsidTr="006B303F">
        <w:trPr>
          <w:trHeight w:val="20"/>
          <w:jc w:val="center"/>
        </w:trPr>
        <w:tc>
          <w:tcPr>
            <w:tcW w:w="1670" w:type="dxa"/>
            <w:vMerge/>
            <w:vAlign w:val="center"/>
            <w:hideMark/>
          </w:tcPr>
          <w:p w14:paraId="04BFC779" w14:textId="77777777" w:rsidR="00F11348" w:rsidRPr="00C66D8E" w:rsidRDefault="00F11348" w:rsidP="006B303F">
            <w:pPr>
              <w:spacing w:after="0"/>
              <w:jc w:val="left"/>
              <w:rPr>
                <w:color w:val="000000"/>
                <w:szCs w:val="20"/>
              </w:rPr>
            </w:pPr>
          </w:p>
        </w:tc>
        <w:tc>
          <w:tcPr>
            <w:tcW w:w="3545" w:type="dxa"/>
            <w:shd w:val="clear" w:color="auto" w:fill="FFFFFF" w:themeFill="background1"/>
            <w:vAlign w:val="center"/>
            <w:hideMark/>
          </w:tcPr>
          <w:p w14:paraId="4C5418CA" w14:textId="77777777" w:rsidR="00F11348" w:rsidRPr="00C66D8E" w:rsidRDefault="00F11348" w:rsidP="006B303F">
            <w:pPr>
              <w:spacing w:after="0"/>
              <w:jc w:val="left"/>
              <w:rPr>
                <w:color w:val="000000"/>
                <w:szCs w:val="20"/>
              </w:rPr>
            </w:pPr>
            <w:r>
              <w:rPr>
                <w:color w:val="000000"/>
                <w:szCs w:val="20"/>
              </w:rPr>
              <w:fldChar w:fldCharType="begin"/>
            </w:r>
            <w:r>
              <w:rPr>
                <w:color w:val="000000"/>
                <w:szCs w:val="20"/>
              </w:rPr>
              <w:instrText xml:space="preserve"> REF _Ref442305047 \r \h  \* MERGEFORMAT </w:instrText>
            </w:r>
            <w:r>
              <w:rPr>
                <w:color w:val="000000"/>
                <w:szCs w:val="20"/>
              </w:rPr>
            </w:r>
            <w:r>
              <w:rPr>
                <w:color w:val="000000"/>
                <w:szCs w:val="20"/>
              </w:rPr>
              <w:fldChar w:fldCharType="separate"/>
            </w:r>
            <w:r>
              <w:rPr>
                <w:color w:val="000000"/>
                <w:szCs w:val="20"/>
              </w:rPr>
              <w:t>5.3</w:t>
            </w:r>
            <w:r>
              <w:rPr>
                <w:color w:val="000000"/>
                <w:szCs w:val="20"/>
              </w:rPr>
              <w:fldChar w:fldCharType="end"/>
            </w:r>
            <w:r>
              <w:rPr>
                <w:color w:val="000000"/>
                <w:szCs w:val="20"/>
              </w:rPr>
              <w:t xml:space="preserve"> </w:t>
            </w:r>
            <w:r>
              <w:rPr>
                <w:color w:val="000000"/>
                <w:szCs w:val="20"/>
              </w:rPr>
              <w:fldChar w:fldCharType="begin"/>
            </w:r>
            <w:r>
              <w:rPr>
                <w:color w:val="000000"/>
                <w:szCs w:val="20"/>
              </w:rPr>
              <w:instrText xml:space="preserve"> REF _Ref442305047 \h  \* MERGEFORMAT </w:instrText>
            </w:r>
            <w:r>
              <w:rPr>
                <w:color w:val="000000"/>
                <w:szCs w:val="20"/>
              </w:rPr>
            </w:r>
            <w:r>
              <w:rPr>
                <w:color w:val="000000"/>
                <w:szCs w:val="20"/>
              </w:rPr>
              <w:fldChar w:fldCharType="separate"/>
            </w:r>
            <w:r w:rsidRPr="001F2C04">
              <w:t>Consumption Data Analysis Protocol</w:t>
            </w:r>
            <w:r>
              <w:rPr>
                <w:color w:val="000000"/>
                <w:szCs w:val="20"/>
              </w:rPr>
              <w:fldChar w:fldCharType="end"/>
            </w:r>
          </w:p>
        </w:tc>
        <w:tc>
          <w:tcPr>
            <w:tcW w:w="4245" w:type="dxa"/>
            <w:shd w:val="clear" w:color="auto" w:fill="FFFFFF" w:themeFill="background1"/>
            <w:vAlign w:val="center"/>
            <w:hideMark/>
          </w:tcPr>
          <w:p w14:paraId="5147E130" w14:textId="77777777" w:rsidR="00F11348" w:rsidRPr="00C66D8E" w:rsidRDefault="00F11348" w:rsidP="006B303F">
            <w:pPr>
              <w:spacing w:after="0"/>
              <w:jc w:val="left"/>
              <w:rPr>
                <w:color w:val="000000"/>
                <w:szCs w:val="20"/>
              </w:rPr>
            </w:pPr>
            <w:r w:rsidRPr="00C66D8E">
              <w:rPr>
                <w:color w:val="000000"/>
                <w:szCs w:val="20"/>
              </w:rPr>
              <w:t>Behavior Modification</w:t>
            </w:r>
          </w:p>
        </w:tc>
      </w:tr>
      <w:tr w:rsidR="00F11348" w:rsidRPr="002F5FEF" w14:paraId="3DCAD355" w14:textId="77777777" w:rsidTr="006B303F">
        <w:trPr>
          <w:trHeight w:val="20"/>
          <w:jc w:val="center"/>
        </w:trPr>
        <w:tc>
          <w:tcPr>
            <w:tcW w:w="1670" w:type="dxa"/>
            <w:vMerge/>
            <w:vAlign w:val="center"/>
          </w:tcPr>
          <w:p w14:paraId="2C3DA116" w14:textId="77777777" w:rsidR="00F11348" w:rsidRPr="00C66D8E" w:rsidRDefault="00F11348" w:rsidP="006B303F">
            <w:pPr>
              <w:spacing w:after="0"/>
              <w:jc w:val="left"/>
              <w:rPr>
                <w:color w:val="000000"/>
                <w:szCs w:val="20"/>
              </w:rPr>
            </w:pPr>
          </w:p>
        </w:tc>
        <w:tc>
          <w:tcPr>
            <w:tcW w:w="3545" w:type="dxa"/>
            <w:shd w:val="clear" w:color="auto" w:fill="FFFFFF" w:themeFill="background1"/>
            <w:vAlign w:val="center"/>
          </w:tcPr>
          <w:p w14:paraId="5359A2AE" w14:textId="77777777" w:rsidR="00F11348" w:rsidRDefault="00F11348" w:rsidP="006B303F">
            <w:pPr>
              <w:spacing w:after="0"/>
              <w:jc w:val="left"/>
              <w:rPr>
                <w:color w:val="000000"/>
                <w:szCs w:val="20"/>
              </w:rPr>
            </w:pPr>
            <w:r>
              <w:rPr>
                <w:color w:val="000000"/>
                <w:szCs w:val="20"/>
              </w:rPr>
              <w:t>5.4 Midstream Protocol</w:t>
            </w:r>
          </w:p>
        </w:tc>
        <w:tc>
          <w:tcPr>
            <w:tcW w:w="4245" w:type="dxa"/>
            <w:shd w:val="clear" w:color="auto" w:fill="FFFFFF" w:themeFill="background1"/>
            <w:vAlign w:val="center"/>
          </w:tcPr>
          <w:p w14:paraId="30C2D750" w14:textId="77777777" w:rsidR="00F11348" w:rsidRPr="00C66D8E" w:rsidRDefault="00F11348" w:rsidP="006B303F">
            <w:pPr>
              <w:spacing w:after="0"/>
              <w:jc w:val="left"/>
              <w:rPr>
                <w:color w:val="000000"/>
                <w:szCs w:val="20"/>
              </w:rPr>
            </w:pPr>
            <w:r>
              <w:rPr>
                <w:color w:val="000000"/>
                <w:szCs w:val="20"/>
              </w:rPr>
              <w:t>Market Rate Single Family Initiative – Midstream HVAC Channel</w:t>
            </w:r>
          </w:p>
        </w:tc>
      </w:tr>
      <w:tr w:rsidR="00F11348" w:rsidRPr="002F5FEF" w14:paraId="487B097C" w14:textId="77777777" w:rsidTr="006B303F">
        <w:trPr>
          <w:trHeight w:val="20"/>
          <w:jc w:val="center"/>
        </w:trPr>
        <w:tc>
          <w:tcPr>
            <w:tcW w:w="1670" w:type="dxa"/>
            <w:vMerge/>
            <w:vAlign w:val="center"/>
          </w:tcPr>
          <w:p w14:paraId="291A315B" w14:textId="77777777" w:rsidR="00F11348" w:rsidRPr="00C66D8E" w:rsidRDefault="00F11348" w:rsidP="006B303F">
            <w:pPr>
              <w:spacing w:after="0"/>
              <w:jc w:val="left"/>
              <w:rPr>
                <w:color w:val="000000"/>
                <w:szCs w:val="20"/>
              </w:rPr>
            </w:pPr>
          </w:p>
        </w:tc>
        <w:tc>
          <w:tcPr>
            <w:tcW w:w="3545" w:type="dxa"/>
            <w:shd w:val="clear" w:color="auto" w:fill="FFFFFF" w:themeFill="background1"/>
            <w:vAlign w:val="center"/>
          </w:tcPr>
          <w:p w14:paraId="6CE442DA" w14:textId="77777777" w:rsidR="00F11348" w:rsidRDefault="00F11348" w:rsidP="006B303F">
            <w:pPr>
              <w:spacing w:after="0"/>
              <w:jc w:val="left"/>
              <w:rPr>
                <w:color w:val="000000"/>
                <w:szCs w:val="20"/>
              </w:rPr>
            </w:pPr>
            <w:r w:rsidRPr="00C66D8E">
              <w:rPr>
                <w:color w:val="000000"/>
                <w:szCs w:val="20"/>
              </w:rPr>
              <w:t>†</w:t>
            </w:r>
          </w:p>
        </w:tc>
        <w:tc>
          <w:tcPr>
            <w:tcW w:w="4245" w:type="dxa"/>
            <w:shd w:val="clear" w:color="auto" w:fill="FFFFFF" w:themeFill="background1"/>
            <w:vAlign w:val="center"/>
          </w:tcPr>
          <w:p w14:paraId="0BE59A63" w14:textId="77777777" w:rsidR="00F11348" w:rsidRDefault="00F11348" w:rsidP="006B303F">
            <w:pPr>
              <w:spacing w:after="0"/>
              <w:jc w:val="left"/>
              <w:rPr>
                <w:color w:val="000000"/>
                <w:szCs w:val="20"/>
              </w:rPr>
            </w:pPr>
            <w:r>
              <w:rPr>
                <w:color w:val="000000"/>
                <w:szCs w:val="20"/>
              </w:rPr>
              <w:t>Retail Products Initiative – Income Qualified Products</w:t>
            </w:r>
          </w:p>
          <w:p w14:paraId="02607EBE" w14:textId="77777777" w:rsidR="00F11348" w:rsidRPr="00C66D8E" w:rsidRDefault="00F11348" w:rsidP="006B303F">
            <w:pPr>
              <w:spacing w:after="0"/>
              <w:jc w:val="left"/>
              <w:rPr>
                <w:color w:val="000000"/>
                <w:szCs w:val="20"/>
              </w:rPr>
            </w:pPr>
            <w:r>
              <w:rPr>
                <w:color w:val="000000"/>
                <w:szCs w:val="20"/>
              </w:rPr>
              <w:t>Income Qualified Initiative</w:t>
            </w:r>
          </w:p>
          <w:p w14:paraId="4AEAEA08" w14:textId="77777777" w:rsidR="00F11348" w:rsidRDefault="00F11348" w:rsidP="006B303F">
            <w:pPr>
              <w:spacing w:after="0"/>
              <w:jc w:val="left"/>
              <w:rPr>
                <w:color w:val="000000"/>
                <w:szCs w:val="20"/>
              </w:rPr>
            </w:pPr>
            <w:r>
              <w:rPr>
                <w:color w:val="000000"/>
                <w:szCs w:val="20"/>
              </w:rPr>
              <w:t>Public Housing Initiative</w:t>
            </w:r>
          </w:p>
          <w:p w14:paraId="5DC0CCBB" w14:textId="3247A4A2" w:rsidR="00F11348" w:rsidRPr="00C66D8E" w:rsidRDefault="00F11348" w:rsidP="006B303F">
            <w:pPr>
              <w:spacing w:after="0"/>
              <w:jc w:val="left"/>
              <w:rPr>
                <w:color w:val="000000"/>
                <w:szCs w:val="20"/>
              </w:rPr>
            </w:pPr>
            <w:r w:rsidRPr="00C66D8E">
              <w:rPr>
                <w:color w:val="000000"/>
                <w:szCs w:val="20"/>
              </w:rPr>
              <w:t xml:space="preserve">Direct </w:t>
            </w:r>
            <w:r>
              <w:rPr>
                <w:color w:val="000000"/>
                <w:szCs w:val="20"/>
              </w:rPr>
              <w:t>Distribution of Efficient Products Initiative</w:t>
            </w:r>
          </w:p>
        </w:tc>
      </w:tr>
      <w:tr w:rsidR="00F11348" w:rsidRPr="002F5FEF" w14:paraId="28F25B1E" w14:textId="77777777" w:rsidTr="006B303F">
        <w:trPr>
          <w:trHeight w:val="20"/>
          <w:jc w:val="center"/>
        </w:trPr>
        <w:tc>
          <w:tcPr>
            <w:tcW w:w="1670" w:type="dxa"/>
            <w:vMerge/>
            <w:vAlign w:val="center"/>
            <w:hideMark/>
          </w:tcPr>
          <w:p w14:paraId="6FCA4756" w14:textId="77777777" w:rsidR="00F11348" w:rsidRPr="00C66D8E" w:rsidRDefault="00F11348" w:rsidP="006B303F">
            <w:pPr>
              <w:spacing w:after="0"/>
              <w:jc w:val="left"/>
              <w:rPr>
                <w:color w:val="000000"/>
                <w:szCs w:val="20"/>
              </w:rPr>
            </w:pPr>
          </w:p>
        </w:tc>
        <w:tc>
          <w:tcPr>
            <w:tcW w:w="3545" w:type="dxa"/>
            <w:shd w:val="clear" w:color="auto" w:fill="FFFFFF" w:themeFill="background1"/>
            <w:vAlign w:val="center"/>
            <w:hideMark/>
          </w:tcPr>
          <w:p w14:paraId="3E1F9AAA" w14:textId="77777777" w:rsidR="00F11348" w:rsidRPr="00C66D8E" w:rsidRDefault="00F11348" w:rsidP="006B303F">
            <w:pPr>
              <w:spacing w:after="0"/>
              <w:jc w:val="left"/>
              <w:rPr>
                <w:color w:val="000000"/>
                <w:szCs w:val="20"/>
              </w:rPr>
            </w:pPr>
            <w:r>
              <w:rPr>
                <w:color w:val="000000"/>
                <w:szCs w:val="20"/>
              </w:rPr>
              <w:fldChar w:fldCharType="begin"/>
            </w:r>
            <w:r>
              <w:rPr>
                <w:color w:val="000000"/>
                <w:szCs w:val="20"/>
              </w:rPr>
              <w:instrText xml:space="preserve"> REF _Ref442305444 \r \h  \* MERGEFORMAT </w:instrText>
            </w:r>
            <w:r>
              <w:rPr>
                <w:color w:val="000000"/>
                <w:szCs w:val="20"/>
              </w:rPr>
            </w:r>
            <w:r>
              <w:rPr>
                <w:color w:val="000000"/>
                <w:szCs w:val="20"/>
              </w:rPr>
              <w:fldChar w:fldCharType="separate"/>
            </w:r>
            <w:r>
              <w:rPr>
                <w:color w:val="000000"/>
                <w:szCs w:val="20"/>
              </w:rPr>
              <w:t>4.3</w:t>
            </w:r>
            <w:r>
              <w:rPr>
                <w:color w:val="000000"/>
                <w:szCs w:val="20"/>
              </w:rPr>
              <w:fldChar w:fldCharType="end"/>
            </w:r>
            <w:r>
              <w:rPr>
                <w:color w:val="000000"/>
                <w:szCs w:val="20"/>
              </w:rPr>
              <w:t xml:space="preserve"> </w:t>
            </w:r>
            <w:r>
              <w:rPr>
                <w:color w:val="000000"/>
                <w:szCs w:val="20"/>
              </w:rPr>
              <w:fldChar w:fldCharType="begin"/>
            </w:r>
            <w:r>
              <w:rPr>
                <w:color w:val="000000"/>
                <w:szCs w:val="20"/>
              </w:rPr>
              <w:instrText xml:space="preserve"> REF _Ref442305444 \h  \* MERGEFORMAT </w:instrText>
            </w:r>
            <w:r>
              <w:rPr>
                <w:color w:val="000000"/>
                <w:szCs w:val="20"/>
              </w:rPr>
            </w:r>
            <w:r>
              <w:rPr>
                <w:color w:val="000000"/>
                <w:szCs w:val="20"/>
              </w:rPr>
              <w:fldChar w:fldCharType="separate"/>
            </w:r>
            <w:r w:rsidRPr="009B67BF">
              <w:t xml:space="preserve">Residential Upstream Lighting </w:t>
            </w:r>
            <w:r>
              <w:t>Protocol</w:t>
            </w:r>
            <w:r>
              <w:rPr>
                <w:color w:val="000000"/>
                <w:szCs w:val="20"/>
              </w:rPr>
              <w:fldChar w:fldCharType="end"/>
            </w:r>
            <w:r>
              <w:rPr>
                <w:color w:val="000000"/>
                <w:szCs w:val="20"/>
              </w:rPr>
              <w:t xml:space="preserve"> and 5.4 Midstream Protocol</w:t>
            </w:r>
          </w:p>
        </w:tc>
        <w:tc>
          <w:tcPr>
            <w:tcW w:w="4245" w:type="dxa"/>
            <w:shd w:val="clear" w:color="auto" w:fill="FFFFFF" w:themeFill="background1"/>
            <w:vAlign w:val="center"/>
            <w:hideMark/>
          </w:tcPr>
          <w:p w14:paraId="5D7D3F4D" w14:textId="0183A183" w:rsidR="00F11348" w:rsidRPr="00C66D8E" w:rsidRDefault="00F11348" w:rsidP="006B303F">
            <w:pPr>
              <w:spacing w:after="0"/>
              <w:jc w:val="left"/>
              <w:rPr>
                <w:color w:val="000000"/>
                <w:szCs w:val="20"/>
              </w:rPr>
            </w:pPr>
            <w:r w:rsidRPr="00E4421A">
              <w:rPr>
                <w:color w:val="000000"/>
              </w:rPr>
              <w:t>Retail/Online (mid- and up-stream measures)</w:t>
            </w:r>
          </w:p>
        </w:tc>
      </w:tr>
      <w:tr w:rsidR="00F11348" w:rsidRPr="002F5FEF" w14:paraId="2A8E8AD5" w14:textId="77777777" w:rsidTr="006B303F">
        <w:trPr>
          <w:trHeight w:val="20"/>
          <w:jc w:val="center"/>
        </w:trPr>
        <w:tc>
          <w:tcPr>
            <w:tcW w:w="1670" w:type="dxa"/>
            <w:vMerge/>
            <w:vAlign w:val="center"/>
            <w:hideMark/>
          </w:tcPr>
          <w:p w14:paraId="749E682F" w14:textId="77777777" w:rsidR="00F11348" w:rsidRPr="00C66D8E" w:rsidRDefault="00F11348" w:rsidP="006B303F">
            <w:pPr>
              <w:spacing w:after="0"/>
              <w:jc w:val="left"/>
              <w:rPr>
                <w:color w:val="000000"/>
                <w:szCs w:val="20"/>
              </w:rPr>
            </w:pPr>
          </w:p>
        </w:tc>
        <w:tc>
          <w:tcPr>
            <w:tcW w:w="3545" w:type="dxa"/>
            <w:shd w:val="clear" w:color="auto" w:fill="FFFFFF" w:themeFill="background1"/>
            <w:vAlign w:val="center"/>
            <w:hideMark/>
          </w:tcPr>
          <w:p w14:paraId="7C0FCE8D" w14:textId="77777777" w:rsidR="00F11348" w:rsidRPr="00C66D8E" w:rsidRDefault="00F11348" w:rsidP="006B303F">
            <w:pPr>
              <w:spacing w:after="0"/>
              <w:jc w:val="left"/>
              <w:rPr>
                <w:color w:val="000000"/>
                <w:szCs w:val="20"/>
              </w:rPr>
            </w:pPr>
            <w:r>
              <w:rPr>
                <w:color w:val="000000"/>
                <w:szCs w:val="20"/>
              </w:rPr>
              <w:fldChar w:fldCharType="begin"/>
            </w:r>
            <w:r>
              <w:rPr>
                <w:color w:val="000000"/>
                <w:szCs w:val="20"/>
              </w:rPr>
              <w:instrText xml:space="preserve"> REF _Ref442020776 \r \h  \* MERGEFORMAT </w:instrText>
            </w:r>
            <w:r>
              <w:rPr>
                <w:color w:val="000000"/>
                <w:szCs w:val="20"/>
              </w:rPr>
            </w:r>
            <w:r>
              <w:rPr>
                <w:color w:val="000000"/>
                <w:szCs w:val="20"/>
              </w:rPr>
              <w:fldChar w:fldCharType="separate"/>
            </w:r>
            <w:r>
              <w:rPr>
                <w:color w:val="000000"/>
                <w:szCs w:val="20"/>
              </w:rPr>
              <w:t>4.4</w:t>
            </w:r>
            <w:r>
              <w:rPr>
                <w:color w:val="000000"/>
                <w:szCs w:val="20"/>
              </w:rPr>
              <w:fldChar w:fldCharType="end"/>
            </w:r>
            <w:r>
              <w:rPr>
                <w:color w:val="000000"/>
                <w:szCs w:val="20"/>
              </w:rPr>
              <w:t xml:space="preserve"> </w:t>
            </w:r>
            <w:r>
              <w:rPr>
                <w:color w:val="000000"/>
                <w:szCs w:val="20"/>
              </w:rPr>
              <w:fldChar w:fldCharType="begin"/>
            </w:r>
            <w:r>
              <w:rPr>
                <w:color w:val="000000"/>
                <w:szCs w:val="20"/>
              </w:rPr>
              <w:instrText xml:space="preserve"> REF _Ref442020776 \h  \* MERGEFORMAT </w:instrText>
            </w:r>
            <w:r>
              <w:rPr>
                <w:color w:val="000000"/>
                <w:szCs w:val="20"/>
              </w:rPr>
            </w:r>
            <w:r>
              <w:rPr>
                <w:color w:val="000000"/>
                <w:szCs w:val="20"/>
              </w:rPr>
              <w:fldChar w:fldCharType="separate"/>
            </w:r>
            <w:r w:rsidRPr="009B67BF">
              <w:t>Prescriptive Rebate (With No Audit)</w:t>
            </w:r>
            <w:r>
              <w:t xml:space="preserve"> Protocol</w:t>
            </w:r>
            <w:r>
              <w:rPr>
                <w:color w:val="000000"/>
                <w:szCs w:val="20"/>
              </w:rPr>
              <w:fldChar w:fldCharType="end"/>
            </w:r>
          </w:p>
        </w:tc>
        <w:tc>
          <w:tcPr>
            <w:tcW w:w="4245" w:type="dxa"/>
            <w:shd w:val="clear" w:color="auto" w:fill="FFFFFF" w:themeFill="background1"/>
            <w:vAlign w:val="center"/>
            <w:hideMark/>
          </w:tcPr>
          <w:p w14:paraId="0574049E" w14:textId="77777777" w:rsidR="00F11348" w:rsidRPr="00C66D8E" w:rsidRDefault="00F11348" w:rsidP="006B303F">
            <w:pPr>
              <w:spacing w:after="0"/>
              <w:jc w:val="left"/>
              <w:rPr>
                <w:color w:val="000000"/>
                <w:szCs w:val="20"/>
              </w:rPr>
            </w:pPr>
            <w:r w:rsidRPr="00E4421A">
              <w:rPr>
                <w:color w:val="000000"/>
              </w:rPr>
              <w:t xml:space="preserve">Retail/Online (end-user rebated measures) Contractor/Midstream Rebates (end-user rebated </w:t>
            </w:r>
            <w:proofErr w:type="gramStart"/>
            <w:r w:rsidRPr="00E4421A">
              <w:rPr>
                <w:color w:val="000000"/>
              </w:rPr>
              <w:t>measures)</w:t>
            </w:r>
            <w:r w:rsidRPr="008C12C6">
              <w:rPr>
                <w:color w:val="000000"/>
              </w:rPr>
              <w:t>Appliance</w:t>
            </w:r>
            <w:proofErr w:type="gramEnd"/>
            <w:r w:rsidRPr="008C12C6">
              <w:rPr>
                <w:color w:val="000000"/>
              </w:rPr>
              <w:t xml:space="preserve"> Rebates</w:t>
            </w:r>
          </w:p>
          <w:p w14:paraId="4EE1CB95" w14:textId="77777777" w:rsidR="00F11348" w:rsidRPr="00C66D8E" w:rsidRDefault="00F11348" w:rsidP="006B303F">
            <w:pPr>
              <w:spacing w:after="0"/>
              <w:jc w:val="left"/>
              <w:rPr>
                <w:color w:val="000000"/>
                <w:szCs w:val="20"/>
              </w:rPr>
            </w:pPr>
            <w:r w:rsidRPr="008C12C6">
              <w:rPr>
                <w:color w:val="000000"/>
              </w:rPr>
              <w:t>Heating and Cooling Rebates</w:t>
            </w:r>
          </w:p>
          <w:p w14:paraId="474BF715" w14:textId="77777777" w:rsidR="00F11348" w:rsidRDefault="00F11348" w:rsidP="006B303F">
            <w:pPr>
              <w:spacing w:after="0"/>
              <w:jc w:val="left"/>
              <w:rPr>
                <w:color w:val="000000"/>
              </w:rPr>
            </w:pPr>
            <w:r w:rsidRPr="008C12C6">
              <w:rPr>
                <w:color w:val="000000"/>
              </w:rPr>
              <w:t>Weatherization Rebates</w:t>
            </w:r>
          </w:p>
          <w:p w14:paraId="4852C64E" w14:textId="77777777" w:rsidR="00F11348" w:rsidRPr="004B630E" w:rsidRDefault="00F11348" w:rsidP="006B303F">
            <w:pPr>
              <w:spacing w:after="0"/>
              <w:jc w:val="left"/>
              <w:rPr>
                <w:color w:val="000000"/>
              </w:rPr>
            </w:pPr>
            <w:r>
              <w:rPr>
                <w:color w:val="000000"/>
              </w:rPr>
              <w:t>Efficient Choice*</w:t>
            </w:r>
          </w:p>
        </w:tc>
      </w:tr>
      <w:tr w:rsidR="00F11348" w:rsidRPr="002F5FEF" w14:paraId="77900150" w14:textId="77777777" w:rsidTr="006B303F">
        <w:trPr>
          <w:trHeight w:val="20"/>
          <w:jc w:val="center"/>
        </w:trPr>
        <w:tc>
          <w:tcPr>
            <w:tcW w:w="1670" w:type="dxa"/>
            <w:vMerge/>
            <w:vAlign w:val="center"/>
            <w:hideMark/>
          </w:tcPr>
          <w:p w14:paraId="3970E7D1" w14:textId="77777777" w:rsidR="00F11348" w:rsidRPr="00C66D8E" w:rsidRDefault="00F11348" w:rsidP="006B303F">
            <w:pPr>
              <w:spacing w:after="0"/>
              <w:jc w:val="left"/>
              <w:rPr>
                <w:color w:val="000000"/>
                <w:szCs w:val="20"/>
              </w:rPr>
            </w:pPr>
          </w:p>
        </w:tc>
        <w:tc>
          <w:tcPr>
            <w:tcW w:w="3545" w:type="dxa"/>
            <w:shd w:val="clear" w:color="auto" w:fill="FFFFFF" w:themeFill="background1"/>
            <w:vAlign w:val="center"/>
            <w:hideMark/>
          </w:tcPr>
          <w:p w14:paraId="3B7A1FFB" w14:textId="77777777" w:rsidR="00F11348" w:rsidRPr="00C66D8E" w:rsidRDefault="00F11348" w:rsidP="006B303F">
            <w:pPr>
              <w:spacing w:after="0"/>
              <w:jc w:val="left"/>
              <w:rPr>
                <w:color w:val="000000"/>
                <w:szCs w:val="20"/>
              </w:rPr>
            </w:pPr>
            <w:r>
              <w:rPr>
                <w:color w:val="000000"/>
                <w:szCs w:val="20"/>
              </w:rPr>
              <w:fldChar w:fldCharType="begin"/>
            </w:r>
            <w:r>
              <w:rPr>
                <w:color w:val="000000"/>
                <w:szCs w:val="20"/>
              </w:rPr>
              <w:instrText xml:space="preserve"> REF _Ref442305481 \r \h  \* MERGEFORMAT </w:instrText>
            </w:r>
            <w:r>
              <w:rPr>
                <w:color w:val="000000"/>
                <w:szCs w:val="20"/>
              </w:rPr>
            </w:r>
            <w:r>
              <w:rPr>
                <w:color w:val="000000"/>
                <w:szCs w:val="20"/>
              </w:rPr>
              <w:fldChar w:fldCharType="separate"/>
            </w:r>
            <w:r>
              <w:rPr>
                <w:color w:val="000000"/>
                <w:szCs w:val="20"/>
              </w:rPr>
              <w:t>4.5</w:t>
            </w:r>
            <w:r>
              <w:rPr>
                <w:color w:val="000000"/>
                <w:szCs w:val="20"/>
              </w:rPr>
              <w:fldChar w:fldCharType="end"/>
            </w:r>
            <w:r>
              <w:rPr>
                <w:color w:val="000000"/>
                <w:szCs w:val="20"/>
              </w:rPr>
              <w:t xml:space="preserve"> </w:t>
            </w:r>
            <w:r>
              <w:rPr>
                <w:color w:val="000000"/>
                <w:szCs w:val="20"/>
              </w:rPr>
              <w:fldChar w:fldCharType="begin"/>
            </w:r>
            <w:r>
              <w:rPr>
                <w:color w:val="000000"/>
                <w:szCs w:val="20"/>
              </w:rPr>
              <w:instrText xml:space="preserve"> REF _Ref442305481 \h  \* MERGEFORMAT </w:instrText>
            </w:r>
            <w:r>
              <w:rPr>
                <w:color w:val="000000"/>
                <w:szCs w:val="20"/>
              </w:rPr>
            </w:r>
            <w:r>
              <w:rPr>
                <w:color w:val="000000"/>
                <w:szCs w:val="20"/>
              </w:rPr>
              <w:fldChar w:fldCharType="separate"/>
            </w:r>
            <w:r w:rsidRPr="009B67BF">
              <w:t>Single-Family Home Energy Audit Pro</w:t>
            </w:r>
            <w:r>
              <w:t>tocol</w:t>
            </w:r>
            <w:r>
              <w:rPr>
                <w:color w:val="000000"/>
                <w:szCs w:val="20"/>
              </w:rPr>
              <w:fldChar w:fldCharType="end"/>
            </w:r>
          </w:p>
        </w:tc>
        <w:tc>
          <w:tcPr>
            <w:tcW w:w="4245" w:type="dxa"/>
            <w:shd w:val="clear" w:color="auto" w:fill="FFFFFF" w:themeFill="background1"/>
            <w:vAlign w:val="center"/>
            <w:hideMark/>
          </w:tcPr>
          <w:p w14:paraId="5729BEF7" w14:textId="31D7DD15" w:rsidR="00F11348" w:rsidRPr="00C66D8E" w:rsidRDefault="00F11348" w:rsidP="006B303F">
            <w:pPr>
              <w:spacing w:after="0"/>
              <w:jc w:val="left"/>
              <w:rPr>
                <w:color w:val="000000"/>
                <w:szCs w:val="20"/>
              </w:rPr>
            </w:pPr>
            <w:r w:rsidRPr="00E4421A">
              <w:rPr>
                <w:color w:val="000000"/>
              </w:rPr>
              <w:t>Single-Family Upgrades (market rate component)</w:t>
            </w:r>
          </w:p>
        </w:tc>
      </w:tr>
      <w:tr w:rsidR="00F11348" w:rsidRPr="002F5FEF" w14:paraId="42513E46" w14:textId="77777777" w:rsidTr="006B303F">
        <w:trPr>
          <w:trHeight w:val="20"/>
          <w:jc w:val="center"/>
        </w:trPr>
        <w:tc>
          <w:tcPr>
            <w:tcW w:w="1670" w:type="dxa"/>
            <w:vMerge/>
            <w:vAlign w:val="center"/>
            <w:hideMark/>
          </w:tcPr>
          <w:p w14:paraId="6A8F565E" w14:textId="77777777" w:rsidR="00F11348" w:rsidRPr="00C66D8E" w:rsidRDefault="00F11348" w:rsidP="006B303F">
            <w:pPr>
              <w:spacing w:after="0"/>
              <w:jc w:val="left"/>
              <w:rPr>
                <w:color w:val="000000"/>
                <w:szCs w:val="20"/>
              </w:rPr>
            </w:pPr>
          </w:p>
        </w:tc>
        <w:tc>
          <w:tcPr>
            <w:tcW w:w="3545" w:type="dxa"/>
            <w:shd w:val="clear" w:color="auto" w:fill="FFFFFF" w:themeFill="background1"/>
            <w:vAlign w:val="center"/>
            <w:hideMark/>
          </w:tcPr>
          <w:p w14:paraId="17F13B2D" w14:textId="77777777" w:rsidR="00F11348" w:rsidRPr="00C66D8E" w:rsidRDefault="00F11348" w:rsidP="006B303F">
            <w:pPr>
              <w:spacing w:after="0"/>
              <w:jc w:val="left"/>
              <w:rPr>
                <w:color w:val="000000"/>
                <w:szCs w:val="20"/>
              </w:rPr>
            </w:pPr>
            <w:r>
              <w:rPr>
                <w:color w:val="000000"/>
                <w:szCs w:val="20"/>
              </w:rPr>
              <w:fldChar w:fldCharType="begin"/>
            </w:r>
            <w:r>
              <w:rPr>
                <w:color w:val="000000"/>
                <w:szCs w:val="20"/>
              </w:rPr>
              <w:instrText xml:space="preserve"> REF _Ref442019850 \r \h  \* MERGEFORMAT </w:instrText>
            </w:r>
            <w:r>
              <w:rPr>
                <w:color w:val="000000"/>
                <w:szCs w:val="20"/>
              </w:rPr>
            </w:r>
            <w:r>
              <w:rPr>
                <w:color w:val="000000"/>
                <w:szCs w:val="20"/>
              </w:rPr>
              <w:fldChar w:fldCharType="separate"/>
            </w:r>
            <w:r>
              <w:rPr>
                <w:color w:val="000000"/>
                <w:szCs w:val="20"/>
              </w:rPr>
              <w:t>4.6</w:t>
            </w:r>
            <w:r>
              <w:rPr>
                <w:color w:val="000000"/>
                <w:szCs w:val="20"/>
              </w:rPr>
              <w:fldChar w:fldCharType="end"/>
            </w:r>
            <w:r>
              <w:rPr>
                <w:color w:val="000000"/>
                <w:szCs w:val="20"/>
              </w:rPr>
              <w:t xml:space="preserve"> </w:t>
            </w:r>
            <w:r>
              <w:rPr>
                <w:color w:val="000000"/>
                <w:szCs w:val="20"/>
              </w:rPr>
              <w:fldChar w:fldCharType="begin"/>
            </w:r>
            <w:r>
              <w:rPr>
                <w:color w:val="000000"/>
                <w:szCs w:val="20"/>
              </w:rPr>
              <w:instrText xml:space="preserve"> REF _Ref442019850 \h  \* MERGEFORMAT </w:instrText>
            </w:r>
            <w:r>
              <w:rPr>
                <w:color w:val="000000"/>
                <w:szCs w:val="20"/>
              </w:rPr>
            </w:r>
            <w:r>
              <w:rPr>
                <w:color w:val="000000"/>
                <w:szCs w:val="20"/>
              </w:rPr>
              <w:fldChar w:fldCharType="separate"/>
            </w:r>
            <w:r w:rsidRPr="009B67BF">
              <w:t xml:space="preserve">Multifamily </w:t>
            </w:r>
            <w:r>
              <w:t>Protocol</w:t>
            </w:r>
            <w:r>
              <w:rPr>
                <w:color w:val="000000"/>
                <w:szCs w:val="20"/>
              </w:rPr>
              <w:fldChar w:fldCharType="end"/>
            </w:r>
          </w:p>
        </w:tc>
        <w:tc>
          <w:tcPr>
            <w:tcW w:w="4245" w:type="dxa"/>
            <w:shd w:val="clear" w:color="auto" w:fill="FFFFFF" w:themeFill="background1"/>
            <w:vAlign w:val="center"/>
          </w:tcPr>
          <w:p w14:paraId="1C77FDD3" w14:textId="420FE7DA" w:rsidR="00F11348" w:rsidRPr="00C66D8E" w:rsidRDefault="00F11348" w:rsidP="006B303F">
            <w:pPr>
              <w:spacing w:after="0"/>
              <w:jc w:val="left"/>
              <w:rPr>
                <w:color w:val="000000"/>
                <w:szCs w:val="20"/>
              </w:rPr>
            </w:pPr>
            <w:r w:rsidRPr="00E4421A">
              <w:rPr>
                <w:color w:val="000000"/>
              </w:rPr>
              <w:t>Multifamily Upgrades (market rate component)</w:t>
            </w:r>
          </w:p>
        </w:tc>
      </w:tr>
      <w:tr w:rsidR="00F11348" w:rsidRPr="002F5FEF" w14:paraId="16733124" w14:textId="77777777" w:rsidTr="006B303F">
        <w:trPr>
          <w:trHeight w:val="20"/>
          <w:jc w:val="center"/>
        </w:trPr>
        <w:tc>
          <w:tcPr>
            <w:tcW w:w="1670" w:type="dxa"/>
            <w:vMerge/>
            <w:vAlign w:val="center"/>
            <w:hideMark/>
          </w:tcPr>
          <w:p w14:paraId="41CEED3B" w14:textId="77777777" w:rsidR="00F11348" w:rsidRPr="00C66D8E" w:rsidRDefault="00F11348" w:rsidP="006B303F">
            <w:pPr>
              <w:spacing w:after="0"/>
              <w:jc w:val="left"/>
              <w:rPr>
                <w:color w:val="000000"/>
                <w:szCs w:val="20"/>
              </w:rPr>
            </w:pPr>
          </w:p>
        </w:tc>
        <w:tc>
          <w:tcPr>
            <w:tcW w:w="3545" w:type="dxa"/>
            <w:shd w:val="clear" w:color="auto" w:fill="FFFFFF" w:themeFill="background1"/>
            <w:vAlign w:val="center"/>
            <w:hideMark/>
          </w:tcPr>
          <w:p w14:paraId="3A6FB631" w14:textId="77777777" w:rsidR="00F11348" w:rsidRPr="00C66D8E" w:rsidRDefault="00F11348" w:rsidP="006B303F">
            <w:pPr>
              <w:spacing w:after="0"/>
              <w:jc w:val="left"/>
              <w:rPr>
                <w:color w:val="000000"/>
                <w:szCs w:val="20"/>
              </w:rPr>
            </w:pPr>
            <w:r>
              <w:rPr>
                <w:color w:val="000000"/>
                <w:szCs w:val="20"/>
              </w:rPr>
              <w:fldChar w:fldCharType="begin"/>
            </w:r>
            <w:r>
              <w:rPr>
                <w:color w:val="000000"/>
                <w:szCs w:val="20"/>
              </w:rPr>
              <w:instrText xml:space="preserve"> REF _Ref442305513 \r \h  \* MERGEFORMAT </w:instrText>
            </w:r>
            <w:r>
              <w:rPr>
                <w:color w:val="000000"/>
                <w:szCs w:val="20"/>
              </w:rPr>
            </w:r>
            <w:r>
              <w:rPr>
                <w:color w:val="000000"/>
                <w:szCs w:val="20"/>
              </w:rPr>
              <w:fldChar w:fldCharType="separate"/>
            </w:r>
            <w:r>
              <w:rPr>
                <w:color w:val="000000"/>
                <w:szCs w:val="20"/>
              </w:rPr>
              <w:t>4.7</w:t>
            </w:r>
            <w:r>
              <w:rPr>
                <w:color w:val="000000"/>
                <w:szCs w:val="20"/>
              </w:rPr>
              <w:fldChar w:fldCharType="end"/>
            </w:r>
            <w:r>
              <w:rPr>
                <w:color w:val="000000"/>
                <w:szCs w:val="20"/>
              </w:rPr>
              <w:t xml:space="preserve"> </w:t>
            </w:r>
            <w:r>
              <w:rPr>
                <w:color w:val="000000"/>
                <w:szCs w:val="20"/>
              </w:rPr>
              <w:fldChar w:fldCharType="begin"/>
            </w:r>
            <w:r>
              <w:rPr>
                <w:color w:val="000000"/>
                <w:szCs w:val="20"/>
              </w:rPr>
              <w:instrText xml:space="preserve"> REF _Ref442305513 \h  \* MERGEFORMAT </w:instrText>
            </w:r>
            <w:r>
              <w:rPr>
                <w:color w:val="000000"/>
                <w:szCs w:val="20"/>
              </w:rPr>
            </w:r>
            <w:r>
              <w:rPr>
                <w:color w:val="000000"/>
                <w:szCs w:val="20"/>
              </w:rPr>
              <w:fldChar w:fldCharType="separate"/>
            </w:r>
            <w:r w:rsidRPr="009B67BF">
              <w:t xml:space="preserve">Energy Saving Kits and Elementary Education </w:t>
            </w:r>
            <w:r>
              <w:t>Protocol</w:t>
            </w:r>
            <w:r>
              <w:rPr>
                <w:color w:val="000000"/>
                <w:szCs w:val="20"/>
              </w:rPr>
              <w:fldChar w:fldCharType="end"/>
            </w:r>
          </w:p>
        </w:tc>
        <w:tc>
          <w:tcPr>
            <w:tcW w:w="4245" w:type="dxa"/>
            <w:shd w:val="clear" w:color="auto" w:fill="FFFFFF" w:themeFill="background1"/>
            <w:vAlign w:val="center"/>
            <w:hideMark/>
          </w:tcPr>
          <w:p w14:paraId="6AAD53C2" w14:textId="781EADA6" w:rsidR="00F11348" w:rsidRPr="00C66D8E" w:rsidRDefault="00F11348" w:rsidP="006B303F">
            <w:pPr>
              <w:spacing w:after="0"/>
              <w:jc w:val="left"/>
              <w:rPr>
                <w:color w:val="000000"/>
                <w:szCs w:val="20"/>
              </w:rPr>
            </w:pPr>
            <w:r w:rsidRPr="00E4421A">
              <w:rPr>
                <w:color w:val="000000"/>
              </w:rPr>
              <w:t>Product Distribution (market rate component)</w:t>
            </w:r>
          </w:p>
        </w:tc>
      </w:tr>
      <w:tr w:rsidR="00F11348" w:rsidRPr="002F5FEF" w14:paraId="39BB7FB0" w14:textId="77777777" w:rsidTr="006B303F">
        <w:trPr>
          <w:trHeight w:val="20"/>
          <w:jc w:val="center"/>
        </w:trPr>
        <w:tc>
          <w:tcPr>
            <w:tcW w:w="1670" w:type="dxa"/>
            <w:vMerge/>
            <w:vAlign w:val="center"/>
            <w:hideMark/>
          </w:tcPr>
          <w:p w14:paraId="5C30E8A0" w14:textId="77777777" w:rsidR="00F11348" w:rsidRPr="00C66D8E" w:rsidRDefault="00F11348" w:rsidP="006B303F">
            <w:pPr>
              <w:spacing w:after="0"/>
              <w:jc w:val="left"/>
              <w:rPr>
                <w:color w:val="000000"/>
                <w:szCs w:val="20"/>
              </w:rPr>
            </w:pPr>
          </w:p>
        </w:tc>
        <w:tc>
          <w:tcPr>
            <w:tcW w:w="3545" w:type="dxa"/>
            <w:shd w:val="clear" w:color="auto" w:fill="FFFFFF" w:themeFill="background1"/>
            <w:vAlign w:val="center"/>
          </w:tcPr>
          <w:p w14:paraId="5B5924F4" w14:textId="214CF839" w:rsidR="00F11348" w:rsidRPr="00C66D8E" w:rsidRDefault="00F11348" w:rsidP="006B303F">
            <w:pPr>
              <w:spacing w:after="0"/>
              <w:jc w:val="left"/>
              <w:rPr>
                <w:color w:val="000000"/>
                <w:szCs w:val="20"/>
              </w:rPr>
            </w:pPr>
            <w:r w:rsidRPr="006D1D77">
              <w:rPr>
                <w:color w:val="000000"/>
              </w:rPr>
              <w:t>5.3 Consumption Data Analysis Protocol</w:t>
            </w:r>
          </w:p>
        </w:tc>
        <w:tc>
          <w:tcPr>
            <w:tcW w:w="4245" w:type="dxa"/>
            <w:shd w:val="clear" w:color="auto" w:fill="FFFFFF" w:themeFill="background1"/>
            <w:vAlign w:val="center"/>
          </w:tcPr>
          <w:p w14:paraId="05EB94E3" w14:textId="1EE41CEE" w:rsidR="00F11348" w:rsidRPr="00C66D8E" w:rsidRDefault="00F11348" w:rsidP="006B303F">
            <w:pPr>
              <w:spacing w:after="0"/>
              <w:jc w:val="left"/>
              <w:rPr>
                <w:color w:val="000000"/>
                <w:szCs w:val="20"/>
              </w:rPr>
            </w:pPr>
            <w:r w:rsidRPr="006D1D77">
              <w:rPr>
                <w:color w:val="000000"/>
              </w:rPr>
              <w:t>Behavior</w:t>
            </w:r>
            <w:r>
              <w:rPr>
                <w:color w:val="000000"/>
              </w:rPr>
              <w:t xml:space="preserve"> – Res/IE</w:t>
            </w:r>
            <w:r w:rsidRPr="008C12C6" w:rsidDel="00E4421A">
              <w:rPr>
                <w:color w:val="000000"/>
              </w:rPr>
              <w:t xml:space="preserve"> </w:t>
            </w:r>
          </w:p>
        </w:tc>
      </w:tr>
      <w:tr w:rsidR="00F11348" w:rsidRPr="002F5FEF" w14:paraId="0B4C85E8" w14:textId="77777777" w:rsidTr="006B303F">
        <w:trPr>
          <w:trHeight w:val="20"/>
          <w:jc w:val="center"/>
        </w:trPr>
        <w:tc>
          <w:tcPr>
            <w:tcW w:w="1670" w:type="dxa"/>
            <w:vMerge/>
            <w:vAlign w:val="center"/>
            <w:hideMark/>
          </w:tcPr>
          <w:p w14:paraId="691E57C1" w14:textId="77777777" w:rsidR="00F11348" w:rsidRPr="00C66D8E" w:rsidRDefault="00F11348" w:rsidP="006B303F">
            <w:pPr>
              <w:spacing w:after="0"/>
              <w:jc w:val="left"/>
              <w:rPr>
                <w:color w:val="000000"/>
                <w:szCs w:val="20"/>
              </w:rPr>
            </w:pPr>
          </w:p>
        </w:tc>
        <w:tc>
          <w:tcPr>
            <w:tcW w:w="3545" w:type="dxa"/>
            <w:shd w:val="clear" w:color="auto" w:fill="FFFFFF" w:themeFill="background1"/>
            <w:vAlign w:val="center"/>
          </w:tcPr>
          <w:p w14:paraId="4C1978A1" w14:textId="3036A284" w:rsidR="00F11348" w:rsidRPr="008C12C6" w:rsidRDefault="00F11348" w:rsidP="006B303F">
            <w:pPr>
              <w:spacing w:after="0"/>
              <w:jc w:val="left"/>
              <w:rPr>
                <w:color w:val="000000"/>
              </w:rPr>
            </w:pPr>
            <w:r>
              <w:rPr>
                <w:color w:val="000000"/>
              </w:rPr>
              <w:t>5.4 Midstream Protocol</w:t>
            </w:r>
          </w:p>
        </w:tc>
        <w:tc>
          <w:tcPr>
            <w:tcW w:w="4245" w:type="dxa"/>
            <w:shd w:val="clear" w:color="auto" w:fill="FFFFFF" w:themeFill="background1"/>
            <w:vAlign w:val="center"/>
          </w:tcPr>
          <w:p w14:paraId="08359973" w14:textId="58C4B673" w:rsidR="00F11348" w:rsidRPr="008C12C6" w:rsidRDefault="00F11348" w:rsidP="006B303F">
            <w:pPr>
              <w:spacing w:after="0"/>
              <w:jc w:val="left"/>
              <w:rPr>
                <w:color w:val="000000"/>
              </w:rPr>
            </w:pPr>
            <w:r>
              <w:rPr>
                <w:color w:val="000000"/>
              </w:rPr>
              <w:t>Contractor/Midstream Rebates (mid- and up-stream measures)</w:t>
            </w:r>
          </w:p>
        </w:tc>
      </w:tr>
      <w:tr w:rsidR="00F11348" w:rsidRPr="002F5FEF" w14:paraId="7574F0E1" w14:textId="77777777" w:rsidTr="006B303F">
        <w:trPr>
          <w:trHeight w:val="20"/>
          <w:jc w:val="center"/>
        </w:trPr>
        <w:tc>
          <w:tcPr>
            <w:tcW w:w="1670" w:type="dxa"/>
            <w:vMerge/>
            <w:vAlign w:val="center"/>
          </w:tcPr>
          <w:p w14:paraId="11B9C071" w14:textId="77777777" w:rsidR="00F11348" w:rsidRPr="00C66D8E" w:rsidRDefault="00F11348" w:rsidP="006B303F">
            <w:pPr>
              <w:spacing w:after="0"/>
              <w:jc w:val="left"/>
              <w:rPr>
                <w:color w:val="000000"/>
                <w:szCs w:val="20"/>
              </w:rPr>
            </w:pPr>
          </w:p>
        </w:tc>
        <w:tc>
          <w:tcPr>
            <w:tcW w:w="3545" w:type="dxa"/>
            <w:shd w:val="clear" w:color="auto" w:fill="FFFFFF" w:themeFill="background1"/>
            <w:vAlign w:val="center"/>
          </w:tcPr>
          <w:p w14:paraId="1E187A82" w14:textId="77777777" w:rsidR="00F11348" w:rsidRDefault="00F11348" w:rsidP="006B303F">
            <w:pPr>
              <w:spacing w:after="0"/>
              <w:jc w:val="left"/>
              <w:rPr>
                <w:color w:val="000000"/>
              </w:rPr>
            </w:pPr>
            <w:r>
              <w:rPr>
                <w:color w:val="000000"/>
              </w:rPr>
              <w:t>Attachment C Market Transformation</w:t>
            </w:r>
          </w:p>
        </w:tc>
        <w:tc>
          <w:tcPr>
            <w:tcW w:w="4245" w:type="dxa"/>
            <w:shd w:val="clear" w:color="auto" w:fill="FFFFFF" w:themeFill="background1"/>
            <w:vAlign w:val="center"/>
          </w:tcPr>
          <w:p w14:paraId="2C207D55" w14:textId="77777777" w:rsidR="00F11348" w:rsidRPr="006D1D77" w:rsidDel="00E4421A" w:rsidRDefault="00F11348" w:rsidP="006B303F">
            <w:pPr>
              <w:spacing w:after="0"/>
              <w:jc w:val="left"/>
              <w:rPr>
                <w:color w:val="000000"/>
              </w:rPr>
            </w:pPr>
            <w:r>
              <w:rPr>
                <w:color w:val="000000"/>
              </w:rPr>
              <w:t>Electric Homes New Construction</w:t>
            </w:r>
          </w:p>
        </w:tc>
      </w:tr>
      <w:tr w:rsidR="00F11348" w:rsidRPr="002F5FEF" w14:paraId="75B6B3A3" w14:textId="77777777" w:rsidTr="006B303F">
        <w:trPr>
          <w:trHeight w:val="20"/>
          <w:jc w:val="center"/>
        </w:trPr>
        <w:tc>
          <w:tcPr>
            <w:tcW w:w="1670" w:type="dxa"/>
            <w:vMerge/>
            <w:vAlign w:val="center"/>
            <w:hideMark/>
          </w:tcPr>
          <w:p w14:paraId="2249E120" w14:textId="77777777" w:rsidR="00F11348" w:rsidRPr="00C66D8E" w:rsidRDefault="00F11348" w:rsidP="006B303F">
            <w:pPr>
              <w:spacing w:after="0"/>
              <w:jc w:val="left"/>
              <w:rPr>
                <w:color w:val="000000"/>
                <w:szCs w:val="20"/>
              </w:rPr>
            </w:pPr>
          </w:p>
        </w:tc>
        <w:tc>
          <w:tcPr>
            <w:tcW w:w="3545" w:type="dxa"/>
            <w:shd w:val="clear" w:color="auto" w:fill="FFFFFF" w:themeFill="background1"/>
            <w:vAlign w:val="center"/>
            <w:hideMark/>
          </w:tcPr>
          <w:p w14:paraId="074E45FF" w14:textId="77777777" w:rsidR="00F11348" w:rsidRPr="00C66D8E" w:rsidRDefault="00F11348" w:rsidP="006B303F">
            <w:pPr>
              <w:spacing w:after="0"/>
              <w:jc w:val="left"/>
              <w:rPr>
                <w:color w:val="000000"/>
                <w:szCs w:val="20"/>
              </w:rPr>
            </w:pPr>
            <w:r w:rsidRPr="00C66D8E">
              <w:rPr>
                <w:color w:val="000000"/>
                <w:szCs w:val="20"/>
              </w:rPr>
              <w:t>†</w:t>
            </w:r>
          </w:p>
        </w:tc>
        <w:tc>
          <w:tcPr>
            <w:tcW w:w="4245" w:type="dxa"/>
            <w:shd w:val="clear" w:color="auto" w:fill="FFFFFF" w:themeFill="background1"/>
            <w:vAlign w:val="center"/>
            <w:hideMark/>
          </w:tcPr>
          <w:p w14:paraId="60DFF20B" w14:textId="77777777" w:rsidR="00F11348" w:rsidRDefault="00F11348" w:rsidP="006B303F">
            <w:pPr>
              <w:spacing w:after="0"/>
              <w:jc w:val="left"/>
              <w:rPr>
                <w:color w:val="000000"/>
              </w:rPr>
            </w:pPr>
            <w:r w:rsidRPr="00E4421A">
              <w:rPr>
                <w:color w:val="000000"/>
              </w:rPr>
              <w:t>Retail/Online (income eligible component) Product Distribution (income eligible component) Single-Family Upgrades (income eligible component)</w:t>
            </w:r>
          </w:p>
          <w:p w14:paraId="0A5588DC" w14:textId="77777777" w:rsidR="00F11348" w:rsidRDefault="00F11348" w:rsidP="006B303F">
            <w:pPr>
              <w:spacing w:after="0"/>
              <w:jc w:val="left"/>
              <w:rPr>
                <w:color w:val="000000"/>
              </w:rPr>
            </w:pPr>
            <w:r w:rsidRPr="00E4421A">
              <w:rPr>
                <w:color w:val="000000"/>
              </w:rPr>
              <w:t>Multifamily Upgrades (income eligible component)</w:t>
            </w:r>
          </w:p>
          <w:p w14:paraId="0E7012E0" w14:textId="77777777" w:rsidR="00F11348" w:rsidRDefault="00F11348" w:rsidP="006B303F">
            <w:pPr>
              <w:spacing w:after="0"/>
              <w:jc w:val="left"/>
              <w:rPr>
                <w:color w:val="000000"/>
              </w:rPr>
            </w:pPr>
            <w:r>
              <w:rPr>
                <w:color w:val="000000"/>
              </w:rPr>
              <w:lastRenderedPageBreak/>
              <w:t xml:space="preserve">New Construction – IE </w:t>
            </w:r>
          </w:p>
          <w:p w14:paraId="150F8398" w14:textId="628253D2" w:rsidR="00F11348" w:rsidRDefault="00F11348" w:rsidP="006B303F">
            <w:pPr>
              <w:spacing w:after="0"/>
              <w:jc w:val="left"/>
              <w:rPr>
                <w:color w:val="000000"/>
                <w:szCs w:val="20"/>
              </w:rPr>
            </w:pPr>
            <w:r>
              <w:rPr>
                <w:color w:val="000000"/>
              </w:rPr>
              <w:t xml:space="preserve">Third Party – IE </w:t>
            </w:r>
          </w:p>
          <w:p w14:paraId="0F381628" w14:textId="77777777" w:rsidR="00F11348" w:rsidRPr="00C66D8E" w:rsidRDefault="00F11348" w:rsidP="006B303F">
            <w:pPr>
              <w:spacing w:after="0"/>
              <w:jc w:val="left"/>
              <w:rPr>
                <w:color w:val="000000"/>
                <w:szCs w:val="20"/>
              </w:rPr>
            </w:pPr>
          </w:p>
        </w:tc>
      </w:tr>
      <w:tr w:rsidR="00F11348" w:rsidRPr="002F5FEF" w14:paraId="53701A6F" w14:textId="77777777" w:rsidTr="006B303F">
        <w:trPr>
          <w:trHeight w:val="20"/>
          <w:jc w:val="center"/>
        </w:trPr>
        <w:tc>
          <w:tcPr>
            <w:tcW w:w="1670" w:type="dxa"/>
            <w:vMerge w:val="restart"/>
            <w:shd w:val="clear" w:color="auto" w:fill="FFFFFF" w:themeFill="background1"/>
            <w:vAlign w:val="center"/>
            <w:hideMark/>
          </w:tcPr>
          <w:p w14:paraId="7D16781F" w14:textId="77777777" w:rsidR="00F11348" w:rsidRPr="00C66D8E" w:rsidRDefault="00F11348" w:rsidP="006B303F">
            <w:pPr>
              <w:spacing w:after="0"/>
              <w:jc w:val="left"/>
              <w:rPr>
                <w:color w:val="000000"/>
                <w:szCs w:val="20"/>
              </w:rPr>
            </w:pPr>
            <w:r w:rsidRPr="00C66D8E">
              <w:rPr>
                <w:color w:val="000000"/>
                <w:szCs w:val="20"/>
              </w:rPr>
              <w:lastRenderedPageBreak/>
              <w:t>Nicor</w:t>
            </w:r>
            <w:r>
              <w:rPr>
                <w:color w:val="000000"/>
                <w:szCs w:val="20"/>
              </w:rPr>
              <w:t xml:space="preserve"> Gas</w:t>
            </w:r>
          </w:p>
        </w:tc>
        <w:tc>
          <w:tcPr>
            <w:tcW w:w="3545" w:type="dxa"/>
            <w:shd w:val="clear" w:color="auto" w:fill="FFFFFF" w:themeFill="background1"/>
            <w:vAlign w:val="center"/>
            <w:hideMark/>
          </w:tcPr>
          <w:p w14:paraId="620B4840" w14:textId="77777777" w:rsidR="00F11348" w:rsidRPr="00C66D8E" w:rsidRDefault="00F11348" w:rsidP="006B303F">
            <w:pPr>
              <w:spacing w:after="0"/>
              <w:jc w:val="left"/>
              <w:rPr>
                <w:color w:val="000000"/>
                <w:szCs w:val="20"/>
              </w:rPr>
            </w:pPr>
            <w:r>
              <w:rPr>
                <w:color w:val="000000"/>
                <w:szCs w:val="20"/>
              </w:rPr>
              <w:fldChar w:fldCharType="begin"/>
            </w:r>
            <w:r>
              <w:rPr>
                <w:color w:val="000000"/>
                <w:szCs w:val="20"/>
              </w:rPr>
              <w:instrText xml:space="preserve"> REF _Ref442020776 \r \h  \* MERGEFORMAT </w:instrText>
            </w:r>
            <w:r>
              <w:rPr>
                <w:color w:val="000000"/>
                <w:szCs w:val="20"/>
              </w:rPr>
            </w:r>
            <w:r>
              <w:rPr>
                <w:color w:val="000000"/>
                <w:szCs w:val="20"/>
              </w:rPr>
              <w:fldChar w:fldCharType="separate"/>
            </w:r>
            <w:r>
              <w:rPr>
                <w:color w:val="000000"/>
                <w:szCs w:val="20"/>
              </w:rPr>
              <w:t>4.4</w:t>
            </w:r>
            <w:r>
              <w:rPr>
                <w:color w:val="000000"/>
                <w:szCs w:val="20"/>
              </w:rPr>
              <w:fldChar w:fldCharType="end"/>
            </w:r>
            <w:r>
              <w:rPr>
                <w:color w:val="000000"/>
                <w:szCs w:val="20"/>
              </w:rPr>
              <w:t xml:space="preserve"> </w:t>
            </w:r>
            <w:r>
              <w:rPr>
                <w:color w:val="000000"/>
                <w:szCs w:val="20"/>
              </w:rPr>
              <w:fldChar w:fldCharType="begin"/>
            </w:r>
            <w:r>
              <w:rPr>
                <w:color w:val="000000"/>
                <w:szCs w:val="20"/>
              </w:rPr>
              <w:instrText xml:space="preserve"> REF _Ref442020776 \h  \* MERGEFORMAT </w:instrText>
            </w:r>
            <w:r>
              <w:rPr>
                <w:color w:val="000000"/>
                <w:szCs w:val="20"/>
              </w:rPr>
            </w:r>
            <w:r>
              <w:rPr>
                <w:color w:val="000000"/>
                <w:szCs w:val="20"/>
              </w:rPr>
              <w:fldChar w:fldCharType="separate"/>
            </w:r>
            <w:r w:rsidRPr="00506A44">
              <w:rPr>
                <w:rFonts w:eastAsia="Franklin Gothic Book"/>
              </w:rPr>
              <w:t>Prescriptive Rebate (With No Audit) Protocol</w:t>
            </w:r>
            <w:r>
              <w:rPr>
                <w:color w:val="000000"/>
                <w:szCs w:val="20"/>
              </w:rPr>
              <w:fldChar w:fldCharType="end"/>
            </w:r>
          </w:p>
        </w:tc>
        <w:tc>
          <w:tcPr>
            <w:tcW w:w="4245" w:type="dxa"/>
            <w:shd w:val="clear" w:color="auto" w:fill="FFFFFF" w:themeFill="background1"/>
            <w:vAlign w:val="center"/>
            <w:hideMark/>
          </w:tcPr>
          <w:p w14:paraId="65DFBD5A" w14:textId="77777777" w:rsidR="00F11348" w:rsidRPr="00C66D8E" w:rsidRDefault="00F11348" w:rsidP="006B303F">
            <w:pPr>
              <w:spacing w:after="0"/>
              <w:jc w:val="left"/>
              <w:rPr>
                <w:color w:val="000000"/>
                <w:szCs w:val="20"/>
              </w:rPr>
            </w:pPr>
            <w:r>
              <w:rPr>
                <w:color w:val="000000"/>
                <w:szCs w:val="20"/>
              </w:rPr>
              <w:t>Home Energy Efficiency Rebates (Single Family)</w:t>
            </w:r>
          </w:p>
        </w:tc>
      </w:tr>
      <w:tr w:rsidR="00F11348" w:rsidRPr="002F5FEF" w14:paraId="27C21205" w14:textId="77777777" w:rsidTr="006B303F">
        <w:trPr>
          <w:trHeight w:val="20"/>
          <w:jc w:val="center"/>
        </w:trPr>
        <w:tc>
          <w:tcPr>
            <w:tcW w:w="1670" w:type="dxa"/>
            <w:vMerge/>
            <w:vAlign w:val="center"/>
            <w:hideMark/>
          </w:tcPr>
          <w:p w14:paraId="0EB2EE04" w14:textId="77777777" w:rsidR="00F11348" w:rsidRPr="00C66D8E" w:rsidRDefault="00F11348" w:rsidP="006B303F">
            <w:pPr>
              <w:spacing w:after="0"/>
              <w:jc w:val="left"/>
              <w:rPr>
                <w:color w:val="000000"/>
                <w:szCs w:val="20"/>
              </w:rPr>
            </w:pPr>
          </w:p>
        </w:tc>
        <w:tc>
          <w:tcPr>
            <w:tcW w:w="3545" w:type="dxa"/>
            <w:vMerge w:val="restart"/>
            <w:shd w:val="clear" w:color="auto" w:fill="FFFFFF" w:themeFill="background1"/>
            <w:vAlign w:val="center"/>
            <w:hideMark/>
          </w:tcPr>
          <w:p w14:paraId="0161D331" w14:textId="77777777" w:rsidR="00F11348" w:rsidRPr="00C66D8E" w:rsidRDefault="00F11348" w:rsidP="006B303F">
            <w:pPr>
              <w:spacing w:after="0"/>
              <w:jc w:val="left"/>
              <w:rPr>
                <w:color w:val="000000"/>
                <w:szCs w:val="20"/>
              </w:rPr>
            </w:pPr>
            <w:r>
              <w:rPr>
                <w:color w:val="000000"/>
                <w:szCs w:val="20"/>
              </w:rPr>
              <w:fldChar w:fldCharType="begin"/>
            </w:r>
            <w:r>
              <w:rPr>
                <w:color w:val="000000"/>
                <w:szCs w:val="20"/>
              </w:rPr>
              <w:instrText xml:space="preserve"> REF _Ref442305481 \r \h  \* MERGEFORMAT </w:instrText>
            </w:r>
            <w:r>
              <w:rPr>
                <w:color w:val="000000"/>
                <w:szCs w:val="20"/>
              </w:rPr>
            </w:r>
            <w:r>
              <w:rPr>
                <w:color w:val="000000"/>
                <w:szCs w:val="20"/>
              </w:rPr>
              <w:fldChar w:fldCharType="separate"/>
            </w:r>
            <w:r>
              <w:rPr>
                <w:color w:val="000000"/>
                <w:szCs w:val="20"/>
              </w:rPr>
              <w:t>4.5</w:t>
            </w:r>
            <w:r>
              <w:rPr>
                <w:color w:val="000000"/>
                <w:szCs w:val="20"/>
              </w:rPr>
              <w:fldChar w:fldCharType="end"/>
            </w:r>
            <w:r>
              <w:rPr>
                <w:color w:val="000000"/>
                <w:szCs w:val="20"/>
              </w:rPr>
              <w:t xml:space="preserve"> </w:t>
            </w:r>
            <w:r>
              <w:rPr>
                <w:color w:val="000000"/>
                <w:szCs w:val="20"/>
              </w:rPr>
              <w:fldChar w:fldCharType="begin"/>
            </w:r>
            <w:r>
              <w:rPr>
                <w:color w:val="000000"/>
                <w:szCs w:val="20"/>
              </w:rPr>
              <w:instrText xml:space="preserve"> REF _Ref442305481 \h  \* MERGEFORMAT </w:instrText>
            </w:r>
            <w:r>
              <w:rPr>
                <w:color w:val="000000"/>
                <w:szCs w:val="20"/>
              </w:rPr>
            </w:r>
            <w:r>
              <w:rPr>
                <w:color w:val="000000"/>
                <w:szCs w:val="20"/>
              </w:rPr>
              <w:fldChar w:fldCharType="separate"/>
            </w:r>
            <w:r w:rsidRPr="00506A44">
              <w:rPr>
                <w:rFonts w:eastAsia="Franklin Gothic Book"/>
              </w:rPr>
              <w:t>Single-Family Home Energy Audit Protocol</w:t>
            </w:r>
            <w:r>
              <w:rPr>
                <w:color w:val="000000"/>
                <w:szCs w:val="20"/>
              </w:rPr>
              <w:fldChar w:fldCharType="end"/>
            </w:r>
          </w:p>
        </w:tc>
        <w:tc>
          <w:tcPr>
            <w:tcW w:w="4245" w:type="dxa"/>
            <w:shd w:val="clear" w:color="auto" w:fill="FFFFFF" w:themeFill="background1"/>
            <w:vAlign w:val="center"/>
            <w:hideMark/>
          </w:tcPr>
          <w:p w14:paraId="20EFBA12" w14:textId="77777777" w:rsidR="00F11348" w:rsidRPr="00C66D8E" w:rsidRDefault="00F11348" w:rsidP="006B303F">
            <w:pPr>
              <w:spacing w:after="0"/>
              <w:jc w:val="left"/>
              <w:rPr>
                <w:color w:val="000000"/>
                <w:szCs w:val="20"/>
              </w:rPr>
            </w:pPr>
            <w:r>
              <w:rPr>
                <w:color w:val="000000"/>
                <w:szCs w:val="20"/>
              </w:rPr>
              <w:t>Home Energy Savings (Single Family Assessment/ Direct Install)</w:t>
            </w:r>
          </w:p>
        </w:tc>
      </w:tr>
      <w:tr w:rsidR="00F11348" w:rsidRPr="002F5FEF" w14:paraId="393DFA32" w14:textId="77777777" w:rsidTr="006B303F">
        <w:trPr>
          <w:trHeight w:val="20"/>
          <w:jc w:val="center"/>
        </w:trPr>
        <w:tc>
          <w:tcPr>
            <w:tcW w:w="1670" w:type="dxa"/>
            <w:vMerge/>
            <w:vAlign w:val="center"/>
          </w:tcPr>
          <w:p w14:paraId="5B3A01C0" w14:textId="77777777" w:rsidR="00F11348" w:rsidRPr="00C66D8E" w:rsidRDefault="00F11348" w:rsidP="006B303F">
            <w:pPr>
              <w:spacing w:after="0"/>
              <w:jc w:val="left"/>
              <w:rPr>
                <w:color w:val="000000"/>
                <w:szCs w:val="20"/>
              </w:rPr>
            </w:pPr>
          </w:p>
        </w:tc>
        <w:tc>
          <w:tcPr>
            <w:tcW w:w="3545" w:type="dxa"/>
            <w:vMerge/>
            <w:shd w:val="clear" w:color="000000" w:fill="FFFFFF"/>
            <w:vAlign w:val="center"/>
          </w:tcPr>
          <w:p w14:paraId="5B620039" w14:textId="77777777" w:rsidR="00F11348" w:rsidRDefault="00F11348" w:rsidP="006B303F">
            <w:pPr>
              <w:spacing w:after="0"/>
              <w:jc w:val="left"/>
              <w:rPr>
                <w:color w:val="000000"/>
                <w:szCs w:val="20"/>
              </w:rPr>
            </w:pPr>
          </w:p>
        </w:tc>
        <w:tc>
          <w:tcPr>
            <w:tcW w:w="4245" w:type="dxa"/>
            <w:shd w:val="clear" w:color="auto" w:fill="FFFFFF" w:themeFill="background1"/>
            <w:vAlign w:val="center"/>
          </w:tcPr>
          <w:p w14:paraId="59AF6837" w14:textId="77777777" w:rsidR="00F11348" w:rsidRPr="00C66D8E" w:rsidRDefault="00F11348" w:rsidP="006B303F">
            <w:pPr>
              <w:spacing w:after="0"/>
              <w:jc w:val="left"/>
              <w:rPr>
                <w:color w:val="000000"/>
                <w:szCs w:val="20"/>
              </w:rPr>
            </w:pPr>
            <w:r>
              <w:rPr>
                <w:color w:val="000000"/>
                <w:szCs w:val="20"/>
              </w:rPr>
              <w:t>Weatherization (</w:t>
            </w:r>
            <w:proofErr w:type="spellStart"/>
            <w:r>
              <w:rPr>
                <w:color w:val="000000"/>
                <w:szCs w:val="20"/>
              </w:rPr>
              <w:t>Wx</w:t>
            </w:r>
            <w:proofErr w:type="spellEnd"/>
            <w:r>
              <w:rPr>
                <w:color w:val="000000"/>
                <w:szCs w:val="20"/>
              </w:rPr>
              <w:t>) Prescriptive (Air/Duct Sealing and Insulation)</w:t>
            </w:r>
          </w:p>
        </w:tc>
      </w:tr>
      <w:tr w:rsidR="00F11348" w:rsidRPr="002F5FEF" w14:paraId="655ABA45" w14:textId="77777777" w:rsidTr="006B303F">
        <w:trPr>
          <w:trHeight w:val="20"/>
          <w:jc w:val="center"/>
        </w:trPr>
        <w:tc>
          <w:tcPr>
            <w:tcW w:w="1670" w:type="dxa"/>
            <w:vMerge/>
            <w:vAlign w:val="center"/>
            <w:hideMark/>
          </w:tcPr>
          <w:p w14:paraId="19B41F71" w14:textId="77777777" w:rsidR="00F11348" w:rsidRPr="00C66D8E" w:rsidRDefault="00F11348" w:rsidP="006B303F">
            <w:pPr>
              <w:spacing w:after="0"/>
              <w:jc w:val="left"/>
              <w:rPr>
                <w:color w:val="000000"/>
                <w:szCs w:val="20"/>
              </w:rPr>
            </w:pPr>
          </w:p>
        </w:tc>
        <w:tc>
          <w:tcPr>
            <w:tcW w:w="3545" w:type="dxa"/>
            <w:shd w:val="clear" w:color="auto" w:fill="FFFFFF" w:themeFill="background1"/>
            <w:vAlign w:val="center"/>
            <w:hideMark/>
          </w:tcPr>
          <w:p w14:paraId="2E26EC45" w14:textId="77777777" w:rsidR="00F11348" w:rsidRPr="00C66D8E" w:rsidRDefault="00F11348" w:rsidP="006B303F">
            <w:pPr>
              <w:spacing w:after="0"/>
              <w:jc w:val="left"/>
              <w:rPr>
                <w:color w:val="000000"/>
                <w:szCs w:val="20"/>
              </w:rPr>
            </w:pPr>
            <w:r>
              <w:rPr>
                <w:color w:val="000000"/>
                <w:szCs w:val="20"/>
              </w:rPr>
              <w:fldChar w:fldCharType="begin"/>
            </w:r>
            <w:r>
              <w:rPr>
                <w:color w:val="000000"/>
                <w:szCs w:val="20"/>
              </w:rPr>
              <w:instrText xml:space="preserve"> REF _Ref442019850 \r \h  \* MERGEFORMAT </w:instrText>
            </w:r>
            <w:r>
              <w:rPr>
                <w:color w:val="000000"/>
                <w:szCs w:val="20"/>
              </w:rPr>
            </w:r>
            <w:r>
              <w:rPr>
                <w:color w:val="000000"/>
                <w:szCs w:val="20"/>
              </w:rPr>
              <w:fldChar w:fldCharType="separate"/>
            </w:r>
            <w:r>
              <w:rPr>
                <w:color w:val="000000"/>
                <w:szCs w:val="20"/>
              </w:rPr>
              <w:t>4.6</w:t>
            </w:r>
            <w:r>
              <w:rPr>
                <w:color w:val="000000"/>
                <w:szCs w:val="20"/>
              </w:rPr>
              <w:fldChar w:fldCharType="end"/>
            </w:r>
            <w:r>
              <w:rPr>
                <w:color w:val="000000"/>
                <w:szCs w:val="20"/>
              </w:rPr>
              <w:t xml:space="preserve"> </w:t>
            </w:r>
            <w:r>
              <w:rPr>
                <w:color w:val="000000"/>
                <w:szCs w:val="20"/>
              </w:rPr>
              <w:fldChar w:fldCharType="begin"/>
            </w:r>
            <w:r>
              <w:rPr>
                <w:color w:val="000000"/>
                <w:szCs w:val="20"/>
              </w:rPr>
              <w:instrText xml:space="preserve"> REF _Ref442019850 \h  \* MERGEFORMAT </w:instrText>
            </w:r>
            <w:r>
              <w:rPr>
                <w:color w:val="000000"/>
                <w:szCs w:val="20"/>
              </w:rPr>
            </w:r>
            <w:r>
              <w:rPr>
                <w:color w:val="000000"/>
                <w:szCs w:val="20"/>
              </w:rPr>
              <w:fldChar w:fldCharType="separate"/>
            </w:r>
            <w:r w:rsidRPr="00506A44">
              <w:rPr>
                <w:rFonts w:eastAsia="Franklin Gothic Book"/>
              </w:rPr>
              <w:t>Multifamily Protocol</w:t>
            </w:r>
            <w:r>
              <w:rPr>
                <w:color w:val="000000"/>
                <w:szCs w:val="20"/>
              </w:rPr>
              <w:fldChar w:fldCharType="end"/>
            </w:r>
          </w:p>
        </w:tc>
        <w:tc>
          <w:tcPr>
            <w:tcW w:w="4245" w:type="dxa"/>
            <w:shd w:val="clear" w:color="auto" w:fill="FFFFFF" w:themeFill="background1"/>
            <w:vAlign w:val="center"/>
            <w:hideMark/>
          </w:tcPr>
          <w:p w14:paraId="2642F214" w14:textId="77777777" w:rsidR="00F11348" w:rsidRPr="00C66D8E" w:rsidRDefault="00F11348" w:rsidP="006B303F">
            <w:pPr>
              <w:spacing w:after="0"/>
              <w:jc w:val="left"/>
              <w:rPr>
                <w:color w:val="000000"/>
                <w:szCs w:val="20"/>
              </w:rPr>
            </w:pPr>
            <w:r w:rsidRPr="00C66D8E">
              <w:rPr>
                <w:color w:val="000000"/>
                <w:szCs w:val="20"/>
              </w:rPr>
              <w:t>Multi</w:t>
            </w:r>
            <w:r>
              <w:rPr>
                <w:color w:val="000000"/>
                <w:szCs w:val="20"/>
              </w:rPr>
              <w:t>-F</w:t>
            </w:r>
            <w:r w:rsidRPr="00C66D8E">
              <w:rPr>
                <w:color w:val="000000"/>
                <w:szCs w:val="20"/>
              </w:rPr>
              <w:t xml:space="preserve">amily </w:t>
            </w:r>
            <w:r>
              <w:rPr>
                <w:color w:val="000000"/>
                <w:szCs w:val="20"/>
              </w:rPr>
              <w:t>(Assessment/ Direct Install /Direct Distribution)</w:t>
            </w:r>
          </w:p>
          <w:p w14:paraId="714DA907" w14:textId="77777777" w:rsidR="00F11348" w:rsidRDefault="00F11348" w:rsidP="006B303F">
            <w:pPr>
              <w:spacing w:after="0"/>
              <w:jc w:val="left"/>
              <w:rPr>
                <w:color w:val="000000"/>
                <w:szCs w:val="20"/>
              </w:rPr>
            </w:pPr>
            <w:r>
              <w:rPr>
                <w:color w:val="000000"/>
                <w:szCs w:val="20"/>
              </w:rPr>
              <w:t>Multi-Family Prescriptive Rebates</w:t>
            </w:r>
          </w:p>
          <w:p w14:paraId="4B5A617C" w14:textId="77777777" w:rsidR="00F11348" w:rsidRPr="00C66D8E" w:rsidRDefault="00F11348" w:rsidP="006B303F">
            <w:pPr>
              <w:spacing w:after="0"/>
              <w:jc w:val="left"/>
              <w:rPr>
                <w:color w:val="000000"/>
                <w:szCs w:val="20"/>
              </w:rPr>
            </w:pPr>
            <w:r>
              <w:rPr>
                <w:color w:val="000000"/>
                <w:szCs w:val="20"/>
              </w:rPr>
              <w:t>Central Plant Optimization</w:t>
            </w:r>
          </w:p>
        </w:tc>
      </w:tr>
      <w:tr w:rsidR="00F11348" w:rsidRPr="002F5FEF" w14:paraId="3DD83EF1" w14:textId="77777777" w:rsidTr="006B303F">
        <w:trPr>
          <w:trHeight w:val="20"/>
          <w:jc w:val="center"/>
        </w:trPr>
        <w:tc>
          <w:tcPr>
            <w:tcW w:w="1670" w:type="dxa"/>
            <w:vMerge/>
            <w:vAlign w:val="center"/>
            <w:hideMark/>
          </w:tcPr>
          <w:p w14:paraId="64A8DC4E" w14:textId="77777777" w:rsidR="00F11348" w:rsidRPr="00C66D8E" w:rsidRDefault="00F11348" w:rsidP="006B303F">
            <w:pPr>
              <w:spacing w:after="0"/>
              <w:jc w:val="left"/>
              <w:rPr>
                <w:color w:val="000000"/>
                <w:szCs w:val="20"/>
              </w:rPr>
            </w:pPr>
          </w:p>
        </w:tc>
        <w:tc>
          <w:tcPr>
            <w:tcW w:w="3545" w:type="dxa"/>
            <w:shd w:val="clear" w:color="auto" w:fill="FFFFFF" w:themeFill="background1"/>
            <w:vAlign w:val="center"/>
            <w:hideMark/>
          </w:tcPr>
          <w:p w14:paraId="3D18841D" w14:textId="77777777" w:rsidR="00F11348" w:rsidRPr="00C66D8E" w:rsidRDefault="00F11348" w:rsidP="006B303F">
            <w:pPr>
              <w:spacing w:after="0"/>
              <w:jc w:val="left"/>
              <w:rPr>
                <w:color w:val="000000"/>
                <w:szCs w:val="20"/>
              </w:rPr>
            </w:pPr>
            <w:r>
              <w:rPr>
                <w:color w:val="000000"/>
                <w:szCs w:val="20"/>
              </w:rPr>
              <w:fldChar w:fldCharType="begin"/>
            </w:r>
            <w:r>
              <w:rPr>
                <w:color w:val="000000"/>
                <w:szCs w:val="20"/>
              </w:rPr>
              <w:instrText xml:space="preserve"> REF _Ref442305513 \r \h  \* MERGEFORMAT </w:instrText>
            </w:r>
            <w:r>
              <w:rPr>
                <w:color w:val="000000"/>
                <w:szCs w:val="20"/>
              </w:rPr>
            </w:r>
            <w:r>
              <w:rPr>
                <w:color w:val="000000"/>
                <w:szCs w:val="20"/>
              </w:rPr>
              <w:fldChar w:fldCharType="separate"/>
            </w:r>
            <w:r>
              <w:rPr>
                <w:color w:val="000000"/>
                <w:szCs w:val="20"/>
              </w:rPr>
              <w:t>4.7</w:t>
            </w:r>
            <w:r>
              <w:rPr>
                <w:color w:val="000000"/>
                <w:szCs w:val="20"/>
              </w:rPr>
              <w:fldChar w:fldCharType="end"/>
            </w:r>
            <w:r>
              <w:rPr>
                <w:color w:val="000000"/>
                <w:szCs w:val="20"/>
              </w:rPr>
              <w:t xml:space="preserve"> </w:t>
            </w:r>
            <w:r>
              <w:rPr>
                <w:color w:val="000000"/>
                <w:szCs w:val="20"/>
              </w:rPr>
              <w:fldChar w:fldCharType="begin"/>
            </w:r>
            <w:r>
              <w:rPr>
                <w:color w:val="000000"/>
                <w:szCs w:val="20"/>
              </w:rPr>
              <w:instrText xml:space="preserve"> REF _Ref442305513 \h  \* MERGEFORMAT </w:instrText>
            </w:r>
            <w:r>
              <w:rPr>
                <w:color w:val="000000"/>
                <w:szCs w:val="20"/>
              </w:rPr>
            </w:r>
            <w:r>
              <w:rPr>
                <w:color w:val="000000"/>
                <w:szCs w:val="20"/>
              </w:rPr>
              <w:fldChar w:fldCharType="separate"/>
            </w:r>
            <w:r w:rsidRPr="00506A44">
              <w:rPr>
                <w:rFonts w:eastAsia="Franklin Gothic Book"/>
              </w:rPr>
              <w:t>Energy Saving Kits and Elementary Education Protocol</w:t>
            </w:r>
            <w:r>
              <w:rPr>
                <w:color w:val="000000"/>
                <w:szCs w:val="20"/>
              </w:rPr>
              <w:fldChar w:fldCharType="end"/>
            </w:r>
          </w:p>
        </w:tc>
        <w:tc>
          <w:tcPr>
            <w:tcW w:w="4245" w:type="dxa"/>
            <w:shd w:val="clear" w:color="auto" w:fill="FFFFFF" w:themeFill="background1"/>
            <w:vAlign w:val="center"/>
            <w:hideMark/>
          </w:tcPr>
          <w:p w14:paraId="709115F6" w14:textId="77777777" w:rsidR="00F11348" w:rsidRPr="00C66D8E" w:rsidRDefault="00F11348" w:rsidP="006B303F">
            <w:pPr>
              <w:spacing w:after="0"/>
              <w:jc w:val="left"/>
              <w:rPr>
                <w:color w:val="000000"/>
                <w:szCs w:val="20"/>
              </w:rPr>
            </w:pPr>
            <w:r w:rsidRPr="00C66D8E">
              <w:rPr>
                <w:color w:val="000000"/>
                <w:szCs w:val="20"/>
              </w:rPr>
              <w:t>Elementary Education</w:t>
            </w:r>
            <w:r>
              <w:rPr>
                <w:color w:val="000000"/>
                <w:szCs w:val="20"/>
              </w:rPr>
              <w:t xml:space="preserve"> Kits</w:t>
            </w:r>
          </w:p>
          <w:p w14:paraId="09047EDF" w14:textId="77777777" w:rsidR="00F11348" w:rsidRDefault="00F11348" w:rsidP="006B303F">
            <w:pPr>
              <w:spacing w:after="0"/>
              <w:jc w:val="left"/>
              <w:rPr>
                <w:color w:val="000000"/>
                <w:szCs w:val="20"/>
              </w:rPr>
            </w:pPr>
            <w:r>
              <w:rPr>
                <w:color w:val="000000"/>
                <w:szCs w:val="20"/>
              </w:rPr>
              <w:t xml:space="preserve">Energy Saving </w:t>
            </w:r>
            <w:r w:rsidRPr="00C66D8E">
              <w:rPr>
                <w:color w:val="000000"/>
                <w:szCs w:val="20"/>
              </w:rPr>
              <w:t>Kits</w:t>
            </w:r>
          </w:p>
          <w:p w14:paraId="0C83F846" w14:textId="77777777" w:rsidR="00F11348" w:rsidRPr="00C66D8E" w:rsidRDefault="00F11348" w:rsidP="006B303F">
            <w:pPr>
              <w:spacing w:after="0"/>
              <w:jc w:val="left"/>
              <w:rPr>
                <w:color w:val="000000"/>
                <w:szCs w:val="20"/>
              </w:rPr>
            </w:pPr>
            <w:r w:rsidRPr="008F2DEA">
              <w:rPr>
                <w:color w:val="000000"/>
                <w:szCs w:val="20"/>
              </w:rPr>
              <w:t xml:space="preserve">Home Energy </w:t>
            </w:r>
            <w:r>
              <w:rPr>
                <w:color w:val="000000"/>
                <w:szCs w:val="20"/>
              </w:rPr>
              <w:t xml:space="preserve">Savings/Assessment </w:t>
            </w:r>
            <w:r w:rsidRPr="008F2DEA">
              <w:rPr>
                <w:color w:val="000000"/>
                <w:szCs w:val="20"/>
              </w:rPr>
              <w:t>Leave-Behind Kit</w:t>
            </w:r>
          </w:p>
        </w:tc>
      </w:tr>
      <w:tr w:rsidR="00F11348" w:rsidRPr="002F5FEF" w14:paraId="02AD4808" w14:textId="77777777" w:rsidTr="006B303F">
        <w:trPr>
          <w:trHeight w:val="20"/>
          <w:jc w:val="center"/>
        </w:trPr>
        <w:tc>
          <w:tcPr>
            <w:tcW w:w="1670" w:type="dxa"/>
            <w:vMerge/>
            <w:vAlign w:val="center"/>
            <w:hideMark/>
          </w:tcPr>
          <w:p w14:paraId="2BF36F28" w14:textId="77777777" w:rsidR="00F11348" w:rsidRPr="00C66D8E" w:rsidRDefault="00F11348" w:rsidP="006B303F">
            <w:pPr>
              <w:spacing w:after="0"/>
              <w:jc w:val="left"/>
              <w:rPr>
                <w:color w:val="000000"/>
                <w:szCs w:val="20"/>
              </w:rPr>
            </w:pPr>
          </w:p>
        </w:tc>
        <w:tc>
          <w:tcPr>
            <w:tcW w:w="3545" w:type="dxa"/>
            <w:shd w:val="clear" w:color="auto" w:fill="FFFFFF" w:themeFill="background1"/>
            <w:vAlign w:val="center"/>
            <w:hideMark/>
          </w:tcPr>
          <w:p w14:paraId="34FC0F93" w14:textId="77777777" w:rsidR="00F11348" w:rsidRPr="00C66D8E" w:rsidRDefault="00F11348" w:rsidP="006B303F">
            <w:pPr>
              <w:spacing w:after="0"/>
              <w:jc w:val="left"/>
              <w:rPr>
                <w:color w:val="000000"/>
                <w:szCs w:val="20"/>
              </w:rPr>
            </w:pPr>
            <w:r>
              <w:rPr>
                <w:color w:val="000000"/>
                <w:szCs w:val="20"/>
              </w:rPr>
              <w:fldChar w:fldCharType="begin"/>
            </w:r>
            <w:r>
              <w:rPr>
                <w:color w:val="000000"/>
                <w:szCs w:val="20"/>
              </w:rPr>
              <w:instrText xml:space="preserve"> REF _Ref442305528 \r \h  \* MERGEFORMAT </w:instrText>
            </w:r>
            <w:r>
              <w:rPr>
                <w:color w:val="000000"/>
                <w:szCs w:val="20"/>
              </w:rPr>
            </w:r>
            <w:r>
              <w:rPr>
                <w:color w:val="000000"/>
                <w:szCs w:val="20"/>
              </w:rPr>
              <w:fldChar w:fldCharType="separate"/>
            </w:r>
            <w:r>
              <w:rPr>
                <w:color w:val="000000"/>
                <w:szCs w:val="20"/>
              </w:rPr>
              <w:t>4.8</w:t>
            </w:r>
            <w:r>
              <w:rPr>
                <w:color w:val="000000"/>
                <w:szCs w:val="20"/>
              </w:rPr>
              <w:fldChar w:fldCharType="end"/>
            </w:r>
            <w:r>
              <w:rPr>
                <w:color w:val="000000"/>
                <w:szCs w:val="20"/>
              </w:rPr>
              <w:t xml:space="preserve"> </w:t>
            </w:r>
            <w:r>
              <w:rPr>
                <w:color w:val="000000"/>
                <w:szCs w:val="20"/>
              </w:rPr>
              <w:fldChar w:fldCharType="begin"/>
            </w:r>
            <w:r>
              <w:rPr>
                <w:color w:val="000000"/>
                <w:szCs w:val="20"/>
              </w:rPr>
              <w:instrText xml:space="preserve"> REF _Ref442305528 \h  \* MERGEFORMAT </w:instrText>
            </w:r>
            <w:r>
              <w:rPr>
                <w:color w:val="000000"/>
                <w:szCs w:val="20"/>
              </w:rPr>
            </w:r>
            <w:r>
              <w:rPr>
                <w:color w:val="000000"/>
                <w:szCs w:val="20"/>
              </w:rPr>
              <w:fldChar w:fldCharType="separate"/>
            </w:r>
            <w:r w:rsidRPr="00506A44">
              <w:rPr>
                <w:rFonts w:eastAsia="Franklin Gothic Book"/>
              </w:rPr>
              <w:t>Residential New Construction Protocol</w:t>
            </w:r>
            <w:r>
              <w:rPr>
                <w:color w:val="000000"/>
                <w:szCs w:val="20"/>
              </w:rPr>
              <w:fldChar w:fldCharType="end"/>
            </w:r>
          </w:p>
        </w:tc>
        <w:tc>
          <w:tcPr>
            <w:tcW w:w="4245" w:type="dxa"/>
            <w:shd w:val="clear" w:color="auto" w:fill="FFFFFF" w:themeFill="background1"/>
            <w:vAlign w:val="center"/>
            <w:hideMark/>
          </w:tcPr>
          <w:p w14:paraId="44EE3D2A" w14:textId="77777777" w:rsidR="00F11348" w:rsidRPr="00C66D8E" w:rsidRDefault="00F11348" w:rsidP="006B303F">
            <w:pPr>
              <w:spacing w:after="0"/>
              <w:jc w:val="left"/>
              <w:rPr>
                <w:color w:val="000000"/>
                <w:szCs w:val="20"/>
              </w:rPr>
            </w:pPr>
            <w:r>
              <w:rPr>
                <w:color w:val="000000"/>
                <w:szCs w:val="20"/>
              </w:rPr>
              <w:t xml:space="preserve">Residential </w:t>
            </w:r>
            <w:r w:rsidRPr="00C66D8E">
              <w:rPr>
                <w:color w:val="000000"/>
                <w:szCs w:val="20"/>
              </w:rPr>
              <w:t>New Construction</w:t>
            </w:r>
          </w:p>
        </w:tc>
      </w:tr>
      <w:tr w:rsidR="00F11348" w:rsidRPr="002F5FEF" w14:paraId="1C6B7385" w14:textId="77777777" w:rsidTr="006B303F">
        <w:trPr>
          <w:trHeight w:val="20"/>
          <w:jc w:val="center"/>
        </w:trPr>
        <w:tc>
          <w:tcPr>
            <w:tcW w:w="1670" w:type="dxa"/>
            <w:vMerge/>
            <w:vAlign w:val="center"/>
          </w:tcPr>
          <w:p w14:paraId="4CB1113B" w14:textId="77777777" w:rsidR="00F11348" w:rsidRPr="00C66D8E" w:rsidRDefault="00F11348" w:rsidP="006B303F">
            <w:pPr>
              <w:spacing w:after="0"/>
              <w:jc w:val="left"/>
              <w:rPr>
                <w:color w:val="000000"/>
                <w:szCs w:val="20"/>
              </w:rPr>
            </w:pPr>
          </w:p>
        </w:tc>
        <w:tc>
          <w:tcPr>
            <w:tcW w:w="3545" w:type="dxa"/>
            <w:shd w:val="clear" w:color="auto" w:fill="FFFFFF" w:themeFill="background1"/>
            <w:vAlign w:val="center"/>
          </w:tcPr>
          <w:p w14:paraId="3FEED25D" w14:textId="77777777" w:rsidR="00F11348" w:rsidRDefault="00F11348" w:rsidP="006B303F">
            <w:pPr>
              <w:spacing w:after="0"/>
              <w:jc w:val="left"/>
              <w:rPr>
                <w:color w:val="000000"/>
                <w:szCs w:val="20"/>
              </w:rPr>
            </w:pPr>
            <w:r w:rsidRPr="00C66D8E">
              <w:rPr>
                <w:color w:val="000000"/>
                <w:szCs w:val="20"/>
              </w:rPr>
              <w:t>†</w:t>
            </w:r>
          </w:p>
        </w:tc>
        <w:tc>
          <w:tcPr>
            <w:tcW w:w="4245" w:type="dxa"/>
            <w:shd w:val="clear" w:color="auto" w:fill="FFFFFF" w:themeFill="background1"/>
            <w:vAlign w:val="center"/>
          </w:tcPr>
          <w:p w14:paraId="480900AB" w14:textId="77777777" w:rsidR="00F11348" w:rsidRPr="00C66D8E" w:rsidRDefault="00F11348" w:rsidP="006B303F">
            <w:pPr>
              <w:spacing w:after="0"/>
              <w:jc w:val="left"/>
              <w:rPr>
                <w:color w:val="000000"/>
                <w:szCs w:val="20"/>
              </w:rPr>
            </w:pPr>
            <w:r>
              <w:rPr>
                <w:color w:val="000000"/>
                <w:szCs w:val="20"/>
              </w:rPr>
              <w:t>Income Qualified/Eligible Programs</w:t>
            </w:r>
          </w:p>
        </w:tc>
      </w:tr>
      <w:tr w:rsidR="00F11348" w:rsidRPr="002F5FEF" w14:paraId="21DC80CD" w14:textId="77777777" w:rsidTr="006B303F">
        <w:trPr>
          <w:trHeight w:val="20"/>
          <w:jc w:val="center"/>
        </w:trPr>
        <w:tc>
          <w:tcPr>
            <w:tcW w:w="1670" w:type="dxa"/>
            <w:vMerge/>
            <w:vAlign w:val="center"/>
            <w:hideMark/>
          </w:tcPr>
          <w:p w14:paraId="613B6F29" w14:textId="77777777" w:rsidR="00F11348" w:rsidRPr="00C66D8E" w:rsidRDefault="00F11348" w:rsidP="006B303F">
            <w:pPr>
              <w:spacing w:after="0"/>
              <w:jc w:val="left"/>
              <w:rPr>
                <w:color w:val="000000"/>
                <w:szCs w:val="20"/>
              </w:rPr>
            </w:pPr>
          </w:p>
        </w:tc>
        <w:tc>
          <w:tcPr>
            <w:tcW w:w="3545" w:type="dxa"/>
            <w:shd w:val="clear" w:color="auto" w:fill="FFFFFF" w:themeFill="background1"/>
            <w:vAlign w:val="center"/>
            <w:hideMark/>
          </w:tcPr>
          <w:p w14:paraId="40245A6D" w14:textId="77777777" w:rsidR="00F11348" w:rsidRPr="00C66D8E" w:rsidRDefault="00F11348" w:rsidP="006B303F">
            <w:pPr>
              <w:spacing w:after="0"/>
              <w:jc w:val="left"/>
              <w:rPr>
                <w:color w:val="000000"/>
                <w:szCs w:val="20"/>
              </w:rPr>
            </w:pPr>
            <w:r>
              <w:rPr>
                <w:color w:val="000000"/>
                <w:szCs w:val="20"/>
              </w:rPr>
              <w:fldChar w:fldCharType="begin"/>
            </w:r>
            <w:r>
              <w:rPr>
                <w:color w:val="000000"/>
                <w:szCs w:val="20"/>
              </w:rPr>
              <w:instrText xml:space="preserve"> REF _Ref442305047 \r \h  \* MERGEFORMAT </w:instrText>
            </w:r>
            <w:r>
              <w:rPr>
                <w:color w:val="000000"/>
                <w:szCs w:val="20"/>
              </w:rPr>
            </w:r>
            <w:r>
              <w:rPr>
                <w:color w:val="000000"/>
                <w:szCs w:val="20"/>
              </w:rPr>
              <w:fldChar w:fldCharType="separate"/>
            </w:r>
            <w:r>
              <w:rPr>
                <w:color w:val="000000"/>
                <w:szCs w:val="20"/>
              </w:rPr>
              <w:t>5.3</w:t>
            </w:r>
            <w:r>
              <w:rPr>
                <w:color w:val="000000"/>
                <w:szCs w:val="20"/>
              </w:rPr>
              <w:fldChar w:fldCharType="end"/>
            </w:r>
            <w:r>
              <w:rPr>
                <w:color w:val="000000"/>
                <w:szCs w:val="20"/>
              </w:rPr>
              <w:t xml:space="preserve"> </w:t>
            </w:r>
            <w:r>
              <w:rPr>
                <w:color w:val="000000"/>
                <w:szCs w:val="20"/>
              </w:rPr>
              <w:fldChar w:fldCharType="begin"/>
            </w:r>
            <w:r>
              <w:rPr>
                <w:color w:val="000000"/>
                <w:szCs w:val="20"/>
              </w:rPr>
              <w:instrText xml:space="preserve"> REF _Ref442305047 \h  \* MERGEFORMAT </w:instrText>
            </w:r>
            <w:r>
              <w:rPr>
                <w:color w:val="000000"/>
                <w:szCs w:val="20"/>
              </w:rPr>
            </w:r>
            <w:r>
              <w:rPr>
                <w:color w:val="000000"/>
                <w:szCs w:val="20"/>
              </w:rPr>
              <w:fldChar w:fldCharType="separate"/>
            </w:r>
            <w:r w:rsidRPr="00506A44">
              <w:rPr>
                <w:rFonts w:eastAsia="Franklin Gothic Book"/>
              </w:rPr>
              <w:t>Consumption Data</w:t>
            </w:r>
            <w:r w:rsidRPr="001F2C04">
              <w:t xml:space="preserve"> Analysis Protocol</w:t>
            </w:r>
            <w:r>
              <w:rPr>
                <w:color w:val="000000"/>
                <w:szCs w:val="20"/>
              </w:rPr>
              <w:fldChar w:fldCharType="end"/>
            </w:r>
          </w:p>
        </w:tc>
        <w:tc>
          <w:tcPr>
            <w:tcW w:w="4245" w:type="dxa"/>
            <w:shd w:val="clear" w:color="auto" w:fill="FFFFFF" w:themeFill="background1"/>
            <w:vAlign w:val="center"/>
            <w:hideMark/>
          </w:tcPr>
          <w:p w14:paraId="4DADDBF7" w14:textId="77777777" w:rsidR="00F11348" w:rsidRPr="00C66D8E" w:rsidRDefault="00F11348" w:rsidP="006B303F">
            <w:pPr>
              <w:spacing w:after="0"/>
              <w:jc w:val="left"/>
              <w:rPr>
                <w:color w:val="000000"/>
                <w:szCs w:val="20"/>
              </w:rPr>
            </w:pPr>
            <w:r w:rsidRPr="00C66D8E">
              <w:rPr>
                <w:color w:val="000000"/>
                <w:szCs w:val="20"/>
              </w:rPr>
              <w:t>Behavioral Energy Savings</w:t>
            </w:r>
            <w:r>
              <w:rPr>
                <w:color w:val="000000"/>
                <w:szCs w:val="20"/>
              </w:rPr>
              <w:t>, Advanced Thermostats, Air Sealing with Attic Insulation</w:t>
            </w:r>
          </w:p>
        </w:tc>
      </w:tr>
      <w:tr w:rsidR="00F11348" w:rsidRPr="002F5FEF" w14:paraId="7DDAD585" w14:textId="77777777" w:rsidTr="006B303F">
        <w:trPr>
          <w:trHeight w:val="20"/>
          <w:jc w:val="center"/>
        </w:trPr>
        <w:tc>
          <w:tcPr>
            <w:tcW w:w="1670" w:type="dxa"/>
            <w:vMerge/>
            <w:vAlign w:val="center"/>
          </w:tcPr>
          <w:p w14:paraId="23460BCC" w14:textId="77777777" w:rsidR="00F11348" w:rsidRPr="00C66D8E" w:rsidRDefault="00F11348" w:rsidP="006B303F">
            <w:pPr>
              <w:spacing w:after="0"/>
              <w:jc w:val="left"/>
              <w:rPr>
                <w:color w:val="000000"/>
                <w:szCs w:val="20"/>
              </w:rPr>
            </w:pPr>
          </w:p>
        </w:tc>
        <w:tc>
          <w:tcPr>
            <w:tcW w:w="3545" w:type="dxa"/>
            <w:shd w:val="clear" w:color="auto" w:fill="FFFFFF" w:themeFill="background1"/>
            <w:vAlign w:val="center"/>
          </w:tcPr>
          <w:p w14:paraId="513F43FC" w14:textId="77777777" w:rsidR="00F11348" w:rsidRDefault="00F11348" w:rsidP="006B303F">
            <w:pPr>
              <w:spacing w:after="0"/>
              <w:jc w:val="left"/>
              <w:rPr>
                <w:color w:val="000000"/>
                <w:szCs w:val="20"/>
              </w:rPr>
            </w:pPr>
            <w:r>
              <w:rPr>
                <w:color w:val="000000"/>
                <w:szCs w:val="20"/>
              </w:rPr>
              <w:t>5.2 Code Compliance Protocol</w:t>
            </w:r>
          </w:p>
        </w:tc>
        <w:tc>
          <w:tcPr>
            <w:tcW w:w="4245" w:type="dxa"/>
            <w:shd w:val="clear" w:color="auto" w:fill="FFFFFF" w:themeFill="background1"/>
            <w:vAlign w:val="center"/>
          </w:tcPr>
          <w:p w14:paraId="03200134" w14:textId="77777777" w:rsidR="00F11348" w:rsidRPr="00C66D8E" w:rsidRDefault="00F11348" w:rsidP="006B303F">
            <w:pPr>
              <w:spacing w:after="0"/>
              <w:jc w:val="left"/>
              <w:rPr>
                <w:color w:val="000000"/>
                <w:szCs w:val="20"/>
              </w:rPr>
            </w:pPr>
            <w:r>
              <w:rPr>
                <w:color w:val="000000"/>
                <w:szCs w:val="20"/>
              </w:rPr>
              <w:t>Code Compliance</w:t>
            </w:r>
          </w:p>
        </w:tc>
      </w:tr>
      <w:tr w:rsidR="00F11348" w:rsidRPr="002F5FEF" w14:paraId="00B9FFFD" w14:textId="77777777" w:rsidTr="006B303F">
        <w:trPr>
          <w:trHeight w:val="20"/>
          <w:jc w:val="center"/>
        </w:trPr>
        <w:tc>
          <w:tcPr>
            <w:tcW w:w="1670" w:type="dxa"/>
            <w:vMerge w:val="restart"/>
            <w:shd w:val="clear" w:color="auto" w:fill="FFFFFF" w:themeFill="background1"/>
            <w:vAlign w:val="center"/>
            <w:hideMark/>
          </w:tcPr>
          <w:p w14:paraId="4F3E40E9" w14:textId="77777777" w:rsidR="00F11348" w:rsidRPr="00C66D8E" w:rsidRDefault="00F11348" w:rsidP="006B303F">
            <w:pPr>
              <w:spacing w:after="0"/>
              <w:jc w:val="left"/>
              <w:rPr>
                <w:color w:val="000000"/>
                <w:szCs w:val="20"/>
              </w:rPr>
            </w:pPr>
            <w:r w:rsidRPr="00C66D8E">
              <w:rPr>
                <w:color w:val="000000"/>
                <w:szCs w:val="20"/>
              </w:rPr>
              <w:t>Peoples Gas/</w:t>
            </w:r>
            <w:r>
              <w:rPr>
                <w:color w:val="000000"/>
                <w:szCs w:val="20"/>
              </w:rPr>
              <w:t xml:space="preserve"> </w:t>
            </w:r>
            <w:r w:rsidRPr="00C66D8E">
              <w:rPr>
                <w:color w:val="000000"/>
                <w:szCs w:val="20"/>
              </w:rPr>
              <w:t>North Shore</w:t>
            </w:r>
            <w:r>
              <w:rPr>
                <w:color w:val="000000"/>
                <w:szCs w:val="20"/>
              </w:rPr>
              <w:t xml:space="preserve"> Gas</w:t>
            </w:r>
          </w:p>
        </w:tc>
        <w:tc>
          <w:tcPr>
            <w:tcW w:w="3545" w:type="dxa"/>
            <w:shd w:val="clear" w:color="auto" w:fill="FFFFFF" w:themeFill="background1"/>
            <w:vAlign w:val="center"/>
            <w:hideMark/>
          </w:tcPr>
          <w:p w14:paraId="224D0349" w14:textId="77777777" w:rsidR="00F11348" w:rsidRPr="00C66D8E" w:rsidRDefault="00F11348" w:rsidP="006B303F">
            <w:pPr>
              <w:spacing w:after="0"/>
              <w:jc w:val="left"/>
              <w:rPr>
                <w:color w:val="000000"/>
                <w:szCs w:val="20"/>
              </w:rPr>
            </w:pPr>
            <w:r>
              <w:rPr>
                <w:color w:val="000000"/>
                <w:szCs w:val="20"/>
              </w:rPr>
              <w:fldChar w:fldCharType="begin"/>
            </w:r>
            <w:r>
              <w:rPr>
                <w:color w:val="000000"/>
                <w:szCs w:val="20"/>
              </w:rPr>
              <w:instrText xml:space="preserve"> REF _Ref442020776 \r \h  \* MERGEFORMAT </w:instrText>
            </w:r>
            <w:r>
              <w:rPr>
                <w:color w:val="000000"/>
                <w:szCs w:val="20"/>
              </w:rPr>
            </w:r>
            <w:r>
              <w:rPr>
                <w:color w:val="000000"/>
                <w:szCs w:val="20"/>
              </w:rPr>
              <w:fldChar w:fldCharType="separate"/>
            </w:r>
            <w:r>
              <w:rPr>
                <w:color w:val="000000"/>
                <w:szCs w:val="20"/>
              </w:rPr>
              <w:t>4.4</w:t>
            </w:r>
            <w:r>
              <w:rPr>
                <w:color w:val="000000"/>
                <w:szCs w:val="20"/>
              </w:rPr>
              <w:fldChar w:fldCharType="end"/>
            </w:r>
            <w:r>
              <w:rPr>
                <w:color w:val="000000"/>
                <w:szCs w:val="20"/>
              </w:rPr>
              <w:t xml:space="preserve"> </w:t>
            </w:r>
            <w:r>
              <w:rPr>
                <w:color w:val="000000"/>
                <w:szCs w:val="20"/>
              </w:rPr>
              <w:fldChar w:fldCharType="begin"/>
            </w:r>
            <w:r>
              <w:rPr>
                <w:color w:val="000000"/>
                <w:szCs w:val="20"/>
              </w:rPr>
              <w:instrText xml:space="preserve"> REF _Ref442020776 \h  \* MERGEFORMAT </w:instrText>
            </w:r>
            <w:r>
              <w:rPr>
                <w:color w:val="000000"/>
                <w:szCs w:val="20"/>
              </w:rPr>
            </w:r>
            <w:r>
              <w:rPr>
                <w:color w:val="000000"/>
                <w:szCs w:val="20"/>
              </w:rPr>
              <w:fldChar w:fldCharType="separate"/>
            </w:r>
            <w:r w:rsidRPr="009B67BF">
              <w:t>Prescriptive Rebate (With No Audit)</w:t>
            </w:r>
            <w:r>
              <w:t xml:space="preserve"> Protocol</w:t>
            </w:r>
            <w:r>
              <w:rPr>
                <w:color w:val="000000"/>
                <w:szCs w:val="20"/>
              </w:rPr>
              <w:fldChar w:fldCharType="end"/>
            </w:r>
          </w:p>
        </w:tc>
        <w:tc>
          <w:tcPr>
            <w:tcW w:w="4245" w:type="dxa"/>
            <w:shd w:val="clear" w:color="auto" w:fill="FFFFFF" w:themeFill="background1"/>
            <w:vAlign w:val="center"/>
            <w:hideMark/>
          </w:tcPr>
          <w:p w14:paraId="7F83DCC9" w14:textId="77777777" w:rsidR="00F11348" w:rsidRPr="00C66D8E" w:rsidRDefault="00F11348" w:rsidP="006B303F">
            <w:pPr>
              <w:spacing w:after="0"/>
              <w:jc w:val="left"/>
              <w:rPr>
                <w:color w:val="000000"/>
                <w:szCs w:val="20"/>
              </w:rPr>
            </w:pPr>
            <w:r w:rsidRPr="00C66D8E">
              <w:rPr>
                <w:color w:val="000000"/>
                <w:szCs w:val="20"/>
              </w:rPr>
              <w:t>Home Energy Rebates</w:t>
            </w:r>
          </w:p>
        </w:tc>
      </w:tr>
      <w:tr w:rsidR="00F11348" w:rsidRPr="002F5FEF" w14:paraId="1124322C" w14:textId="77777777" w:rsidTr="006B303F">
        <w:trPr>
          <w:trHeight w:val="20"/>
          <w:jc w:val="center"/>
        </w:trPr>
        <w:tc>
          <w:tcPr>
            <w:tcW w:w="1670" w:type="dxa"/>
            <w:vMerge/>
            <w:vAlign w:val="center"/>
            <w:hideMark/>
          </w:tcPr>
          <w:p w14:paraId="7A9E2ED9" w14:textId="77777777" w:rsidR="00F11348" w:rsidRPr="00C66D8E" w:rsidRDefault="00F11348" w:rsidP="006B303F">
            <w:pPr>
              <w:spacing w:after="0"/>
              <w:jc w:val="left"/>
              <w:rPr>
                <w:color w:val="000000"/>
                <w:szCs w:val="20"/>
              </w:rPr>
            </w:pPr>
          </w:p>
        </w:tc>
        <w:tc>
          <w:tcPr>
            <w:tcW w:w="3545" w:type="dxa"/>
            <w:shd w:val="clear" w:color="auto" w:fill="FFFFFF" w:themeFill="background1"/>
            <w:vAlign w:val="center"/>
            <w:hideMark/>
          </w:tcPr>
          <w:p w14:paraId="217845E7" w14:textId="77777777" w:rsidR="00F11348" w:rsidRPr="00C66D8E" w:rsidRDefault="00F11348" w:rsidP="006B303F">
            <w:pPr>
              <w:spacing w:after="0"/>
              <w:jc w:val="left"/>
              <w:rPr>
                <w:color w:val="000000"/>
                <w:szCs w:val="20"/>
              </w:rPr>
            </w:pPr>
            <w:r>
              <w:rPr>
                <w:color w:val="000000"/>
                <w:szCs w:val="20"/>
              </w:rPr>
              <w:fldChar w:fldCharType="begin"/>
            </w:r>
            <w:r>
              <w:rPr>
                <w:color w:val="000000"/>
                <w:szCs w:val="20"/>
              </w:rPr>
              <w:instrText xml:space="preserve"> REF _Ref442305481 \r \h  \* MERGEFORMAT </w:instrText>
            </w:r>
            <w:r>
              <w:rPr>
                <w:color w:val="000000"/>
                <w:szCs w:val="20"/>
              </w:rPr>
            </w:r>
            <w:r>
              <w:rPr>
                <w:color w:val="000000"/>
                <w:szCs w:val="20"/>
              </w:rPr>
              <w:fldChar w:fldCharType="separate"/>
            </w:r>
            <w:r>
              <w:rPr>
                <w:color w:val="000000"/>
                <w:szCs w:val="20"/>
              </w:rPr>
              <w:t>4.5</w:t>
            </w:r>
            <w:r>
              <w:rPr>
                <w:color w:val="000000"/>
                <w:szCs w:val="20"/>
              </w:rPr>
              <w:fldChar w:fldCharType="end"/>
            </w:r>
            <w:r>
              <w:rPr>
                <w:color w:val="000000"/>
                <w:szCs w:val="20"/>
              </w:rPr>
              <w:t xml:space="preserve"> </w:t>
            </w:r>
            <w:r>
              <w:rPr>
                <w:color w:val="000000"/>
                <w:szCs w:val="20"/>
              </w:rPr>
              <w:fldChar w:fldCharType="begin"/>
            </w:r>
            <w:r>
              <w:rPr>
                <w:color w:val="000000"/>
                <w:szCs w:val="20"/>
              </w:rPr>
              <w:instrText xml:space="preserve"> REF _Ref442305481 \h  \* MERGEFORMAT </w:instrText>
            </w:r>
            <w:r>
              <w:rPr>
                <w:color w:val="000000"/>
                <w:szCs w:val="20"/>
              </w:rPr>
            </w:r>
            <w:r>
              <w:rPr>
                <w:color w:val="000000"/>
                <w:szCs w:val="20"/>
              </w:rPr>
              <w:fldChar w:fldCharType="separate"/>
            </w:r>
            <w:r w:rsidRPr="009B67BF">
              <w:t>Single-Family Home Energy Audit Pro</w:t>
            </w:r>
            <w:r>
              <w:t>tocol</w:t>
            </w:r>
            <w:r>
              <w:rPr>
                <w:color w:val="000000"/>
                <w:szCs w:val="20"/>
              </w:rPr>
              <w:fldChar w:fldCharType="end"/>
            </w:r>
          </w:p>
        </w:tc>
        <w:tc>
          <w:tcPr>
            <w:tcW w:w="4245" w:type="dxa"/>
            <w:shd w:val="clear" w:color="auto" w:fill="FFFFFF" w:themeFill="background1"/>
            <w:vAlign w:val="center"/>
            <w:hideMark/>
          </w:tcPr>
          <w:p w14:paraId="1E1E72BB" w14:textId="77777777" w:rsidR="00F11348" w:rsidRPr="00C66D8E" w:rsidRDefault="00F11348" w:rsidP="006B303F">
            <w:pPr>
              <w:spacing w:after="0"/>
              <w:jc w:val="left"/>
              <w:rPr>
                <w:color w:val="000000"/>
                <w:szCs w:val="20"/>
              </w:rPr>
            </w:pPr>
            <w:r w:rsidRPr="00C66D8E">
              <w:rPr>
                <w:color w:val="000000"/>
                <w:szCs w:val="20"/>
              </w:rPr>
              <w:t>Home Energy Jumpstart</w:t>
            </w:r>
          </w:p>
        </w:tc>
      </w:tr>
      <w:tr w:rsidR="00F11348" w:rsidRPr="002F5FEF" w14:paraId="31648DDF" w14:textId="77777777" w:rsidTr="006B303F">
        <w:trPr>
          <w:trHeight w:val="20"/>
          <w:jc w:val="center"/>
        </w:trPr>
        <w:tc>
          <w:tcPr>
            <w:tcW w:w="1670" w:type="dxa"/>
            <w:vMerge/>
            <w:vAlign w:val="center"/>
            <w:hideMark/>
          </w:tcPr>
          <w:p w14:paraId="34A58B57" w14:textId="77777777" w:rsidR="00F11348" w:rsidRPr="00C66D8E" w:rsidRDefault="00F11348" w:rsidP="006B303F">
            <w:pPr>
              <w:spacing w:after="0"/>
              <w:jc w:val="left"/>
              <w:rPr>
                <w:color w:val="000000"/>
                <w:szCs w:val="20"/>
              </w:rPr>
            </w:pPr>
          </w:p>
        </w:tc>
        <w:tc>
          <w:tcPr>
            <w:tcW w:w="3545" w:type="dxa"/>
            <w:shd w:val="clear" w:color="auto" w:fill="FFFFFF" w:themeFill="background1"/>
            <w:vAlign w:val="center"/>
            <w:hideMark/>
          </w:tcPr>
          <w:p w14:paraId="4DDF5BC6" w14:textId="77777777" w:rsidR="00F11348" w:rsidRPr="00C66D8E" w:rsidRDefault="00F11348" w:rsidP="006B303F">
            <w:pPr>
              <w:spacing w:after="0"/>
              <w:jc w:val="left"/>
              <w:rPr>
                <w:color w:val="000000"/>
                <w:szCs w:val="20"/>
              </w:rPr>
            </w:pPr>
            <w:r>
              <w:rPr>
                <w:color w:val="000000"/>
                <w:szCs w:val="20"/>
              </w:rPr>
              <w:fldChar w:fldCharType="begin"/>
            </w:r>
            <w:r>
              <w:rPr>
                <w:color w:val="000000"/>
                <w:szCs w:val="20"/>
              </w:rPr>
              <w:instrText xml:space="preserve"> REF _Ref442019850 \r \h  \* MERGEFORMAT </w:instrText>
            </w:r>
            <w:r>
              <w:rPr>
                <w:color w:val="000000"/>
                <w:szCs w:val="20"/>
              </w:rPr>
            </w:r>
            <w:r>
              <w:rPr>
                <w:color w:val="000000"/>
                <w:szCs w:val="20"/>
              </w:rPr>
              <w:fldChar w:fldCharType="separate"/>
            </w:r>
            <w:r>
              <w:rPr>
                <w:color w:val="000000"/>
                <w:szCs w:val="20"/>
              </w:rPr>
              <w:t>4.6</w:t>
            </w:r>
            <w:r>
              <w:rPr>
                <w:color w:val="000000"/>
                <w:szCs w:val="20"/>
              </w:rPr>
              <w:fldChar w:fldCharType="end"/>
            </w:r>
            <w:r>
              <w:rPr>
                <w:color w:val="000000"/>
                <w:szCs w:val="20"/>
              </w:rPr>
              <w:t xml:space="preserve"> </w:t>
            </w:r>
            <w:r>
              <w:rPr>
                <w:color w:val="000000"/>
                <w:szCs w:val="20"/>
              </w:rPr>
              <w:fldChar w:fldCharType="begin"/>
            </w:r>
            <w:r>
              <w:rPr>
                <w:color w:val="000000"/>
                <w:szCs w:val="20"/>
              </w:rPr>
              <w:instrText xml:space="preserve"> REF _Ref442019850 \h  \* MERGEFORMAT </w:instrText>
            </w:r>
            <w:r>
              <w:rPr>
                <w:color w:val="000000"/>
                <w:szCs w:val="20"/>
              </w:rPr>
            </w:r>
            <w:r>
              <w:rPr>
                <w:color w:val="000000"/>
                <w:szCs w:val="20"/>
              </w:rPr>
              <w:fldChar w:fldCharType="separate"/>
            </w:r>
            <w:r w:rsidRPr="009B67BF">
              <w:t xml:space="preserve">Multifamily </w:t>
            </w:r>
            <w:r>
              <w:t>Protocol</w:t>
            </w:r>
            <w:r>
              <w:rPr>
                <w:color w:val="000000"/>
                <w:szCs w:val="20"/>
              </w:rPr>
              <w:fldChar w:fldCharType="end"/>
            </w:r>
          </w:p>
        </w:tc>
        <w:tc>
          <w:tcPr>
            <w:tcW w:w="4245" w:type="dxa"/>
            <w:shd w:val="clear" w:color="auto" w:fill="FFFFFF" w:themeFill="background1"/>
            <w:vAlign w:val="center"/>
            <w:hideMark/>
          </w:tcPr>
          <w:p w14:paraId="0CD0AC99" w14:textId="77777777" w:rsidR="00F11348" w:rsidRPr="00C66D8E" w:rsidRDefault="00F11348" w:rsidP="006B303F">
            <w:pPr>
              <w:spacing w:after="0"/>
              <w:jc w:val="left"/>
              <w:rPr>
                <w:color w:val="000000"/>
                <w:szCs w:val="20"/>
              </w:rPr>
            </w:pPr>
            <w:r>
              <w:rPr>
                <w:color w:val="000000"/>
                <w:szCs w:val="20"/>
              </w:rPr>
              <w:t>MF Custom</w:t>
            </w:r>
          </w:p>
          <w:p w14:paraId="3C7A321D" w14:textId="77777777" w:rsidR="00F11348" w:rsidRPr="00C66D8E" w:rsidRDefault="00F11348" w:rsidP="006B303F">
            <w:pPr>
              <w:spacing w:after="0"/>
              <w:jc w:val="left"/>
              <w:rPr>
                <w:color w:val="000000"/>
                <w:szCs w:val="20"/>
              </w:rPr>
            </w:pPr>
            <w:r>
              <w:rPr>
                <w:color w:val="000000"/>
                <w:szCs w:val="20"/>
              </w:rPr>
              <w:t>MF Partner Trade Ally</w:t>
            </w:r>
          </w:p>
          <w:p w14:paraId="36E155C8" w14:textId="77777777" w:rsidR="00F11348" w:rsidRPr="00C66D8E" w:rsidRDefault="00F11348" w:rsidP="006B303F">
            <w:pPr>
              <w:spacing w:after="0"/>
              <w:jc w:val="left"/>
              <w:rPr>
                <w:color w:val="000000"/>
                <w:szCs w:val="20"/>
              </w:rPr>
            </w:pPr>
            <w:r>
              <w:rPr>
                <w:color w:val="000000"/>
                <w:szCs w:val="20"/>
              </w:rPr>
              <w:t>MF Prescriptive</w:t>
            </w:r>
          </w:p>
          <w:p w14:paraId="7DA4ABED" w14:textId="77777777" w:rsidR="00F11348" w:rsidRPr="00C66D8E" w:rsidRDefault="00F11348" w:rsidP="006B303F">
            <w:pPr>
              <w:spacing w:after="0"/>
              <w:jc w:val="left"/>
              <w:rPr>
                <w:color w:val="000000"/>
                <w:szCs w:val="20"/>
              </w:rPr>
            </w:pPr>
            <w:r w:rsidRPr="00C66D8E">
              <w:rPr>
                <w:color w:val="000000"/>
                <w:szCs w:val="20"/>
              </w:rPr>
              <w:t>Multifamily (Direct Install)</w:t>
            </w:r>
          </w:p>
        </w:tc>
      </w:tr>
      <w:tr w:rsidR="00F11348" w:rsidRPr="002F5FEF" w14:paraId="2F2BC76B" w14:textId="77777777" w:rsidTr="006B303F">
        <w:trPr>
          <w:trHeight w:val="20"/>
          <w:jc w:val="center"/>
        </w:trPr>
        <w:tc>
          <w:tcPr>
            <w:tcW w:w="1670" w:type="dxa"/>
            <w:vMerge/>
            <w:vAlign w:val="center"/>
            <w:hideMark/>
          </w:tcPr>
          <w:p w14:paraId="79A377B4" w14:textId="77777777" w:rsidR="00F11348" w:rsidRPr="00C66D8E" w:rsidRDefault="00F11348" w:rsidP="006B303F">
            <w:pPr>
              <w:spacing w:after="0"/>
              <w:jc w:val="left"/>
              <w:rPr>
                <w:color w:val="000000"/>
                <w:szCs w:val="20"/>
              </w:rPr>
            </w:pPr>
          </w:p>
        </w:tc>
        <w:tc>
          <w:tcPr>
            <w:tcW w:w="3545" w:type="dxa"/>
            <w:shd w:val="clear" w:color="auto" w:fill="FFFFFF" w:themeFill="background1"/>
            <w:vAlign w:val="center"/>
            <w:hideMark/>
          </w:tcPr>
          <w:p w14:paraId="0F34307A" w14:textId="77777777" w:rsidR="00F11348" w:rsidRPr="00A312E0" w:rsidRDefault="00F11348" w:rsidP="006B303F">
            <w:pPr>
              <w:spacing w:after="0"/>
            </w:pPr>
            <w:r w:rsidRPr="00A312E0">
              <w:fldChar w:fldCharType="begin"/>
            </w:r>
            <w:r w:rsidRPr="00A312E0">
              <w:instrText xml:space="preserve"> REF _Ref442305513 \r \h  \* MERGEFORMAT </w:instrText>
            </w:r>
            <w:r w:rsidRPr="00A312E0">
              <w:fldChar w:fldCharType="separate"/>
            </w:r>
            <w:r>
              <w:t>4.7</w:t>
            </w:r>
            <w:r w:rsidRPr="00A312E0">
              <w:fldChar w:fldCharType="end"/>
            </w:r>
            <w:r w:rsidRPr="00A312E0">
              <w:t xml:space="preserve"> </w:t>
            </w:r>
            <w:r w:rsidRPr="00A312E0">
              <w:fldChar w:fldCharType="begin"/>
            </w:r>
            <w:r w:rsidRPr="00A312E0">
              <w:instrText xml:space="preserve"> REF _Ref442305513 \h  \* MERGEFORMAT </w:instrText>
            </w:r>
            <w:r w:rsidRPr="00A312E0">
              <w:fldChar w:fldCharType="separate"/>
            </w:r>
            <w:r w:rsidRPr="009B67BF">
              <w:t xml:space="preserve">Energy Saving Kits and Elementary Education </w:t>
            </w:r>
            <w:r>
              <w:t>Protocol</w:t>
            </w:r>
            <w:r w:rsidRPr="00A312E0">
              <w:fldChar w:fldCharType="end"/>
            </w:r>
          </w:p>
        </w:tc>
        <w:tc>
          <w:tcPr>
            <w:tcW w:w="4245" w:type="dxa"/>
            <w:shd w:val="clear" w:color="auto" w:fill="FFFFFF" w:themeFill="background1"/>
            <w:vAlign w:val="center"/>
            <w:hideMark/>
          </w:tcPr>
          <w:p w14:paraId="60346400" w14:textId="77777777" w:rsidR="00F11348" w:rsidRDefault="00F11348" w:rsidP="006B303F">
            <w:pPr>
              <w:spacing w:after="0"/>
              <w:jc w:val="left"/>
              <w:rPr>
                <w:color w:val="000000"/>
                <w:szCs w:val="20"/>
              </w:rPr>
            </w:pPr>
            <w:r w:rsidRPr="00C66D8E">
              <w:rPr>
                <w:color w:val="000000"/>
                <w:szCs w:val="20"/>
              </w:rPr>
              <w:t>Elementary Energy Education</w:t>
            </w:r>
          </w:p>
          <w:p w14:paraId="54ED503B" w14:textId="77777777" w:rsidR="00F11348" w:rsidRPr="00C66D8E" w:rsidRDefault="00F11348" w:rsidP="006B303F">
            <w:pPr>
              <w:spacing w:after="0"/>
              <w:jc w:val="left"/>
              <w:rPr>
                <w:color w:val="000000"/>
                <w:szCs w:val="20"/>
              </w:rPr>
            </w:pPr>
            <w:r>
              <w:rPr>
                <w:color w:val="000000"/>
                <w:szCs w:val="20"/>
              </w:rPr>
              <w:t>Home Energy Jumpstart Leave-Behind Kit</w:t>
            </w:r>
          </w:p>
        </w:tc>
      </w:tr>
      <w:tr w:rsidR="00F11348" w:rsidRPr="002F5FEF" w14:paraId="39153F1B" w14:textId="77777777" w:rsidTr="006B303F">
        <w:trPr>
          <w:trHeight w:val="20"/>
          <w:jc w:val="center"/>
        </w:trPr>
        <w:tc>
          <w:tcPr>
            <w:tcW w:w="1670" w:type="dxa"/>
            <w:vMerge/>
            <w:vAlign w:val="center"/>
          </w:tcPr>
          <w:p w14:paraId="3D8E217F" w14:textId="77777777" w:rsidR="00F11348" w:rsidRPr="00C66D8E" w:rsidRDefault="00F11348" w:rsidP="006B303F">
            <w:pPr>
              <w:spacing w:after="0"/>
              <w:jc w:val="left"/>
              <w:rPr>
                <w:color w:val="000000"/>
                <w:szCs w:val="20"/>
              </w:rPr>
            </w:pPr>
          </w:p>
        </w:tc>
        <w:tc>
          <w:tcPr>
            <w:tcW w:w="3545" w:type="dxa"/>
            <w:shd w:val="clear" w:color="auto" w:fill="FFFFFF" w:themeFill="background1"/>
            <w:vAlign w:val="center"/>
          </w:tcPr>
          <w:p w14:paraId="10A7E5DF" w14:textId="77777777" w:rsidR="00F11348" w:rsidRPr="00A312E0" w:rsidRDefault="00F11348" w:rsidP="006B303F">
            <w:pPr>
              <w:pStyle w:val="NormalBeforeList"/>
              <w:rPr>
                <w:sz w:val="20"/>
              </w:rPr>
            </w:pPr>
            <w:r w:rsidRPr="008F2DEA">
              <w:rPr>
                <w:sz w:val="20"/>
              </w:rPr>
              <w:t>†</w:t>
            </w:r>
          </w:p>
        </w:tc>
        <w:tc>
          <w:tcPr>
            <w:tcW w:w="4245" w:type="dxa"/>
            <w:shd w:val="clear" w:color="auto" w:fill="FFFFFF" w:themeFill="background1"/>
            <w:vAlign w:val="center"/>
          </w:tcPr>
          <w:p w14:paraId="142A6299" w14:textId="77777777" w:rsidR="00F11348" w:rsidRPr="00C66D8E" w:rsidRDefault="00F11348" w:rsidP="006B303F">
            <w:pPr>
              <w:spacing w:after="0"/>
              <w:jc w:val="left"/>
              <w:rPr>
                <w:color w:val="000000"/>
                <w:szCs w:val="20"/>
              </w:rPr>
            </w:pPr>
            <w:r>
              <w:rPr>
                <w:color w:val="000000"/>
                <w:szCs w:val="20"/>
              </w:rPr>
              <w:t>Income Eligible/Qualified Programs</w:t>
            </w:r>
          </w:p>
        </w:tc>
      </w:tr>
      <w:tr w:rsidR="00F11348" w:rsidRPr="002F5FEF" w14:paraId="7CBCDCD0" w14:textId="77777777" w:rsidTr="006B303F">
        <w:trPr>
          <w:trHeight w:val="20"/>
          <w:jc w:val="center"/>
        </w:trPr>
        <w:tc>
          <w:tcPr>
            <w:tcW w:w="1670" w:type="dxa"/>
            <w:vMerge/>
            <w:vAlign w:val="center"/>
            <w:hideMark/>
          </w:tcPr>
          <w:p w14:paraId="7F22B922" w14:textId="77777777" w:rsidR="00F11348" w:rsidRPr="00C66D8E" w:rsidRDefault="00F11348" w:rsidP="006B303F">
            <w:pPr>
              <w:spacing w:after="0"/>
              <w:jc w:val="left"/>
              <w:rPr>
                <w:color w:val="000000"/>
                <w:szCs w:val="20"/>
              </w:rPr>
            </w:pPr>
          </w:p>
        </w:tc>
        <w:tc>
          <w:tcPr>
            <w:tcW w:w="3545" w:type="dxa"/>
            <w:shd w:val="clear" w:color="auto" w:fill="FFFFFF" w:themeFill="background1"/>
            <w:vAlign w:val="center"/>
            <w:hideMark/>
          </w:tcPr>
          <w:p w14:paraId="722554BF" w14:textId="77777777" w:rsidR="00F11348" w:rsidRPr="00A312E0" w:rsidRDefault="00F11348" w:rsidP="006B303F">
            <w:pPr>
              <w:pStyle w:val="NormalBeforeList"/>
              <w:rPr>
                <w:sz w:val="20"/>
              </w:rPr>
            </w:pPr>
            <w:r w:rsidRPr="00A312E0">
              <w:rPr>
                <w:sz w:val="20"/>
              </w:rPr>
              <w:fldChar w:fldCharType="begin"/>
            </w:r>
            <w:r w:rsidRPr="00A312E0">
              <w:rPr>
                <w:sz w:val="20"/>
              </w:rPr>
              <w:instrText xml:space="preserve"> REF _Ref442305047 \r \h  \* MERGEFORMAT </w:instrText>
            </w:r>
            <w:r w:rsidRPr="00A312E0">
              <w:rPr>
                <w:sz w:val="20"/>
              </w:rPr>
            </w:r>
            <w:r w:rsidRPr="00A312E0">
              <w:rPr>
                <w:sz w:val="20"/>
              </w:rPr>
              <w:fldChar w:fldCharType="separate"/>
            </w:r>
            <w:r>
              <w:rPr>
                <w:sz w:val="20"/>
              </w:rPr>
              <w:t>5.3</w:t>
            </w:r>
            <w:r w:rsidRPr="00A312E0">
              <w:rPr>
                <w:sz w:val="20"/>
              </w:rPr>
              <w:fldChar w:fldCharType="end"/>
            </w:r>
            <w:r w:rsidRPr="00A312E0">
              <w:rPr>
                <w:sz w:val="20"/>
              </w:rPr>
              <w:t xml:space="preserve"> </w:t>
            </w:r>
            <w:r w:rsidRPr="00A312E0">
              <w:rPr>
                <w:sz w:val="20"/>
              </w:rPr>
              <w:fldChar w:fldCharType="begin"/>
            </w:r>
            <w:r w:rsidRPr="00A312E0">
              <w:rPr>
                <w:sz w:val="20"/>
              </w:rPr>
              <w:instrText xml:space="preserve"> REF _Ref442305047 \h  \* MERGEFORMAT </w:instrText>
            </w:r>
            <w:r w:rsidRPr="00A312E0">
              <w:rPr>
                <w:sz w:val="20"/>
              </w:rPr>
            </w:r>
            <w:r w:rsidRPr="00A312E0">
              <w:rPr>
                <w:sz w:val="20"/>
              </w:rPr>
              <w:fldChar w:fldCharType="separate"/>
            </w:r>
            <w:r w:rsidRPr="00506A44">
              <w:rPr>
                <w:sz w:val="20"/>
              </w:rPr>
              <w:t>Consumption Data Analysis Protocol</w:t>
            </w:r>
            <w:r w:rsidRPr="00A312E0">
              <w:rPr>
                <w:sz w:val="20"/>
              </w:rPr>
              <w:fldChar w:fldCharType="end"/>
            </w:r>
          </w:p>
        </w:tc>
        <w:tc>
          <w:tcPr>
            <w:tcW w:w="4245" w:type="dxa"/>
            <w:shd w:val="clear" w:color="auto" w:fill="FFFFFF" w:themeFill="background1"/>
            <w:vAlign w:val="center"/>
            <w:hideMark/>
          </w:tcPr>
          <w:p w14:paraId="1D3105EB" w14:textId="77777777" w:rsidR="00F11348" w:rsidRPr="00C66D8E" w:rsidRDefault="00F11348" w:rsidP="006B303F">
            <w:pPr>
              <w:spacing w:after="0"/>
              <w:jc w:val="left"/>
              <w:rPr>
                <w:color w:val="000000"/>
                <w:szCs w:val="20"/>
              </w:rPr>
            </w:pPr>
            <w:r w:rsidRPr="00C66D8E">
              <w:rPr>
                <w:color w:val="000000"/>
                <w:szCs w:val="20"/>
              </w:rPr>
              <w:t>Home Energy Reports</w:t>
            </w:r>
            <w:r>
              <w:rPr>
                <w:color w:val="000000"/>
                <w:szCs w:val="20"/>
              </w:rPr>
              <w:t>, Advanced Thermostats, Air Sealing with Attic Insulation</w:t>
            </w:r>
          </w:p>
        </w:tc>
      </w:tr>
      <w:tr w:rsidR="00F11348" w:rsidRPr="002F5FEF" w14:paraId="669FD7DE" w14:textId="77777777" w:rsidTr="006B303F">
        <w:trPr>
          <w:trHeight w:val="20"/>
          <w:jc w:val="center"/>
        </w:trPr>
        <w:tc>
          <w:tcPr>
            <w:tcW w:w="1670" w:type="dxa"/>
            <w:vAlign w:val="center"/>
          </w:tcPr>
          <w:p w14:paraId="74700C99" w14:textId="77777777" w:rsidR="00F11348" w:rsidRPr="00C66D8E" w:rsidRDefault="00F11348" w:rsidP="006B303F">
            <w:pPr>
              <w:spacing w:after="0"/>
              <w:jc w:val="left"/>
              <w:rPr>
                <w:color w:val="000000"/>
                <w:szCs w:val="20"/>
              </w:rPr>
            </w:pPr>
            <w:r>
              <w:rPr>
                <w:color w:val="000000"/>
                <w:szCs w:val="20"/>
              </w:rPr>
              <w:t>All</w:t>
            </w:r>
          </w:p>
        </w:tc>
        <w:tc>
          <w:tcPr>
            <w:tcW w:w="3545" w:type="dxa"/>
            <w:shd w:val="clear" w:color="auto" w:fill="FFFFFF" w:themeFill="background1"/>
            <w:vAlign w:val="center"/>
          </w:tcPr>
          <w:p w14:paraId="09A03F4C" w14:textId="77777777" w:rsidR="00F11348" w:rsidRPr="00A312E0" w:rsidRDefault="00F11348" w:rsidP="006B303F">
            <w:pPr>
              <w:pStyle w:val="NormalBeforeList"/>
              <w:rPr>
                <w:sz w:val="20"/>
              </w:rPr>
            </w:pPr>
            <w:r>
              <w:rPr>
                <w:sz w:val="20"/>
              </w:rPr>
              <w:t>5.4 Midstream Protocol</w:t>
            </w:r>
          </w:p>
        </w:tc>
        <w:tc>
          <w:tcPr>
            <w:tcW w:w="4245" w:type="dxa"/>
            <w:shd w:val="clear" w:color="auto" w:fill="FFFFFF" w:themeFill="background1"/>
            <w:vAlign w:val="center"/>
          </w:tcPr>
          <w:p w14:paraId="63A907DF" w14:textId="77777777" w:rsidR="00F11348" w:rsidRPr="00C66D8E" w:rsidRDefault="00F11348" w:rsidP="006B303F">
            <w:pPr>
              <w:spacing w:after="0"/>
              <w:jc w:val="left"/>
              <w:rPr>
                <w:color w:val="000000"/>
                <w:szCs w:val="20"/>
              </w:rPr>
            </w:pPr>
            <w:r>
              <w:rPr>
                <w:color w:val="000000"/>
                <w:szCs w:val="20"/>
              </w:rPr>
              <w:t>(Midstream Programs)</w:t>
            </w:r>
          </w:p>
        </w:tc>
      </w:tr>
    </w:tbl>
    <w:p w14:paraId="1D294208" w14:textId="77777777" w:rsidR="00F11348" w:rsidRDefault="00F11348" w:rsidP="00F11348">
      <w:pPr>
        <w:spacing w:after="0"/>
        <w:rPr>
          <w:sz w:val="18"/>
          <w:szCs w:val="20"/>
        </w:rPr>
      </w:pPr>
      <w:r>
        <w:rPr>
          <w:sz w:val="18"/>
          <w:szCs w:val="20"/>
        </w:rPr>
        <w:t xml:space="preserve">* Until further discussion and research occurs, evaluator consensus is that using the Prescriptive Rebate (With No Audit) protocol is the most appropriate path to pursue for Efficient Choice. However, given the atypical, non-rebate-based nature of this program, further discussion and research is likely appropriate for this program in coming </w:t>
      </w:r>
      <w:proofErr w:type="spellStart"/>
      <w:r>
        <w:rPr>
          <w:sz w:val="18"/>
          <w:szCs w:val="20"/>
        </w:rPr>
        <w:t>years</w:t>
      </w:r>
      <w:bookmarkStart w:id="1340" w:name="_Hlk79651832"/>
      <w:r>
        <w:rPr>
          <w:sz w:val="18"/>
          <w:szCs w:val="20"/>
        </w:rPr>
        <w:t>TR</w:t>
      </w:r>
      <w:proofErr w:type="spellEnd"/>
      <w:r>
        <w:rPr>
          <w:sz w:val="18"/>
          <w:szCs w:val="20"/>
        </w:rPr>
        <w:t>.</w:t>
      </w:r>
      <w:bookmarkEnd w:id="1340"/>
    </w:p>
    <w:p w14:paraId="52D6F357" w14:textId="77777777" w:rsidR="00F11348" w:rsidRPr="002F08CB" w:rsidRDefault="00F11348" w:rsidP="00F11348">
      <w:pPr>
        <w:rPr>
          <w:rFonts w:eastAsia="Franklin Gothic Book"/>
          <w:sz w:val="18"/>
        </w:rPr>
      </w:pPr>
      <w:r w:rsidRPr="002A2238">
        <w:rPr>
          <w:sz w:val="18"/>
          <w:szCs w:val="20"/>
        </w:rPr>
        <w:t xml:space="preserve">† </w:t>
      </w:r>
      <w:r w:rsidRPr="00C3311C">
        <w:rPr>
          <w:sz w:val="18"/>
          <w:szCs w:val="20"/>
        </w:rPr>
        <w:t xml:space="preserve">The evaluation teams should </w:t>
      </w:r>
      <w:r>
        <w:rPr>
          <w:sz w:val="18"/>
          <w:szCs w:val="20"/>
        </w:rPr>
        <w:t>follow the Policy Manual regarding</w:t>
      </w:r>
      <w:r w:rsidRPr="00C3311C">
        <w:rPr>
          <w:sz w:val="18"/>
          <w:szCs w:val="20"/>
        </w:rPr>
        <w:t xml:space="preserve"> NTG for </w:t>
      </w:r>
      <w:r>
        <w:rPr>
          <w:sz w:val="18"/>
          <w:szCs w:val="20"/>
        </w:rPr>
        <w:t>Income Eligible</w:t>
      </w:r>
      <w:r w:rsidRPr="00C3311C">
        <w:rPr>
          <w:sz w:val="18"/>
          <w:szCs w:val="20"/>
        </w:rPr>
        <w:t xml:space="preserve"> programs. </w:t>
      </w:r>
    </w:p>
    <w:p w14:paraId="309636DD" w14:textId="77777777" w:rsidR="00F11348" w:rsidRDefault="00F11348" w:rsidP="00D34C6E">
      <w:pPr>
        <w:rPr>
          <w:rFonts w:eastAsia="Franklin Gothic Book"/>
        </w:rPr>
      </w:pPr>
    </w:p>
    <w:p w14:paraId="641A8B3E" w14:textId="77777777" w:rsidR="00D34C6E" w:rsidRDefault="00D34C6E" w:rsidP="00D34C6E">
      <w:pPr>
        <w:pStyle w:val="Heading2"/>
        <w:keepLines w:val="0"/>
        <w:widowControl/>
        <w:numPr>
          <w:ilvl w:val="1"/>
          <w:numId w:val="8"/>
        </w:numPr>
        <w:jc w:val="left"/>
      </w:pPr>
      <w:bookmarkStart w:id="1341" w:name="_Toc442804256"/>
      <w:bookmarkStart w:id="1342" w:name="_Toc442805473"/>
      <w:bookmarkStart w:id="1343" w:name="_Toc472494705"/>
      <w:bookmarkStart w:id="1344" w:name="_Ref520439853"/>
      <w:bookmarkStart w:id="1345" w:name="_Toc520462903"/>
      <w:bookmarkStart w:id="1346" w:name="_Toc473108047"/>
      <w:bookmarkStart w:id="1347" w:name="_Toc520824159"/>
      <w:bookmarkStart w:id="1348" w:name="_Toc16619942"/>
      <w:bookmarkStart w:id="1349" w:name="_Toc113619797"/>
      <w:bookmarkEnd w:id="1338"/>
      <w:r>
        <w:t>Residential Cross-Cutting Approaches</w:t>
      </w:r>
      <w:bookmarkEnd w:id="1341"/>
      <w:bookmarkEnd w:id="1342"/>
      <w:bookmarkEnd w:id="1343"/>
      <w:bookmarkEnd w:id="1344"/>
      <w:bookmarkEnd w:id="1345"/>
      <w:bookmarkEnd w:id="1346"/>
      <w:bookmarkEnd w:id="1347"/>
      <w:bookmarkEnd w:id="1348"/>
      <w:bookmarkEnd w:id="1349"/>
    </w:p>
    <w:p w14:paraId="695CC095" w14:textId="77777777" w:rsidR="00D34C6E" w:rsidRDefault="00D34C6E" w:rsidP="00D34C6E">
      <w:pPr>
        <w:rPr>
          <w:rFonts w:eastAsia="Franklin Gothic Book"/>
        </w:rPr>
      </w:pPr>
      <w:r>
        <w:rPr>
          <w:rFonts w:eastAsia="Franklin Gothic Book"/>
        </w:rPr>
        <w:t>The approaches in this section can apply to more than one program type but do not supersede program-specific approaches presented in later sections.</w:t>
      </w:r>
    </w:p>
    <w:p w14:paraId="26550606" w14:textId="77777777" w:rsidR="00D34C6E" w:rsidRDefault="00D34C6E" w:rsidP="0088039F">
      <w:pPr>
        <w:pStyle w:val="Heading3"/>
      </w:pPr>
      <w:bookmarkStart w:id="1350" w:name="_Toc442804257"/>
      <w:bookmarkStart w:id="1351" w:name="_Toc442805474"/>
      <w:bookmarkStart w:id="1352" w:name="_Toc472494706"/>
      <w:bookmarkStart w:id="1353" w:name="_Toc520462904"/>
      <w:bookmarkStart w:id="1354" w:name="_Toc473108048"/>
      <w:bookmarkStart w:id="1355" w:name="_Toc520824160"/>
      <w:bookmarkStart w:id="1356" w:name="_Toc16619943"/>
      <w:bookmarkStart w:id="1357" w:name="_Toc113619798"/>
      <w:r>
        <w:t>Survey Design Issues</w:t>
      </w:r>
      <w:bookmarkEnd w:id="1350"/>
      <w:bookmarkEnd w:id="1351"/>
      <w:bookmarkEnd w:id="1352"/>
      <w:bookmarkEnd w:id="1353"/>
      <w:bookmarkEnd w:id="1354"/>
      <w:bookmarkEnd w:id="1355"/>
      <w:bookmarkEnd w:id="1356"/>
      <w:bookmarkEnd w:id="1357"/>
    </w:p>
    <w:p w14:paraId="4C86437F" w14:textId="1309CBD3" w:rsidR="00D34C6E" w:rsidRPr="009F78D1" w:rsidRDefault="00D34C6E" w:rsidP="00F362AF">
      <w:pPr>
        <w:jc w:val="left"/>
        <w:rPr>
          <w:rFonts w:eastAsia="Franklin Gothic Book"/>
        </w:rPr>
      </w:pPr>
      <w:r w:rsidRPr="009B67BF">
        <w:rPr>
          <w:rFonts w:eastAsia="Franklin Gothic Book"/>
        </w:rPr>
        <w:t xml:space="preserve">Free ridership questions should be asked </w:t>
      </w:r>
      <w:r>
        <w:rPr>
          <w:rFonts w:eastAsia="Franklin Gothic Book"/>
        </w:rPr>
        <w:t>near</w:t>
      </w:r>
      <w:r w:rsidRPr="009B67BF">
        <w:rPr>
          <w:rFonts w:eastAsia="Franklin Gothic Book"/>
        </w:rPr>
        <w:t xml:space="preserve"> the beginning of a participant survey, before asking satisfaction questions. This </w:t>
      </w:r>
      <w:r>
        <w:rPr>
          <w:rFonts w:eastAsia="Franklin Gothic Book"/>
        </w:rPr>
        <w:t xml:space="preserve">should </w:t>
      </w:r>
      <w:r w:rsidRPr="009B67BF">
        <w:rPr>
          <w:rFonts w:eastAsia="Franklin Gothic Book"/>
        </w:rPr>
        <w:t xml:space="preserve">prevent participants from confusing free ridership questions with the satisfaction questions, </w:t>
      </w:r>
      <w:r w:rsidRPr="009B67BF">
        <w:rPr>
          <w:rFonts w:eastAsia="Franklin Gothic Book"/>
        </w:rPr>
        <w:lastRenderedPageBreak/>
        <w:t xml:space="preserve">which </w:t>
      </w:r>
      <w:r>
        <w:rPr>
          <w:rFonts w:eastAsia="Franklin Gothic Book"/>
        </w:rPr>
        <w:t xml:space="preserve">could influence </w:t>
      </w:r>
      <w:r w:rsidRPr="009B67BF">
        <w:rPr>
          <w:rFonts w:eastAsia="Franklin Gothic Book"/>
        </w:rPr>
        <w:t>free ridership score</w:t>
      </w:r>
      <w:r>
        <w:rPr>
          <w:rFonts w:eastAsia="Franklin Gothic Book"/>
        </w:rPr>
        <w:t>s</w:t>
      </w:r>
      <w:bookmarkStart w:id="1358" w:name="V8_52"/>
      <w:r>
        <w:rPr>
          <w:rFonts w:eastAsia="Franklin Gothic Book"/>
        </w:rPr>
        <w:t>.</w:t>
      </w:r>
      <w:r w:rsidRPr="009B67BF" w:rsidDel="00C26D2D">
        <w:rPr>
          <w:rFonts w:eastAsia="Franklin Gothic Book"/>
        </w:rPr>
        <w:t xml:space="preserve"> </w:t>
      </w:r>
      <w:r>
        <w:rPr>
          <w:rFonts w:eastAsia="Franklin Gothic Book"/>
        </w:rPr>
        <w:t xml:space="preserve">In particular, evaluators have observed that some respondents have interpreted the No Program – Efficiency question to be a satisfaction question, synonymous with, “Do you like this item? Would you purchase this?”  Evaluators may add an explanation that this question is not about respondents’ satisfaction with the item. </w:t>
      </w:r>
      <w:bookmarkEnd w:id="1358"/>
    </w:p>
    <w:p w14:paraId="55D83288" w14:textId="77777777" w:rsidR="00D34C6E" w:rsidRDefault="00D34C6E" w:rsidP="0088039F">
      <w:pPr>
        <w:pStyle w:val="Heading3"/>
      </w:pPr>
      <w:bookmarkStart w:id="1359" w:name="_Ref442342760"/>
      <w:bookmarkStart w:id="1360" w:name="_Ref442342924"/>
      <w:bookmarkStart w:id="1361" w:name="_Ref442343015"/>
      <w:bookmarkStart w:id="1362" w:name="_Ref442343423"/>
      <w:bookmarkStart w:id="1363" w:name="_Toc442804258"/>
      <w:bookmarkStart w:id="1364" w:name="_Toc442805475"/>
      <w:bookmarkStart w:id="1365" w:name="_Toc472494707"/>
      <w:bookmarkStart w:id="1366" w:name="_Toc520462905"/>
      <w:bookmarkStart w:id="1367" w:name="_Toc473108049"/>
      <w:bookmarkStart w:id="1368" w:name="_Toc520824161"/>
      <w:bookmarkStart w:id="1369" w:name="_Toc16619944"/>
      <w:bookmarkStart w:id="1370" w:name="_Toc113619799"/>
      <w:r>
        <w:t>Participant Spillover</w:t>
      </w:r>
      <w:bookmarkEnd w:id="1359"/>
      <w:bookmarkEnd w:id="1360"/>
      <w:bookmarkEnd w:id="1361"/>
      <w:bookmarkEnd w:id="1362"/>
      <w:bookmarkEnd w:id="1363"/>
      <w:bookmarkEnd w:id="1364"/>
      <w:bookmarkEnd w:id="1365"/>
      <w:bookmarkEnd w:id="1366"/>
      <w:bookmarkEnd w:id="1367"/>
      <w:bookmarkEnd w:id="1368"/>
      <w:bookmarkEnd w:id="1369"/>
      <w:bookmarkEnd w:id="1370"/>
    </w:p>
    <w:p w14:paraId="62176B9D" w14:textId="77777777" w:rsidR="00D34C6E" w:rsidRDefault="00D34C6E" w:rsidP="00D34C6E">
      <w:pPr>
        <w:rPr>
          <w:rFonts w:eastAsia="Franklin Gothic Book"/>
        </w:rPr>
      </w:pPr>
      <w:r w:rsidRPr="00137CC1">
        <w:rPr>
          <w:rFonts w:eastAsia="Franklin Gothic Book"/>
        </w:rPr>
        <w:t>Effective program marketing and outreach generates program participation and increases general energy</w:t>
      </w:r>
      <w:r>
        <w:rPr>
          <w:rFonts w:eastAsia="Franklin Gothic Book"/>
        </w:rPr>
        <w:t xml:space="preserve"> </w:t>
      </w:r>
      <w:r w:rsidRPr="00137CC1">
        <w:rPr>
          <w:rFonts w:eastAsia="Franklin Gothic Book"/>
        </w:rPr>
        <w:t>efficiency awareness among customers. Spillover can be calculated using participant survey questions, which ask participants about energy</w:t>
      </w:r>
      <w:r>
        <w:rPr>
          <w:rFonts w:eastAsia="Franklin Gothic Book"/>
        </w:rPr>
        <w:t>-</w:t>
      </w:r>
      <w:r w:rsidRPr="00137CC1">
        <w:rPr>
          <w:rFonts w:eastAsia="Franklin Gothic Book"/>
        </w:rPr>
        <w:t>savings actions they have taken on their own since participating in the program.</w:t>
      </w:r>
      <w:r w:rsidRPr="00400B06">
        <w:rPr>
          <w:rFonts w:eastAsia="Franklin Gothic Book"/>
        </w:rPr>
        <w:t xml:space="preserve"> </w:t>
      </w:r>
      <w:r w:rsidRPr="009B67BF">
        <w:rPr>
          <w:rFonts w:eastAsia="Franklin Gothic Book"/>
        </w:rPr>
        <w:t>Questions should be sufficiently specific to ensure energy savings associated with spillover can be reasonably well-quantified.</w:t>
      </w:r>
      <w:r w:rsidRPr="0004340A">
        <w:rPr>
          <w:rFonts w:eastAsia="Franklin Gothic Book"/>
        </w:rPr>
        <w:t xml:space="preserve"> </w:t>
      </w:r>
      <w:r w:rsidRPr="009B67BF">
        <w:rPr>
          <w:rFonts w:eastAsia="Franklin Gothic Book"/>
        </w:rPr>
        <w:t>These may include questions about measure types or measures installed, quantities, and efficiency levels.</w:t>
      </w:r>
      <w:r w:rsidRPr="0004340A">
        <w:rPr>
          <w:rFonts w:eastAsia="Franklin Gothic Book"/>
        </w:rPr>
        <w:t xml:space="preserve"> </w:t>
      </w:r>
      <w:r w:rsidRPr="009B67BF">
        <w:rPr>
          <w:rFonts w:eastAsia="Franklin Gothic Book"/>
        </w:rPr>
        <w:t xml:space="preserve">When program implementers </w:t>
      </w:r>
      <w:r>
        <w:rPr>
          <w:rFonts w:eastAsia="Franklin Gothic Book"/>
        </w:rPr>
        <w:t xml:space="preserve">provide recommendations to participants and </w:t>
      </w:r>
      <w:r w:rsidRPr="009B67BF">
        <w:rPr>
          <w:rFonts w:eastAsia="Franklin Gothic Book"/>
        </w:rPr>
        <w:t xml:space="preserve">can provide data on the types of recommendations made to </w:t>
      </w:r>
      <w:r>
        <w:rPr>
          <w:rFonts w:eastAsia="Franklin Gothic Book"/>
        </w:rPr>
        <w:t xml:space="preserve">specific </w:t>
      </w:r>
      <w:r w:rsidRPr="009B67BF">
        <w:rPr>
          <w:rFonts w:eastAsia="Franklin Gothic Book"/>
        </w:rPr>
        <w:t xml:space="preserve">participants, evaluations should attempt to determine whether participants took the recommended actions outside of the program </w:t>
      </w:r>
      <w:r>
        <w:rPr>
          <w:rFonts w:eastAsia="Franklin Gothic Book"/>
        </w:rPr>
        <w:t>at sites within the program administrator’s service territory</w:t>
      </w:r>
      <w:r w:rsidRPr="009B67BF">
        <w:rPr>
          <w:rFonts w:eastAsia="Franklin Gothic Book"/>
        </w:rPr>
        <w:t>; if so, savings from those recommended actions should be attributed to the program.</w:t>
      </w:r>
    </w:p>
    <w:p w14:paraId="37884891" w14:textId="77777777" w:rsidR="00D34C6E" w:rsidRPr="00137CC1" w:rsidRDefault="00D34C6E" w:rsidP="00D34C6E">
      <w:pPr>
        <w:rPr>
          <w:rFonts w:eastAsia="Franklin Gothic Book"/>
        </w:rPr>
      </w:pPr>
      <w:r w:rsidRPr="00137CC1">
        <w:rPr>
          <w:rFonts w:eastAsia="Franklin Gothic Book"/>
        </w:rPr>
        <w:t xml:space="preserve">To reduce </w:t>
      </w:r>
      <w:r>
        <w:rPr>
          <w:rFonts w:eastAsia="Franklin Gothic Book"/>
        </w:rPr>
        <w:t xml:space="preserve">the </w:t>
      </w:r>
      <w:r w:rsidRPr="00137CC1">
        <w:rPr>
          <w:rFonts w:eastAsia="Franklin Gothic Book"/>
        </w:rPr>
        <w:t>respondent</w:t>
      </w:r>
      <w:r>
        <w:rPr>
          <w:rFonts w:eastAsia="Franklin Gothic Book"/>
        </w:rPr>
        <w:t>’s</w:t>
      </w:r>
      <w:r w:rsidRPr="00137CC1">
        <w:rPr>
          <w:rFonts w:eastAsia="Franklin Gothic Book"/>
        </w:rPr>
        <w:t xml:space="preserve"> burden, the survey should first ask participants about the influence the program had on their tak</w:t>
      </w:r>
      <w:r>
        <w:rPr>
          <w:rFonts w:eastAsia="Franklin Gothic Book"/>
        </w:rPr>
        <w:t>ing</w:t>
      </w:r>
      <w:r w:rsidRPr="00137CC1">
        <w:rPr>
          <w:rFonts w:eastAsia="Franklin Gothic Book"/>
        </w:rPr>
        <w:t xml:space="preserve"> additional energy</w:t>
      </w:r>
      <w:r>
        <w:rPr>
          <w:rFonts w:eastAsia="Franklin Gothic Book"/>
        </w:rPr>
        <w:t>-</w:t>
      </w:r>
      <w:r w:rsidRPr="00137CC1">
        <w:rPr>
          <w:rFonts w:eastAsia="Franklin Gothic Book"/>
        </w:rPr>
        <w:t xml:space="preserve">saving actions on their own. In particular, the evaluation team should ask two close-ended questions to determine program influence on spillover actions. </w:t>
      </w:r>
      <w:r>
        <w:rPr>
          <w:rFonts w:eastAsia="Franklin Gothic Book"/>
        </w:rPr>
        <w:t xml:space="preserve">The two required questions, preceded by an optional </w:t>
      </w:r>
      <w:r w:rsidRPr="00137CC1">
        <w:rPr>
          <w:rFonts w:eastAsia="Franklin Gothic Book"/>
        </w:rPr>
        <w:t xml:space="preserve">open-ended warm-up question, </w:t>
      </w:r>
      <w:r>
        <w:rPr>
          <w:rFonts w:eastAsia="Franklin Gothic Book"/>
        </w:rPr>
        <w:t>are</w:t>
      </w:r>
      <w:r w:rsidRPr="00137CC1">
        <w:rPr>
          <w:rFonts w:eastAsia="Franklin Gothic Book"/>
        </w:rPr>
        <w:t>:</w:t>
      </w:r>
    </w:p>
    <w:p w14:paraId="0254B70D" w14:textId="77777777" w:rsidR="00D34C6E" w:rsidRDefault="00D34C6E" w:rsidP="00D34C6E">
      <w:pPr>
        <w:pStyle w:val="ListParagraph"/>
        <w:widowControl/>
        <w:numPr>
          <w:ilvl w:val="0"/>
          <w:numId w:val="35"/>
        </w:numPr>
        <w:contextualSpacing w:val="0"/>
        <w:rPr>
          <w:rFonts w:eastAsia="Franklin Gothic Book"/>
        </w:rPr>
      </w:pPr>
      <w:r w:rsidRPr="002B13A9">
        <w:t>OPTIONAL</w:t>
      </w:r>
      <w:r w:rsidRPr="00137CC1">
        <w:rPr>
          <w:rFonts w:eastAsia="Franklin Gothic Book"/>
        </w:rPr>
        <w:t>: Did the program influence you in any way to make these additional improvements?</w:t>
      </w:r>
    </w:p>
    <w:p w14:paraId="06FF0F12" w14:textId="77777777" w:rsidR="00D34C6E" w:rsidRDefault="00D34C6E" w:rsidP="00D34C6E">
      <w:pPr>
        <w:pStyle w:val="ListParagraph"/>
        <w:widowControl/>
        <w:numPr>
          <w:ilvl w:val="0"/>
          <w:numId w:val="25"/>
        </w:numPr>
        <w:spacing w:after="60"/>
        <w:contextualSpacing w:val="0"/>
        <w:rPr>
          <w:rFonts w:eastAsia="Franklin Gothic Book"/>
        </w:rPr>
      </w:pPr>
      <w:r w:rsidRPr="00137CC1">
        <w:rPr>
          <w:rFonts w:eastAsia="Franklin Gothic Book"/>
        </w:rPr>
        <w:t>How important was your participation in the &lt;</w:t>
      </w:r>
      <w:r>
        <w:rPr>
          <w:rFonts w:eastAsia="Franklin Gothic Book"/>
        </w:rPr>
        <w:t>PROGRAM ADMINISTRATOR</w:t>
      </w:r>
      <w:r w:rsidRPr="00137CC1">
        <w:rPr>
          <w:rFonts w:eastAsia="Franklin Gothic Book"/>
        </w:rPr>
        <w:t>’S&gt; program on you</w:t>
      </w:r>
      <w:r>
        <w:rPr>
          <w:rFonts w:eastAsia="Franklin Gothic Book"/>
        </w:rPr>
        <w:t>r</w:t>
      </w:r>
      <w:r w:rsidRPr="00137CC1">
        <w:rPr>
          <w:rFonts w:eastAsia="Franklin Gothic Book"/>
        </w:rPr>
        <w:t xml:space="preserve"> mak</w:t>
      </w:r>
      <w:r>
        <w:rPr>
          <w:rFonts w:eastAsia="Franklin Gothic Book"/>
        </w:rPr>
        <w:t>ing</w:t>
      </w:r>
      <w:r w:rsidRPr="00137CC1">
        <w:rPr>
          <w:rFonts w:eastAsia="Franklin Gothic Book"/>
        </w:rPr>
        <w:t xml:space="preserve"> additional energy efficiency improvements on your own? [Scale from 0-10 where 0 is “not at all important” and 10 is “extremely important”]</w:t>
      </w:r>
    </w:p>
    <w:p w14:paraId="01F1D281" w14:textId="77777777" w:rsidR="00D34C6E" w:rsidRPr="00137CC1" w:rsidRDefault="00D34C6E" w:rsidP="00D34C6E">
      <w:pPr>
        <w:pStyle w:val="ListParagraph"/>
        <w:widowControl/>
        <w:numPr>
          <w:ilvl w:val="0"/>
          <w:numId w:val="25"/>
        </w:numPr>
        <w:contextualSpacing w:val="0"/>
        <w:rPr>
          <w:rFonts w:eastAsia="Franklin Gothic Book"/>
        </w:rPr>
      </w:pPr>
      <w:r w:rsidRPr="00137CC1">
        <w:rPr>
          <w:rFonts w:eastAsia="Franklin Gothic Book"/>
        </w:rPr>
        <w:t>If you had not participated in the &lt;</w:t>
      </w:r>
      <w:r>
        <w:rPr>
          <w:rFonts w:eastAsia="Franklin Gothic Book"/>
        </w:rPr>
        <w:t>PROGRAM ADMINISTRATOR</w:t>
      </w:r>
      <w:r w:rsidRPr="00137CC1">
        <w:rPr>
          <w:rFonts w:eastAsia="Franklin Gothic Book"/>
        </w:rPr>
        <w:t>’S&gt; program, how likely is it that you would still have implemented this measure, using a 0 to 10, scale where 0 means you definitely WOULD NOT have implemented this measure and 10 means you definitely WOULD have implemented this measure?</w:t>
      </w:r>
    </w:p>
    <w:p w14:paraId="3525425F" w14:textId="77777777" w:rsidR="00D34C6E" w:rsidRDefault="00D34C6E" w:rsidP="00D34C6E">
      <w:pPr>
        <w:rPr>
          <w:rFonts w:eastAsia="Franklin Gothic Book"/>
        </w:rPr>
      </w:pPr>
      <w:r w:rsidRPr="00137CC1">
        <w:rPr>
          <w:rFonts w:eastAsia="Franklin Gothic Book"/>
        </w:rPr>
        <w:t xml:space="preserve">The response to the first </w:t>
      </w:r>
      <w:r>
        <w:rPr>
          <w:rFonts w:eastAsia="Franklin Gothic Book"/>
        </w:rPr>
        <w:t xml:space="preserve">required </w:t>
      </w:r>
      <w:r w:rsidRPr="00137CC1">
        <w:rPr>
          <w:rFonts w:eastAsia="Franklin Gothic Book"/>
        </w:rPr>
        <w:t xml:space="preserve">question cited above is </w:t>
      </w:r>
      <w:r>
        <w:rPr>
          <w:rFonts w:eastAsia="Franklin Gothic Book"/>
        </w:rPr>
        <w:t>“</w:t>
      </w:r>
      <w:r w:rsidRPr="00137CC1">
        <w:rPr>
          <w:rFonts w:eastAsia="Franklin Gothic Book"/>
        </w:rPr>
        <w:t>Measure Attribution Score 1</w:t>
      </w:r>
      <w:r>
        <w:rPr>
          <w:rFonts w:eastAsia="Franklin Gothic Book"/>
        </w:rPr>
        <w:t>,”</w:t>
      </w:r>
      <w:r w:rsidRPr="00137CC1">
        <w:rPr>
          <w:rFonts w:eastAsia="Franklin Gothic Book"/>
        </w:rPr>
        <w:t xml:space="preserve"> and the response to the second </w:t>
      </w:r>
      <w:r>
        <w:rPr>
          <w:rFonts w:eastAsia="Franklin Gothic Book"/>
        </w:rPr>
        <w:t xml:space="preserve">required </w:t>
      </w:r>
      <w:r w:rsidRPr="00137CC1">
        <w:rPr>
          <w:rFonts w:eastAsia="Franklin Gothic Book"/>
        </w:rPr>
        <w:t xml:space="preserve">question cited above is </w:t>
      </w:r>
      <w:r>
        <w:rPr>
          <w:rFonts w:eastAsia="Franklin Gothic Book"/>
        </w:rPr>
        <w:t>“</w:t>
      </w:r>
      <w:r w:rsidRPr="00137CC1">
        <w:rPr>
          <w:rFonts w:eastAsia="Franklin Gothic Book"/>
        </w:rPr>
        <w:t>Measure Attribution Score 2.</w:t>
      </w:r>
      <w:r>
        <w:rPr>
          <w:rFonts w:eastAsia="Franklin Gothic Book"/>
        </w:rPr>
        <w:t>”</w:t>
      </w:r>
      <w:r w:rsidRPr="00137CC1">
        <w:rPr>
          <w:rFonts w:eastAsia="Franklin Gothic Book"/>
        </w:rPr>
        <w:t xml:space="preserve"> </w:t>
      </w:r>
      <w:r>
        <w:rPr>
          <w:rFonts w:eastAsia="Franklin Gothic Book"/>
        </w:rPr>
        <w:t>The specific measures referenced in the question are</w:t>
      </w:r>
      <w:r w:rsidRPr="00E863AA">
        <w:rPr>
          <w:rFonts w:eastAsia="Franklin Gothic Book"/>
        </w:rPr>
        <w:t xml:space="preserve"> considered to be attributable to the program if the “Spillover Score” is greater than </w:t>
      </w:r>
      <w:r>
        <w:rPr>
          <w:rFonts w:eastAsia="Franklin Gothic Book"/>
        </w:rPr>
        <w:t>5</w:t>
      </w:r>
      <w:r w:rsidRPr="00E863AA">
        <w:rPr>
          <w:rFonts w:eastAsia="Franklin Gothic Book"/>
        </w:rPr>
        <w:t>.0</w:t>
      </w:r>
      <w:r w:rsidRPr="00137CC1">
        <w:rPr>
          <w:rFonts w:eastAsia="Franklin Gothic Book"/>
        </w:rPr>
        <w:t xml:space="preserve">: </w:t>
      </w:r>
    </w:p>
    <w:p w14:paraId="717004D7" w14:textId="77777777" w:rsidR="00D34C6E" w:rsidRPr="00143C47" w:rsidRDefault="00D34C6E" w:rsidP="00D34C6E">
      <w:pPr>
        <w:jc w:val="center"/>
        <w:rPr>
          <w:rFonts w:eastAsia="Franklin Gothic Book"/>
          <w:i/>
        </w:rPr>
      </w:pPr>
      <w:r w:rsidRPr="00143C47">
        <w:rPr>
          <w:rFonts w:eastAsia="Franklin Gothic Book"/>
          <w:i/>
        </w:rPr>
        <w:t xml:space="preserve">Spillover Score = (Measure Attribution Score 1 + (10 – Measure Attribution Score 2))/2 &gt; </w:t>
      </w:r>
      <w:r>
        <w:rPr>
          <w:rFonts w:eastAsia="Franklin Gothic Book"/>
          <w:i/>
        </w:rPr>
        <w:t>5</w:t>
      </w:r>
      <w:r w:rsidRPr="00143C47">
        <w:rPr>
          <w:rFonts w:eastAsia="Franklin Gothic Book"/>
          <w:i/>
        </w:rPr>
        <w:t>.0</w:t>
      </w:r>
    </w:p>
    <w:p w14:paraId="71769D3F" w14:textId="77777777" w:rsidR="00D34C6E" w:rsidRPr="00137CC1" w:rsidRDefault="00D34C6E" w:rsidP="00D34C6E">
      <w:pPr>
        <w:rPr>
          <w:rFonts w:eastAsia="Franklin Gothic Book"/>
        </w:rPr>
      </w:pPr>
      <w:r w:rsidRPr="00137CC1">
        <w:rPr>
          <w:rFonts w:eastAsia="Franklin Gothic Book"/>
        </w:rPr>
        <w:t>If these conditions are met, the evaluator determines that the specific measures referenced in the question are attributable to the program; otherwise, the evaluator determines that the specific measures referenced in the question are not attributable to the program. The attribution criterion represents a threshold approach, in which energy impacts associated with measures implemented by program participants outside the program are either 100% program-attributable or 0% program-attributable.</w:t>
      </w:r>
    </w:p>
    <w:p w14:paraId="6E7B5E83" w14:textId="77777777" w:rsidR="00D34C6E" w:rsidRPr="00137CC1" w:rsidRDefault="00D34C6E" w:rsidP="00D34C6E">
      <w:r w:rsidRPr="00137CC1">
        <w:t>For each measure mentioned, customers will be asked how they know the measure is more efficient than other models. If the respondent can identify the measure as ENERGY STAR or name an efficiency level that the evaluator confirms as being above the minimum federal standard, or if they identify a technology that the evaluator can confirm is above the minimum federal standard, it will count towards Participant Spillover.</w:t>
      </w:r>
    </w:p>
    <w:p w14:paraId="0DE5C5B3" w14:textId="77777777" w:rsidR="00D34C6E" w:rsidRPr="00137CC1" w:rsidRDefault="00D34C6E" w:rsidP="00D34C6E">
      <w:pPr>
        <w:rPr>
          <w:rFonts w:eastAsia="Franklin Gothic Book"/>
        </w:rPr>
      </w:pPr>
      <w:r w:rsidRPr="00137CC1">
        <w:t xml:space="preserve">Finally, depending on the measure type cited by the customer, follow-up questions should ask customers to provide reasonable information to allow the evaluator to estimate the amount of savings using </w:t>
      </w:r>
      <w:r>
        <w:t>IL-TRM</w:t>
      </w:r>
      <w:r w:rsidRPr="00137CC1">
        <w:t xml:space="preserve"> protocols, such as quantity of appliances or the location and amount of insulation.</w:t>
      </w:r>
    </w:p>
    <w:p w14:paraId="42DE0C1D" w14:textId="77777777" w:rsidR="00D34C6E" w:rsidRDefault="00D34C6E" w:rsidP="00D34C6E">
      <w:pPr>
        <w:rPr>
          <w:rFonts w:eastAsia="Franklin Gothic Book"/>
        </w:rPr>
      </w:pPr>
      <w:r w:rsidRPr="00137CC1">
        <w:rPr>
          <w:rFonts w:eastAsia="Franklin Gothic Book"/>
        </w:rPr>
        <w:t xml:space="preserve">To calculate the spillover energy and demand savings for these actions, the appropriate version of the </w:t>
      </w:r>
      <w:r>
        <w:rPr>
          <w:rFonts w:eastAsia="Franklin Gothic Book"/>
        </w:rPr>
        <w:t>IL-</w:t>
      </w:r>
      <w:r w:rsidRPr="00137CC1">
        <w:rPr>
          <w:rFonts w:eastAsia="Franklin Gothic Book"/>
        </w:rPr>
        <w:t xml:space="preserve">TRM should be used. To develop the spillover rate, the total energy and demand impacts from the sampled participants who installed additional measures due to participation in the program </w:t>
      </w:r>
      <w:r>
        <w:rPr>
          <w:rFonts w:eastAsia="Franklin Gothic Book"/>
        </w:rPr>
        <w:t>are</w:t>
      </w:r>
      <w:r w:rsidRPr="00137CC1">
        <w:rPr>
          <w:rFonts w:eastAsia="Franklin Gothic Book"/>
        </w:rPr>
        <w:t xml:space="preserve"> summed</w:t>
      </w:r>
      <w:r>
        <w:rPr>
          <w:rFonts w:eastAsia="Franklin Gothic Book"/>
        </w:rPr>
        <w:t>,</w:t>
      </w:r>
      <w:r w:rsidRPr="00137CC1">
        <w:rPr>
          <w:rFonts w:eastAsia="Franklin Gothic Book"/>
        </w:rPr>
        <w:t xml:space="preserve"> and then this sum is divided by the total ex post sample energy and demand impacts</w:t>
      </w:r>
      <w:r>
        <w:rPr>
          <w:rFonts w:eastAsia="Franklin Gothic Book"/>
        </w:rPr>
        <w:t>:</w:t>
      </w:r>
    </w:p>
    <w:p w14:paraId="5B839531" w14:textId="0CBC7C09" w:rsidR="00D34C6E" w:rsidRPr="001702D1" w:rsidRDefault="00016B3F" w:rsidP="00D34C6E">
      <w:pPr>
        <w:rPr>
          <w:rFonts w:eastAsia="Franklin Gothic Book"/>
        </w:rPr>
      </w:pPr>
      <m:oMathPara>
        <m:oMathParaPr>
          <m:jc m:val="center"/>
        </m:oMathParaPr>
        <m:oMath>
          <m:r>
            <w:rPr>
              <w:rFonts w:ascii="Cambria Math" w:eastAsia="Franklin Gothic Book" w:hAnsi="Cambria Math"/>
            </w:rPr>
            <w:lastRenderedPageBreak/>
            <m:t xml:space="preserve">Participant Spillover Rate </m:t>
          </m:r>
          <m:d>
            <m:dPr>
              <m:ctrlPr>
                <w:rPr>
                  <w:rFonts w:ascii="Cambria Math" w:eastAsia="Franklin Gothic Book" w:hAnsi="Cambria Math"/>
                  <w:i/>
                </w:rPr>
              </m:ctrlPr>
            </m:dPr>
            <m:e>
              <m:r>
                <w:rPr>
                  <w:rFonts w:ascii="Cambria Math" w:eastAsia="Franklin Gothic Book" w:hAnsi="Cambria Math"/>
                </w:rPr>
                <m:t>PSO</m:t>
              </m:r>
            </m:e>
          </m:d>
          <m:r>
            <w:rPr>
              <w:rFonts w:ascii="Cambria Math" w:eastAsia="Franklin Gothic Book" w:hAnsi="Cambria Math"/>
            </w:rPr>
            <m:t>=</m:t>
          </m:r>
          <m:r>
            <m:rPr>
              <m:sty m:val="p"/>
            </m:rPr>
            <w:rPr>
              <w:rFonts w:ascii="Cambria Math" w:eastAsia="Franklin Gothic Book" w:hAnsi="Cambria Math"/>
            </w:rPr>
            <m:t xml:space="preserve"> </m:t>
          </m:r>
          <m:f>
            <m:fPr>
              <m:ctrlPr>
                <w:rPr>
                  <w:rFonts w:ascii="Cambria Math" w:hAnsi="Cambria Math"/>
                </w:rPr>
              </m:ctrlPr>
            </m:fPr>
            <m:num>
              <m:r>
                <w:rPr>
                  <w:rFonts w:ascii="Cambria Math" w:eastAsia="Franklin Gothic Book" w:hAnsi="Cambria Math"/>
                </w:rPr>
                <m:t>Sum</m:t>
              </m:r>
              <m:r>
                <m:rPr>
                  <m:sty m:val="p"/>
                </m:rPr>
                <w:rPr>
                  <w:rFonts w:ascii="Cambria Math" w:eastAsia="Franklin Gothic Book" w:hAnsi="Cambria Math"/>
                </w:rPr>
                <m:t xml:space="preserve"> </m:t>
              </m:r>
              <m:r>
                <w:rPr>
                  <w:rFonts w:ascii="Cambria Math" w:eastAsia="Franklin Gothic Book" w:hAnsi="Cambria Math"/>
                </w:rPr>
                <m:t>of</m:t>
              </m:r>
              <m:r>
                <m:rPr>
                  <m:sty m:val="p"/>
                </m:rPr>
                <w:rPr>
                  <w:rFonts w:ascii="Cambria Math" w:eastAsia="Franklin Gothic Book" w:hAnsi="Cambria Math"/>
                </w:rPr>
                <m:t xml:space="preserve"> </m:t>
              </m:r>
              <m:r>
                <w:rPr>
                  <w:rFonts w:ascii="Cambria Math" w:eastAsia="Franklin Gothic Book" w:hAnsi="Cambria Math"/>
                </w:rPr>
                <m:t>Energy</m:t>
              </m:r>
              <m:r>
                <m:rPr>
                  <m:sty m:val="p"/>
                </m:rPr>
                <w:rPr>
                  <w:rFonts w:ascii="Cambria Math" w:eastAsia="Franklin Gothic Book" w:hAnsi="Cambria Math"/>
                </w:rPr>
                <m:t xml:space="preserve"> </m:t>
              </m:r>
              <m:r>
                <w:rPr>
                  <w:rFonts w:ascii="Cambria Math" w:eastAsia="Franklin Gothic Book" w:hAnsi="Cambria Math"/>
                </w:rPr>
                <m:t>or</m:t>
              </m:r>
              <m:r>
                <m:rPr>
                  <m:sty m:val="p"/>
                </m:rPr>
                <w:rPr>
                  <w:rFonts w:ascii="Cambria Math" w:eastAsia="Franklin Gothic Book" w:hAnsi="Cambria Math"/>
                </w:rPr>
                <m:t xml:space="preserve"> </m:t>
              </m:r>
              <m:r>
                <w:rPr>
                  <w:rFonts w:ascii="Cambria Math" w:eastAsia="Franklin Gothic Book" w:hAnsi="Cambria Math"/>
                </w:rPr>
                <m:t>Demand</m:t>
              </m:r>
              <m:r>
                <m:rPr>
                  <m:sty m:val="p"/>
                </m:rPr>
                <w:rPr>
                  <w:rFonts w:ascii="Cambria Math" w:eastAsia="Franklin Gothic Book" w:hAnsi="Cambria Math"/>
                </w:rPr>
                <m:t xml:space="preserve"> </m:t>
              </m:r>
              <m:r>
                <w:rPr>
                  <w:rFonts w:ascii="Cambria Math" w:eastAsia="Franklin Gothic Book" w:hAnsi="Cambria Math"/>
                </w:rPr>
                <m:t>from</m:t>
              </m:r>
              <m:r>
                <m:rPr>
                  <m:sty m:val="p"/>
                </m:rPr>
                <w:rPr>
                  <w:rFonts w:ascii="Cambria Math" w:eastAsia="Franklin Gothic Book" w:hAnsi="Cambria Math"/>
                </w:rPr>
                <m:t xml:space="preserve"> </m:t>
              </m:r>
              <m:r>
                <w:rPr>
                  <w:rFonts w:ascii="Cambria Math" w:eastAsia="Franklin Gothic Book" w:hAnsi="Cambria Math"/>
                </w:rPr>
                <m:t>Additional</m:t>
              </m:r>
              <m:r>
                <m:rPr>
                  <m:sty m:val="p"/>
                </m:rPr>
                <w:rPr>
                  <w:rFonts w:ascii="Cambria Math" w:eastAsia="Franklin Gothic Book" w:hAnsi="Cambria Math"/>
                </w:rPr>
                <m:t xml:space="preserve"> </m:t>
              </m:r>
              <m:r>
                <w:rPr>
                  <w:rFonts w:ascii="Cambria Math" w:eastAsia="Franklin Gothic Book" w:hAnsi="Cambria Math"/>
                </w:rPr>
                <m:t>Measures</m:t>
              </m:r>
              <m:r>
                <m:rPr>
                  <m:sty m:val="p"/>
                </m:rPr>
                <w:rPr>
                  <w:rFonts w:ascii="Cambria Math" w:eastAsia="Franklin Gothic Book" w:hAnsi="Cambria Math"/>
                </w:rPr>
                <m:t xml:space="preserve"> </m:t>
              </m:r>
              <m:r>
                <w:rPr>
                  <w:rFonts w:ascii="Cambria Math" w:eastAsia="Franklin Gothic Book" w:hAnsi="Cambria Math"/>
                </w:rPr>
                <m:t>Installed</m:t>
              </m:r>
            </m:num>
            <m:den>
              <m:r>
                <w:rPr>
                  <w:rFonts w:ascii="Cambria Math" w:eastAsia="Franklin Gothic Book" w:hAnsi="Cambria Math"/>
                </w:rPr>
                <m:t>Sample</m:t>
              </m:r>
              <m:r>
                <m:rPr>
                  <m:sty m:val="p"/>
                </m:rPr>
                <w:rPr>
                  <w:rFonts w:ascii="Cambria Math" w:eastAsia="Franklin Gothic Book" w:hAnsi="Cambria Math"/>
                </w:rPr>
                <m:t xml:space="preserve"> </m:t>
              </m:r>
              <m:r>
                <w:rPr>
                  <w:rFonts w:ascii="Cambria Math" w:eastAsia="Franklin Gothic Book" w:hAnsi="Cambria Math"/>
                </w:rPr>
                <m:t>Ex</m:t>
              </m:r>
              <m:r>
                <m:rPr>
                  <m:sty m:val="p"/>
                </m:rPr>
                <w:rPr>
                  <w:rFonts w:ascii="Cambria Math" w:eastAsia="Franklin Gothic Book" w:hAnsi="Cambria Math"/>
                </w:rPr>
                <m:t xml:space="preserve"> </m:t>
              </m:r>
              <m:r>
                <w:rPr>
                  <w:rFonts w:ascii="Cambria Math" w:eastAsia="Franklin Gothic Book" w:hAnsi="Cambria Math"/>
                </w:rPr>
                <m:t>Post</m:t>
              </m:r>
              <m:r>
                <m:rPr>
                  <m:sty m:val="p"/>
                </m:rPr>
                <w:rPr>
                  <w:rFonts w:ascii="Cambria Math" w:eastAsia="Franklin Gothic Book" w:hAnsi="Cambria Math"/>
                </w:rPr>
                <m:t xml:space="preserve"> </m:t>
              </m:r>
              <m:r>
                <w:rPr>
                  <w:rFonts w:ascii="Cambria Math" w:eastAsia="Franklin Gothic Book" w:hAnsi="Cambria Math"/>
                </w:rPr>
                <m:t>Gross</m:t>
              </m:r>
              <m:r>
                <m:rPr>
                  <m:sty m:val="p"/>
                </m:rPr>
                <w:rPr>
                  <w:rFonts w:ascii="Cambria Math" w:eastAsia="Franklin Gothic Book" w:hAnsi="Cambria Math"/>
                </w:rPr>
                <m:t xml:space="preserve"> </m:t>
              </m:r>
              <m:r>
                <w:rPr>
                  <w:rFonts w:ascii="Cambria Math" w:eastAsia="Franklin Gothic Book" w:hAnsi="Cambria Math"/>
                </w:rPr>
                <m:t>Energy</m:t>
              </m:r>
              <m:r>
                <m:rPr>
                  <m:sty m:val="p"/>
                </m:rPr>
                <w:rPr>
                  <w:rFonts w:ascii="Cambria Math" w:eastAsia="Franklin Gothic Book" w:hAnsi="Cambria Math"/>
                </w:rPr>
                <m:t xml:space="preserve"> </m:t>
              </m:r>
              <m:r>
                <w:rPr>
                  <w:rFonts w:ascii="Cambria Math" w:eastAsia="Franklin Gothic Book" w:hAnsi="Cambria Math"/>
                </w:rPr>
                <m:t>or</m:t>
              </m:r>
              <m:r>
                <m:rPr>
                  <m:sty m:val="p"/>
                </m:rPr>
                <w:rPr>
                  <w:rFonts w:ascii="Cambria Math" w:eastAsia="Franklin Gothic Book" w:hAnsi="Cambria Math"/>
                </w:rPr>
                <m:t xml:space="preserve"> </m:t>
              </m:r>
              <m:r>
                <w:rPr>
                  <w:rFonts w:ascii="Cambria Math" w:eastAsia="Franklin Gothic Book" w:hAnsi="Cambria Math"/>
                </w:rPr>
                <m:t>Demand</m:t>
              </m:r>
              <m:r>
                <m:rPr>
                  <m:sty m:val="p"/>
                </m:rPr>
                <w:rPr>
                  <w:rFonts w:ascii="Cambria Math" w:eastAsia="Franklin Gothic Book" w:hAnsi="Cambria Math"/>
                </w:rPr>
                <m:t xml:space="preserve"> </m:t>
              </m:r>
              <m:r>
                <w:rPr>
                  <w:rFonts w:ascii="Cambria Math" w:eastAsia="Franklin Gothic Book" w:hAnsi="Cambria Math"/>
                </w:rPr>
                <m:t>Impacts</m:t>
              </m:r>
            </m:den>
          </m:f>
        </m:oMath>
      </m:oMathPara>
    </w:p>
    <w:p w14:paraId="61FF5EC7" w14:textId="77777777" w:rsidR="00D34C6E" w:rsidRPr="00137CC1" w:rsidRDefault="00D34C6E" w:rsidP="00D34C6E">
      <w:pPr>
        <w:rPr>
          <w:rFonts w:eastAsia="Franklin Gothic Book"/>
        </w:rPr>
      </w:pPr>
      <w:r w:rsidRPr="00137CC1">
        <w:rPr>
          <w:rFonts w:eastAsia="Franklin Gothic Book"/>
        </w:rPr>
        <w:t xml:space="preserve">The equation used to adjust the </w:t>
      </w:r>
      <w:r>
        <w:rPr>
          <w:rFonts w:eastAsia="Franklin Gothic Book"/>
        </w:rPr>
        <w:t xml:space="preserve">Core </w:t>
      </w:r>
      <w:r w:rsidRPr="00137CC1">
        <w:rPr>
          <w:rFonts w:eastAsia="Franklin Gothic Book"/>
        </w:rPr>
        <w:t>NTGR based on participant spillover is as follows:</w:t>
      </w:r>
    </w:p>
    <w:p w14:paraId="1CE3DA4D" w14:textId="7C3D3817" w:rsidR="00D34C6E" w:rsidRPr="001702D1" w:rsidRDefault="00016B3F" w:rsidP="00D34C6E">
      <w:pPr>
        <w:pStyle w:val="BodyText"/>
        <w:rPr>
          <w:sz w:val="22"/>
        </w:rPr>
      </w:pPr>
      <m:oMathPara>
        <m:oMath>
          <m:r>
            <w:rPr>
              <w:rFonts w:ascii="Cambria Math" w:hAnsi="Cambria Math"/>
              <w:sz w:val="22"/>
            </w:rPr>
            <m:t>NTGR</m:t>
          </m:r>
          <m:r>
            <m:rPr>
              <m:sty m:val="p"/>
            </m:rPr>
            <w:rPr>
              <w:rFonts w:ascii="Cambria Math" w:hAnsi="Cambria Math"/>
              <w:sz w:val="22"/>
            </w:rPr>
            <m:t>=</m:t>
          </m:r>
          <m:d>
            <m:dPr>
              <m:ctrlPr>
                <w:rPr>
                  <w:rFonts w:ascii="Cambria Math" w:hAnsi="Cambria Math"/>
                  <w:sz w:val="22"/>
                </w:rPr>
              </m:ctrlPr>
            </m:dPr>
            <m:e>
              <m:r>
                <m:rPr>
                  <m:sty m:val="p"/>
                </m:rPr>
                <w:rPr>
                  <w:rFonts w:ascii="Cambria Math" w:hAnsi="Cambria Math"/>
                  <w:sz w:val="22"/>
                </w:rPr>
                <m:t>1-</m:t>
              </m:r>
              <m:r>
                <w:rPr>
                  <w:rFonts w:ascii="Cambria Math" w:hAnsi="Cambria Math"/>
                  <w:sz w:val="22"/>
                </w:rPr>
                <m:t>FR</m:t>
              </m:r>
              <m:r>
                <m:rPr>
                  <m:sty m:val="p"/>
                </m:rPr>
                <w:rPr>
                  <w:rFonts w:ascii="Cambria Math" w:hAnsi="Cambria Math"/>
                  <w:sz w:val="22"/>
                </w:rPr>
                <m:t>+</m:t>
              </m:r>
              <m:r>
                <w:rPr>
                  <w:rFonts w:ascii="Cambria Math" w:hAnsi="Cambria Math"/>
                  <w:sz w:val="22"/>
                </w:rPr>
                <m:t>PSO</m:t>
              </m:r>
            </m:e>
          </m:d>
        </m:oMath>
      </m:oMathPara>
    </w:p>
    <w:p w14:paraId="6C3A85ED" w14:textId="77777777" w:rsidR="00D34C6E" w:rsidRPr="00137CC1" w:rsidRDefault="00D34C6E" w:rsidP="001A2AE6">
      <w:pPr>
        <w:pStyle w:val="Heading4"/>
      </w:pPr>
      <w:bookmarkStart w:id="1371" w:name="_Toc442804259"/>
      <w:bookmarkStart w:id="1372" w:name="_Toc442805476"/>
      <w:r w:rsidRPr="00137CC1">
        <w:t>Data Collection</w:t>
      </w:r>
      <w:bookmarkEnd w:id="1371"/>
      <w:bookmarkEnd w:id="1372"/>
    </w:p>
    <w:p w14:paraId="1C30B9A7" w14:textId="77777777" w:rsidR="00D34C6E" w:rsidRDefault="00D34C6E" w:rsidP="00D34C6E">
      <w:pPr>
        <w:rPr>
          <w:rFonts w:eastAsia="Franklin Gothic Book"/>
        </w:rPr>
      </w:pPr>
      <w:r>
        <w:rPr>
          <w:rFonts w:eastAsia="Franklin Gothic Book"/>
        </w:rPr>
        <w:t xml:space="preserve">Respondents should be </w:t>
      </w:r>
      <w:r w:rsidRPr="00137CC1">
        <w:rPr>
          <w:rFonts w:eastAsia="Franklin Gothic Book"/>
        </w:rPr>
        <w:t xml:space="preserve">drawn from a random sample of current or up to one year </w:t>
      </w:r>
      <w:r>
        <w:rPr>
          <w:rFonts w:eastAsia="Franklin Gothic Book"/>
        </w:rPr>
        <w:t xml:space="preserve">of </w:t>
      </w:r>
      <w:r w:rsidRPr="00137CC1">
        <w:rPr>
          <w:rFonts w:eastAsia="Franklin Gothic Book"/>
        </w:rPr>
        <w:t>previous program participants</w:t>
      </w:r>
      <w:r>
        <w:rPr>
          <w:rFonts w:eastAsia="Franklin Gothic Book"/>
        </w:rPr>
        <w:t xml:space="preserve">. </w:t>
      </w:r>
      <w:r w:rsidRPr="00137CC1">
        <w:rPr>
          <w:rFonts w:eastAsia="Franklin Gothic Book"/>
        </w:rPr>
        <w:t>Regardless of the participation year, spillover should be measured within the last 12 months (from the survey date), but after previous participation; the tracking database should supply this information.</w:t>
      </w:r>
    </w:p>
    <w:p w14:paraId="144F0C85" w14:textId="77777777" w:rsidR="00D34C6E" w:rsidRPr="00137CC1" w:rsidRDefault="00D34C6E" w:rsidP="001A2AE6">
      <w:pPr>
        <w:pStyle w:val="Heading4"/>
      </w:pPr>
      <w:bookmarkStart w:id="1373" w:name="_Toc442804260"/>
      <w:bookmarkStart w:id="1374" w:name="_Toc442805477"/>
      <w:r w:rsidRPr="00137CC1">
        <w:t>Data Analysis</w:t>
      </w:r>
      <w:bookmarkEnd w:id="1373"/>
      <w:bookmarkEnd w:id="1374"/>
    </w:p>
    <w:p w14:paraId="379FFD6B" w14:textId="77777777" w:rsidR="00D34C6E" w:rsidRDefault="00D34C6E" w:rsidP="00D34C6E">
      <w:pPr>
        <w:rPr>
          <w:rFonts w:eastAsia="Franklin Gothic Book"/>
        </w:rPr>
      </w:pPr>
      <w:r w:rsidRPr="00137CC1">
        <w:rPr>
          <w:rFonts w:eastAsia="Franklin Gothic Book"/>
        </w:rPr>
        <w:t>The following four steps calculate spillover:</w:t>
      </w:r>
    </w:p>
    <w:p w14:paraId="0FC9C711" w14:textId="77777777" w:rsidR="00D34C6E" w:rsidRDefault="00D34C6E" w:rsidP="00D34C6E">
      <w:pPr>
        <w:pStyle w:val="ListParagraph"/>
        <w:widowControl/>
        <w:numPr>
          <w:ilvl w:val="0"/>
          <w:numId w:val="26"/>
        </w:numPr>
        <w:spacing w:after="60"/>
        <w:contextualSpacing w:val="0"/>
        <w:rPr>
          <w:rFonts w:eastAsia="Franklin Gothic Book"/>
        </w:rPr>
      </w:pPr>
      <w:r w:rsidRPr="00137CC1">
        <w:rPr>
          <w:rFonts w:eastAsia="Franklin Gothic Book"/>
        </w:rPr>
        <w:t xml:space="preserve">Calculate total spillover savings for each participant installing an efficient measure not rebated through the program </w:t>
      </w:r>
      <w:r>
        <w:rPr>
          <w:rFonts w:eastAsia="Franklin Gothic Book"/>
        </w:rPr>
        <w:t>where the Spillover Score is greater than 5.0</w:t>
      </w:r>
      <w:r w:rsidRPr="002B13A9">
        <w:rPr>
          <w:rFonts w:eastAsia="Franklin Gothic Book"/>
        </w:rPr>
        <w:t>:</w:t>
      </w:r>
    </w:p>
    <w:p w14:paraId="4AE69ECF" w14:textId="77777777" w:rsidR="00D34C6E" w:rsidRPr="001702D1" w:rsidRDefault="00D34C6E" w:rsidP="00D34C6E">
      <w:pPr>
        <w:pStyle w:val="Text"/>
        <w:spacing w:after="120" w:line="240" w:lineRule="auto"/>
        <w:jc w:val="both"/>
        <w:rPr>
          <w:rFonts w:ascii="Calibri" w:hAnsi="Calibri"/>
          <w:sz w:val="20"/>
        </w:rPr>
      </w:pPr>
      <m:oMathPara>
        <m:oMath>
          <m:r>
            <m:rPr>
              <m:sty m:val="p"/>
            </m:rPr>
            <w:rPr>
              <w:rFonts w:ascii="Cambria Math" w:hAnsi="Cambria Math"/>
            </w:rPr>
            <m:t>Measure Spillover= Measure Savings *Number of Units</m:t>
          </m:r>
        </m:oMath>
      </m:oMathPara>
    </w:p>
    <w:p w14:paraId="0C67378E" w14:textId="77777777" w:rsidR="00D34C6E" w:rsidRPr="002F08CB" w:rsidRDefault="00D34C6E" w:rsidP="00D34C6E">
      <w:pPr>
        <w:pStyle w:val="ListParagraph"/>
        <w:widowControl/>
        <w:numPr>
          <w:ilvl w:val="0"/>
          <w:numId w:val="26"/>
        </w:numPr>
        <w:spacing w:after="60"/>
        <w:contextualSpacing w:val="0"/>
        <w:rPr>
          <w:rFonts w:eastAsia="Franklin Gothic Book"/>
        </w:rPr>
      </w:pPr>
      <w:r w:rsidRPr="00137CC1">
        <w:rPr>
          <w:rFonts w:eastAsia="Franklin Gothic Book"/>
        </w:rPr>
        <w:t>Total savings associated with each program participant to calculate overall participant spillover savings.</w:t>
      </w:r>
    </w:p>
    <w:p w14:paraId="6ECAF995" w14:textId="77777777" w:rsidR="00D34C6E" w:rsidRPr="002F08CB" w:rsidRDefault="00D34C6E" w:rsidP="00D34C6E">
      <w:pPr>
        <w:pStyle w:val="Text"/>
        <w:numPr>
          <w:ilvl w:val="0"/>
          <w:numId w:val="26"/>
        </w:numPr>
        <w:spacing w:after="0" w:line="240" w:lineRule="auto"/>
        <w:jc w:val="both"/>
        <w:rPr>
          <w:sz w:val="20"/>
        </w:rPr>
      </w:pPr>
      <m:oMath>
        <m:r>
          <m:rPr>
            <m:sty m:val="p"/>
          </m:rPr>
          <w:rPr>
            <w:rFonts w:ascii="Cambria Math" w:hAnsi="Cambria Math"/>
            <w:szCs w:val="20"/>
          </w:rPr>
          <m:t xml:space="preserve">Spillover Percentage Estimate = </m:t>
        </m:r>
        <m:f>
          <m:fPr>
            <m:ctrlPr>
              <w:rPr>
                <w:rFonts w:ascii="Cambria Math" w:hAnsi="Cambria Math"/>
                <w:szCs w:val="20"/>
              </w:rPr>
            </m:ctrlPr>
          </m:fPr>
          <m:num>
            <m:nary>
              <m:naryPr>
                <m:chr m:val="∑"/>
                <m:limLoc m:val="undOvr"/>
                <m:subHide m:val="1"/>
                <m:supHide m:val="1"/>
                <m:ctrlPr>
                  <w:rPr>
                    <w:rFonts w:ascii="Cambria Math" w:hAnsi="Cambria Math"/>
                    <w:szCs w:val="20"/>
                  </w:rPr>
                </m:ctrlPr>
              </m:naryPr>
              <m:sub/>
              <m:sup/>
              <m:e>
                <m:r>
                  <m:rPr>
                    <m:sty m:val="p"/>
                  </m:rPr>
                  <w:rPr>
                    <w:rFonts w:ascii="Cambria Math" w:hAnsi="Cambria Math"/>
                    <w:szCs w:val="20"/>
                  </w:rPr>
                  <m:t>Sample Spillover kWh Savings</m:t>
                </m:r>
              </m:e>
            </m:nary>
          </m:num>
          <m:den>
            <m:r>
              <m:rPr>
                <m:sty m:val="p"/>
              </m:rPr>
              <w:rPr>
                <w:rFonts w:ascii="Cambria Math" w:hAnsi="Cambria Math"/>
                <w:szCs w:val="20"/>
              </w:rPr>
              <m:t xml:space="preserve">Sample Evaluated Program kWh Savings </m:t>
            </m:r>
          </m:den>
        </m:f>
      </m:oMath>
    </w:p>
    <w:p w14:paraId="7BD5AF67" w14:textId="77777777" w:rsidR="00D34C6E" w:rsidRPr="002F5FEF" w:rsidRDefault="00D34C6E" w:rsidP="0088039F">
      <w:pPr>
        <w:pStyle w:val="Heading3"/>
      </w:pPr>
      <w:bookmarkStart w:id="1375" w:name="_Toc442804261"/>
      <w:bookmarkStart w:id="1376" w:name="_Toc442805478"/>
      <w:bookmarkStart w:id="1377" w:name="_Toc472494708"/>
      <w:bookmarkStart w:id="1378" w:name="_Toc473108050"/>
      <w:bookmarkStart w:id="1379" w:name="_Toc442804262"/>
      <w:bookmarkStart w:id="1380" w:name="_Toc442805479"/>
      <w:bookmarkStart w:id="1381" w:name="_Toc472494709"/>
      <w:bookmarkStart w:id="1382" w:name="_Toc520462907"/>
      <w:bookmarkStart w:id="1383" w:name="_Toc520824162"/>
      <w:bookmarkStart w:id="1384" w:name="_Toc16619945"/>
      <w:bookmarkStart w:id="1385" w:name="_Toc113619800"/>
      <w:r w:rsidRPr="002F5FEF">
        <w:t>Nonparticipant</w:t>
      </w:r>
      <w:bookmarkStart w:id="1386" w:name="_Toc473108051"/>
      <w:bookmarkEnd w:id="1375"/>
      <w:bookmarkEnd w:id="1376"/>
      <w:bookmarkEnd w:id="1377"/>
      <w:bookmarkEnd w:id="1378"/>
      <w:r w:rsidRPr="002F5FEF">
        <w:t xml:space="preserve"> Spillover Measured from Customers</w:t>
      </w:r>
      <w:bookmarkEnd w:id="1379"/>
      <w:bookmarkEnd w:id="1380"/>
      <w:bookmarkEnd w:id="1381"/>
      <w:bookmarkEnd w:id="1382"/>
      <w:bookmarkEnd w:id="1383"/>
      <w:bookmarkEnd w:id="1384"/>
      <w:bookmarkEnd w:id="1386"/>
      <w:bookmarkEnd w:id="1385"/>
    </w:p>
    <w:p w14:paraId="4FB7005F" w14:textId="77777777" w:rsidR="00D34C6E" w:rsidRPr="002F5FEF" w:rsidRDefault="00D34C6E" w:rsidP="00D34C6E">
      <w:pPr>
        <w:rPr>
          <w:rFonts w:eastAsia="Calibri"/>
        </w:rPr>
      </w:pPr>
      <w:r w:rsidRPr="002F5FEF">
        <w:rPr>
          <w:rFonts w:eastAsia="Calibri"/>
        </w:rPr>
        <w:t xml:space="preserve">The evaluation may perform research to measure nonparticipant spillover (NPSO). If so, care should be taken to ensure spillover is not double-counted with a trade-ally approach. The basic method uses a two-step process: (1) conduct a nonparticipant survey to identify potential spillover measures and (2) if needed, conduct a follow-up call or on-site visit by technical staff to confirm attribution and obtain information needed to estimate energy savings. </w:t>
      </w:r>
    </w:p>
    <w:p w14:paraId="3A962364" w14:textId="77777777" w:rsidR="00D34C6E" w:rsidRPr="009B67BF" w:rsidRDefault="00D34C6E" w:rsidP="001A2AE6">
      <w:pPr>
        <w:pStyle w:val="Heading4"/>
      </w:pPr>
      <w:bookmarkStart w:id="1387" w:name="_Toc442804263"/>
      <w:bookmarkStart w:id="1388" w:name="_Toc442805480"/>
      <w:r w:rsidRPr="009B67BF">
        <w:t>Basic Method</w:t>
      </w:r>
      <w:bookmarkEnd w:id="1387"/>
      <w:bookmarkEnd w:id="1388"/>
    </w:p>
    <w:p w14:paraId="2CD875DE" w14:textId="77777777" w:rsidR="00D34C6E" w:rsidRPr="009B67BF" w:rsidRDefault="00D34C6E" w:rsidP="00D34C6E">
      <w:pPr>
        <w:pStyle w:val="Heading5"/>
        <w:numPr>
          <w:ilvl w:val="4"/>
          <w:numId w:val="8"/>
        </w:numPr>
      </w:pPr>
      <w:bookmarkStart w:id="1389" w:name="_Toc431526487"/>
      <w:bookmarkStart w:id="1390" w:name="_Toc442804264"/>
      <w:bookmarkStart w:id="1391" w:name="_Toc442805481"/>
      <w:r w:rsidRPr="009B67BF">
        <w:t>Sampling</w:t>
      </w:r>
      <w:bookmarkEnd w:id="1389"/>
      <w:bookmarkEnd w:id="1390"/>
      <w:bookmarkEnd w:id="1391"/>
    </w:p>
    <w:p w14:paraId="072E8484" w14:textId="77777777" w:rsidR="00D34C6E" w:rsidRPr="009B67BF" w:rsidRDefault="00D34C6E" w:rsidP="00D34C6E">
      <w:r w:rsidRPr="009B67BF">
        <w:t xml:space="preserve">As spillover </w:t>
      </w:r>
      <w:r>
        <w:t xml:space="preserve">may be rare </w:t>
      </w:r>
      <w:r w:rsidRPr="009B67BF">
        <w:t xml:space="preserve">in the nonparticipating population, determining spillover </w:t>
      </w:r>
      <w:r>
        <w:t>will likely require</w:t>
      </w:r>
      <w:r w:rsidRPr="009B67BF">
        <w:t xml:space="preserve"> a large sample</w:t>
      </w:r>
      <w:r>
        <w:t xml:space="preserve"> </w:t>
      </w:r>
      <w:r w:rsidRPr="009B67BF">
        <w:t>of customers who have not participated in any energy efficiency programs, including a behavioral program, within the past three years</w:t>
      </w:r>
      <w:r>
        <w:t xml:space="preserve">. </w:t>
      </w:r>
      <w:r w:rsidRPr="009B67BF">
        <w:t>Customers will be removed from the sample frame if their account numbers can be cross-referenced against a list of program participants from the previous three years. The survey should target household members responsible for paying utility bills.</w:t>
      </w:r>
      <w:r>
        <w:t xml:space="preserve"> </w:t>
      </w:r>
      <w:r>
        <w:rPr>
          <w:rFonts w:eastAsia="Calibri"/>
        </w:rPr>
        <w:t>Survey respondents</w:t>
      </w:r>
      <w:r w:rsidRPr="009B67BF">
        <w:rPr>
          <w:rFonts w:eastAsia="Calibri"/>
        </w:rPr>
        <w:t xml:space="preserve"> will be asked a </w:t>
      </w:r>
      <w:r>
        <w:rPr>
          <w:rFonts w:eastAsia="Calibri"/>
        </w:rPr>
        <w:t>screening</w:t>
      </w:r>
      <w:r w:rsidRPr="009B67BF">
        <w:rPr>
          <w:rFonts w:eastAsia="Calibri"/>
        </w:rPr>
        <w:t xml:space="preserve"> question (whether they have participated in a program in the past </w:t>
      </w:r>
      <w:r>
        <w:rPr>
          <w:rFonts w:eastAsia="Calibri"/>
        </w:rPr>
        <w:t>three</w:t>
      </w:r>
      <w:r w:rsidRPr="009B67BF">
        <w:rPr>
          <w:rFonts w:eastAsia="Calibri"/>
        </w:rPr>
        <w:t xml:space="preserve"> years) to confirm their household qualifies as a true nonparticipant.</w:t>
      </w:r>
    </w:p>
    <w:p w14:paraId="1E9E7EA4" w14:textId="77777777" w:rsidR="00D34C6E" w:rsidRPr="009B67BF" w:rsidRDefault="00D34C6E" w:rsidP="00D34C6E">
      <w:pPr>
        <w:pStyle w:val="Heading5"/>
        <w:numPr>
          <w:ilvl w:val="4"/>
          <w:numId w:val="8"/>
        </w:numPr>
      </w:pPr>
      <w:bookmarkStart w:id="1392" w:name="_Toc431526488"/>
      <w:bookmarkStart w:id="1393" w:name="_Toc442804265"/>
      <w:bookmarkStart w:id="1394" w:name="_Toc442805482"/>
      <w:r w:rsidRPr="009B67BF">
        <w:t>Measure</w:t>
      </w:r>
      <w:bookmarkEnd w:id="1392"/>
      <w:r>
        <w:t>-Specific Questions</w:t>
      </w:r>
      <w:bookmarkEnd w:id="1393"/>
      <w:bookmarkEnd w:id="1394"/>
    </w:p>
    <w:p w14:paraId="416D2661" w14:textId="77777777" w:rsidR="00D34C6E" w:rsidRPr="009B67BF" w:rsidRDefault="00D34C6E" w:rsidP="00D34C6E">
      <w:pPr>
        <w:rPr>
          <w:rFonts w:eastAsia="Calibri"/>
        </w:rPr>
      </w:pPr>
      <w:r w:rsidRPr="009B67BF">
        <w:rPr>
          <w:rFonts w:eastAsia="Calibri"/>
        </w:rPr>
        <w:t xml:space="preserve">Depending on the </w:t>
      </w:r>
      <w:r>
        <w:rPr>
          <w:rFonts w:eastAsia="Calibri"/>
        </w:rPr>
        <w:t xml:space="preserve">spillover </w:t>
      </w:r>
      <w:r w:rsidRPr="009B67BF">
        <w:rPr>
          <w:rFonts w:eastAsia="Calibri"/>
        </w:rPr>
        <w:t xml:space="preserve">measure type reported by the customer, follow-up questions should be included to gather sufficient information to reasonably assess the saving amount by applying the </w:t>
      </w:r>
      <w:r>
        <w:rPr>
          <w:rFonts w:eastAsia="Calibri"/>
        </w:rPr>
        <w:t>IL-</w:t>
      </w:r>
      <w:r w:rsidRPr="009B67BF">
        <w:rPr>
          <w:rFonts w:eastAsia="Calibri"/>
        </w:rPr>
        <w:t xml:space="preserve">TRM, understanding that assumptions must be made if </w:t>
      </w:r>
      <w:r>
        <w:rPr>
          <w:rFonts w:eastAsia="Calibri"/>
        </w:rPr>
        <w:t>IL-</w:t>
      </w:r>
      <w:r w:rsidRPr="009B67BF">
        <w:rPr>
          <w:rFonts w:eastAsia="Calibri"/>
        </w:rPr>
        <w:t>TRM inputs cannot be easily supplied by the participant. Such assumptions should be conservative</w:t>
      </w:r>
      <w:r>
        <w:rPr>
          <w:rFonts w:eastAsia="Calibri"/>
        </w:rPr>
        <w:t>,</w:t>
      </w:r>
      <w:r w:rsidRPr="009B67BF">
        <w:rPr>
          <w:rFonts w:eastAsia="Calibri"/>
        </w:rPr>
        <w:t xml:space="preserve"> or, if not conservative, reasons for deviating from the conservative application should be documented. Measures that cannot be reasonably quantified within available evaluation budgets should be excluded from spillover calculations.</w:t>
      </w:r>
    </w:p>
    <w:p w14:paraId="1366380C" w14:textId="77777777" w:rsidR="00D34C6E" w:rsidRPr="009B67BF" w:rsidRDefault="00D34C6E" w:rsidP="00D34C6E">
      <w:pPr>
        <w:rPr>
          <w:rFonts w:eastAsia="Calibri"/>
        </w:rPr>
      </w:pPr>
      <w:r w:rsidRPr="009B67BF">
        <w:rPr>
          <w:rFonts w:eastAsia="Calibri"/>
        </w:rPr>
        <w:t xml:space="preserve">For measures included in the </w:t>
      </w:r>
      <w:r>
        <w:rPr>
          <w:rFonts w:eastAsia="Calibri"/>
        </w:rPr>
        <w:t>IL-</w:t>
      </w:r>
      <w:r w:rsidRPr="009B67BF">
        <w:rPr>
          <w:rFonts w:eastAsia="Calibri"/>
        </w:rPr>
        <w:t xml:space="preserve">TRM, savings will be assessed using the </w:t>
      </w:r>
      <w:r>
        <w:rPr>
          <w:rFonts w:eastAsia="Calibri"/>
        </w:rPr>
        <w:t>IL-</w:t>
      </w:r>
      <w:r w:rsidRPr="009B67BF">
        <w:rPr>
          <w:rFonts w:eastAsia="Calibri"/>
        </w:rPr>
        <w:t xml:space="preserve">TRM algorithms. Baselines for measures not in the </w:t>
      </w:r>
      <w:r>
        <w:rPr>
          <w:rFonts w:eastAsia="Calibri"/>
        </w:rPr>
        <w:t>IL-</w:t>
      </w:r>
      <w:r w:rsidRPr="009B67BF">
        <w:rPr>
          <w:rFonts w:eastAsia="Calibri"/>
        </w:rPr>
        <w:t xml:space="preserve">TRM will be assessed based on appliance standards and building codes, if applicable, and, if not, through engineering judgements of existing or market conditions. Engineering assumptions and analysis by the evaluator will be applied for measures not included in the </w:t>
      </w:r>
      <w:r>
        <w:rPr>
          <w:rFonts w:eastAsia="Calibri"/>
        </w:rPr>
        <w:t>IL-</w:t>
      </w:r>
      <w:r w:rsidRPr="009B67BF">
        <w:rPr>
          <w:rFonts w:eastAsia="Calibri"/>
        </w:rPr>
        <w:t>TRM.</w:t>
      </w:r>
      <w:r>
        <w:rPr>
          <w:rFonts w:eastAsia="Calibri"/>
        </w:rPr>
        <w:t xml:space="preserve"> Key assumptions should be documented in the report.</w:t>
      </w:r>
    </w:p>
    <w:p w14:paraId="5380F1E9" w14:textId="77777777" w:rsidR="00D34C6E" w:rsidRPr="009B67BF" w:rsidRDefault="00D34C6E" w:rsidP="001A2AE6">
      <w:pPr>
        <w:pStyle w:val="Heading4"/>
      </w:pPr>
      <w:bookmarkStart w:id="1395" w:name="_Toc431526489"/>
      <w:bookmarkStart w:id="1396" w:name="_Toc442804266"/>
      <w:bookmarkStart w:id="1397" w:name="_Toc442805483"/>
      <w:r w:rsidRPr="009B67BF">
        <w:t>Attribution</w:t>
      </w:r>
      <w:bookmarkEnd w:id="1395"/>
      <w:r>
        <w:t xml:space="preserve"> Approach</w:t>
      </w:r>
      <w:bookmarkEnd w:id="1396"/>
      <w:bookmarkEnd w:id="1397"/>
    </w:p>
    <w:p w14:paraId="14CD5169" w14:textId="77777777" w:rsidR="00D34C6E" w:rsidRPr="009B67BF" w:rsidRDefault="00D34C6E" w:rsidP="00D34C6E">
      <w:pPr>
        <w:rPr>
          <w:rFonts w:eastAsia="Calibri"/>
        </w:rPr>
      </w:pPr>
      <w:r w:rsidRPr="009B67BF">
        <w:rPr>
          <w:rFonts w:eastAsia="Calibri"/>
        </w:rPr>
        <w:t xml:space="preserve">To receive credit for energy savings, the nonparticipant must fit the following criteria: (1) be familiar with the </w:t>
      </w:r>
      <w:r>
        <w:rPr>
          <w:rFonts w:eastAsia="Calibri"/>
        </w:rPr>
        <w:t xml:space="preserve">Program Administrators </w:t>
      </w:r>
      <w:r w:rsidRPr="00BB65CC">
        <w:rPr>
          <w:rFonts w:eastAsia="Calibri"/>
        </w:rPr>
        <w:t xml:space="preserve">energy efficiency campaign (e.g., </w:t>
      </w:r>
      <w:proofErr w:type="spellStart"/>
      <w:r w:rsidRPr="00BB65CC">
        <w:rPr>
          <w:rFonts w:eastAsia="Calibri"/>
        </w:rPr>
        <w:t>ActOnEnergy</w:t>
      </w:r>
      <w:proofErr w:type="spellEnd"/>
      <w:r w:rsidRPr="00BB65CC">
        <w:rPr>
          <w:rFonts w:eastAsia="Calibri"/>
        </w:rPr>
        <w:t xml:space="preserve"> for Ameren); and (2) indicate that some </w:t>
      </w:r>
      <w:r w:rsidRPr="00BB65CC">
        <w:rPr>
          <w:rFonts w:eastAsia="Calibri"/>
        </w:rPr>
        <w:lastRenderedPageBreak/>
        <w:t xml:space="preserve">aspect of the </w:t>
      </w:r>
      <w:r>
        <w:rPr>
          <w:rFonts w:eastAsia="Calibri"/>
        </w:rPr>
        <w:t>P</w:t>
      </w:r>
      <w:r w:rsidRPr="00BB65CC">
        <w:rPr>
          <w:rFonts w:eastAsia="Calibri"/>
        </w:rPr>
        <w:t xml:space="preserve">rogram </w:t>
      </w:r>
      <w:r>
        <w:rPr>
          <w:rFonts w:eastAsia="Calibri"/>
        </w:rPr>
        <w:t>A</w:t>
      </w:r>
      <w:r w:rsidRPr="00BB65CC">
        <w:rPr>
          <w:rFonts w:eastAsia="Calibri"/>
        </w:rPr>
        <w:t>dministrator’s</w:t>
      </w:r>
      <w:r w:rsidRPr="009B67BF">
        <w:rPr>
          <w:rFonts w:eastAsia="Calibri"/>
        </w:rPr>
        <w:t xml:space="preserve"> energy efficiency programs motivated their purchas</w:t>
      </w:r>
      <w:r>
        <w:rPr>
          <w:rFonts w:eastAsia="Calibri"/>
        </w:rPr>
        <w:t>es</w:t>
      </w:r>
      <w:r w:rsidRPr="009B67BF">
        <w:rPr>
          <w:rFonts w:eastAsia="Calibri"/>
        </w:rPr>
        <w:t xml:space="preserve">. Influence will be measured on a scale of 0 to 10, where 10 is </w:t>
      </w:r>
      <w:r>
        <w:rPr>
          <w:rFonts w:eastAsia="Calibri"/>
        </w:rPr>
        <w:t xml:space="preserve">extremely </w:t>
      </w:r>
      <w:r w:rsidRPr="009B67BF">
        <w:rPr>
          <w:rFonts w:eastAsia="Calibri"/>
        </w:rPr>
        <w:t xml:space="preserve">influential and 0 is not at all influential. Savings attribution requires a </w:t>
      </w:r>
      <w:r>
        <w:rPr>
          <w:rFonts w:eastAsia="Calibri"/>
        </w:rPr>
        <w:t>Spillover S</w:t>
      </w:r>
      <w:r w:rsidRPr="009B67BF">
        <w:rPr>
          <w:rFonts w:eastAsia="Calibri"/>
        </w:rPr>
        <w:t xml:space="preserve">core of </w:t>
      </w:r>
      <w:r>
        <w:rPr>
          <w:rFonts w:eastAsia="Calibri"/>
        </w:rPr>
        <w:t>greater than 5.0</w:t>
      </w:r>
      <w:r w:rsidRPr="009B67BF">
        <w:rPr>
          <w:rFonts w:eastAsia="Calibri"/>
        </w:rPr>
        <w:t>.</w:t>
      </w:r>
    </w:p>
    <w:p w14:paraId="23B8F3DA" w14:textId="77777777" w:rsidR="00D34C6E" w:rsidRPr="009B67BF" w:rsidRDefault="00D34C6E" w:rsidP="00D34C6E">
      <w:pPr>
        <w:rPr>
          <w:rFonts w:eastAsia="Calibri"/>
        </w:rPr>
      </w:pPr>
      <w:r w:rsidRPr="009B67BF">
        <w:rPr>
          <w:rFonts w:eastAsia="Calibri"/>
        </w:rPr>
        <w:t xml:space="preserve">Survey respondents will be asked </w:t>
      </w:r>
      <w:r>
        <w:rPr>
          <w:rFonts w:eastAsia="Calibri"/>
        </w:rPr>
        <w:t xml:space="preserve">a </w:t>
      </w:r>
      <w:r w:rsidRPr="009B67BF">
        <w:rPr>
          <w:rFonts w:eastAsia="Calibri"/>
        </w:rPr>
        <w:t>series of questions following the logic shown in</w:t>
      </w:r>
      <w:r>
        <w:rPr>
          <w:rFonts w:eastAsia="Calibri"/>
        </w:rPr>
        <w:t xml:space="preserve"> Figure 4-1.</w:t>
      </w:r>
      <w:r w:rsidRPr="009B67BF">
        <w:rPr>
          <w:rFonts w:eastAsia="Calibri"/>
        </w:rPr>
        <w:t xml:space="preserve"> First, the customer will indicate whether they know about their </w:t>
      </w:r>
      <w:r>
        <w:rPr>
          <w:rFonts w:eastAsia="Calibri"/>
        </w:rPr>
        <w:t>Program Administrato</w:t>
      </w:r>
      <w:r w:rsidRPr="00CC7E33">
        <w:rPr>
          <w:rFonts w:eastAsia="Calibri"/>
        </w:rPr>
        <w:t>r’</w:t>
      </w:r>
      <w:r w:rsidRPr="009B67BF">
        <w:rPr>
          <w:rFonts w:eastAsia="Calibri"/>
        </w:rPr>
        <w:t xml:space="preserve">s energy efficiency programs and/or marketing messages. If </w:t>
      </w:r>
      <w:r>
        <w:rPr>
          <w:rFonts w:eastAsia="Calibri"/>
        </w:rPr>
        <w:t>customer is aware</w:t>
      </w:r>
      <w:r w:rsidRPr="009B67BF">
        <w:rPr>
          <w:rFonts w:eastAsia="Calibri"/>
        </w:rPr>
        <w:t>, the</w:t>
      </w:r>
      <w:r>
        <w:rPr>
          <w:rFonts w:eastAsia="Calibri"/>
        </w:rPr>
        <w:t xml:space="preserve"> survey</w:t>
      </w:r>
      <w:r w:rsidRPr="009B67BF">
        <w:rPr>
          <w:rFonts w:eastAsia="Calibri"/>
        </w:rPr>
        <w:t xml:space="preserve"> will ask if they or anyone in their household made an energy efficiency improvement within the last year, and if so, what improvements they made. Responses to these questions will generate a list of potential spillover measures (shown at point “[A]” in</w:t>
      </w:r>
      <w:r>
        <w:rPr>
          <w:rFonts w:eastAsia="Calibri"/>
        </w:rPr>
        <w:t xml:space="preserve"> Figure 4-1). C</w:t>
      </w:r>
      <w:r w:rsidRPr="009B67BF">
        <w:rPr>
          <w:rFonts w:eastAsia="Calibri"/>
        </w:rPr>
        <w:t>ustomers will be asked how they know the measure is more efficient than other models. If the respondent can identify the measure as ENERGY STAR or name an efficiency level that the evaluator confirms as being above the minimum federal standard, or if they identify a technology that the evaluator can confirm is above the minimum federal standard, it will count towards NPSO.</w:t>
      </w:r>
      <w:r>
        <w:rPr>
          <w:rFonts w:eastAsia="Calibri"/>
        </w:rPr>
        <w:t xml:space="preserve"> At this point in the NPSO process, the customer could be referred for a follow-up call with a technical interviewer.</w:t>
      </w:r>
      <w:r>
        <w:rPr>
          <w:rStyle w:val="FootnoteReference"/>
          <w:rFonts w:eastAsia="Calibri"/>
        </w:rPr>
        <w:footnoteReference w:id="75"/>
      </w:r>
      <w:r>
        <w:rPr>
          <w:rFonts w:eastAsia="Calibri"/>
        </w:rPr>
        <w:t xml:space="preserve"> </w:t>
      </w:r>
    </w:p>
    <w:p w14:paraId="096FA959" w14:textId="77777777" w:rsidR="00D34C6E" w:rsidRDefault="00D34C6E" w:rsidP="00D34C6E">
      <w:pPr>
        <w:rPr>
          <w:rFonts w:eastAsia="Franklin Gothic Book"/>
        </w:rPr>
      </w:pPr>
      <w:r w:rsidRPr="009B67BF">
        <w:rPr>
          <w:rFonts w:eastAsia="Calibri"/>
        </w:rPr>
        <w:t>To assess attribution for each spillover measure mentioned, the customer will be asked questions to be scored in two areas</w:t>
      </w:r>
      <w:r>
        <w:rPr>
          <w:rFonts w:eastAsia="Calibri"/>
        </w:rPr>
        <w:t xml:space="preserve">. </w:t>
      </w:r>
      <w:r w:rsidRPr="00137CC1">
        <w:rPr>
          <w:rFonts w:eastAsia="Franklin Gothic Book"/>
        </w:rPr>
        <w:t xml:space="preserve">Spillover may be program-attributable for those measures for which self-report data meet the following </w:t>
      </w:r>
      <w:r>
        <w:rPr>
          <w:rFonts w:eastAsia="Franklin Gothic Book"/>
        </w:rPr>
        <w:t xml:space="preserve">threshold </w:t>
      </w:r>
      <w:r w:rsidRPr="00137CC1">
        <w:rPr>
          <w:rFonts w:eastAsia="Franklin Gothic Book"/>
        </w:rPr>
        <w:t xml:space="preserve">condition: </w:t>
      </w:r>
    </w:p>
    <w:p w14:paraId="1BC062D2" w14:textId="21E12569" w:rsidR="00D34C6E" w:rsidRPr="00F23774" w:rsidRDefault="00016B3F" w:rsidP="00D34C6E">
      <w:pPr>
        <w:jc w:val="center"/>
        <w:rPr>
          <w:rFonts w:eastAsia="Calibri"/>
          <w:i/>
        </w:rPr>
      </w:pPr>
      <m:oMathPara>
        <m:oMath>
          <m:r>
            <w:rPr>
              <w:rFonts w:ascii="Cambria Math" w:eastAsia="Franklin Gothic Book" w:hAnsi="Cambria Math"/>
            </w:rPr>
            <m:t>Spillover Score = (Attribution Score 1 + (10 – Attribution Score 2))/2 &gt; 5.0</m:t>
          </m:r>
        </m:oMath>
      </m:oMathPara>
    </w:p>
    <w:p w14:paraId="3E9BE190" w14:textId="77777777" w:rsidR="00D34C6E" w:rsidRDefault="00D34C6E" w:rsidP="00D34C6E">
      <w:pPr>
        <w:pStyle w:val="Heading5"/>
        <w:numPr>
          <w:ilvl w:val="4"/>
          <w:numId w:val="8"/>
        </w:numPr>
        <w:rPr>
          <w:rFonts w:eastAsia="Calibri"/>
        </w:rPr>
      </w:pPr>
      <w:bookmarkStart w:id="1398" w:name="_Toc442804267"/>
      <w:bookmarkStart w:id="1399" w:name="_Toc442805484"/>
      <w:r>
        <w:t xml:space="preserve">Attribution </w:t>
      </w:r>
      <w:r w:rsidRPr="00B93D70">
        <w:t>Score</w:t>
      </w:r>
      <w:r>
        <w:t xml:space="preserve"> 1</w:t>
      </w:r>
      <w:bookmarkEnd w:id="1398"/>
      <w:bookmarkEnd w:id="1399"/>
    </w:p>
    <w:p w14:paraId="7D2931E4" w14:textId="77777777" w:rsidR="00D34C6E" w:rsidRPr="009B67BF" w:rsidRDefault="00D34C6E" w:rsidP="00D34C6E">
      <w:pPr>
        <w:rPr>
          <w:rFonts w:eastAsia="Calibri"/>
        </w:rPr>
      </w:pPr>
      <w:r w:rsidRPr="009B67BF">
        <w:rPr>
          <w:rFonts w:eastAsia="Calibri"/>
        </w:rPr>
        <w:t>The first score</w:t>
      </w:r>
      <w:r>
        <w:rPr>
          <w:rFonts w:eastAsia="Calibri"/>
        </w:rPr>
        <w:t>, “Attribution Score 1,”</w:t>
      </w:r>
      <w:r w:rsidRPr="009B67BF">
        <w:rPr>
          <w:rFonts w:eastAsia="Calibri"/>
        </w:rPr>
        <w:t xml:space="preserve"> measures the influence level (on a scale of 0 to 10, where 10 is </w:t>
      </w:r>
      <w:r>
        <w:rPr>
          <w:rFonts w:eastAsia="Calibri"/>
        </w:rPr>
        <w:t>extremely</w:t>
      </w:r>
      <w:r w:rsidRPr="009B67BF">
        <w:rPr>
          <w:rFonts w:eastAsia="Calibri"/>
        </w:rPr>
        <w:t xml:space="preserve"> influential and 0 is not at all influential) their </w:t>
      </w:r>
      <w:r>
        <w:rPr>
          <w:rFonts w:eastAsia="Calibri"/>
        </w:rPr>
        <w:t>Program Administrator</w:t>
      </w:r>
      <w:r w:rsidRPr="00CC7E33">
        <w:rPr>
          <w:rFonts w:eastAsia="Calibri"/>
        </w:rPr>
        <w:t xml:space="preserve"> had</w:t>
      </w:r>
      <w:r w:rsidRPr="009B67BF">
        <w:rPr>
          <w:rFonts w:eastAsia="Calibri"/>
        </w:rPr>
        <w:t xml:space="preserve"> on the purchase </w:t>
      </w:r>
      <w:r>
        <w:rPr>
          <w:rFonts w:eastAsia="Calibri"/>
        </w:rPr>
        <w:t xml:space="preserve">of </w:t>
      </w:r>
      <w:r w:rsidRPr="009B67BF">
        <w:rPr>
          <w:rFonts w:eastAsia="Calibri"/>
        </w:rPr>
        <w:t>the measure.</w:t>
      </w:r>
    </w:p>
    <w:p w14:paraId="306BFD34" w14:textId="77777777" w:rsidR="00D34C6E" w:rsidRPr="009B67BF" w:rsidRDefault="00D34C6E" w:rsidP="00D34C6E">
      <w:pPr>
        <w:widowControl/>
        <w:spacing w:after="160" w:line="259" w:lineRule="auto"/>
        <w:jc w:val="left"/>
        <w:rPr>
          <w:rFonts w:eastAsia="Calibri"/>
        </w:rPr>
      </w:pPr>
      <w:r w:rsidRPr="009B67BF">
        <w:rPr>
          <w:rFonts w:eastAsia="Calibri"/>
        </w:rPr>
        <w:t>Influence can derive from the following:</w:t>
      </w:r>
    </w:p>
    <w:p w14:paraId="39DD73A8" w14:textId="77777777" w:rsidR="00D34C6E" w:rsidRPr="00CC7E33" w:rsidRDefault="00D34C6E" w:rsidP="00D34C6E">
      <w:pPr>
        <w:pStyle w:val="ListParagraph"/>
        <w:widowControl/>
        <w:numPr>
          <w:ilvl w:val="0"/>
          <w:numId w:val="17"/>
        </w:numPr>
        <w:spacing w:after="60"/>
        <w:ind w:left="720"/>
        <w:contextualSpacing w:val="0"/>
        <w:rPr>
          <w:rFonts w:eastAsia="Franklin Gothic Book"/>
        </w:rPr>
      </w:pPr>
      <w:r w:rsidRPr="009B67BF">
        <w:rPr>
          <w:rFonts w:eastAsia="Franklin Gothic Book"/>
        </w:rPr>
        <w:t xml:space="preserve">General information about energy efficiency provided by the </w:t>
      </w:r>
      <w:r>
        <w:rPr>
          <w:rFonts w:eastAsia="Franklin Gothic Book"/>
        </w:rPr>
        <w:t>Program Administrator (</w:t>
      </w:r>
      <w:proofErr w:type="gramStart"/>
      <w:r>
        <w:rPr>
          <w:rFonts w:eastAsia="Franklin Gothic Book"/>
        </w:rPr>
        <w:t>e.g.</w:t>
      </w:r>
      <w:proofErr w:type="gramEnd"/>
      <w:r>
        <w:rPr>
          <w:rFonts w:eastAsia="Franklin Gothic Book"/>
        </w:rPr>
        <w:t xml:space="preserve"> through a bill insert)</w:t>
      </w:r>
    </w:p>
    <w:p w14:paraId="7FAABD9B" w14:textId="77777777" w:rsidR="00D34C6E" w:rsidRDefault="00D34C6E" w:rsidP="00D34C6E">
      <w:pPr>
        <w:pStyle w:val="ListParagraph"/>
        <w:widowControl/>
        <w:numPr>
          <w:ilvl w:val="0"/>
          <w:numId w:val="17"/>
        </w:numPr>
        <w:spacing w:after="60"/>
        <w:ind w:left="720"/>
        <w:contextualSpacing w:val="0"/>
        <w:rPr>
          <w:rFonts w:eastAsia="Franklin Gothic Book"/>
        </w:rPr>
      </w:pPr>
      <w:r w:rsidRPr="009B67BF">
        <w:rPr>
          <w:rFonts w:eastAsia="Franklin Gothic Book"/>
        </w:rPr>
        <w:t xml:space="preserve">Information from a contractor or retailer </w:t>
      </w:r>
      <w:r>
        <w:rPr>
          <w:rFonts w:eastAsia="Franklin Gothic Book"/>
        </w:rPr>
        <w:t>related to</w:t>
      </w:r>
      <w:r w:rsidRPr="009B67BF">
        <w:rPr>
          <w:rFonts w:eastAsia="Franklin Gothic Book"/>
        </w:rPr>
        <w:t xml:space="preserve"> the </w:t>
      </w:r>
      <w:r>
        <w:rPr>
          <w:rFonts w:eastAsia="Franklin Gothic Book"/>
        </w:rPr>
        <w:t>Program Administrator</w:t>
      </w:r>
      <w:r w:rsidRPr="00CC7E33">
        <w:rPr>
          <w:rFonts w:eastAsia="Franklin Gothic Book"/>
        </w:rPr>
        <w:t>’s</w:t>
      </w:r>
      <w:r w:rsidRPr="009B67BF">
        <w:rPr>
          <w:rFonts w:eastAsia="Franklin Gothic Book"/>
        </w:rPr>
        <w:t xml:space="preserve"> programs</w:t>
      </w:r>
      <w:r>
        <w:rPr>
          <w:rFonts w:eastAsia="Franklin Gothic Book"/>
        </w:rPr>
        <w:t>.</w:t>
      </w:r>
    </w:p>
    <w:p w14:paraId="5438F1BF" w14:textId="77777777" w:rsidR="00D34C6E" w:rsidRPr="00CC7E33" w:rsidDel="00AF218F" w:rsidRDefault="00D34C6E" w:rsidP="00D34C6E">
      <w:pPr>
        <w:pStyle w:val="ListParagraph"/>
        <w:widowControl/>
        <w:numPr>
          <w:ilvl w:val="0"/>
          <w:numId w:val="17"/>
        </w:numPr>
        <w:ind w:left="720"/>
        <w:contextualSpacing w:val="0"/>
        <w:rPr>
          <w:rFonts w:eastAsia="Franklin Gothic Book"/>
        </w:rPr>
      </w:pPr>
      <w:r w:rsidRPr="009B67BF" w:rsidDel="00AF218F">
        <w:rPr>
          <w:rFonts w:eastAsia="Franklin Gothic Book"/>
        </w:rPr>
        <w:t>Word-of-mouth from people installing energy</w:t>
      </w:r>
      <w:r w:rsidDel="00AF218F">
        <w:rPr>
          <w:rFonts w:eastAsia="Franklin Gothic Book"/>
        </w:rPr>
        <w:t>-</w:t>
      </w:r>
      <w:r w:rsidRPr="009B67BF" w:rsidDel="00AF218F">
        <w:rPr>
          <w:rFonts w:eastAsia="Franklin Gothic Book"/>
        </w:rPr>
        <w:t xml:space="preserve">efficient equipment and receiving a rebate from the </w:t>
      </w:r>
      <w:r w:rsidDel="00AF218F">
        <w:rPr>
          <w:rFonts w:eastAsia="Franklin Gothic Book"/>
        </w:rPr>
        <w:t>Program Administrator</w:t>
      </w:r>
      <w:r w:rsidRPr="00CC7E33" w:rsidDel="00AF218F">
        <w:rPr>
          <w:rFonts w:eastAsia="Franklin Gothic Book"/>
        </w:rPr>
        <w:t>.</w:t>
      </w:r>
    </w:p>
    <w:p w14:paraId="279F11C4" w14:textId="77777777" w:rsidR="00D34C6E" w:rsidRPr="00FA427B" w:rsidRDefault="00D34C6E" w:rsidP="00D34C6E">
      <w:pPr>
        <w:widowControl/>
        <w:jc w:val="left"/>
        <w:rPr>
          <w:rFonts w:eastAsia="Franklin Gothic Book"/>
        </w:rPr>
      </w:pPr>
      <w:r>
        <w:rPr>
          <w:rFonts w:eastAsia="Franklin Gothic Book"/>
        </w:rPr>
        <w:t>Attribution Score 1 is the maximum score (or Yes response) assigned to any source of influence from the Program Administrator.</w:t>
      </w:r>
    </w:p>
    <w:p w14:paraId="1C795CD4" w14:textId="77777777" w:rsidR="00D34C6E" w:rsidRDefault="00D34C6E" w:rsidP="00D34C6E">
      <w:pPr>
        <w:pStyle w:val="Heading5"/>
        <w:numPr>
          <w:ilvl w:val="4"/>
          <w:numId w:val="8"/>
        </w:numPr>
      </w:pPr>
      <w:bookmarkStart w:id="1400" w:name="_Toc442804268"/>
      <w:bookmarkStart w:id="1401" w:name="_Toc442805485"/>
      <w:r>
        <w:t xml:space="preserve">Attribution </w:t>
      </w:r>
      <w:r w:rsidRPr="0007206C">
        <w:t>Score</w:t>
      </w:r>
      <w:r>
        <w:t xml:space="preserve"> 2</w:t>
      </w:r>
      <w:bookmarkEnd w:id="1400"/>
      <w:bookmarkEnd w:id="1401"/>
      <w:r w:rsidRPr="0007206C">
        <w:t xml:space="preserve"> </w:t>
      </w:r>
    </w:p>
    <w:p w14:paraId="76EAF592" w14:textId="77777777" w:rsidR="00D34C6E" w:rsidRPr="009B67BF" w:rsidRDefault="00D34C6E" w:rsidP="00D34C6E">
      <w:pPr>
        <w:rPr>
          <w:rFonts w:eastAsia="Calibri"/>
        </w:rPr>
      </w:pPr>
      <w:r w:rsidRPr="009B67BF">
        <w:rPr>
          <w:rFonts w:eastAsia="Calibri"/>
        </w:rPr>
        <w:t>The second score</w:t>
      </w:r>
      <w:r>
        <w:rPr>
          <w:rFonts w:eastAsia="Calibri"/>
        </w:rPr>
        <w:t>, “Attribution Score 2,”</w:t>
      </w:r>
      <w:r w:rsidRPr="009B67BF">
        <w:rPr>
          <w:rFonts w:eastAsia="Calibri"/>
        </w:rPr>
        <w:t xml:space="preserve"> </w:t>
      </w:r>
      <w:r>
        <w:rPr>
          <w:rFonts w:eastAsia="Calibri"/>
        </w:rPr>
        <w:t>comes from</w:t>
      </w:r>
      <w:r w:rsidRPr="009B67BF">
        <w:rPr>
          <w:rFonts w:eastAsia="Calibri"/>
        </w:rPr>
        <w:t xml:space="preserve"> </w:t>
      </w:r>
      <w:r>
        <w:rPr>
          <w:rFonts w:eastAsia="Calibri"/>
        </w:rPr>
        <w:t xml:space="preserve">the customer’s response to </w:t>
      </w:r>
      <w:r w:rsidRPr="009B67BF">
        <w:rPr>
          <w:rFonts w:eastAsia="Calibri"/>
        </w:rPr>
        <w:t xml:space="preserve">a single question to assess the counterfactual, asking about the likelihood (on a scale of 0 to 10, where 10 is </w:t>
      </w:r>
      <w:r>
        <w:rPr>
          <w:rFonts w:eastAsia="Calibri"/>
        </w:rPr>
        <w:t>extremely likely</w:t>
      </w:r>
      <w:r w:rsidRPr="009B67BF">
        <w:rPr>
          <w:rFonts w:eastAsia="Calibri"/>
        </w:rPr>
        <w:t xml:space="preserve"> and 0 is not at all </w:t>
      </w:r>
      <w:r>
        <w:rPr>
          <w:rFonts w:eastAsia="Calibri"/>
        </w:rPr>
        <w:t>likely</w:t>
      </w:r>
      <w:r w:rsidRPr="009B67BF">
        <w:rPr>
          <w:rFonts w:eastAsia="Calibri"/>
        </w:rPr>
        <w:t>)</w:t>
      </w:r>
      <w:r>
        <w:rPr>
          <w:rFonts w:eastAsia="Calibri"/>
        </w:rPr>
        <w:t xml:space="preserve"> </w:t>
      </w:r>
      <w:r w:rsidRPr="009B67BF">
        <w:rPr>
          <w:rFonts w:eastAsia="Calibri"/>
        </w:rPr>
        <w:t xml:space="preserve">that the </w:t>
      </w:r>
      <w:r>
        <w:rPr>
          <w:rFonts w:eastAsia="Calibri"/>
        </w:rPr>
        <w:t>customer</w:t>
      </w:r>
      <w:r w:rsidRPr="009B67BF">
        <w:rPr>
          <w:rFonts w:eastAsia="Calibri"/>
        </w:rPr>
        <w:t xml:space="preserve"> would have installed the measure had they not </w:t>
      </w:r>
      <w:r>
        <w:rPr>
          <w:rFonts w:eastAsia="Calibri"/>
        </w:rPr>
        <w:t>been influenced by the program.</w:t>
      </w:r>
    </w:p>
    <w:p w14:paraId="2EDBE9F6" w14:textId="77777777" w:rsidR="00D34C6E" w:rsidRPr="009B67BF" w:rsidRDefault="00D34C6E" w:rsidP="00D34C6E">
      <w:pPr>
        <w:rPr>
          <w:rFonts w:eastAsia="Calibri"/>
        </w:rPr>
      </w:pPr>
      <w:r w:rsidRPr="009B67BF">
        <w:rPr>
          <w:rFonts w:eastAsia="Calibri"/>
        </w:rPr>
        <w:t xml:space="preserve">The Spillover Score is then the average of the </w:t>
      </w:r>
      <w:r>
        <w:rPr>
          <w:rFonts w:eastAsia="Calibri"/>
        </w:rPr>
        <w:t>Attribution</w:t>
      </w:r>
      <w:r w:rsidRPr="009B67BF">
        <w:rPr>
          <w:rFonts w:eastAsia="Calibri"/>
        </w:rPr>
        <w:t xml:space="preserve"> Score </w:t>
      </w:r>
      <w:r>
        <w:rPr>
          <w:rFonts w:eastAsia="Calibri"/>
        </w:rPr>
        <w:t xml:space="preserve">1 </w:t>
      </w:r>
      <w:r w:rsidRPr="009B67BF">
        <w:rPr>
          <w:rFonts w:eastAsia="Calibri"/>
        </w:rPr>
        <w:t xml:space="preserve">and </w:t>
      </w:r>
      <w:r>
        <w:rPr>
          <w:rFonts w:eastAsia="Calibri"/>
        </w:rPr>
        <w:t>(10 – Attribution S</w:t>
      </w:r>
      <w:r w:rsidRPr="009B67BF">
        <w:rPr>
          <w:rFonts w:eastAsia="Calibri"/>
        </w:rPr>
        <w:t>core</w:t>
      </w:r>
      <w:r>
        <w:rPr>
          <w:rFonts w:eastAsia="Calibri"/>
        </w:rPr>
        <w:t xml:space="preserve"> 2)</w:t>
      </w:r>
      <w:r w:rsidRPr="009B67BF">
        <w:rPr>
          <w:rFonts w:eastAsia="Calibri"/>
        </w:rPr>
        <w:t xml:space="preserve">. If that </w:t>
      </w:r>
      <w:r>
        <w:rPr>
          <w:rFonts w:eastAsia="Calibri"/>
        </w:rPr>
        <w:t>Spillover S</w:t>
      </w:r>
      <w:r w:rsidRPr="009B67BF">
        <w:rPr>
          <w:rFonts w:eastAsia="Calibri"/>
        </w:rPr>
        <w:t xml:space="preserve">core is </w:t>
      </w:r>
      <w:r>
        <w:rPr>
          <w:rFonts w:eastAsia="Calibri"/>
        </w:rPr>
        <w:t xml:space="preserve">greater than 5.0, </w:t>
      </w:r>
      <w:r w:rsidRPr="009B67BF">
        <w:rPr>
          <w:rFonts w:eastAsia="Calibri"/>
        </w:rPr>
        <w:t xml:space="preserve">100% of the savings are attributed to the </w:t>
      </w:r>
      <w:r>
        <w:rPr>
          <w:rFonts w:eastAsia="Calibri"/>
        </w:rPr>
        <w:t>Program Administrator</w:t>
      </w:r>
      <w:r w:rsidRPr="009B67BF">
        <w:rPr>
          <w:rFonts w:eastAsia="Calibri"/>
        </w:rPr>
        <w:t xml:space="preserve"> for that measure.</w:t>
      </w:r>
    </w:p>
    <w:p w14:paraId="45AB4906" w14:textId="77777777" w:rsidR="00D34C6E" w:rsidRDefault="00D34C6E" w:rsidP="00D34C6E">
      <w:pPr>
        <w:rPr>
          <w:rFonts w:eastAsia="Calibri"/>
        </w:rPr>
      </w:pPr>
      <w:r w:rsidRPr="009B67BF">
        <w:rPr>
          <w:rFonts w:eastAsia="Calibri"/>
        </w:rPr>
        <w:t xml:space="preserve">Finally, depending on the measure type cited by the customer, follow-up questions will </w:t>
      </w:r>
      <w:r>
        <w:rPr>
          <w:rFonts w:eastAsia="Calibri"/>
        </w:rPr>
        <w:t>gather information to enable an estimate of savings</w:t>
      </w:r>
      <w:r w:rsidRPr="009B67BF">
        <w:rPr>
          <w:rFonts w:eastAsia="Calibri"/>
        </w:rPr>
        <w:t xml:space="preserve"> (shown in the figure as [</w:t>
      </w:r>
      <w:r>
        <w:rPr>
          <w:rFonts w:eastAsia="Calibri"/>
        </w:rPr>
        <w:t>B</w:t>
      </w:r>
      <w:r w:rsidRPr="009B67BF">
        <w:rPr>
          <w:rFonts w:eastAsia="Calibri"/>
        </w:rPr>
        <w:t>]), such as quantity of appliances or the location of insulation.</w:t>
      </w:r>
    </w:p>
    <w:p w14:paraId="571D5008" w14:textId="77777777" w:rsidR="00D34C6E" w:rsidRPr="009B67BF" w:rsidRDefault="00D34C6E" w:rsidP="00D21F1A">
      <w:pPr>
        <w:pStyle w:val="Captions"/>
      </w:pPr>
      <w:bookmarkStart w:id="1402" w:name="_Ref429050836"/>
      <w:bookmarkStart w:id="1403" w:name="_Toc472494755"/>
      <w:bookmarkStart w:id="1404" w:name="_Toc473108115"/>
      <w:bookmarkStart w:id="1405" w:name="_Toc520824263"/>
      <w:bookmarkStart w:id="1406" w:name="_Toc523148245"/>
      <w:bookmarkStart w:id="1407" w:name="_Toc16620007"/>
      <w:bookmarkStart w:id="1408" w:name="_Toc83376834"/>
      <w:r>
        <w:lastRenderedPageBreak/>
        <w:t>Figure 4</w:t>
      </w:r>
      <w:r>
        <w:noBreakHyphen/>
      </w:r>
      <w:bookmarkEnd w:id="1402"/>
      <w:r>
        <w:t>1</w:t>
      </w:r>
      <w:r w:rsidRPr="009B67BF">
        <w:t>. NPSO Question Logic</w:t>
      </w:r>
      <w:bookmarkEnd w:id="1403"/>
      <w:bookmarkEnd w:id="1404"/>
      <w:bookmarkEnd w:id="1405"/>
      <w:bookmarkEnd w:id="1406"/>
      <w:bookmarkEnd w:id="1407"/>
      <w:bookmarkEnd w:id="1408"/>
    </w:p>
    <w:p w14:paraId="1A942F7B" w14:textId="77777777" w:rsidR="00D34C6E" w:rsidRPr="009B67BF" w:rsidRDefault="00D34C6E" w:rsidP="00D34C6E">
      <w:pPr>
        <w:jc w:val="center"/>
      </w:pPr>
      <w:r w:rsidRPr="00952958">
        <w:rPr>
          <w:noProof/>
        </w:rPr>
        <w:drawing>
          <wp:inline distT="0" distB="0" distL="0" distR="0" wp14:anchorId="47CB50B4" wp14:editId="5DE3E1BB">
            <wp:extent cx="4696830" cy="3657600"/>
            <wp:effectExtent l="0" t="0" r="8890" b="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5">
                      <a:extLst>
                        <a:ext uri="{28A0092B-C50C-407E-A947-70E740481C1C}">
                          <a14:useLocalDpi xmlns:a14="http://schemas.microsoft.com/office/drawing/2010/main" val="0"/>
                        </a:ext>
                      </a:extLst>
                    </a:blip>
                    <a:srcRect t="5414" r="35487" b="5128"/>
                    <a:stretch>
                      <a:fillRect/>
                    </a:stretch>
                  </pic:blipFill>
                  <pic:spPr bwMode="auto">
                    <a:xfrm>
                      <a:off x="0" y="0"/>
                      <a:ext cx="4696830" cy="3657600"/>
                    </a:xfrm>
                    <a:prstGeom prst="rect">
                      <a:avLst/>
                    </a:prstGeom>
                    <a:noFill/>
                    <a:ln>
                      <a:noFill/>
                    </a:ln>
                  </pic:spPr>
                </pic:pic>
              </a:graphicData>
            </a:graphic>
          </wp:inline>
        </w:drawing>
      </w:r>
    </w:p>
    <w:p w14:paraId="41EE3CBA" w14:textId="77777777" w:rsidR="00D34C6E" w:rsidRPr="009B67BF" w:rsidRDefault="00D34C6E" w:rsidP="001A2AE6">
      <w:pPr>
        <w:pStyle w:val="Heading4"/>
      </w:pPr>
      <w:bookmarkStart w:id="1409" w:name="_Toc431526491"/>
      <w:bookmarkStart w:id="1410" w:name="_Toc442804269"/>
      <w:bookmarkStart w:id="1411" w:name="_Toc442805486"/>
      <w:r w:rsidRPr="009B67BF">
        <w:t>Scoring</w:t>
      </w:r>
      <w:bookmarkEnd w:id="1409"/>
      <w:bookmarkEnd w:id="1410"/>
      <w:bookmarkEnd w:id="1411"/>
    </w:p>
    <w:p w14:paraId="6B9C8A81" w14:textId="77777777" w:rsidR="00D34C6E" w:rsidRPr="009B67BF" w:rsidRDefault="00D34C6E" w:rsidP="00D34C6E">
      <w:pPr>
        <w:rPr>
          <w:rFonts w:eastAsia="Calibri"/>
        </w:rPr>
      </w:pPr>
      <w:r w:rsidRPr="009B67BF">
        <w:rPr>
          <w:rFonts w:eastAsia="Calibri"/>
        </w:rPr>
        <w:t xml:space="preserve">Survey respondents’ answers to the NPSO questions will determine total energy and demand savings attributed to the </w:t>
      </w:r>
      <w:r w:rsidRPr="00AA53AE">
        <w:rPr>
          <w:rFonts w:eastAsia="Calibri"/>
        </w:rPr>
        <w:t xml:space="preserve">program. </w:t>
      </w:r>
      <w:r>
        <w:rPr>
          <w:rFonts w:eastAsia="Calibri"/>
        </w:rPr>
        <w:t xml:space="preserve">Table 4-2 </w:t>
      </w:r>
      <w:r w:rsidRPr="00661756">
        <w:rPr>
          <w:rFonts w:eastAsia="Calibri"/>
        </w:rPr>
        <w:t xml:space="preserve">lists NPSO measures under column A, the </w:t>
      </w:r>
      <w:r>
        <w:rPr>
          <w:rFonts w:eastAsia="Calibri"/>
        </w:rPr>
        <w:t>Spillover Score</w:t>
      </w:r>
      <w:r w:rsidRPr="009B67BF">
        <w:rPr>
          <w:rFonts w:eastAsia="Calibri"/>
        </w:rPr>
        <w:t xml:space="preserve"> under column B, the estimated measure savings under column C, the percentage of allocated savings under column D, and the total allocated savings under column E. Column F shows the calculated average energy savings per spillover measure, determined by dividing the total allocated savings (the sum of column E) by the number of surveyed nonparticipating customers. The table shows how kWh NPSO savings would be calculated; calculations of </w:t>
      </w:r>
      <w:proofErr w:type="spellStart"/>
      <w:r w:rsidRPr="009B67BF">
        <w:rPr>
          <w:rFonts w:eastAsia="Calibri"/>
        </w:rPr>
        <w:t>therm</w:t>
      </w:r>
      <w:proofErr w:type="spellEnd"/>
      <w:r w:rsidRPr="009B67BF">
        <w:rPr>
          <w:rFonts w:eastAsia="Calibri"/>
        </w:rPr>
        <w:t xml:space="preserve"> or demand savings would be accomplished in the same manner.</w:t>
      </w:r>
    </w:p>
    <w:p w14:paraId="6F7A5605" w14:textId="77777777" w:rsidR="00D34C6E" w:rsidRPr="002B20D1" w:rsidRDefault="00D34C6E" w:rsidP="0021790A">
      <w:pPr>
        <w:pStyle w:val="TableHeading"/>
      </w:pPr>
      <w:bookmarkStart w:id="1412" w:name="_Ref421613570"/>
      <w:bookmarkStart w:id="1413" w:name="_Toc472494771"/>
      <w:bookmarkStart w:id="1414" w:name="_Toc473108158"/>
      <w:bookmarkStart w:id="1415" w:name="_Toc520824290"/>
      <w:bookmarkStart w:id="1416" w:name="_Toc523148262"/>
      <w:bookmarkStart w:id="1417" w:name="_Toc16620023"/>
      <w:bookmarkStart w:id="1418" w:name="_Toc83376854"/>
      <w:r w:rsidRPr="002B20D1">
        <w:t>Table 4</w:t>
      </w:r>
      <w:r w:rsidRPr="002B20D1">
        <w:noBreakHyphen/>
      </w:r>
      <w:bookmarkEnd w:id="1412"/>
      <w:r w:rsidRPr="002B20D1">
        <w:t>2. Estimation of Respondents’ NPSO Savings</w:t>
      </w:r>
      <w:bookmarkEnd w:id="1413"/>
      <w:bookmarkEnd w:id="1414"/>
      <w:bookmarkEnd w:id="1415"/>
      <w:bookmarkEnd w:id="1416"/>
      <w:bookmarkEnd w:id="1417"/>
      <w:bookmarkEnd w:id="141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1877"/>
        <w:gridCol w:w="1453"/>
        <w:gridCol w:w="1081"/>
        <w:gridCol w:w="1799"/>
        <w:gridCol w:w="1885"/>
      </w:tblGrid>
      <w:tr w:rsidR="00D34C6E" w:rsidRPr="002F5FEF" w14:paraId="02677114" w14:textId="77777777" w:rsidTr="002B6C05">
        <w:trPr>
          <w:trHeight w:val="20"/>
          <w:tblHeader/>
        </w:trPr>
        <w:tc>
          <w:tcPr>
            <w:tcW w:w="671" w:type="pct"/>
            <w:shd w:val="clear" w:color="auto" w:fill="auto"/>
            <w:vAlign w:val="center"/>
          </w:tcPr>
          <w:p w14:paraId="4342F208" w14:textId="77777777" w:rsidR="00D34C6E" w:rsidRPr="002F5FEF" w:rsidRDefault="00D34C6E" w:rsidP="002B6C05">
            <w:pPr>
              <w:tabs>
                <w:tab w:val="left" w:pos="1440"/>
              </w:tabs>
              <w:spacing w:after="0"/>
              <w:jc w:val="center"/>
              <w:rPr>
                <w:b/>
              </w:rPr>
            </w:pPr>
            <w:r w:rsidRPr="002F5FEF">
              <w:rPr>
                <w:b/>
              </w:rPr>
              <w:t>A</w:t>
            </w:r>
          </w:p>
        </w:tc>
        <w:tc>
          <w:tcPr>
            <w:tcW w:w="1004" w:type="pct"/>
            <w:shd w:val="clear" w:color="auto" w:fill="auto"/>
            <w:vAlign w:val="center"/>
          </w:tcPr>
          <w:p w14:paraId="7A4BEC41" w14:textId="77777777" w:rsidR="00D34C6E" w:rsidRPr="002F5FEF" w:rsidRDefault="00D34C6E" w:rsidP="002B6C05">
            <w:pPr>
              <w:tabs>
                <w:tab w:val="left" w:pos="1440"/>
              </w:tabs>
              <w:spacing w:after="0"/>
              <w:jc w:val="center"/>
              <w:rPr>
                <w:b/>
              </w:rPr>
            </w:pPr>
            <w:r w:rsidRPr="002F5FEF">
              <w:rPr>
                <w:b/>
              </w:rPr>
              <w:t>B</w:t>
            </w:r>
          </w:p>
        </w:tc>
        <w:tc>
          <w:tcPr>
            <w:tcW w:w="777" w:type="pct"/>
            <w:shd w:val="clear" w:color="auto" w:fill="auto"/>
            <w:vAlign w:val="center"/>
          </w:tcPr>
          <w:p w14:paraId="4DB3612A" w14:textId="77777777" w:rsidR="00D34C6E" w:rsidRPr="002F5FEF" w:rsidRDefault="00D34C6E" w:rsidP="002B6C05">
            <w:pPr>
              <w:tabs>
                <w:tab w:val="left" w:pos="1440"/>
              </w:tabs>
              <w:spacing w:after="0"/>
              <w:jc w:val="center"/>
              <w:rPr>
                <w:b/>
              </w:rPr>
            </w:pPr>
            <w:r w:rsidRPr="002F5FEF">
              <w:rPr>
                <w:b/>
              </w:rPr>
              <w:t>C</w:t>
            </w:r>
          </w:p>
        </w:tc>
        <w:tc>
          <w:tcPr>
            <w:tcW w:w="578" w:type="pct"/>
            <w:shd w:val="clear" w:color="auto" w:fill="auto"/>
            <w:vAlign w:val="center"/>
          </w:tcPr>
          <w:p w14:paraId="75A3634B" w14:textId="77777777" w:rsidR="00D34C6E" w:rsidRPr="002F5FEF" w:rsidRDefault="00D34C6E" w:rsidP="002B6C05">
            <w:pPr>
              <w:tabs>
                <w:tab w:val="left" w:pos="1440"/>
              </w:tabs>
              <w:spacing w:after="0"/>
              <w:jc w:val="center"/>
              <w:rPr>
                <w:b/>
              </w:rPr>
            </w:pPr>
            <w:r w:rsidRPr="002F5FEF">
              <w:rPr>
                <w:b/>
              </w:rPr>
              <w:t>D</w:t>
            </w:r>
          </w:p>
        </w:tc>
        <w:tc>
          <w:tcPr>
            <w:tcW w:w="962" w:type="pct"/>
            <w:shd w:val="clear" w:color="auto" w:fill="auto"/>
            <w:vAlign w:val="center"/>
          </w:tcPr>
          <w:p w14:paraId="182528B0" w14:textId="77777777" w:rsidR="00D34C6E" w:rsidRPr="002F5FEF" w:rsidRDefault="00D34C6E" w:rsidP="002B6C05">
            <w:pPr>
              <w:tabs>
                <w:tab w:val="left" w:pos="1440"/>
              </w:tabs>
              <w:spacing w:after="0"/>
              <w:jc w:val="center"/>
              <w:rPr>
                <w:b/>
              </w:rPr>
            </w:pPr>
            <w:r w:rsidRPr="002F5FEF">
              <w:rPr>
                <w:b/>
              </w:rPr>
              <w:t>E</w:t>
            </w:r>
          </w:p>
        </w:tc>
        <w:tc>
          <w:tcPr>
            <w:tcW w:w="1008" w:type="pct"/>
            <w:shd w:val="clear" w:color="auto" w:fill="auto"/>
            <w:vAlign w:val="center"/>
          </w:tcPr>
          <w:p w14:paraId="6496A5E7" w14:textId="77777777" w:rsidR="00D34C6E" w:rsidRPr="002F5FEF" w:rsidRDefault="00D34C6E" w:rsidP="002B6C05">
            <w:pPr>
              <w:tabs>
                <w:tab w:val="left" w:pos="1440"/>
              </w:tabs>
              <w:spacing w:after="0"/>
              <w:jc w:val="center"/>
              <w:rPr>
                <w:b/>
              </w:rPr>
            </w:pPr>
            <w:r w:rsidRPr="002F5FEF">
              <w:rPr>
                <w:b/>
              </w:rPr>
              <w:t>F</w:t>
            </w:r>
          </w:p>
        </w:tc>
      </w:tr>
      <w:tr w:rsidR="00D34C6E" w:rsidRPr="002F5FEF" w14:paraId="676DE410" w14:textId="77777777" w:rsidTr="002B6C05">
        <w:trPr>
          <w:trHeight w:val="20"/>
          <w:tblHeader/>
        </w:trPr>
        <w:tc>
          <w:tcPr>
            <w:tcW w:w="671" w:type="pct"/>
            <w:shd w:val="clear" w:color="auto" w:fill="auto"/>
            <w:vAlign w:val="center"/>
          </w:tcPr>
          <w:p w14:paraId="5569BDCB" w14:textId="77777777" w:rsidR="00D34C6E" w:rsidRPr="002F5FEF" w:rsidRDefault="00D34C6E" w:rsidP="002B6C05">
            <w:pPr>
              <w:tabs>
                <w:tab w:val="left" w:pos="1440"/>
              </w:tabs>
              <w:spacing w:after="0"/>
              <w:jc w:val="left"/>
            </w:pPr>
            <w:r w:rsidRPr="002F5FEF">
              <w:t>Spillover Measure</w:t>
            </w:r>
          </w:p>
        </w:tc>
        <w:tc>
          <w:tcPr>
            <w:tcW w:w="1004" w:type="pct"/>
            <w:shd w:val="clear" w:color="auto" w:fill="auto"/>
            <w:vAlign w:val="center"/>
          </w:tcPr>
          <w:p w14:paraId="54A2F10F" w14:textId="77777777" w:rsidR="00D34C6E" w:rsidRPr="002F5FEF" w:rsidRDefault="00D34C6E" w:rsidP="002B6C05">
            <w:pPr>
              <w:tabs>
                <w:tab w:val="left" w:pos="1440"/>
              </w:tabs>
              <w:spacing w:after="0"/>
              <w:jc w:val="left"/>
            </w:pPr>
            <w:r w:rsidRPr="002F5FEF">
              <w:t>Spillover Score</w:t>
            </w:r>
          </w:p>
        </w:tc>
        <w:tc>
          <w:tcPr>
            <w:tcW w:w="777" w:type="pct"/>
            <w:shd w:val="clear" w:color="auto" w:fill="auto"/>
            <w:vAlign w:val="center"/>
          </w:tcPr>
          <w:p w14:paraId="0A06B4E7" w14:textId="77777777" w:rsidR="00D34C6E" w:rsidRPr="002F5FEF" w:rsidRDefault="00D34C6E" w:rsidP="002B6C05">
            <w:pPr>
              <w:tabs>
                <w:tab w:val="left" w:pos="1440"/>
              </w:tabs>
              <w:spacing w:after="0"/>
              <w:jc w:val="left"/>
            </w:pPr>
            <w:r w:rsidRPr="002F5FEF">
              <w:t>Measure Savings (kWh)</w:t>
            </w:r>
          </w:p>
        </w:tc>
        <w:tc>
          <w:tcPr>
            <w:tcW w:w="578" w:type="pct"/>
            <w:shd w:val="clear" w:color="auto" w:fill="auto"/>
            <w:vAlign w:val="center"/>
          </w:tcPr>
          <w:p w14:paraId="3E56BD56" w14:textId="77777777" w:rsidR="00D34C6E" w:rsidRPr="002F5FEF" w:rsidRDefault="00D34C6E" w:rsidP="002B6C05">
            <w:pPr>
              <w:tabs>
                <w:tab w:val="left" w:pos="1440"/>
              </w:tabs>
              <w:spacing w:after="0"/>
              <w:jc w:val="left"/>
            </w:pPr>
            <w:r w:rsidRPr="002F5FEF">
              <w:t>Allocated Savings</w:t>
            </w:r>
          </w:p>
        </w:tc>
        <w:tc>
          <w:tcPr>
            <w:tcW w:w="962" w:type="pct"/>
            <w:shd w:val="clear" w:color="auto" w:fill="auto"/>
            <w:vAlign w:val="center"/>
          </w:tcPr>
          <w:p w14:paraId="20AA67A8" w14:textId="77777777" w:rsidR="00D34C6E" w:rsidRPr="002F5FEF" w:rsidRDefault="00D34C6E" w:rsidP="002B6C05">
            <w:pPr>
              <w:tabs>
                <w:tab w:val="left" w:pos="1440"/>
              </w:tabs>
              <w:spacing w:after="0"/>
              <w:jc w:val="left"/>
            </w:pPr>
            <w:r w:rsidRPr="002F5FEF">
              <w:t>Total kWh Savings</w:t>
            </w:r>
          </w:p>
        </w:tc>
        <w:tc>
          <w:tcPr>
            <w:tcW w:w="1008" w:type="pct"/>
            <w:shd w:val="clear" w:color="auto" w:fill="auto"/>
            <w:vAlign w:val="center"/>
          </w:tcPr>
          <w:p w14:paraId="44576296" w14:textId="77777777" w:rsidR="00D34C6E" w:rsidRPr="002F5FEF" w:rsidRDefault="00D34C6E" w:rsidP="002B6C05">
            <w:pPr>
              <w:tabs>
                <w:tab w:val="left" w:pos="1440"/>
              </w:tabs>
              <w:spacing w:after="0"/>
              <w:jc w:val="left"/>
            </w:pPr>
            <w:r w:rsidRPr="002F5FEF">
              <w:t>Average kWh Per Surveyed Customer</w:t>
            </w:r>
          </w:p>
        </w:tc>
      </w:tr>
      <w:tr w:rsidR="00D34C6E" w:rsidRPr="002F5FEF" w14:paraId="2E14BF0D" w14:textId="77777777" w:rsidTr="002B6C05">
        <w:trPr>
          <w:trHeight w:val="20"/>
        </w:trPr>
        <w:tc>
          <w:tcPr>
            <w:tcW w:w="671" w:type="pct"/>
            <w:shd w:val="clear" w:color="auto" w:fill="auto"/>
            <w:vAlign w:val="center"/>
          </w:tcPr>
          <w:p w14:paraId="7DD33644" w14:textId="77777777" w:rsidR="00D34C6E" w:rsidRPr="002F5FEF" w:rsidRDefault="00D34C6E" w:rsidP="002B6C05">
            <w:pPr>
              <w:tabs>
                <w:tab w:val="left" w:pos="1440"/>
              </w:tabs>
              <w:spacing w:after="0"/>
              <w:jc w:val="left"/>
            </w:pPr>
            <w:r w:rsidRPr="002F5FEF">
              <w:t>Measure1</w:t>
            </w:r>
          </w:p>
        </w:tc>
        <w:tc>
          <w:tcPr>
            <w:tcW w:w="1004" w:type="pct"/>
            <w:shd w:val="clear" w:color="auto" w:fill="auto"/>
            <w:vAlign w:val="center"/>
          </w:tcPr>
          <w:p w14:paraId="2AD5C398" w14:textId="77777777" w:rsidR="00D34C6E" w:rsidRPr="002F5FEF" w:rsidRDefault="00D34C6E" w:rsidP="002B6C05">
            <w:pPr>
              <w:tabs>
                <w:tab w:val="left" w:pos="1440"/>
              </w:tabs>
              <w:spacing w:after="0"/>
              <w:jc w:val="left"/>
            </w:pPr>
            <w:r w:rsidRPr="002F5FEF">
              <w:t>Scale of 0 to 10</w:t>
            </w:r>
          </w:p>
        </w:tc>
        <w:tc>
          <w:tcPr>
            <w:tcW w:w="777" w:type="pct"/>
            <w:shd w:val="clear" w:color="auto" w:fill="auto"/>
            <w:vAlign w:val="center"/>
          </w:tcPr>
          <w:p w14:paraId="65BD5F7B" w14:textId="77777777" w:rsidR="00D34C6E" w:rsidRPr="002F5FEF" w:rsidRDefault="00D34C6E" w:rsidP="002B6C05">
            <w:pPr>
              <w:tabs>
                <w:tab w:val="left" w:pos="1440"/>
              </w:tabs>
              <w:spacing w:after="0"/>
              <w:jc w:val="left"/>
            </w:pPr>
            <w:r w:rsidRPr="002F5FEF">
              <w:t>Savings1</w:t>
            </w:r>
          </w:p>
        </w:tc>
        <w:tc>
          <w:tcPr>
            <w:tcW w:w="578" w:type="pct"/>
            <w:vMerge w:val="restart"/>
            <w:shd w:val="clear" w:color="auto" w:fill="auto"/>
            <w:vAlign w:val="center"/>
          </w:tcPr>
          <w:p w14:paraId="2D04D38B" w14:textId="77777777" w:rsidR="00D34C6E" w:rsidRPr="002F5FEF" w:rsidRDefault="00D34C6E" w:rsidP="002B6C05">
            <w:pPr>
              <w:tabs>
                <w:tab w:val="left" w:pos="1440"/>
              </w:tabs>
              <w:spacing w:after="0"/>
              <w:jc w:val="left"/>
            </w:pPr>
            <w:r w:rsidRPr="002F5FEF">
              <w:t>100% if [B] &gt; 5.0</w:t>
            </w:r>
          </w:p>
          <w:p w14:paraId="2D343784" w14:textId="77777777" w:rsidR="00D34C6E" w:rsidRPr="002F5FEF" w:rsidRDefault="00D34C6E" w:rsidP="002B6C05">
            <w:pPr>
              <w:tabs>
                <w:tab w:val="left" w:pos="1440"/>
              </w:tabs>
              <w:spacing w:after="0"/>
              <w:jc w:val="left"/>
            </w:pPr>
          </w:p>
          <w:p w14:paraId="47428963" w14:textId="77777777" w:rsidR="00D34C6E" w:rsidRPr="002F5FEF" w:rsidRDefault="00D34C6E" w:rsidP="002B6C05">
            <w:pPr>
              <w:tabs>
                <w:tab w:val="left" w:pos="1440"/>
              </w:tabs>
              <w:spacing w:after="0"/>
              <w:jc w:val="left"/>
            </w:pPr>
            <w:r w:rsidRPr="002F5FEF">
              <w:t xml:space="preserve">0% if [B] </w:t>
            </w:r>
            <w:r w:rsidRPr="002F5FEF">
              <w:br/>
              <w:t>≤ 5.0</w:t>
            </w:r>
          </w:p>
        </w:tc>
        <w:tc>
          <w:tcPr>
            <w:tcW w:w="962" w:type="pct"/>
            <w:shd w:val="clear" w:color="auto" w:fill="auto"/>
            <w:vAlign w:val="center"/>
          </w:tcPr>
          <w:p w14:paraId="5E9D6AE9" w14:textId="77777777" w:rsidR="00D34C6E" w:rsidRPr="002F5FEF" w:rsidRDefault="00D34C6E" w:rsidP="002B6C05">
            <w:pPr>
              <w:tabs>
                <w:tab w:val="left" w:pos="1440"/>
              </w:tabs>
              <w:spacing w:after="0"/>
              <w:jc w:val="left"/>
            </w:pPr>
            <w:r w:rsidRPr="002F5FEF">
              <w:t>[C] x [D]</w:t>
            </w:r>
          </w:p>
        </w:tc>
        <w:tc>
          <w:tcPr>
            <w:tcW w:w="1008" w:type="pct"/>
            <w:vMerge w:val="restart"/>
            <w:shd w:val="clear" w:color="auto" w:fill="auto"/>
            <w:vAlign w:val="center"/>
          </w:tcPr>
          <w:p w14:paraId="581B6594" w14:textId="77777777" w:rsidR="00D34C6E" w:rsidRPr="002F5FEF" w:rsidRDefault="00D34C6E" w:rsidP="002B6C05">
            <w:pPr>
              <w:tabs>
                <w:tab w:val="left" w:pos="1440"/>
              </w:tabs>
              <w:spacing w:after="0"/>
              <w:jc w:val="left"/>
            </w:pPr>
            <w:r w:rsidRPr="002F5FEF">
              <w:t>N/A</w:t>
            </w:r>
          </w:p>
        </w:tc>
      </w:tr>
      <w:tr w:rsidR="00D34C6E" w:rsidRPr="002F5FEF" w14:paraId="418CE9A8" w14:textId="77777777" w:rsidTr="002B6C05">
        <w:trPr>
          <w:trHeight w:val="20"/>
        </w:trPr>
        <w:tc>
          <w:tcPr>
            <w:tcW w:w="671" w:type="pct"/>
            <w:shd w:val="clear" w:color="auto" w:fill="auto"/>
            <w:vAlign w:val="center"/>
          </w:tcPr>
          <w:p w14:paraId="6CF218DB" w14:textId="77777777" w:rsidR="00D34C6E" w:rsidRPr="002F5FEF" w:rsidRDefault="00D34C6E" w:rsidP="002B6C05">
            <w:pPr>
              <w:tabs>
                <w:tab w:val="left" w:pos="1440"/>
              </w:tabs>
              <w:spacing w:after="0"/>
              <w:jc w:val="left"/>
            </w:pPr>
            <w:r w:rsidRPr="002F5FEF">
              <w:t>Measure2</w:t>
            </w:r>
          </w:p>
        </w:tc>
        <w:tc>
          <w:tcPr>
            <w:tcW w:w="1004" w:type="pct"/>
            <w:shd w:val="clear" w:color="auto" w:fill="auto"/>
            <w:vAlign w:val="center"/>
          </w:tcPr>
          <w:p w14:paraId="1EB0802C" w14:textId="77777777" w:rsidR="00D34C6E" w:rsidRPr="002F5FEF" w:rsidRDefault="00D34C6E" w:rsidP="002B6C05">
            <w:pPr>
              <w:tabs>
                <w:tab w:val="left" w:pos="1440"/>
              </w:tabs>
              <w:spacing w:after="0"/>
              <w:jc w:val="left"/>
            </w:pPr>
            <w:r w:rsidRPr="002F5FEF">
              <w:t>Scale of 0 to 10</w:t>
            </w:r>
          </w:p>
        </w:tc>
        <w:tc>
          <w:tcPr>
            <w:tcW w:w="777" w:type="pct"/>
            <w:shd w:val="clear" w:color="auto" w:fill="auto"/>
            <w:vAlign w:val="center"/>
          </w:tcPr>
          <w:p w14:paraId="7431E023" w14:textId="77777777" w:rsidR="00D34C6E" w:rsidRPr="002F5FEF" w:rsidRDefault="00D34C6E" w:rsidP="002B6C05">
            <w:pPr>
              <w:tabs>
                <w:tab w:val="left" w:pos="1440"/>
              </w:tabs>
              <w:spacing w:after="0"/>
              <w:jc w:val="left"/>
            </w:pPr>
            <w:r w:rsidRPr="002F5FEF">
              <w:t>Savings2</w:t>
            </w:r>
          </w:p>
        </w:tc>
        <w:tc>
          <w:tcPr>
            <w:tcW w:w="578" w:type="pct"/>
            <w:vMerge/>
            <w:shd w:val="clear" w:color="auto" w:fill="auto"/>
            <w:vAlign w:val="center"/>
          </w:tcPr>
          <w:p w14:paraId="38709BD9" w14:textId="77777777" w:rsidR="00D34C6E" w:rsidRPr="002F5FEF" w:rsidRDefault="00D34C6E" w:rsidP="002B6C05">
            <w:pPr>
              <w:tabs>
                <w:tab w:val="left" w:pos="1440"/>
              </w:tabs>
              <w:spacing w:after="0"/>
              <w:jc w:val="left"/>
            </w:pPr>
          </w:p>
        </w:tc>
        <w:tc>
          <w:tcPr>
            <w:tcW w:w="962" w:type="pct"/>
            <w:shd w:val="clear" w:color="auto" w:fill="auto"/>
            <w:vAlign w:val="center"/>
          </w:tcPr>
          <w:p w14:paraId="5317947F" w14:textId="77777777" w:rsidR="00D34C6E" w:rsidRPr="002F5FEF" w:rsidRDefault="00D34C6E" w:rsidP="002B6C05">
            <w:pPr>
              <w:tabs>
                <w:tab w:val="left" w:pos="1440"/>
              </w:tabs>
              <w:spacing w:after="0"/>
              <w:jc w:val="left"/>
            </w:pPr>
            <w:r w:rsidRPr="002F5FEF">
              <w:t>[C] x [D]</w:t>
            </w:r>
          </w:p>
        </w:tc>
        <w:tc>
          <w:tcPr>
            <w:tcW w:w="1008" w:type="pct"/>
            <w:vMerge/>
            <w:shd w:val="clear" w:color="auto" w:fill="auto"/>
            <w:vAlign w:val="center"/>
          </w:tcPr>
          <w:p w14:paraId="4AA89C9C" w14:textId="77777777" w:rsidR="00D34C6E" w:rsidRPr="002F5FEF" w:rsidRDefault="00D34C6E" w:rsidP="002B6C05">
            <w:pPr>
              <w:tabs>
                <w:tab w:val="left" w:pos="1440"/>
              </w:tabs>
              <w:spacing w:after="0"/>
              <w:jc w:val="left"/>
            </w:pPr>
          </w:p>
        </w:tc>
      </w:tr>
      <w:tr w:rsidR="00D34C6E" w:rsidRPr="002F5FEF" w14:paraId="494C8254" w14:textId="77777777" w:rsidTr="002B6C05">
        <w:trPr>
          <w:trHeight w:val="20"/>
        </w:trPr>
        <w:tc>
          <w:tcPr>
            <w:tcW w:w="671" w:type="pct"/>
            <w:shd w:val="clear" w:color="auto" w:fill="auto"/>
            <w:vAlign w:val="center"/>
          </w:tcPr>
          <w:p w14:paraId="55ECBBD4" w14:textId="77777777" w:rsidR="00D34C6E" w:rsidRPr="002F5FEF" w:rsidRDefault="00D34C6E" w:rsidP="002B6C05">
            <w:pPr>
              <w:tabs>
                <w:tab w:val="left" w:pos="1440"/>
              </w:tabs>
              <w:spacing w:after="0"/>
              <w:jc w:val="left"/>
            </w:pPr>
            <w:proofErr w:type="spellStart"/>
            <w:r w:rsidRPr="002F5FEF">
              <w:t>MeasureN</w:t>
            </w:r>
            <w:proofErr w:type="spellEnd"/>
          </w:p>
        </w:tc>
        <w:tc>
          <w:tcPr>
            <w:tcW w:w="1004" w:type="pct"/>
            <w:shd w:val="clear" w:color="auto" w:fill="auto"/>
            <w:vAlign w:val="center"/>
          </w:tcPr>
          <w:p w14:paraId="75EEA022" w14:textId="77777777" w:rsidR="00D34C6E" w:rsidRPr="002F5FEF" w:rsidRDefault="00D34C6E" w:rsidP="002B6C05">
            <w:pPr>
              <w:tabs>
                <w:tab w:val="left" w:pos="1440"/>
              </w:tabs>
              <w:spacing w:after="0"/>
              <w:jc w:val="left"/>
            </w:pPr>
            <w:r w:rsidRPr="002F5FEF">
              <w:t>Scale of 0 to 10</w:t>
            </w:r>
          </w:p>
        </w:tc>
        <w:tc>
          <w:tcPr>
            <w:tcW w:w="777" w:type="pct"/>
            <w:shd w:val="clear" w:color="auto" w:fill="auto"/>
            <w:vAlign w:val="center"/>
          </w:tcPr>
          <w:p w14:paraId="5E823CAC" w14:textId="77777777" w:rsidR="00D34C6E" w:rsidRPr="002F5FEF" w:rsidRDefault="00D34C6E" w:rsidP="002B6C05">
            <w:pPr>
              <w:tabs>
                <w:tab w:val="left" w:pos="1440"/>
              </w:tabs>
              <w:spacing w:after="0"/>
              <w:jc w:val="left"/>
            </w:pPr>
            <w:proofErr w:type="spellStart"/>
            <w:r w:rsidRPr="002F5FEF">
              <w:t>SavingsN</w:t>
            </w:r>
            <w:proofErr w:type="spellEnd"/>
          </w:p>
        </w:tc>
        <w:tc>
          <w:tcPr>
            <w:tcW w:w="578" w:type="pct"/>
            <w:vMerge/>
            <w:shd w:val="clear" w:color="auto" w:fill="auto"/>
            <w:vAlign w:val="center"/>
          </w:tcPr>
          <w:p w14:paraId="455E8A4B" w14:textId="77777777" w:rsidR="00D34C6E" w:rsidRPr="002F5FEF" w:rsidRDefault="00D34C6E" w:rsidP="002B6C05">
            <w:pPr>
              <w:tabs>
                <w:tab w:val="left" w:pos="1440"/>
              </w:tabs>
              <w:spacing w:after="0"/>
              <w:jc w:val="left"/>
            </w:pPr>
          </w:p>
        </w:tc>
        <w:tc>
          <w:tcPr>
            <w:tcW w:w="962" w:type="pct"/>
            <w:shd w:val="clear" w:color="auto" w:fill="auto"/>
            <w:vAlign w:val="center"/>
          </w:tcPr>
          <w:p w14:paraId="56EC4A18" w14:textId="77777777" w:rsidR="00D34C6E" w:rsidRPr="002F5FEF" w:rsidRDefault="00D34C6E" w:rsidP="002B6C05">
            <w:pPr>
              <w:tabs>
                <w:tab w:val="left" w:pos="1440"/>
              </w:tabs>
              <w:spacing w:after="0"/>
              <w:jc w:val="left"/>
            </w:pPr>
            <w:r w:rsidRPr="002F5FEF">
              <w:t>[C] x [D]</w:t>
            </w:r>
          </w:p>
        </w:tc>
        <w:tc>
          <w:tcPr>
            <w:tcW w:w="1008" w:type="pct"/>
            <w:vMerge/>
            <w:shd w:val="clear" w:color="auto" w:fill="auto"/>
            <w:vAlign w:val="center"/>
          </w:tcPr>
          <w:p w14:paraId="41E3554F" w14:textId="77777777" w:rsidR="00D34C6E" w:rsidRPr="002F5FEF" w:rsidRDefault="00D34C6E" w:rsidP="002B6C05">
            <w:pPr>
              <w:tabs>
                <w:tab w:val="left" w:pos="1440"/>
              </w:tabs>
              <w:spacing w:after="0"/>
              <w:jc w:val="left"/>
            </w:pPr>
          </w:p>
        </w:tc>
      </w:tr>
      <w:tr w:rsidR="00D34C6E" w:rsidRPr="002F5FEF" w14:paraId="00D4FBC2" w14:textId="77777777" w:rsidTr="002B6C05">
        <w:trPr>
          <w:trHeight w:val="20"/>
        </w:trPr>
        <w:tc>
          <w:tcPr>
            <w:tcW w:w="671" w:type="pct"/>
            <w:shd w:val="clear" w:color="auto" w:fill="auto"/>
            <w:vAlign w:val="center"/>
          </w:tcPr>
          <w:p w14:paraId="1730A710" w14:textId="77777777" w:rsidR="00D34C6E" w:rsidRPr="002F5FEF" w:rsidRDefault="00D34C6E" w:rsidP="002B6C05">
            <w:pPr>
              <w:tabs>
                <w:tab w:val="left" w:pos="1440"/>
              </w:tabs>
              <w:spacing w:after="0"/>
              <w:jc w:val="left"/>
            </w:pPr>
          </w:p>
        </w:tc>
        <w:tc>
          <w:tcPr>
            <w:tcW w:w="2359" w:type="pct"/>
            <w:gridSpan w:val="3"/>
            <w:shd w:val="clear" w:color="auto" w:fill="auto"/>
            <w:vAlign w:val="center"/>
          </w:tcPr>
          <w:p w14:paraId="4085BC6C" w14:textId="77777777" w:rsidR="00D34C6E" w:rsidRPr="002F5FEF" w:rsidRDefault="00D34C6E" w:rsidP="002B6C05">
            <w:pPr>
              <w:tabs>
                <w:tab w:val="left" w:pos="1440"/>
              </w:tabs>
              <w:spacing w:after="0"/>
              <w:jc w:val="left"/>
            </w:pPr>
          </w:p>
        </w:tc>
        <w:tc>
          <w:tcPr>
            <w:tcW w:w="962" w:type="pct"/>
            <w:shd w:val="clear" w:color="auto" w:fill="auto"/>
            <w:vAlign w:val="center"/>
          </w:tcPr>
          <w:p w14:paraId="659A4A22" w14:textId="77777777" w:rsidR="00D34C6E" w:rsidRPr="002F5FEF" w:rsidRDefault="00D34C6E" w:rsidP="002B6C05">
            <w:pPr>
              <w:tabs>
                <w:tab w:val="left" w:pos="1440"/>
              </w:tabs>
              <w:spacing w:after="0"/>
              <w:jc w:val="left"/>
            </w:pPr>
            <w:r w:rsidRPr="002F5FEF">
              <w:t>Sum of column E = Total kWh Savings</w:t>
            </w:r>
          </w:p>
        </w:tc>
        <w:tc>
          <w:tcPr>
            <w:tcW w:w="1008" w:type="pct"/>
            <w:shd w:val="clear" w:color="auto" w:fill="auto"/>
            <w:vAlign w:val="center"/>
          </w:tcPr>
          <w:p w14:paraId="6B1ADE74" w14:textId="77777777" w:rsidR="00D34C6E" w:rsidRPr="002F5FEF" w:rsidRDefault="00D34C6E" w:rsidP="002B6C05">
            <w:pPr>
              <w:tabs>
                <w:tab w:val="left" w:pos="1440"/>
              </w:tabs>
              <w:spacing w:after="0"/>
              <w:jc w:val="left"/>
            </w:pPr>
            <w:r w:rsidRPr="002F5FEF">
              <w:t>Total kWh Savings ÷ Number of Completed Surveys</w:t>
            </w:r>
          </w:p>
        </w:tc>
      </w:tr>
    </w:tbl>
    <w:p w14:paraId="05CAFF72" w14:textId="77777777" w:rsidR="00D34C6E" w:rsidRPr="009B67BF" w:rsidRDefault="00D34C6E" w:rsidP="00D34C6E">
      <w:pPr>
        <w:spacing w:before="120"/>
        <w:rPr>
          <w:rFonts w:eastAsia="Calibri"/>
        </w:rPr>
      </w:pPr>
      <w:r>
        <w:rPr>
          <w:rFonts w:eastAsia="Calibri"/>
        </w:rPr>
        <w:t>Table 4-3 s</w:t>
      </w:r>
      <w:r w:rsidRPr="009B67BF">
        <w:rPr>
          <w:rFonts w:eastAsia="Calibri"/>
        </w:rPr>
        <w:t xml:space="preserve">hows the process for estimating total NPSO generated by the </w:t>
      </w:r>
      <w:r>
        <w:rPr>
          <w:rFonts w:eastAsia="Calibri"/>
        </w:rPr>
        <w:t>Program Administrator</w:t>
      </w:r>
      <w:r w:rsidRPr="009B67BF">
        <w:rPr>
          <w:rFonts w:eastAsia="Calibri"/>
        </w:rPr>
        <w:t xml:space="preserve"> during the program year (for electric savings). The savings attributed from the survey population will be extrapolated to the nonparticipating residential customer population to determine the overall NPSO savings. Then NPSO energy savings will be converted into a percentage using the total evaluated electric savings for the program year. A similar process would apply for calculating </w:t>
      </w:r>
      <w:proofErr w:type="spellStart"/>
      <w:r w:rsidRPr="009B67BF">
        <w:rPr>
          <w:rFonts w:eastAsia="Calibri"/>
        </w:rPr>
        <w:t>therm</w:t>
      </w:r>
      <w:proofErr w:type="spellEnd"/>
      <w:r w:rsidRPr="009B67BF">
        <w:rPr>
          <w:rFonts w:eastAsia="Calibri"/>
        </w:rPr>
        <w:t xml:space="preserve"> or demand NPSO.</w:t>
      </w:r>
    </w:p>
    <w:p w14:paraId="57B67435" w14:textId="77777777" w:rsidR="00D34C6E" w:rsidRPr="002B20D1" w:rsidRDefault="00D34C6E" w:rsidP="0021790A">
      <w:pPr>
        <w:pStyle w:val="TableHeading"/>
      </w:pPr>
      <w:bookmarkStart w:id="1419" w:name="_Ref421613855"/>
      <w:bookmarkStart w:id="1420" w:name="_Toc472494772"/>
      <w:bookmarkStart w:id="1421" w:name="_Toc473108159"/>
      <w:bookmarkStart w:id="1422" w:name="_Toc520824291"/>
      <w:bookmarkStart w:id="1423" w:name="_Toc523148263"/>
      <w:bookmarkStart w:id="1424" w:name="_Toc16620024"/>
      <w:bookmarkStart w:id="1425" w:name="_Toc83376855"/>
      <w:r w:rsidRPr="002B20D1">
        <w:lastRenderedPageBreak/>
        <w:t>Table 4</w:t>
      </w:r>
      <w:r w:rsidRPr="002B20D1">
        <w:noBreakHyphen/>
      </w:r>
      <w:bookmarkEnd w:id="1419"/>
      <w:r w:rsidRPr="002B20D1">
        <w:t>3. Calculation of Total NPSO Generated</w:t>
      </w:r>
      <w:bookmarkEnd w:id="1420"/>
      <w:bookmarkEnd w:id="1421"/>
      <w:bookmarkEnd w:id="1422"/>
      <w:bookmarkEnd w:id="1423"/>
      <w:bookmarkEnd w:id="1424"/>
      <w:bookmarkEnd w:id="142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
        <w:gridCol w:w="4770"/>
        <w:gridCol w:w="3595"/>
      </w:tblGrid>
      <w:tr w:rsidR="00D34C6E" w:rsidRPr="002F5FEF" w14:paraId="446BD500" w14:textId="77777777" w:rsidTr="002B6C05">
        <w:tc>
          <w:tcPr>
            <w:tcW w:w="985" w:type="dxa"/>
            <w:shd w:val="clear" w:color="auto" w:fill="auto"/>
            <w:vAlign w:val="center"/>
          </w:tcPr>
          <w:p w14:paraId="0D94F8A5" w14:textId="77777777" w:rsidR="00D34C6E" w:rsidRPr="002F5FEF" w:rsidRDefault="00D34C6E" w:rsidP="002B6C05">
            <w:pPr>
              <w:keepNext/>
              <w:keepLines/>
              <w:tabs>
                <w:tab w:val="left" w:pos="1440"/>
              </w:tabs>
              <w:spacing w:after="0"/>
              <w:jc w:val="center"/>
              <w:rPr>
                <w:b/>
              </w:rPr>
            </w:pPr>
            <w:r w:rsidRPr="002F5FEF">
              <w:rPr>
                <w:b/>
              </w:rPr>
              <w:t>Variable</w:t>
            </w:r>
          </w:p>
        </w:tc>
        <w:tc>
          <w:tcPr>
            <w:tcW w:w="4770" w:type="dxa"/>
            <w:shd w:val="clear" w:color="auto" w:fill="auto"/>
            <w:vAlign w:val="center"/>
          </w:tcPr>
          <w:p w14:paraId="27138EEF" w14:textId="77777777" w:rsidR="00D34C6E" w:rsidRPr="002F5FEF" w:rsidRDefault="00D34C6E" w:rsidP="002B6C05">
            <w:pPr>
              <w:keepNext/>
              <w:keepLines/>
              <w:tabs>
                <w:tab w:val="left" w:pos="1440"/>
              </w:tabs>
              <w:spacing w:after="0"/>
              <w:jc w:val="center"/>
              <w:rPr>
                <w:b/>
              </w:rPr>
            </w:pPr>
            <w:r w:rsidRPr="002F5FEF">
              <w:rPr>
                <w:b/>
              </w:rPr>
              <w:t>Description</w:t>
            </w:r>
          </w:p>
        </w:tc>
        <w:tc>
          <w:tcPr>
            <w:tcW w:w="3595" w:type="dxa"/>
            <w:shd w:val="clear" w:color="auto" w:fill="auto"/>
            <w:vAlign w:val="center"/>
          </w:tcPr>
          <w:p w14:paraId="345F3B1F" w14:textId="77777777" w:rsidR="00D34C6E" w:rsidRPr="002F5FEF" w:rsidRDefault="00D34C6E" w:rsidP="002B6C05">
            <w:pPr>
              <w:keepNext/>
              <w:keepLines/>
              <w:tabs>
                <w:tab w:val="left" w:pos="1440"/>
              </w:tabs>
              <w:spacing w:after="0"/>
              <w:jc w:val="center"/>
              <w:rPr>
                <w:b/>
              </w:rPr>
            </w:pPr>
            <w:r w:rsidRPr="002F5FEF">
              <w:rPr>
                <w:b/>
              </w:rPr>
              <w:t>Source/Calculation</w:t>
            </w:r>
          </w:p>
        </w:tc>
      </w:tr>
      <w:tr w:rsidR="00D34C6E" w:rsidRPr="002F5FEF" w14:paraId="7D0A130C" w14:textId="77777777" w:rsidTr="002B6C05">
        <w:tc>
          <w:tcPr>
            <w:tcW w:w="985" w:type="dxa"/>
            <w:shd w:val="clear" w:color="auto" w:fill="auto"/>
            <w:vAlign w:val="center"/>
          </w:tcPr>
          <w:p w14:paraId="77D73870" w14:textId="77777777" w:rsidR="00D34C6E" w:rsidRPr="002F5FEF" w:rsidRDefault="00D34C6E" w:rsidP="002B6C05">
            <w:pPr>
              <w:keepNext/>
              <w:keepLines/>
              <w:tabs>
                <w:tab w:val="left" w:pos="1440"/>
              </w:tabs>
              <w:spacing w:after="0"/>
              <w:jc w:val="left"/>
            </w:pPr>
            <w:r w:rsidRPr="002F5FEF">
              <w:t>F</w:t>
            </w:r>
          </w:p>
        </w:tc>
        <w:tc>
          <w:tcPr>
            <w:tcW w:w="4770" w:type="dxa"/>
            <w:shd w:val="clear" w:color="auto" w:fill="auto"/>
            <w:vAlign w:val="center"/>
          </w:tcPr>
          <w:p w14:paraId="169D1FEB" w14:textId="77777777" w:rsidR="00D34C6E" w:rsidRPr="002F5FEF" w:rsidRDefault="00D34C6E" w:rsidP="002B6C05">
            <w:pPr>
              <w:keepNext/>
              <w:keepLines/>
              <w:tabs>
                <w:tab w:val="left" w:pos="1440"/>
              </w:tabs>
              <w:spacing w:after="0"/>
              <w:jc w:val="left"/>
            </w:pPr>
            <w:r w:rsidRPr="002F5FEF">
              <w:t>Average kWh Energy Savings per Surveyed Customer</w:t>
            </w:r>
          </w:p>
        </w:tc>
        <w:tc>
          <w:tcPr>
            <w:tcW w:w="3595" w:type="dxa"/>
            <w:shd w:val="clear" w:color="auto" w:fill="auto"/>
            <w:vAlign w:val="center"/>
          </w:tcPr>
          <w:p w14:paraId="24DE3E55" w14:textId="77777777" w:rsidR="00D34C6E" w:rsidRPr="002F5FEF" w:rsidRDefault="00D34C6E" w:rsidP="002B6C05">
            <w:pPr>
              <w:keepNext/>
              <w:keepLines/>
              <w:tabs>
                <w:tab w:val="left" w:pos="1440"/>
              </w:tabs>
              <w:spacing w:after="0"/>
              <w:jc w:val="left"/>
            </w:pPr>
            <w:r w:rsidRPr="002F5FEF">
              <w:t>Survey data and Savings Calculation</w:t>
            </w:r>
          </w:p>
        </w:tc>
      </w:tr>
      <w:tr w:rsidR="00D34C6E" w:rsidRPr="002F5FEF" w14:paraId="115DAC36" w14:textId="77777777" w:rsidTr="002B6C05">
        <w:tc>
          <w:tcPr>
            <w:tcW w:w="985" w:type="dxa"/>
            <w:shd w:val="clear" w:color="auto" w:fill="auto"/>
            <w:vAlign w:val="center"/>
          </w:tcPr>
          <w:p w14:paraId="0689C134" w14:textId="77777777" w:rsidR="00D34C6E" w:rsidRPr="002F5FEF" w:rsidRDefault="00D34C6E" w:rsidP="002B6C05">
            <w:pPr>
              <w:keepNext/>
              <w:keepLines/>
              <w:tabs>
                <w:tab w:val="left" w:pos="1440"/>
              </w:tabs>
              <w:spacing w:after="0"/>
              <w:jc w:val="left"/>
            </w:pPr>
            <w:r w:rsidRPr="002F5FEF">
              <w:t>J</w:t>
            </w:r>
          </w:p>
        </w:tc>
        <w:tc>
          <w:tcPr>
            <w:tcW w:w="4770" w:type="dxa"/>
            <w:shd w:val="clear" w:color="auto" w:fill="auto"/>
            <w:vAlign w:val="center"/>
          </w:tcPr>
          <w:p w14:paraId="6DC59585" w14:textId="77777777" w:rsidR="00D34C6E" w:rsidRPr="002F5FEF" w:rsidRDefault="00D34C6E" w:rsidP="002B6C05">
            <w:pPr>
              <w:keepNext/>
              <w:keepLines/>
              <w:tabs>
                <w:tab w:val="left" w:pos="1440"/>
              </w:tabs>
              <w:spacing w:after="0"/>
              <w:jc w:val="left"/>
            </w:pPr>
            <w:r w:rsidRPr="002F5FEF">
              <w:t>Total Nonparticipating Residential Population</w:t>
            </w:r>
          </w:p>
        </w:tc>
        <w:tc>
          <w:tcPr>
            <w:tcW w:w="3595" w:type="dxa"/>
            <w:shd w:val="clear" w:color="auto" w:fill="auto"/>
            <w:vAlign w:val="center"/>
          </w:tcPr>
          <w:p w14:paraId="500600E8" w14:textId="77777777" w:rsidR="00D34C6E" w:rsidRPr="002F5FEF" w:rsidRDefault="00D34C6E" w:rsidP="002B6C05">
            <w:pPr>
              <w:keepNext/>
              <w:keepLines/>
              <w:tabs>
                <w:tab w:val="left" w:pos="1440"/>
              </w:tabs>
              <w:spacing w:after="0"/>
              <w:jc w:val="left"/>
            </w:pPr>
            <w:r w:rsidRPr="002F5FEF">
              <w:t>Customer database</w:t>
            </w:r>
          </w:p>
        </w:tc>
      </w:tr>
      <w:tr w:rsidR="00D34C6E" w:rsidRPr="002F5FEF" w14:paraId="11DF0861" w14:textId="77777777" w:rsidTr="002B6C05">
        <w:tc>
          <w:tcPr>
            <w:tcW w:w="985" w:type="dxa"/>
            <w:shd w:val="clear" w:color="auto" w:fill="auto"/>
            <w:vAlign w:val="center"/>
          </w:tcPr>
          <w:p w14:paraId="51A4449F" w14:textId="77777777" w:rsidR="00D34C6E" w:rsidRPr="002F5FEF" w:rsidRDefault="00D34C6E" w:rsidP="002B6C05">
            <w:pPr>
              <w:keepNext/>
              <w:keepLines/>
              <w:tabs>
                <w:tab w:val="left" w:pos="1440"/>
              </w:tabs>
              <w:spacing w:after="0"/>
              <w:jc w:val="left"/>
            </w:pPr>
            <w:r w:rsidRPr="002F5FEF">
              <w:t>K</w:t>
            </w:r>
          </w:p>
        </w:tc>
        <w:tc>
          <w:tcPr>
            <w:tcW w:w="4770" w:type="dxa"/>
            <w:shd w:val="clear" w:color="auto" w:fill="auto"/>
            <w:vAlign w:val="center"/>
          </w:tcPr>
          <w:p w14:paraId="25E959A9" w14:textId="77777777" w:rsidR="00D34C6E" w:rsidRPr="002F5FEF" w:rsidRDefault="00D34C6E" w:rsidP="002B6C05">
            <w:pPr>
              <w:keepNext/>
              <w:keepLines/>
              <w:tabs>
                <w:tab w:val="left" w:pos="1440"/>
              </w:tabs>
              <w:spacing w:after="0"/>
              <w:jc w:val="left"/>
            </w:pPr>
            <w:r w:rsidRPr="002F5FEF">
              <w:t>NPSO MWh Energy Savings Extrapolated to Nonparticipating Population</w:t>
            </w:r>
          </w:p>
        </w:tc>
        <w:tc>
          <w:tcPr>
            <w:tcW w:w="3595" w:type="dxa"/>
            <w:shd w:val="clear" w:color="auto" w:fill="auto"/>
            <w:vAlign w:val="center"/>
          </w:tcPr>
          <w:p w14:paraId="04217054" w14:textId="77777777" w:rsidR="00D34C6E" w:rsidRPr="002F5FEF" w:rsidRDefault="00D34C6E" w:rsidP="002B6C05">
            <w:pPr>
              <w:keepNext/>
              <w:keepLines/>
              <w:tabs>
                <w:tab w:val="left" w:pos="1440"/>
              </w:tabs>
              <w:spacing w:after="0"/>
              <w:jc w:val="left"/>
            </w:pPr>
            <w:r w:rsidRPr="002F5FEF">
              <w:t>[F × J] ÷ 1,000 kWh/MWh</w:t>
            </w:r>
            <w:r w:rsidRPr="002F5FEF" w:rsidDel="00753ACA">
              <w:t xml:space="preserve"> </w:t>
            </w:r>
          </w:p>
        </w:tc>
      </w:tr>
      <w:tr w:rsidR="00D34C6E" w:rsidRPr="002F5FEF" w14:paraId="75551FE9" w14:textId="77777777" w:rsidTr="002B6C05">
        <w:tc>
          <w:tcPr>
            <w:tcW w:w="985" w:type="dxa"/>
            <w:shd w:val="clear" w:color="auto" w:fill="auto"/>
            <w:vAlign w:val="center"/>
          </w:tcPr>
          <w:p w14:paraId="34513E1E" w14:textId="77777777" w:rsidR="00D34C6E" w:rsidRPr="002F5FEF" w:rsidRDefault="00D34C6E" w:rsidP="002B6C05">
            <w:pPr>
              <w:keepNext/>
              <w:keepLines/>
              <w:tabs>
                <w:tab w:val="left" w:pos="1440"/>
              </w:tabs>
              <w:spacing w:after="0"/>
              <w:jc w:val="left"/>
            </w:pPr>
            <w:r w:rsidRPr="002F5FEF">
              <w:t>S</w:t>
            </w:r>
          </w:p>
        </w:tc>
        <w:tc>
          <w:tcPr>
            <w:tcW w:w="4770" w:type="dxa"/>
            <w:shd w:val="clear" w:color="auto" w:fill="auto"/>
            <w:vAlign w:val="center"/>
          </w:tcPr>
          <w:p w14:paraId="2BC8C650" w14:textId="77777777" w:rsidR="00D34C6E" w:rsidRPr="002F5FEF" w:rsidRDefault="00D34C6E" w:rsidP="002B6C05">
            <w:pPr>
              <w:keepNext/>
              <w:keepLines/>
              <w:tabs>
                <w:tab w:val="left" w:pos="1440"/>
              </w:tabs>
              <w:spacing w:after="0"/>
              <w:jc w:val="left"/>
            </w:pPr>
            <w:r w:rsidRPr="002F5FEF">
              <w:t>Total Evaluated MWh Savings</w:t>
            </w:r>
          </w:p>
        </w:tc>
        <w:tc>
          <w:tcPr>
            <w:tcW w:w="3595" w:type="dxa"/>
            <w:shd w:val="clear" w:color="auto" w:fill="auto"/>
            <w:vAlign w:val="center"/>
          </w:tcPr>
          <w:p w14:paraId="506CB47E" w14:textId="77777777" w:rsidR="00D34C6E" w:rsidRPr="002F5FEF" w:rsidRDefault="00D34C6E" w:rsidP="002B6C05">
            <w:pPr>
              <w:keepNext/>
              <w:keepLines/>
              <w:tabs>
                <w:tab w:val="left" w:pos="1440"/>
              </w:tabs>
              <w:spacing w:after="0"/>
              <w:jc w:val="left"/>
            </w:pPr>
            <w:r w:rsidRPr="002F5FEF">
              <w:t>Residential Portfolio Savings</w:t>
            </w:r>
          </w:p>
        </w:tc>
      </w:tr>
      <w:tr w:rsidR="00D34C6E" w:rsidRPr="002F5FEF" w14:paraId="1BBB7A22" w14:textId="77777777" w:rsidTr="002B6C05">
        <w:tc>
          <w:tcPr>
            <w:tcW w:w="985" w:type="dxa"/>
            <w:shd w:val="clear" w:color="auto" w:fill="auto"/>
            <w:vAlign w:val="center"/>
          </w:tcPr>
          <w:p w14:paraId="5DB61B30" w14:textId="77777777" w:rsidR="00D34C6E" w:rsidRPr="002F5FEF" w:rsidRDefault="00D34C6E" w:rsidP="002B6C05">
            <w:pPr>
              <w:keepNext/>
              <w:keepLines/>
              <w:tabs>
                <w:tab w:val="left" w:pos="1440"/>
              </w:tabs>
              <w:spacing w:after="0"/>
              <w:jc w:val="left"/>
            </w:pPr>
            <w:r w:rsidRPr="002F5FEF">
              <w:t>G</w:t>
            </w:r>
          </w:p>
        </w:tc>
        <w:tc>
          <w:tcPr>
            <w:tcW w:w="4770" w:type="dxa"/>
            <w:shd w:val="clear" w:color="auto" w:fill="auto"/>
            <w:vAlign w:val="center"/>
          </w:tcPr>
          <w:p w14:paraId="2E3DEFDB" w14:textId="77777777" w:rsidR="00D34C6E" w:rsidRPr="002F5FEF" w:rsidRDefault="00D34C6E" w:rsidP="002B6C05">
            <w:pPr>
              <w:keepNext/>
              <w:keepLines/>
              <w:tabs>
                <w:tab w:val="left" w:pos="1440"/>
              </w:tabs>
              <w:spacing w:after="0"/>
              <w:jc w:val="left"/>
            </w:pPr>
            <w:r w:rsidRPr="002F5FEF">
              <w:t>NPSO Spillover Rate</w:t>
            </w:r>
          </w:p>
        </w:tc>
        <w:tc>
          <w:tcPr>
            <w:tcW w:w="3595" w:type="dxa"/>
            <w:shd w:val="clear" w:color="auto" w:fill="auto"/>
            <w:vAlign w:val="center"/>
          </w:tcPr>
          <w:p w14:paraId="19278239" w14:textId="77777777" w:rsidR="00D34C6E" w:rsidRPr="002F5FEF" w:rsidRDefault="00D34C6E" w:rsidP="002B6C05">
            <w:pPr>
              <w:keepNext/>
              <w:keepLines/>
              <w:tabs>
                <w:tab w:val="left" w:pos="1440"/>
              </w:tabs>
              <w:spacing w:after="0"/>
              <w:jc w:val="left"/>
            </w:pPr>
            <w:r w:rsidRPr="002F5FEF">
              <w:t>K ÷ S</w:t>
            </w:r>
          </w:p>
        </w:tc>
      </w:tr>
    </w:tbl>
    <w:p w14:paraId="02493163" w14:textId="77777777" w:rsidR="00D34C6E" w:rsidRPr="009B67BF" w:rsidRDefault="00D34C6E" w:rsidP="00D34C6E">
      <w:pPr>
        <w:pStyle w:val="Heading2"/>
        <w:keepLines w:val="0"/>
        <w:widowControl/>
        <w:numPr>
          <w:ilvl w:val="1"/>
          <w:numId w:val="8"/>
        </w:numPr>
        <w:jc w:val="left"/>
      </w:pPr>
      <w:bookmarkStart w:id="1426" w:name="_Ref442305429"/>
      <w:bookmarkStart w:id="1427" w:name="_Ref442305435"/>
      <w:bookmarkStart w:id="1428" w:name="_Toc442804270"/>
      <w:bookmarkStart w:id="1429" w:name="_Toc442805487"/>
      <w:bookmarkStart w:id="1430" w:name="_Toc472494710"/>
      <w:bookmarkStart w:id="1431" w:name="_Toc520462908"/>
      <w:bookmarkStart w:id="1432" w:name="_Toc473108052"/>
      <w:bookmarkStart w:id="1433" w:name="_Toc520824163"/>
      <w:bookmarkStart w:id="1434" w:name="_Toc16619946"/>
      <w:bookmarkStart w:id="1435" w:name="_Toc113619801"/>
      <w:r w:rsidRPr="009B67BF">
        <w:t xml:space="preserve">Appliance Recycling </w:t>
      </w:r>
      <w:r>
        <w:t>Protocol</w:t>
      </w:r>
      <w:bookmarkEnd w:id="1426"/>
      <w:bookmarkEnd w:id="1427"/>
      <w:bookmarkEnd w:id="1428"/>
      <w:bookmarkEnd w:id="1429"/>
      <w:bookmarkEnd w:id="1430"/>
      <w:bookmarkEnd w:id="1431"/>
      <w:bookmarkEnd w:id="1432"/>
      <w:bookmarkEnd w:id="1433"/>
      <w:bookmarkEnd w:id="1434"/>
      <w:bookmarkEnd w:id="1435"/>
    </w:p>
    <w:p w14:paraId="4CF85DEF" w14:textId="77777777" w:rsidR="00D34C6E" w:rsidRDefault="00D34C6E" w:rsidP="00D34C6E">
      <w:pPr>
        <w:rPr>
          <w:rFonts w:eastAsia="Franklin Gothic Book"/>
        </w:rPr>
      </w:pPr>
      <w:r w:rsidRPr="0020381F">
        <w:rPr>
          <w:rFonts w:eastAsia="Franklin Gothic Book"/>
        </w:rPr>
        <w:t>Appliance recycling programs (ARPs) typically offer some mix of incentives and free pickups for the removal of old</w:t>
      </w:r>
      <w:r>
        <w:rPr>
          <w:rFonts w:eastAsia="Franklin Gothic Book"/>
        </w:rPr>
        <w:t xml:space="preserve"> </w:t>
      </w:r>
      <w:r w:rsidRPr="0020381F">
        <w:rPr>
          <w:rFonts w:eastAsia="Franklin Gothic Book"/>
        </w:rPr>
        <w:t>but</w:t>
      </w:r>
      <w:r>
        <w:rPr>
          <w:rFonts w:eastAsia="Franklin Gothic Book"/>
        </w:rPr>
        <w:t xml:space="preserve"> </w:t>
      </w:r>
      <w:r w:rsidRPr="0020381F">
        <w:rPr>
          <w:rFonts w:eastAsia="Franklin Gothic Book"/>
        </w:rPr>
        <w:t>operable refrigerators, freezers, or room air conditioners. These programs encourage consumers to undertake the following:</w:t>
      </w:r>
    </w:p>
    <w:p w14:paraId="6F3871CA" w14:textId="77777777" w:rsidR="00D34C6E" w:rsidRDefault="00D34C6E" w:rsidP="00D34C6E">
      <w:pPr>
        <w:pStyle w:val="ListParagraph"/>
        <w:widowControl/>
        <w:numPr>
          <w:ilvl w:val="0"/>
          <w:numId w:val="37"/>
        </w:numPr>
        <w:spacing w:after="60"/>
        <w:contextualSpacing w:val="0"/>
        <w:jc w:val="left"/>
      </w:pPr>
      <w:r w:rsidRPr="0020381F">
        <w:t>Discontinue use of secondary or inefficient appliances;</w:t>
      </w:r>
    </w:p>
    <w:p w14:paraId="63724CAA" w14:textId="77777777" w:rsidR="00D34C6E" w:rsidRDefault="00D34C6E" w:rsidP="00D34C6E">
      <w:pPr>
        <w:pStyle w:val="ListParagraph"/>
        <w:widowControl/>
        <w:numPr>
          <w:ilvl w:val="0"/>
          <w:numId w:val="37"/>
        </w:numPr>
        <w:spacing w:after="60"/>
        <w:contextualSpacing w:val="0"/>
        <w:jc w:val="left"/>
      </w:pPr>
      <w:r w:rsidRPr="0020381F">
        <w:t xml:space="preserve">Relinquish appliances previously used as primary units upon their replacement (rather than keeping the old appliance as a secondary unit); and </w:t>
      </w:r>
    </w:p>
    <w:p w14:paraId="32F40062" w14:textId="77777777" w:rsidR="00D34C6E" w:rsidRDefault="00D34C6E" w:rsidP="00D34C6E">
      <w:pPr>
        <w:pStyle w:val="ListParagraph"/>
        <w:widowControl/>
        <w:numPr>
          <w:ilvl w:val="0"/>
          <w:numId w:val="37"/>
        </w:numPr>
        <w:contextualSpacing w:val="0"/>
        <w:jc w:val="left"/>
      </w:pPr>
      <w:r w:rsidRPr="0020381F">
        <w:t>Prevent the continued use of old appliances in other households through direct transfers (i.e., giving it away or selling it) or indirect transfers (resale in the used appliance market).</w:t>
      </w:r>
    </w:p>
    <w:p w14:paraId="55BF7549" w14:textId="77777777" w:rsidR="00D34C6E" w:rsidRDefault="00D34C6E" w:rsidP="00D34C6E">
      <w:pPr>
        <w:rPr>
          <w:rFonts w:eastAsia="Franklin Gothic Book"/>
        </w:rPr>
      </w:pPr>
      <w:r w:rsidRPr="0020381F">
        <w:rPr>
          <w:rFonts w:eastAsia="Franklin Gothic Book"/>
        </w:rPr>
        <w:t xml:space="preserve">As the program theory and logic for appliance recycling differ significantly from standard “downstream” incentive programs (which typically offer rebates for purchases of efficient products), the free ridership estimation approach also significantly differs. </w:t>
      </w:r>
    </w:p>
    <w:p w14:paraId="2D034883" w14:textId="77777777" w:rsidR="00D34C6E" w:rsidRDefault="00D34C6E" w:rsidP="00D34C6E">
      <w:pPr>
        <w:rPr>
          <w:rFonts w:eastAsia="Franklin Gothic Book"/>
        </w:rPr>
      </w:pPr>
      <w:r w:rsidRPr="0020381F">
        <w:rPr>
          <w:rFonts w:eastAsia="Franklin Gothic Book"/>
        </w:rPr>
        <w:t>The basic and enhanced methods are described next.</w:t>
      </w:r>
    </w:p>
    <w:p w14:paraId="72019F01" w14:textId="77777777" w:rsidR="00D34C6E" w:rsidRDefault="00D34C6E" w:rsidP="0088039F">
      <w:pPr>
        <w:pStyle w:val="Heading3"/>
      </w:pPr>
      <w:bookmarkStart w:id="1436" w:name="_Toc442975721"/>
      <w:bookmarkStart w:id="1437" w:name="_Toc442804271"/>
      <w:bookmarkStart w:id="1438" w:name="_Toc442805488"/>
      <w:bookmarkStart w:id="1439" w:name="_Toc472494711"/>
      <w:bookmarkStart w:id="1440" w:name="_Toc520462909"/>
      <w:bookmarkStart w:id="1441" w:name="_Toc473108053"/>
      <w:bookmarkStart w:id="1442" w:name="_Toc520824164"/>
      <w:bookmarkStart w:id="1443" w:name="_Toc16619947"/>
      <w:bookmarkStart w:id="1444" w:name="_Toc113619802"/>
      <w:bookmarkEnd w:id="1436"/>
      <w:r w:rsidRPr="0020381F">
        <w:t>Basic Method</w:t>
      </w:r>
      <w:bookmarkEnd w:id="1437"/>
      <w:bookmarkEnd w:id="1438"/>
      <w:bookmarkEnd w:id="1439"/>
      <w:bookmarkEnd w:id="1440"/>
      <w:bookmarkEnd w:id="1441"/>
      <w:bookmarkEnd w:id="1442"/>
      <w:bookmarkEnd w:id="1443"/>
      <w:bookmarkEnd w:id="1444"/>
    </w:p>
    <w:p w14:paraId="433DEC43" w14:textId="77777777" w:rsidR="00D34C6E" w:rsidRDefault="00D34C6E" w:rsidP="001A2AE6">
      <w:pPr>
        <w:pStyle w:val="Heading4"/>
      </w:pPr>
      <w:bookmarkStart w:id="1445" w:name="_Toc442804272"/>
      <w:bookmarkStart w:id="1446" w:name="_Toc442805489"/>
      <w:bookmarkStart w:id="1447" w:name="_Toc401239632"/>
      <w:r w:rsidRPr="0020381F">
        <w:t>Free Ridership</w:t>
      </w:r>
      <w:bookmarkEnd w:id="1445"/>
      <w:bookmarkEnd w:id="1446"/>
      <w:bookmarkEnd w:id="1447"/>
    </w:p>
    <w:p w14:paraId="399DACC4" w14:textId="77777777" w:rsidR="00D34C6E" w:rsidRDefault="00D34C6E" w:rsidP="00D34C6E">
      <w:pPr>
        <w:rPr>
          <w:rFonts w:eastAsia="Franklin Gothic Book"/>
        </w:rPr>
      </w:pPr>
      <w:r w:rsidRPr="0020381F">
        <w:rPr>
          <w:rFonts w:eastAsia="Franklin Gothic Book"/>
        </w:rPr>
        <w:t xml:space="preserve">Free ridership is based on participants’ anticipated plans had the program not been available, thus classifying a free rider as a participant who would have removed the unit from service regardless of the program. </w:t>
      </w:r>
    </w:p>
    <w:p w14:paraId="70F9C0A7" w14:textId="77777777" w:rsidR="00D34C6E" w:rsidRDefault="00D34C6E" w:rsidP="00D34C6E">
      <w:pPr>
        <w:rPr>
          <w:rFonts w:eastAsia="Franklin Gothic Book"/>
        </w:rPr>
      </w:pPr>
      <w:r w:rsidRPr="0020381F">
        <w:rPr>
          <w:rFonts w:eastAsia="Franklin Gothic Book"/>
        </w:rPr>
        <w:t xml:space="preserve">Estimating net savings for ARPs should adopt a multistep process to segment participants into different groups, each with specific attributable savings. </w:t>
      </w:r>
    </w:p>
    <w:p w14:paraId="3860C4A0" w14:textId="77777777" w:rsidR="00D34C6E" w:rsidRDefault="00D34C6E" w:rsidP="00D34C6E">
      <w:pPr>
        <w:rPr>
          <w:rFonts w:eastAsia="Franklin Gothic Book"/>
        </w:rPr>
      </w:pPr>
      <w:r w:rsidRPr="0020381F">
        <w:rPr>
          <w:rFonts w:eastAsia="Franklin Gothic Book"/>
        </w:rPr>
        <w:t>In general, independent of program intervention, participating appliances would have been subject to one of the following options:</w:t>
      </w:r>
    </w:p>
    <w:p w14:paraId="7363EEA3" w14:textId="77777777" w:rsidR="00D34C6E" w:rsidRPr="008F14A1" w:rsidRDefault="00D34C6E" w:rsidP="00D34C6E">
      <w:pPr>
        <w:pStyle w:val="ListParagraph"/>
        <w:widowControl/>
        <w:numPr>
          <w:ilvl w:val="0"/>
          <w:numId w:val="42"/>
        </w:numPr>
        <w:spacing w:after="60"/>
        <w:contextualSpacing w:val="0"/>
        <w:jc w:val="left"/>
        <w:rPr>
          <w:rFonts w:eastAsia="Franklin Gothic Book"/>
        </w:rPr>
      </w:pPr>
      <w:r w:rsidRPr="008F14A1">
        <w:rPr>
          <w:rFonts w:eastAsia="Franklin Gothic Book"/>
        </w:rPr>
        <w:t>The appliance would have been kept by the participating household.</w:t>
      </w:r>
    </w:p>
    <w:p w14:paraId="5BC6CC1D" w14:textId="77777777" w:rsidR="00D34C6E" w:rsidRPr="008F14A1" w:rsidRDefault="00D34C6E" w:rsidP="00D34C6E">
      <w:pPr>
        <w:pStyle w:val="ListParagraph"/>
        <w:widowControl/>
        <w:numPr>
          <w:ilvl w:val="0"/>
          <w:numId w:val="42"/>
        </w:numPr>
        <w:spacing w:after="60"/>
        <w:contextualSpacing w:val="0"/>
        <w:jc w:val="left"/>
        <w:rPr>
          <w:rFonts w:eastAsia="Franklin Gothic Book"/>
        </w:rPr>
      </w:pPr>
      <w:r w:rsidRPr="008F14A1">
        <w:rPr>
          <w:rFonts w:eastAsia="Franklin Gothic Book"/>
        </w:rPr>
        <w:t>The appliance would have been discarded in a way that transfers the unit to another customer for continued use.</w:t>
      </w:r>
    </w:p>
    <w:p w14:paraId="749159C3" w14:textId="77777777" w:rsidR="00D34C6E" w:rsidRPr="008F14A1" w:rsidRDefault="00D34C6E" w:rsidP="00D34C6E">
      <w:pPr>
        <w:pStyle w:val="ListParagraph"/>
        <w:widowControl/>
        <w:numPr>
          <w:ilvl w:val="0"/>
          <w:numId w:val="42"/>
        </w:numPr>
        <w:contextualSpacing w:val="0"/>
        <w:jc w:val="left"/>
        <w:rPr>
          <w:rFonts w:eastAsia="Franklin Gothic Book"/>
        </w:rPr>
      </w:pPr>
      <w:r w:rsidRPr="008F14A1">
        <w:rPr>
          <w:rFonts w:eastAsia="Franklin Gothic Book"/>
        </w:rPr>
        <w:t xml:space="preserve">The appliance would have been discarded in a way that would have permanently removed the unit </w:t>
      </w:r>
      <w:r>
        <w:rPr>
          <w:rFonts w:eastAsia="Franklin Gothic Book"/>
        </w:rPr>
        <w:br/>
      </w:r>
      <w:r w:rsidRPr="008F14A1">
        <w:rPr>
          <w:rFonts w:eastAsia="Franklin Gothic Book"/>
        </w:rPr>
        <w:t>from service.</w:t>
      </w:r>
    </w:p>
    <w:p w14:paraId="072D76E5" w14:textId="77777777" w:rsidR="00D34C6E" w:rsidRDefault="00D34C6E" w:rsidP="00D34C6E">
      <w:pPr>
        <w:rPr>
          <w:rFonts w:eastAsia="Franklin Gothic Book"/>
        </w:rPr>
      </w:pPr>
      <w:r w:rsidRPr="0020381F">
        <w:rPr>
          <w:rFonts w:eastAsia="Franklin Gothic Book"/>
        </w:rPr>
        <w:t>Only Option 3 constitutes free ridership (the proportion of units that would have been taken off the grid absent the program). Options 1 and 2 both indicate non-free riders. However, these respondents need to be further classified to account for secondary market impacts, described below.</w:t>
      </w:r>
    </w:p>
    <w:p w14:paraId="7636D5C7" w14:textId="77777777" w:rsidR="00D34C6E" w:rsidRDefault="00D34C6E" w:rsidP="00D34C6E">
      <w:pPr>
        <w:pStyle w:val="Heading5"/>
        <w:numPr>
          <w:ilvl w:val="4"/>
          <w:numId w:val="8"/>
        </w:numPr>
      </w:pPr>
      <w:bookmarkStart w:id="1448" w:name="_Toc442804273"/>
      <w:bookmarkStart w:id="1449" w:name="_Toc442805490"/>
      <w:r w:rsidRPr="0020381F">
        <w:t>Data Collection</w:t>
      </w:r>
      <w:bookmarkEnd w:id="1448"/>
      <w:bookmarkEnd w:id="1449"/>
    </w:p>
    <w:p w14:paraId="30B4220A" w14:textId="77777777" w:rsidR="00D34C6E" w:rsidRDefault="00D34C6E" w:rsidP="00D34C6E">
      <w:pPr>
        <w:rPr>
          <w:rFonts w:eastAsia="Franklin Gothic Book"/>
        </w:rPr>
      </w:pPr>
      <w:r w:rsidRPr="0020381F">
        <w:rPr>
          <w:rFonts w:eastAsia="Franklin Gothic Book"/>
        </w:rPr>
        <w:t xml:space="preserve">A participant survey—drawn from a random sample of participants—will serve as the primary source of data collected for estimating NTG for the ARP. To determine the percentage of participants in each of the three options, evaluators will begin by asking surveyed participants about the likely fate of their recycled appliance had it not been decommissioned through the program. Responses provided by participants generally can be categorized </w:t>
      </w:r>
      <w:r>
        <w:rPr>
          <w:rFonts w:eastAsia="Franklin Gothic Book"/>
        </w:rPr>
        <w:br/>
      </w:r>
      <w:r w:rsidRPr="0020381F">
        <w:rPr>
          <w:rFonts w:eastAsia="Franklin Gothic Book"/>
        </w:rPr>
        <w:t>as follows:</w:t>
      </w:r>
    </w:p>
    <w:p w14:paraId="098A9F18" w14:textId="77777777" w:rsidR="00D34C6E" w:rsidRPr="00C34F25" w:rsidRDefault="00D34C6E" w:rsidP="00D34C6E">
      <w:pPr>
        <w:pStyle w:val="ListParagraph"/>
        <w:widowControl/>
        <w:numPr>
          <w:ilvl w:val="0"/>
          <w:numId w:val="38"/>
        </w:numPr>
        <w:spacing w:after="60"/>
        <w:contextualSpacing w:val="0"/>
        <w:rPr>
          <w:rFonts w:eastAsia="Franklin Gothic Book"/>
        </w:rPr>
      </w:pPr>
      <w:r w:rsidRPr="00C34F25">
        <w:rPr>
          <w:rFonts w:eastAsia="Franklin Gothic Book"/>
        </w:rPr>
        <w:lastRenderedPageBreak/>
        <w:t>Kept the appliance.</w:t>
      </w:r>
    </w:p>
    <w:p w14:paraId="26061DCF" w14:textId="77777777" w:rsidR="00D34C6E" w:rsidRPr="00C34F25" w:rsidRDefault="00D34C6E" w:rsidP="00D34C6E">
      <w:pPr>
        <w:pStyle w:val="ListParagraph"/>
        <w:widowControl/>
        <w:numPr>
          <w:ilvl w:val="0"/>
          <w:numId w:val="38"/>
        </w:numPr>
        <w:spacing w:after="60"/>
        <w:contextualSpacing w:val="0"/>
        <w:rPr>
          <w:rFonts w:eastAsia="Franklin Gothic Book"/>
        </w:rPr>
      </w:pPr>
      <w:r w:rsidRPr="00C34F25">
        <w:rPr>
          <w:rFonts w:eastAsia="Franklin Gothic Book"/>
        </w:rPr>
        <w:t>Sold the appliance to a private party (either an acquaintance or through a posted advertisement).</w:t>
      </w:r>
    </w:p>
    <w:p w14:paraId="53B2499E" w14:textId="77777777" w:rsidR="00D34C6E" w:rsidRPr="00C34F25" w:rsidRDefault="00D34C6E" w:rsidP="00D34C6E">
      <w:pPr>
        <w:pStyle w:val="ListParagraph"/>
        <w:widowControl/>
        <w:numPr>
          <w:ilvl w:val="0"/>
          <w:numId w:val="38"/>
        </w:numPr>
        <w:spacing w:after="60"/>
        <w:contextualSpacing w:val="0"/>
        <w:rPr>
          <w:rFonts w:eastAsia="Franklin Gothic Book"/>
        </w:rPr>
      </w:pPr>
      <w:r w:rsidRPr="00C34F25">
        <w:rPr>
          <w:rFonts w:eastAsia="Franklin Gothic Book"/>
        </w:rPr>
        <w:t>Sold or gave the appliance to a used-appliance dealer.</w:t>
      </w:r>
    </w:p>
    <w:p w14:paraId="79BF0DCF" w14:textId="77777777" w:rsidR="00D34C6E" w:rsidRPr="00C34F25" w:rsidRDefault="00D34C6E" w:rsidP="00D34C6E">
      <w:pPr>
        <w:pStyle w:val="ListParagraph"/>
        <w:widowControl/>
        <w:numPr>
          <w:ilvl w:val="0"/>
          <w:numId w:val="38"/>
        </w:numPr>
        <w:spacing w:after="60"/>
        <w:contextualSpacing w:val="0"/>
        <w:rPr>
          <w:rFonts w:eastAsia="Franklin Gothic Book"/>
        </w:rPr>
      </w:pPr>
      <w:r w:rsidRPr="00C34F25">
        <w:rPr>
          <w:rFonts w:eastAsia="Franklin Gothic Book"/>
        </w:rPr>
        <w:t>Gave the appliance to a private party, such as a friend or neighbor.</w:t>
      </w:r>
    </w:p>
    <w:p w14:paraId="3181AF1E" w14:textId="77777777" w:rsidR="00D34C6E" w:rsidRPr="00C34F25" w:rsidRDefault="00D34C6E" w:rsidP="00D34C6E">
      <w:pPr>
        <w:pStyle w:val="ListParagraph"/>
        <w:widowControl/>
        <w:numPr>
          <w:ilvl w:val="0"/>
          <w:numId w:val="38"/>
        </w:numPr>
        <w:spacing w:after="60"/>
        <w:contextualSpacing w:val="0"/>
        <w:rPr>
          <w:rFonts w:eastAsia="Franklin Gothic Book"/>
        </w:rPr>
      </w:pPr>
      <w:r w:rsidRPr="00C34F25">
        <w:rPr>
          <w:rFonts w:eastAsia="Franklin Gothic Book"/>
        </w:rPr>
        <w:t>Gave the appliance to a charity organization, such as Goodwill Industries or a church.</w:t>
      </w:r>
    </w:p>
    <w:p w14:paraId="5727E18C" w14:textId="77777777" w:rsidR="00D34C6E" w:rsidRPr="00C34F25" w:rsidRDefault="00D34C6E" w:rsidP="00D34C6E">
      <w:pPr>
        <w:pStyle w:val="ListParagraph"/>
        <w:widowControl/>
        <w:numPr>
          <w:ilvl w:val="0"/>
          <w:numId w:val="38"/>
        </w:numPr>
        <w:spacing w:after="60"/>
        <w:contextualSpacing w:val="0"/>
        <w:rPr>
          <w:rFonts w:eastAsia="Franklin Gothic Book"/>
        </w:rPr>
      </w:pPr>
      <w:r w:rsidRPr="00C34F25">
        <w:rPr>
          <w:rFonts w:eastAsia="Franklin Gothic Book"/>
        </w:rPr>
        <w:t>Had the appliance removed by the dealer from whom the new or replacement appliance was obtained.</w:t>
      </w:r>
    </w:p>
    <w:p w14:paraId="300494EC" w14:textId="77777777" w:rsidR="00D34C6E" w:rsidRPr="00C34F25" w:rsidRDefault="00D34C6E" w:rsidP="00D34C6E">
      <w:pPr>
        <w:pStyle w:val="ListParagraph"/>
        <w:widowControl/>
        <w:numPr>
          <w:ilvl w:val="0"/>
          <w:numId w:val="38"/>
        </w:numPr>
        <w:spacing w:after="60"/>
        <w:contextualSpacing w:val="0"/>
        <w:rPr>
          <w:rFonts w:eastAsia="Franklin Gothic Book"/>
        </w:rPr>
      </w:pPr>
      <w:r w:rsidRPr="00C34F25">
        <w:rPr>
          <w:rFonts w:eastAsia="Franklin Gothic Book"/>
        </w:rPr>
        <w:t>Hauled the appliance to a landfill or recycling center.</w:t>
      </w:r>
    </w:p>
    <w:p w14:paraId="3AD1EC24" w14:textId="77777777" w:rsidR="00D34C6E" w:rsidRPr="00C34F25" w:rsidRDefault="00D34C6E" w:rsidP="00D34C6E">
      <w:pPr>
        <w:pStyle w:val="ListParagraph"/>
        <w:widowControl/>
        <w:numPr>
          <w:ilvl w:val="0"/>
          <w:numId w:val="38"/>
        </w:numPr>
        <w:contextualSpacing w:val="0"/>
        <w:rPr>
          <w:rFonts w:eastAsia="Franklin Gothic Book"/>
        </w:rPr>
      </w:pPr>
      <w:r w:rsidRPr="00C34F25">
        <w:rPr>
          <w:rFonts w:eastAsia="Franklin Gothic Book"/>
        </w:rPr>
        <w:t>Hired someone else to haul the appliance away for junking, dumping, or recycling.</w:t>
      </w:r>
    </w:p>
    <w:p w14:paraId="225CE2B8" w14:textId="77777777" w:rsidR="00D34C6E" w:rsidRDefault="00D34C6E" w:rsidP="00D34C6E">
      <w:pPr>
        <w:rPr>
          <w:rFonts w:eastAsia="Franklin Gothic Book"/>
        </w:rPr>
      </w:pPr>
      <w:r w:rsidRPr="0020381F">
        <w:rPr>
          <w:rFonts w:eastAsia="Franklin Gothic Book"/>
        </w:rPr>
        <w:t>Additional, follow-up questions will be included to validate the viability of all responses.</w:t>
      </w:r>
    </w:p>
    <w:p w14:paraId="607264D0" w14:textId="77777777" w:rsidR="00D34C6E" w:rsidRDefault="00D34C6E" w:rsidP="00D34C6E">
      <w:pPr>
        <w:rPr>
          <w:rFonts w:eastAsia="Franklin Gothic Book"/>
        </w:rPr>
      </w:pPr>
      <w:r w:rsidRPr="0020381F">
        <w:rPr>
          <w:rFonts w:eastAsia="Franklin Gothic Book"/>
        </w:rPr>
        <w:t>Next</w:t>
      </w:r>
      <w:r>
        <w:rPr>
          <w:rFonts w:eastAsia="Franklin Gothic Book"/>
        </w:rPr>
        <w:t>,</w:t>
      </w:r>
      <w:r w:rsidRPr="0020381F">
        <w:rPr>
          <w:rFonts w:eastAsia="Franklin Gothic Book"/>
        </w:rPr>
        <w:t xml:space="preserve"> evaluators will assess whether each participant’s final response indicates free ridership</w:t>
      </w:r>
      <w:r>
        <w:rPr>
          <w:rFonts w:eastAsia="Franklin Gothic Book"/>
        </w:rPr>
        <w:t>:</w:t>
      </w:r>
    </w:p>
    <w:p w14:paraId="1F9273B4" w14:textId="77777777" w:rsidR="00D34C6E" w:rsidRPr="00C34F25" w:rsidRDefault="00D34C6E" w:rsidP="00D34C6E">
      <w:pPr>
        <w:pStyle w:val="ListParagraph"/>
        <w:widowControl/>
        <w:numPr>
          <w:ilvl w:val="0"/>
          <w:numId w:val="39"/>
        </w:numPr>
        <w:spacing w:after="60"/>
        <w:contextualSpacing w:val="0"/>
        <w:rPr>
          <w:rFonts w:eastAsia="Franklin Gothic Book"/>
        </w:rPr>
      </w:pPr>
      <w:r w:rsidRPr="00C34F25">
        <w:rPr>
          <w:rFonts w:eastAsia="Franklin Gothic Book"/>
        </w:rPr>
        <w:t>Some final responses clearly indicate free ridership, such as: “I would have taken it to the landfill or recycling center myself.”</w:t>
      </w:r>
    </w:p>
    <w:p w14:paraId="506D88B2" w14:textId="77777777" w:rsidR="00D34C6E" w:rsidRPr="00C34F25" w:rsidRDefault="00D34C6E" w:rsidP="00D34C6E">
      <w:pPr>
        <w:pStyle w:val="ListParagraph"/>
        <w:widowControl/>
        <w:numPr>
          <w:ilvl w:val="0"/>
          <w:numId w:val="39"/>
        </w:numPr>
        <w:contextualSpacing w:val="0"/>
        <w:rPr>
          <w:rFonts w:eastAsia="Franklin Gothic Book"/>
        </w:rPr>
      </w:pPr>
      <w:r w:rsidRPr="00C34F25">
        <w:rPr>
          <w:rFonts w:eastAsia="Franklin Gothic Book"/>
        </w:rPr>
        <w:t xml:space="preserve">Other responses clearly indicate no free ridership, as when the appliance would have remained active within the participating home (“I would have kept it and continued to use it”) or used elsewhere within the </w:t>
      </w:r>
      <w:r>
        <w:rPr>
          <w:rFonts w:eastAsia="Franklin Gothic Book"/>
        </w:rPr>
        <w:t>Program Administrator</w:t>
      </w:r>
      <w:r w:rsidRPr="00C34F25">
        <w:rPr>
          <w:rFonts w:eastAsia="Franklin Gothic Book"/>
        </w:rPr>
        <w:t>’s service territory (“I would have given it to a family member, neighbor, or friend to use”).</w:t>
      </w:r>
    </w:p>
    <w:p w14:paraId="1521F95F" w14:textId="77777777" w:rsidR="00D34C6E" w:rsidRDefault="00D34C6E" w:rsidP="00D34C6E">
      <w:pPr>
        <w:rPr>
          <w:rFonts w:eastAsia="Franklin Gothic Book"/>
        </w:rPr>
      </w:pPr>
      <w:r w:rsidRPr="0020381F">
        <w:rPr>
          <w:rFonts w:eastAsia="Franklin Gothic Book"/>
        </w:rPr>
        <w:t>If the respondent planned to have the unit picked up by the retailer and the retailer would likely resell the unit in the secondary market, they are not a free rider. Absent retailer survey primary research described in the Enhanced Options below, the evaluators will utilize data from the most recent research conducted of the ComEd program to determine the proportion of free riders unless another metric is mutually agreed upon by the evaluators</w:t>
      </w:r>
      <w:r>
        <w:rPr>
          <w:rFonts w:eastAsia="Franklin Gothic Book"/>
        </w:rPr>
        <w:t>.</w:t>
      </w:r>
      <w:r w:rsidRPr="00B31077">
        <w:rPr>
          <w:rFonts w:eastAsia="Franklin Gothic Book"/>
          <w:vertAlign w:val="superscript"/>
        </w:rPr>
        <w:footnoteReference w:id="76"/>
      </w:r>
    </w:p>
    <w:p w14:paraId="536869C8" w14:textId="77777777" w:rsidR="00D34C6E" w:rsidRDefault="00D34C6E" w:rsidP="00D34C6E">
      <w:bookmarkStart w:id="1450" w:name="_Toc411554707"/>
      <w:bookmarkStart w:id="1451" w:name="_Toc442804274"/>
      <w:bookmarkStart w:id="1452" w:name="_Toc442805491"/>
      <w:r w:rsidRPr="0020381F">
        <w:t>Secondary Market Impacts</w:t>
      </w:r>
      <w:bookmarkEnd w:id="1450"/>
      <w:bookmarkEnd w:id="1451"/>
      <w:bookmarkEnd w:id="1452"/>
    </w:p>
    <w:p w14:paraId="67AF074E" w14:textId="77777777" w:rsidR="00D34C6E" w:rsidRDefault="00D34C6E" w:rsidP="00D34C6E">
      <w:pPr>
        <w:rPr>
          <w:rFonts w:eastAsia="Franklin Gothic Book"/>
        </w:rPr>
      </w:pPr>
      <w:r w:rsidRPr="0020381F">
        <w:rPr>
          <w:rFonts w:eastAsia="Franklin Gothic Book"/>
        </w:rPr>
        <w:t xml:space="preserve">In the event that the unit would have been transferred to another household (Option 2 above), the question then becomes what purchasing decisions are made by the would-be acquirers of participating units now that these units are unavailable. </w:t>
      </w:r>
      <w:r>
        <w:rPr>
          <w:rFonts w:eastAsia="Franklin Gothic Book"/>
        </w:rPr>
        <w:t xml:space="preserve">Such </w:t>
      </w:r>
      <w:r w:rsidRPr="0020381F">
        <w:rPr>
          <w:rFonts w:eastAsia="Franklin Gothic Book"/>
        </w:rPr>
        <w:t>would-be acquirers could:</w:t>
      </w:r>
    </w:p>
    <w:p w14:paraId="40B81985" w14:textId="77777777" w:rsidR="00D34C6E" w:rsidRPr="00C34F25" w:rsidRDefault="00D34C6E" w:rsidP="00D34C6E">
      <w:pPr>
        <w:pStyle w:val="ListParagraph"/>
        <w:widowControl/>
        <w:numPr>
          <w:ilvl w:val="0"/>
          <w:numId w:val="40"/>
        </w:numPr>
        <w:spacing w:after="60"/>
        <w:contextualSpacing w:val="0"/>
        <w:jc w:val="left"/>
        <w:rPr>
          <w:rFonts w:eastAsia="Franklin Gothic Book"/>
        </w:rPr>
      </w:pPr>
      <w:r w:rsidRPr="00C34F25">
        <w:rPr>
          <w:rFonts w:eastAsia="Franklin Gothic Book"/>
        </w:rPr>
        <w:t>Not purchase/acquire another unit.</w:t>
      </w:r>
    </w:p>
    <w:p w14:paraId="71B7E984" w14:textId="77777777" w:rsidR="00D34C6E" w:rsidRPr="00C34F25" w:rsidRDefault="00D34C6E" w:rsidP="00D34C6E">
      <w:pPr>
        <w:pStyle w:val="ListParagraph"/>
        <w:widowControl/>
        <w:numPr>
          <w:ilvl w:val="0"/>
          <w:numId w:val="40"/>
        </w:numPr>
        <w:contextualSpacing w:val="0"/>
        <w:jc w:val="left"/>
        <w:rPr>
          <w:rFonts w:eastAsia="Franklin Gothic Book"/>
        </w:rPr>
      </w:pPr>
      <w:r w:rsidRPr="00C34F25">
        <w:rPr>
          <w:rFonts w:eastAsia="Franklin Gothic Book"/>
        </w:rPr>
        <w:t>Purchase/acquire another used unit.</w:t>
      </w:r>
    </w:p>
    <w:p w14:paraId="378663DD" w14:textId="77777777" w:rsidR="00D34C6E" w:rsidRDefault="00D34C6E" w:rsidP="00D34C6E">
      <w:pPr>
        <w:rPr>
          <w:rFonts w:eastAsia="Franklin Gothic Book"/>
        </w:rPr>
      </w:pPr>
      <w:r w:rsidRPr="0020381F">
        <w:rPr>
          <w:rFonts w:eastAsia="Franklin Gothic Book"/>
        </w:rPr>
        <w:t xml:space="preserve">Adjustments to savings based on these factors are referred to as the program’s secondary market impacts. </w:t>
      </w:r>
    </w:p>
    <w:p w14:paraId="39B1F951" w14:textId="77777777" w:rsidR="00D34C6E" w:rsidRDefault="00D34C6E" w:rsidP="00D34C6E">
      <w:pPr>
        <w:rPr>
          <w:rFonts w:eastAsia="Franklin Gothic Book"/>
        </w:rPr>
      </w:pPr>
      <w:r w:rsidRPr="0020381F">
        <w:rPr>
          <w:rFonts w:eastAsia="Franklin Gothic Book"/>
        </w:rPr>
        <w:t>If it is determined that the participant would have directly or indirectly (through a market actor) transferred the unit to another customer on the grid, the next question addresses what that potential acquirer did because that unit was unavailable. There are three possibilities:</w:t>
      </w:r>
    </w:p>
    <w:p w14:paraId="7BB65EB5" w14:textId="77777777" w:rsidR="00D34C6E" w:rsidRDefault="00D34C6E" w:rsidP="00D34C6E">
      <w:pPr>
        <w:spacing w:after="60"/>
        <w:ind w:left="720" w:hanging="360"/>
        <w:rPr>
          <w:rFonts w:eastAsia="Franklin Gothic Book"/>
        </w:rPr>
      </w:pPr>
      <w:r w:rsidRPr="0020381F">
        <w:rPr>
          <w:rFonts w:eastAsia="Franklin Gothic Book"/>
        </w:rPr>
        <w:t xml:space="preserve">A. </w:t>
      </w:r>
      <w:r w:rsidRPr="0020381F">
        <w:rPr>
          <w:rFonts w:eastAsia="Franklin Gothic Book"/>
        </w:rPr>
        <w:tab/>
      </w:r>
      <w:r w:rsidRPr="00232FA3">
        <w:rPr>
          <w:rFonts w:eastAsia="Franklin Gothic Book"/>
          <w:b/>
        </w:rPr>
        <w:t xml:space="preserve">None of the would-be acquirers would find another unit. </w:t>
      </w:r>
      <w:r w:rsidRPr="0020381F">
        <w:rPr>
          <w:rFonts w:eastAsia="Franklin Gothic Book"/>
        </w:rPr>
        <w:t>That is, program participation would result in a one-for-one reduction in the total number of appliances operating on the grid. In this case, the total energy consumption of avoided transfers (participating appliances that otherwise would have been used by another customer) should be credited as savings to the program. This position is consistent with the theory that participating appliances are essentially convenience goods for would-be acquirers. (That is, the potential acquirer would have accepted the appliance had it been readily available, but because the appliance was not a necessity, the potential acquirer would not seek out an alternate unit.)</w:t>
      </w:r>
    </w:p>
    <w:p w14:paraId="1E5C2E22" w14:textId="77777777" w:rsidR="00D34C6E" w:rsidRDefault="00D34C6E" w:rsidP="00D34C6E">
      <w:pPr>
        <w:spacing w:after="60"/>
        <w:ind w:left="720" w:hanging="360"/>
        <w:rPr>
          <w:rFonts w:eastAsia="Franklin Gothic Book"/>
        </w:rPr>
      </w:pPr>
      <w:r w:rsidRPr="0020381F">
        <w:rPr>
          <w:rFonts w:eastAsia="Franklin Gothic Book"/>
        </w:rPr>
        <w:t>B.</w:t>
      </w:r>
      <w:r w:rsidRPr="0020381F">
        <w:rPr>
          <w:rFonts w:eastAsia="Franklin Gothic Book"/>
        </w:rPr>
        <w:tab/>
      </w:r>
      <w:r w:rsidRPr="00232FA3">
        <w:rPr>
          <w:rFonts w:eastAsia="Franklin Gothic Book"/>
          <w:b/>
        </w:rPr>
        <w:t xml:space="preserve">All of the would-be acquirers would find another unit. </w:t>
      </w:r>
      <w:r w:rsidRPr="0020381F">
        <w:rPr>
          <w:rFonts w:eastAsia="Franklin Gothic Book"/>
        </w:rPr>
        <w:t>Thus, program participation has no effect on the total number of appliances operating on the grid. This position is consistent with the notion that participating appliances are necessities and that customers will always seek alternative units when participating appliances are unavailable.</w:t>
      </w:r>
    </w:p>
    <w:p w14:paraId="516282E0" w14:textId="77777777" w:rsidR="00D34C6E" w:rsidRDefault="00D34C6E" w:rsidP="00D34C6E">
      <w:pPr>
        <w:ind w:left="720" w:hanging="360"/>
        <w:rPr>
          <w:rFonts w:eastAsia="Franklin Gothic Book"/>
        </w:rPr>
      </w:pPr>
      <w:r w:rsidRPr="0020381F">
        <w:rPr>
          <w:rFonts w:eastAsia="Franklin Gothic Book"/>
        </w:rPr>
        <w:lastRenderedPageBreak/>
        <w:t xml:space="preserve">C. </w:t>
      </w:r>
      <w:r w:rsidRPr="0020381F">
        <w:rPr>
          <w:rFonts w:eastAsia="Franklin Gothic Book"/>
        </w:rPr>
        <w:tab/>
      </w:r>
      <w:r w:rsidRPr="00232FA3">
        <w:rPr>
          <w:rFonts w:eastAsia="Franklin Gothic Book"/>
          <w:b/>
        </w:rPr>
        <w:t xml:space="preserve">Some of the would-be acquirers would find another unit, while others would not. </w:t>
      </w:r>
      <w:r w:rsidRPr="0020381F">
        <w:rPr>
          <w:rFonts w:eastAsia="Franklin Gothic Book"/>
        </w:rPr>
        <w:t>This possibility reflects the awareness that some acquirers were in the market for an appliance and would acquire another unit, while others were not (and would only have taken the unit opportunistically).</w:t>
      </w:r>
    </w:p>
    <w:p w14:paraId="4B43B1E0" w14:textId="77777777" w:rsidR="00D34C6E" w:rsidRDefault="00D34C6E" w:rsidP="00D34C6E">
      <w:pPr>
        <w:rPr>
          <w:rFonts w:eastAsia="Franklin Gothic Book"/>
        </w:rPr>
      </w:pPr>
      <w:r w:rsidRPr="0020381F">
        <w:rPr>
          <w:rFonts w:eastAsia="Franklin Gothic Book"/>
        </w:rPr>
        <w:t xml:space="preserve">The evaluators will assume Possibility C unless primary research within a </w:t>
      </w:r>
      <w:r>
        <w:rPr>
          <w:rFonts w:eastAsia="Franklin Gothic Book"/>
        </w:rPr>
        <w:t>Program Administrator</w:t>
      </w:r>
      <w:r w:rsidRPr="0020381F">
        <w:rPr>
          <w:rFonts w:eastAsia="Franklin Gothic Book"/>
        </w:rPr>
        <w:t>’s service territory to assess the secondary appliance market is undertaken as described in the Enhanced Options below. Specifically, evaluators will assume that half (0.5, the midpoint of Possibilities A and B) of the would-be acquirers of avoided transfers found an alternate unit.</w:t>
      </w:r>
    </w:p>
    <w:p w14:paraId="7F0BCACB" w14:textId="77777777" w:rsidR="00D34C6E" w:rsidRDefault="00D34C6E" w:rsidP="00D34C6E">
      <w:pPr>
        <w:rPr>
          <w:rFonts w:eastAsia="Franklin Gothic Book"/>
        </w:rPr>
      </w:pPr>
      <w:r w:rsidRPr="0020381F">
        <w:rPr>
          <w:rFonts w:eastAsia="Franklin Gothic Book"/>
        </w:rPr>
        <w:t>Once the proportion of would-be acquirers who are assumed to find alternate units is determined, the next question is whether the alternate unit was likely to be another used appliance (similar to those recycled through the program) or, with fewer used appliances presumably available in the market due to program activity, would the customer acquire a new standard-efficiency unit instead.</w:t>
      </w:r>
    </w:p>
    <w:p w14:paraId="026FC795" w14:textId="77777777" w:rsidR="00D34C6E" w:rsidRDefault="00D34C6E" w:rsidP="001A2AE6">
      <w:pPr>
        <w:pStyle w:val="Heading4"/>
      </w:pPr>
      <w:bookmarkStart w:id="1453" w:name="_Toc411554709"/>
      <w:bookmarkStart w:id="1454" w:name="_Toc442804276"/>
      <w:bookmarkStart w:id="1455" w:name="_Toc442805493"/>
      <w:r w:rsidRPr="0020381F">
        <w:t xml:space="preserve">Integrating Free Ridership </w:t>
      </w:r>
      <w:r>
        <w:t>and</w:t>
      </w:r>
      <w:r w:rsidRPr="0020381F">
        <w:t xml:space="preserve"> Secondary Market Impacts</w:t>
      </w:r>
      <w:bookmarkEnd w:id="1453"/>
      <w:bookmarkEnd w:id="1454"/>
      <w:bookmarkEnd w:id="1455"/>
    </w:p>
    <w:p w14:paraId="15486018" w14:textId="77777777" w:rsidR="00D34C6E" w:rsidRDefault="00D34C6E" w:rsidP="00D34C6E">
      <w:pPr>
        <w:rPr>
          <w:rFonts w:eastAsia="Franklin Gothic Book"/>
        </w:rPr>
      </w:pPr>
      <w:r w:rsidRPr="0020381F">
        <w:rPr>
          <w:rFonts w:eastAsia="Franklin Gothic Book"/>
        </w:rPr>
        <w:t xml:space="preserve">The flow chart shown in </w:t>
      </w:r>
      <w:r>
        <w:rPr>
          <w:rFonts w:eastAsia="Franklin Gothic Book"/>
        </w:rPr>
        <w:t>Figure 4-2</w:t>
      </w:r>
      <w:r w:rsidRPr="0020381F">
        <w:rPr>
          <w:rFonts w:eastAsia="Franklin Gothic Book"/>
        </w:rPr>
        <w:t xml:space="preserve"> illustrates how net savings will be derived for an ARP. As shown, below, expected savings fall into </w:t>
      </w:r>
      <w:r>
        <w:rPr>
          <w:rFonts w:eastAsia="Franklin Gothic Book"/>
        </w:rPr>
        <w:t>three</w:t>
      </w:r>
      <w:r w:rsidRPr="0020381F">
        <w:rPr>
          <w:rFonts w:eastAsia="Franklin Gothic Book"/>
        </w:rPr>
        <w:t xml:space="preserve"> different scenarios.</w:t>
      </w:r>
    </w:p>
    <w:p w14:paraId="149B3EB5" w14:textId="77777777" w:rsidR="00D34C6E" w:rsidRPr="00F50682" w:rsidRDefault="00D34C6E" w:rsidP="00D34C6E">
      <w:pPr>
        <w:widowControl/>
        <w:spacing w:after="160" w:line="259" w:lineRule="auto"/>
        <w:jc w:val="left"/>
      </w:pPr>
      <w:r>
        <w:br w:type="page"/>
      </w:r>
    </w:p>
    <w:p w14:paraId="22C162E6" w14:textId="379C2AAC" w:rsidR="00D34C6E" w:rsidRDefault="00BD5DED" w:rsidP="00D21F1A">
      <w:pPr>
        <w:pStyle w:val="Captions"/>
        <w:rPr>
          <w:rFonts w:eastAsia="Franklin Gothic Book"/>
        </w:rPr>
      </w:pPr>
      <w:bookmarkStart w:id="1456" w:name="_Ref409364609"/>
      <w:bookmarkStart w:id="1457" w:name="_Toc411599507"/>
      <w:bookmarkStart w:id="1458" w:name="_Toc472494756"/>
      <w:bookmarkStart w:id="1459" w:name="_Toc473108116"/>
      <w:bookmarkStart w:id="1460" w:name="_Toc520824264"/>
      <w:bookmarkStart w:id="1461" w:name="_Toc523148246"/>
      <w:bookmarkStart w:id="1462" w:name="_Toc16620008"/>
      <w:bookmarkStart w:id="1463" w:name="_Toc83376835"/>
      <w:r>
        <w:rPr>
          <w:rFonts w:eastAsia="Franklin Gothic Book"/>
          <w:noProof/>
        </w:rPr>
        <w:lastRenderedPageBreak/>
        <w:drawing>
          <wp:anchor distT="0" distB="0" distL="114300" distR="114300" simplePos="0" relativeHeight="251655680" behindDoc="0" locked="0" layoutInCell="1" allowOverlap="1" wp14:anchorId="0A57A2B2" wp14:editId="7D276B57">
            <wp:simplePos x="0" y="0"/>
            <wp:positionH relativeFrom="column">
              <wp:posOffset>0</wp:posOffset>
            </wp:positionH>
            <wp:positionV relativeFrom="paragraph">
              <wp:posOffset>187325</wp:posOffset>
            </wp:positionV>
            <wp:extent cx="5943600" cy="4743450"/>
            <wp:effectExtent l="0" t="0" r="0"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low_chart_071218.pn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5943600" cy="4743450"/>
                    </a:xfrm>
                    <a:prstGeom prst="rect">
                      <a:avLst/>
                    </a:prstGeom>
                  </pic:spPr>
                </pic:pic>
              </a:graphicData>
            </a:graphic>
          </wp:anchor>
        </w:drawing>
      </w:r>
      <w:r w:rsidR="00D34C6E">
        <w:t>Figure</w:t>
      </w:r>
      <w:bookmarkEnd w:id="1456"/>
      <w:r w:rsidR="00D34C6E">
        <w:t xml:space="preserve"> 4</w:t>
      </w:r>
      <w:r w:rsidR="00D34C6E">
        <w:noBreakHyphen/>
        <w:t>2</w:t>
      </w:r>
      <w:r w:rsidR="00D34C6E" w:rsidRPr="0020381F">
        <w:rPr>
          <w:rFonts w:eastAsia="Franklin Gothic Book"/>
        </w:rPr>
        <w:t>. Appliance Retirement Scenarios</w:t>
      </w:r>
      <w:bookmarkEnd w:id="1457"/>
      <w:bookmarkEnd w:id="1458"/>
      <w:bookmarkEnd w:id="1459"/>
      <w:bookmarkEnd w:id="1460"/>
      <w:bookmarkEnd w:id="1461"/>
      <w:bookmarkEnd w:id="1462"/>
      <w:bookmarkEnd w:id="1463"/>
    </w:p>
    <w:p w14:paraId="6FFBCD6B" w14:textId="7E1CF2D1" w:rsidR="00D34C6E" w:rsidRDefault="00D34C6E" w:rsidP="00D34C6E">
      <w:pPr>
        <w:rPr>
          <w:rFonts w:eastAsia="Franklin Gothic Book"/>
        </w:rPr>
      </w:pPr>
    </w:p>
    <w:p w14:paraId="2A048718" w14:textId="77777777" w:rsidR="00D34C6E" w:rsidRPr="00561644" w:rsidRDefault="00D34C6E" w:rsidP="00D34C6E">
      <w:pPr>
        <w:rPr>
          <w:rFonts w:eastAsia="Franklin Gothic Book"/>
          <w:sz w:val="18"/>
        </w:rPr>
      </w:pPr>
      <w:r w:rsidRPr="00561644">
        <w:rPr>
          <w:rFonts w:eastAsia="Franklin Gothic Book"/>
          <w:sz w:val="18"/>
        </w:rPr>
        <w:t>Source: Adapted from the Pennsylvania Statewide Evaluator Common Approach for Measuring Net Savings for Appliance Retirement Programs, Guidance Memo-026, March 14, 2014.</w:t>
      </w:r>
    </w:p>
    <w:p w14:paraId="0ABF7C10" w14:textId="77777777" w:rsidR="00D34C6E" w:rsidRDefault="00D34C6E" w:rsidP="001A2AE6">
      <w:pPr>
        <w:pStyle w:val="Heading4"/>
      </w:pPr>
      <w:bookmarkStart w:id="1464" w:name="_Toc442804277"/>
      <w:bookmarkStart w:id="1465" w:name="_Toc442805494"/>
      <w:r w:rsidRPr="0020381F">
        <w:t>Scoring Algorithm</w:t>
      </w:r>
      <w:bookmarkEnd w:id="1464"/>
      <w:bookmarkEnd w:id="1465"/>
    </w:p>
    <w:p w14:paraId="6F072B34" w14:textId="77777777" w:rsidR="00D34C6E" w:rsidRDefault="00D34C6E" w:rsidP="00D34C6E">
      <w:pPr>
        <w:rPr>
          <w:rFonts w:eastAsia="Franklin Gothic Book"/>
        </w:rPr>
      </w:pPr>
      <w:r w:rsidRPr="0020381F">
        <w:rPr>
          <w:rFonts w:eastAsia="Franklin Gothic Book"/>
        </w:rPr>
        <w:t>Net savings will be assigned individually to each respondent, based on responses provided to the questions discussed above. Net savings will be averaged across all respondents to calculate program-level net savings. The following equation will be used:</w:t>
      </w:r>
    </w:p>
    <w:p w14:paraId="01116F58" w14:textId="77777777" w:rsidR="00D34C6E" w:rsidRPr="001702D1" w:rsidRDefault="00D34C6E" w:rsidP="00D34C6E">
      <m:oMathPara>
        <m:oMath>
          <m:r>
            <w:rPr>
              <w:rFonts w:ascii="Cambria Math" w:eastAsia="Franklin Gothic Book" w:hAnsi="Cambria Math"/>
            </w:rPr>
            <m:t>FR</m:t>
          </m:r>
          <m:r>
            <m:rPr>
              <m:sty m:val="p"/>
            </m:rPr>
            <w:rPr>
              <w:rFonts w:ascii="Cambria Math" w:eastAsia="Franklin Gothic Book" w:hAnsi="Cambria Math"/>
            </w:rPr>
            <m:t>=</m:t>
          </m:r>
          <m:d>
            <m:dPr>
              <m:ctrlPr>
                <w:rPr>
                  <w:rFonts w:ascii="Cambria Math" w:eastAsia="Franklin Gothic Book" w:hAnsi="Cambria Math"/>
                </w:rPr>
              </m:ctrlPr>
            </m:dPr>
            <m:e>
              <m:r>
                <w:rPr>
                  <w:rFonts w:ascii="Cambria Math" w:eastAsia="Franklin Gothic Book" w:hAnsi="Cambria Math"/>
                </w:rPr>
                <m:t>free ridership</m:t>
              </m:r>
              <m:r>
                <m:rPr>
                  <m:sty m:val="p"/>
                </m:rPr>
                <w:rPr>
                  <w:rFonts w:ascii="Cambria Math" w:eastAsia="Franklin Gothic Book" w:hAnsi="Cambria Math"/>
                </w:rPr>
                <m:t xml:space="preserve"> </m:t>
              </m:r>
              <m:r>
                <w:rPr>
                  <w:rFonts w:ascii="Cambria Math" w:eastAsia="Franklin Gothic Book" w:hAnsi="Cambria Math"/>
                </w:rPr>
                <m:t>and</m:t>
              </m:r>
              <m:r>
                <m:rPr>
                  <m:sty m:val="p"/>
                </m:rPr>
                <w:rPr>
                  <w:rFonts w:ascii="Cambria Math" w:eastAsia="Franklin Gothic Book" w:hAnsi="Cambria Math"/>
                </w:rPr>
                <m:t xml:space="preserve"> </m:t>
              </m:r>
              <m:r>
                <w:rPr>
                  <w:rFonts w:ascii="Cambria Math" w:eastAsia="Franklin Gothic Book" w:hAnsi="Cambria Math"/>
                </w:rPr>
                <m:t>secondary</m:t>
              </m:r>
              <m:r>
                <m:rPr>
                  <m:sty m:val="p"/>
                </m:rPr>
                <w:rPr>
                  <w:rFonts w:ascii="Cambria Math" w:eastAsia="Franklin Gothic Book" w:hAnsi="Cambria Math"/>
                </w:rPr>
                <m:t xml:space="preserve"> </m:t>
              </m:r>
              <m:r>
                <w:rPr>
                  <w:rFonts w:ascii="Cambria Math" w:eastAsia="Franklin Gothic Book" w:hAnsi="Cambria Math"/>
                </w:rPr>
                <m:t>market</m:t>
              </m:r>
              <m:r>
                <m:rPr>
                  <m:sty m:val="p"/>
                </m:rPr>
                <w:rPr>
                  <w:rFonts w:ascii="Cambria Math" w:eastAsia="Franklin Gothic Book" w:hAnsi="Cambria Math"/>
                </w:rPr>
                <m:t xml:space="preserve"> </m:t>
              </m:r>
              <m:r>
                <w:rPr>
                  <w:rFonts w:ascii="Cambria Math" w:eastAsia="Franklin Gothic Book" w:hAnsi="Cambria Math"/>
                </w:rPr>
                <m:t>impacts</m:t>
              </m:r>
              <m:r>
                <m:rPr>
                  <m:sty m:val="p"/>
                </m:rPr>
                <w:rPr>
                  <w:rFonts w:ascii="Cambria Math" w:eastAsia="Franklin Gothic Book" w:hAnsi="Cambria Math"/>
                </w:rPr>
                <m:t xml:space="preserve"> %-</m:t>
              </m:r>
              <m:r>
                <w:rPr>
                  <w:rFonts w:ascii="Cambria Math" w:eastAsia="Franklin Gothic Book" w:hAnsi="Cambria Math"/>
                </w:rPr>
                <m:t>induced</m:t>
              </m:r>
              <m:r>
                <m:rPr>
                  <m:sty m:val="p"/>
                </m:rPr>
                <w:rPr>
                  <w:rFonts w:ascii="Cambria Math" w:eastAsia="Franklin Gothic Book" w:hAnsi="Cambria Math"/>
                </w:rPr>
                <m:t xml:space="preserve"> </m:t>
              </m:r>
              <m:r>
                <w:rPr>
                  <w:rFonts w:ascii="Cambria Math" w:eastAsia="Franklin Gothic Book" w:hAnsi="Cambria Math"/>
                </w:rPr>
                <m:t xml:space="preserve">replacement </m:t>
              </m:r>
              <m:r>
                <m:rPr>
                  <m:sty m:val="p"/>
                </m:rPr>
                <w:rPr>
                  <w:rFonts w:ascii="Cambria Math" w:eastAsia="Franklin Gothic Book" w:hAnsi="Cambria Math"/>
                </w:rPr>
                <m:t>%</m:t>
              </m:r>
            </m:e>
          </m:d>
        </m:oMath>
      </m:oMathPara>
    </w:p>
    <w:p w14:paraId="14E9236A" w14:textId="77777777" w:rsidR="00D34C6E" w:rsidRDefault="00D34C6E" w:rsidP="00D34C6E">
      <w:r>
        <w:rPr>
          <w:rFonts w:eastAsia="Franklin Gothic Book"/>
        </w:rPr>
        <w:t xml:space="preserve">Table 4-4 </w:t>
      </w:r>
      <w:r w:rsidRPr="0020381F">
        <w:rPr>
          <w:rFonts w:eastAsia="Franklin Gothic Book"/>
        </w:rPr>
        <w:t xml:space="preserve">demonstrates the proportion of a sample population classified into each of the </w:t>
      </w:r>
      <w:r>
        <w:rPr>
          <w:rFonts w:eastAsia="Franklin Gothic Book"/>
        </w:rPr>
        <w:t>eight</w:t>
      </w:r>
      <w:r w:rsidRPr="0020381F">
        <w:rPr>
          <w:rFonts w:eastAsia="Franklin Gothic Book"/>
        </w:rPr>
        <w:t xml:space="preserve"> potential </w:t>
      </w:r>
      <w:r>
        <w:rPr>
          <w:rFonts w:eastAsia="Franklin Gothic Book"/>
        </w:rPr>
        <w:t xml:space="preserve">(Tertiary Classification) </w:t>
      </w:r>
      <w:r w:rsidRPr="0020381F">
        <w:rPr>
          <w:rFonts w:eastAsia="Franklin Gothic Book"/>
        </w:rPr>
        <w:t>categories and the resulting weighted net savings.</w:t>
      </w:r>
      <w:bookmarkStart w:id="1466" w:name="_Ref430857026"/>
    </w:p>
    <w:p w14:paraId="4F0065EF" w14:textId="77777777" w:rsidR="00D34C6E" w:rsidRPr="0020381F" w:rsidRDefault="00D34C6E" w:rsidP="0021790A">
      <w:pPr>
        <w:pStyle w:val="TableHeading"/>
        <w:rPr>
          <w:rFonts w:eastAsia="Franklin Gothic Book"/>
        </w:rPr>
      </w:pPr>
      <w:bookmarkStart w:id="1467" w:name="_Ref408483541"/>
      <w:bookmarkStart w:id="1468" w:name="_Toc411599468"/>
      <w:bookmarkStart w:id="1469" w:name="_Toc472494773"/>
      <w:bookmarkStart w:id="1470" w:name="_Toc473108160"/>
      <w:bookmarkStart w:id="1471" w:name="_Toc520824292"/>
      <w:bookmarkStart w:id="1472" w:name="_Toc523148264"/>
      <w:bookmarkStart w:id="1473" w:name="_Toc16620025"/>
      <w:bookmarkStart w:id="1474" w:name="_Toc83376856"/>
      <w:r>
        <w:t xml:space="preserve">Table </w:t>
      </w:r>
      <w:bookmarkEnd w:id="1467"/>
      <w:r>
        <w:t>4</w:t>
      </w:r>
      <w:r>
        <w:noBreakHyphen/>
      </w:r>
      <w:bookmarkEnd w:id="1466"/>
      <w:r>
        <w:t>2</w:t>
      </w:r>
      <w:r w:rsidRPr="0020381F">
        <w:rPr>
          <w:rFonts w:eastAsia="Franklin Gothic Book"/>
        </w:rPr>
        <w:t xml:space="preserve">. Net </w:t>
      </w:r>
      <w:r w:rsidRPr="002B20D1">
        <w:rPr>
          <w:rFonts w:eastAsia="Franklin Gothic Book"/>
        </w:rPr>
        <w:t>Savings</w:t>
      </w:r>
      <w:r w:rsidRPr="0020381F">
        <w:rPr>
          <w:rFonts w:eastAsia="Franklin Gothic Book"/>
        </w:rPr>
        <w:t xml:space="preserve"> Example for a Sample Population*</w:t>
      </w:r>
      <w:bookmarkEnd w:id="1468"/>
      <w:bookmarkEnd w:id="1469"/>
      <w:bookmarkEnd w:id="1470"/>
      <w:bookmarkEnd w:id="1471"/>
      <w:bookmarkEnd w:id="1472"/>
      <w:bookmarkEnd w:id="1473"/>
      <w:bookmarkEnd w:id="1474"/>
    </w:p>
    <w:tbl>
      <w:tblPr>
        <w:tblW w:w="95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8"/>
        <w:gridCol w:w="1890"/>
        <w:gridCol w:w="1507"/>
        <w:gridCol w:w="1350"/>
        <w:gridCol w:w="1193"/>
        <w:gridCol w:w="1080"/>
        <w:gridCol w:w="1008"/>
      </w:tblGrid>
      <w:tr w:rsidR="00D34C6E" w:rsidRPr="002F5FEF" w14:paraId="5619092D" w14:textId="77777777" w:rsidTr="002B6C05">
        <w:trPr>
          <w:trHeight w:val="20"/>
          <w:tblHeader/>
        </w:trPr>
        <w:tc>
          <w:tcPr>
            <w:tcW w:w="1548" w:type="dxa"/>
            <w:tcBorders>
              <w:bottom w:val="single" w:sz="12" w:space="0" w:color="666666"/>
            </w:tcBorders>
            <w:shd w:val="clear" w:color="auto" w:fill="auto"/>
            <w:noWrap/>
            <w:vAlign w:val="center"/>
            <w:hideMark/>
          </w:tcPr>
          <w:p w14:paraId="5D5371A7" w14:textId="77777777" w:rsidR="00D34C6E" w:rsidRPr="002F5FEF" w:rsidRDefault="00D34C6E" w:rsidP="002B6C05">
            <w:pPr>
              <w:spacing w:after="0"/>
              <w:jc w:val="center"/>
              <w:rPr>
                <w:rFonts w:eastAsia="Franklin Gothic Book"/>
                <w:b/>
                <w:bCs/>
              </w:rPr>
            </w:pPr>
            <w:r w:rsidRPr="002F5FEF">
              <w:rPr>
                <w:rFonts w:eastAsia="Franklin Gothic Book"/>
                <w:b/>
                <w:bCs/>
              </w:rPr>
              <w:t>Primary Classification</w:t>
            </w:r>
          </w:p>
        </w:tc>
        <w:tc>
          <w:tcPr>
            <w:tcW w:w="1890" w:type="dxa"/>
            <w:tcBorders>
              <w:bottom w:val="single" w:sz="12" w:space="0" w:color="666666"/>
            </w:tcBorders>
            <w:shd w:val="clear" w:color="auto" w:fill="auto"/>
            <w:noWrap/>
            <w:vAlign w:val="center"/>
            <w:hideMark/>
          </w:tcPr>
          <w:p w14:paraId="653C0482" w14:textId="77777777" w:rsidR="00D34C6E" w:rsidRPr="002F5FEF" w:rsidRDefault="00D34C6E" w:rsidP="002B6C05">
            <w:pPr>
              <w:spacing w:after="0"/>
              <w:jc w:val="center"/>
              <w:rPr>
                <w:rFonts w:eastAsia="Franklin Gothic Book"/>
                <w:b/>
                <w:bCs/>
              </w:rPr>
            </w:pPr>
            <w:r w:rsidRPr="002F5FEF">
              <w:rPr>
                <w:rFonts w:eastAsia="Franklin Gothic Book"/>
                <w:b/>
                <w:bCs/>
              </w:rPr>
              <w:t>Secondary Classification</w:t>
            </w:r>
          </w:p>
        </w:tc>
        <w:tc>
          <w:tcPr>
            <w:tcW w:w="1507" w:type="dxa"/>
            <w:tcBorders>
              <w:bottom w:val="single" w:sz="12" w:space="0" w:color="666666"/>
            </w:tcBorders>
            <w:shd w:val="clear" w:color="auto" w:fill="auto"/>
            <w:noWrap/>
            <w:vAlign w:val="center"/>
            <w:hideMark/>
          </w:tcPr>
          <w:p w14:paraId="4A85DE32" w14:textId="77777777" w:rsidR="00D34C6E" w:rsidRPr="002F5FEF" w:rsidRDefault="00D34C6E" w:rsidP="002B6C05">
            <w:pPr>
              <w:spacing w:after="0"/>
              <w:jc w:val="center"/>
              <w:rPr>
                <w:rFonts w:eastAsia="Franklin Gothic Book"/>
                <w:b/>
                <w:bCs/>
              </w:rPr>
            </w:pPr>
            <w:r w:rsidRPr="002F5FEF">
              <w:rPr>
                <w:rFonts w:eastAsia="Franklin Gothic Book"/>
                <w:b/>
                <w:bCs/>
              </w:rPr>
              <w:t>Tertiary Classification</w:t>
            </w:r>
          </w:p>
        </w:tc>
        <w:tc>
          <w:tcPr>
            <w:tcW w:w="1350" w:type="dxa"/>
            <w:tcBorders>
              <w:bottom w:val="single" w:sz="12" w:space="0" w:color="666666"/>
            </w:tcBorders>
            <w:shd w:val="clear" w:color="auto" w:fill="auto"/>
            <w:noWrap/>
            <w:vAlign w:val="center"/>
            <w:hideMark/>
          </w:tcPr>
          <w:p w14:paraId="0CA9FE62" w14:textId="77777777" w:rsidR="00D34C6E" w:rsidRPr="002F5FEF" w:rsidRDefault="00D34C6E" w:rsidP="002B6C05">
            <w:pPr>
              <w:spacing w:after="0"/>
              <w:jc w:val="center"/>
              <w:rPr>
                <w:rFonts w:eastAsia="Franklin Gothic Book"/>
                <w:b/>
                <w:bCs/>
              </w:rPr>
            </w:pPr>
            <w:r w:rsidRPr="002F5FEF">
              <w:rPr>
                <w:rFonts w:eastAsia="Franklin Gothic Book"/>
                <w:b/>
                <w:bCs/>
              </w:rPr>
              <w:t>Population (%)</w:t>
            </w:r>
          </w:p>
        </w:tc>
        <w:tc>
          <w:tcPr>
            <w:tcW w:w="1193" w:type="dxa"/>
            <w:tcBorders>
              <w:bottom w:val="single" w:sz="12" w:space="0" w:color="666666"/>
            </w:tcBorders>
            <w:shd w:val="clear" w:color="auto" w:fill="auto"/>
            <w:vAlign w:val="center"/>
            <w:hideMark/>
          </w:tcPr>
          <w:p w14:paraId="70909D63" w14:textId="77777777" w:rsidR="00D34C6E" w:rsidRPr="002F5FEF" w:rsidRDefault="00D34C6E" w:rsidP="002B6C05">
            <w:pPr>
              <w:spacing w:after="0"/>
              <w:jc w:val="center"/>
              <w:rPr>
                <w:rFonts w:eastAsia="Franklin Gothic Book"/>
                <w:b/>
                <w:bCs/>
              </w:rPr>
            </w:pPr>
            <w:r w:rsidRPr="002F5FEF">
              <w:rPr>
                <w:rFonts w:eastAsia="Franklin Gothic Book"/>
                <w:b/>
                <w:bCs/>
              </w:rPr>
              <w:t>UEC (kWh) w/out Program</w:t>
            </w:r>
          </w:p>
        </w:tc>
        <w:tc>
          <w:tcPr>
            <w:tcW w:w="1080" w:type="dxa"/>
            <w:tcBorders>
              <w:bottom w:val="single" w:sz="12" w:space="0" w:color="666666"/>
            </w:tcBorders>
            <w:shd w:val="clear" w:color="auto" w:fill="auto"/>
            <w:vAlign w:val="center"/>
            <w:hideMark/>
          </w:tcPr>
          <w:p w14:paraId="76F2CA1C" w14:textId="77777777" w:rsidR="00D34C6E" w:rsidRPr="002F5FEF" w:rsidRDefault="00D34C6E" w:rsidP="002B6C05">
            <w:pPr>
              <w:spacing w:after="0"/>
              <w:jc w:val="center"/>
              <w:rPr>
                <w:rFonts w:eastAsia="Franklin Gothic Book"/>
                <w:b/>
                <w:bCs/>
              </w:rPr>
            </w:pPr>
            <w:r w:rsidRPr="002F5FEF">
              <w:rPr>
                <w:rFonts w:eastAsia="Franklin Gothic Book"/>
                <w:b/>
                <w:bCs/>
              </w:rPr>
              <w:t>UEC (kWh) w/ Program</w:t>
            </w:r>
          </w:p>
        </w:tc>
        <w:tc>
          <w:tcPr>
            <w:tcW w:w="1008" w:type="dxa"/>
            <w:tcBorders>
              <w:bottom w:val="single" w:sz="12" w:space="0" w:color="666666"/>
            </w:tcBorders>
            <w:shd w:val="clear" w:color="auto" w:fill="auto"/>
            <w:noWrap/>
            <w:vAlign w:val="center"/>
            <w:hideMark/>
          </w:tcPr>
          <w:p w14:paraId="5B408AC8" w14:textId="77777777" w:rsidR="00D34C6E" w:rsidRPr="002F5FEF" w:rsidRDefault="00D34C6E" w:rsidP="002B6C05">
            <w:pPr>
              <w:spacing w:after="0"/>
              <w:jc w:val="center"/>
              <w:rPr>
                <w:rFonts w:eastAsia="Franklin Gothic Book"/>
                <w:b/>
                <w:bCs/>
              </w:rPr>
            </w:pPr>
            <w:r w:rsidRPr="002F5FEF">
              <w:rPr>
                <w:rFonts w:eastAsia="Franklin Gothic Book"/>
                <w:b/>
                <w:bCs/>
              </w:rPr>
              <w:t>kWh Savings</w:t>
            </w:r>
          </w:p>
        </w:tc>
      </w:tr>
      <w:tr w:rsidR="00D34C6E" w:rsidRPr="002F5FEF" w14:paraId="4756707F" w14:textId="77777777" w:rsidTr="002B6C05">
        <w:trPr>
          <w:trHeight w:val="20"/>
        </w:trPr>
        <w:tc>
          <w:tcPr>
            <w:tcW w:w="1548" w:type="dxa"/>
            <w:shd w:val="clear" w:color="auto" w:fill="auto"/>
            <w:vAlign w:val="center"/>
            <w:hideMark/>
          </w:tcPr>
          <w:p w14:paraId="1981DA1E" w14:textId="77777777" w:rsidR="00D34C6E" w:rsidRPr="002F5FEF" w:rsidRDefault="00D34C6E" w:rsidP="002B6C05">
            <w:pPr>
              <w:spacing w:after="0"/>
              <w:jc w:val="left"/>
              <w:rPr>
                <w:rFonts w:eastAsia="Franklin Gothic Book"/>
                <w:b/>
                <w:bCs/>
              </w:rPr>
            </w:pPr>
            <w:r w:rsidRPr="002F5FEF">
              <w:rPr>
                <w:rFonts w:eastAsia="Franklin Gothic Book"/>
                <w:b/>
                <w:bCs/>
              </w:rPr>
              <w:t>Would have kept unit</w:t>
            </w:r>
          </w:p>
        </w:tc>
        <w:tc>
          <w:tcPr>
            <w:tcW w:w="1890" w:type="dxa"/>
            <w:shd w:val="clear" w:color="auto" w:fill="auto"/>
            <w:noWrap/>
            <w:vAlign w:val="center"/>
            <w:hideMark/>
          </w:tcPr>
          <w:p w14:paraId="2599716A" w14:textId="77777777" w:rsidR="00D34C6E" w:rsidRPr="002F5FEF" w:rsidRDefault="00D34C6E" w:rsidP="002B6C05">
            <w:pPr>
              <w:spacing w:after="0"/>
              <w:jc w:val="left"/>
              <w:rPr>
                <w:rFonts w:eastAsia="Franklin Gothic Book"/>
              </w:rPr>
            </w:pPr>
            <w:r w:rsidRPr="002F5FEF">
              <w:rPr>
                <w:rFonts w:eastAsia="Franklin Gothic Book"/>
              </w:rPr>
              <w:t xml:space="preserve">Scenario </w:t>
            </w:r>
            <w:r>
              <w:rPr>
                <w:rFonts w:eastAsia="Franklin Gothic Book"/>
              </w:rPr>
              <w:t>A</w:t>
            </w:r>
            <w:r w:rsidRPr="002F5FEF">
              <w:rPr>
                <w:rFonts w:eastAsia="Franklin Gothic Book"/>
              </w:rPr>
              <w:t xml:space="preserve">: Kept </w:t>
            </w:r>
            <w:r>
              <w:rPr>
                <w:rFonts w:eastAsia="Franklin Gothic Book"/>
              </w:rPr>
              <w:t xml:space="preserve">No </w:t>
            </w:r>
            <w:r w:rsidRPr="002F5FEF">
              <w:rPr>
                <w:rFonts w:eastAsia="Franklin Gothic Book"/>
              </w:rPr>
              <w:t>Induced Replacement</w:t>
            </w:r>
          </w:p>
        </w:tc>
        <w:tc>
          <w:tcPr>
            <w:tcW w:w="1507" w:type="dxa"/>
            <w:shd w:val="clear" w:color="auto" w:fill="auto"/>
            <w:noWrap/>
            <w:vAlign w:val="center"/>
            <w:hideMark/>
          </w:tcPr>
          <w:p w14:paraId="0AA0B20C" w14:textId="77777777" w:rsidR="00D34C6E" w:rsidRPr="002F5FEF" w:rsidRDefault="00D34C6E" w:rsidP="002B6C05">
            <w:pPr>
              <w:spacing w:after="0"/>
              <w:jc w:val="left"/>
              <w:rPr>
                <w:rFonts w:eastAsia="Franklin Gothic Book"/>
              </w:rPr>
            </w:pPr>
            <w:r w:rsidRPr="002F5FEF">
              <w:rPr>
                <w:rFonts w:eastAsia="Franklin Gothic Book"/>
              </w:rPr>
              <w:t>N/A</w:t>
            </w:r>
          </w:p>
        </w:tc>
        <w:tc>
          <w:tcPr>
            <w:tcW w:w="1350" w:type="dxa"/>
            <w:shd w:val="clear" w:color="auto" w:fill="auto"/>
            <w:noWrap/>
            <w:vAlign w:val="center"/>
            <w:hideMark/>
          </w:tcPr>
          <w:p w14:paraId="51DB3539" w14:textId="77777777" w:rsidR="00D34C6E" w:rsidRPr="002F5FEF" w:rsidRDefault="00D34C6E" w:rsidP="002B6C05">
            <w:pPr>
              <w:spacing w:after="0"/>
              <w:jc w:val="center"/>
              <w:rPr>
                <w:rFonts w:eastAsia="Franklin Gothic Book"/>
              </w:rPr>
            </w:pPr>
            <w:r w:rsidRPr="002F5FEF">
              <w:rPr>
                <w:rFonts w:eastAsia="Franklin Gothic Book"/>
              </w:rPr>
              <w:t>25%</w:t>
            </w:r>
          </w:p>
        </w:tc>
        <w:tc>
          <w:tcPr>
            <w:tcW w:w="1193" w:type="dxa"/>
            <w:shd w:val="clear" w:color="auto" w:fill="auto"/>
            <w:noWrap/>
            <w:vAlign w:val="center"/>
            <w:hideMark/>
          </w:tcPr>
          <w:p w14:paraId="6195B4C1" w14:textId="77777777" w:rsidR="00D34C6E" w:rsidRPr="002F5FEF" w:rsidRDefault="00D34C6E" w:rsidP="002B6C05">
            <w:pPr>
              <w:spacing w:after="0"/>
              <w:jc w:val="center"/>
              <w:rPr>
                <w:rFonts w:eastAsia="Franklin Gothic Book"/>
              </w:rPr>
            </w:pPr>
            <w:r w:rsidRPr="002F5FEF">
              <w:rPr>
                <w:rFonts w:eastAsia="Franklin Gothic Book"/>
              </w:rPr>
              <w:t>1,026</w:t>
            </w:r>
          </w:p>
        </w:tc>
        <w:tc>
          <w:tcPr>
            <w:tcW w:w="1080" w:type="dxa"/>
            <w:shd w:val="clear" w:color="auto" w:fill="auto"/>
            <w:noWrap/>
            <w:vAlign w:val="center"/>
            <w:hideMark/>
          </w:tcPr>
          <w:p w14:paraId="47444347" w14:textId="77777777" w:rsidR="00D34C6E" w:rsidRPr="002F5FEF" w:rsidRDefault="00D34C6E" w:rsidP="002B6C05">
            <w:pPr>
              <w:spacing w:after="0"/>
              <w:jc w:val="center"/>
              <w:rPr>
                <w:rFonts w:eastAsia="Franklin Gothic Book"/>
              </w:rPr>
            </w:pPr>
            <w:r w:rsidRPr="002F5FEF">
              <w:rPr>
                <w:rFonts w:eastAsia="Franklin Gothic Book"/>
              </w:rPr>
              <w:t>0</w:t>
            </w:r>
          </w:p>
        </w:tc>
        <w:tc>
          <w:tcPr>
            <w:tcW w:w="1008" w:type="dxa"/>
            <w:shd w:val="clear" w:color="auto" w:fill="auto"/>
            <w:noWrap/>
            <w:vAlign w:val="center"/>
            <w:hideMark/>
          </w:tcPr>
          <w:p w14:paraId="20D5DB9A" w14:textId="77777777" w:rsidR="00D34C6E" w:rsidRPr="002F5FEF" w:rsidRDefault="00D34C6E" w:rsidP="002B6C05">
            <w:pPr>
              <w:spacing w:after="0"/>
              <w:jc w:val="center"/>
              <w:rPr>
                <w:rFonts w:eastAsia="Franklin Gothic Book"/>
              </w:rPr>
            </w:pPr>
            <w:r w:rsidRPr="002F5FEF">
              <w:rPr>
                <w:rFonts w:eastAsia="Franklin Gothic Book"/>
              </w:rPr>
              <w:t>1,026</w:t>
            </w:r>
          </w:p>
        </w:tc>
      </w:tr>
      <w:tr w:rsidR="00D34C6E" w:rsidRPr="002F5FEF" w14:paraId="6562F031" w14:textId="77777777" w:rsidTr="002B6C05">
        <w:trPr>
          <w:trHeight w:val="20"/>
        </w:trPr>
        <w:tc>
          <w:tcPr>
            <w:tcW w:w="1548" w:type="dxa"/>
            <w:vMerge w:val="restart"/>
            <w:shd w:val="clear" w:color="auto" w:fill="auto"/>
            <w:vAlign w:val="center"/>
            <w:hideMark/>
          </w:tcPr>
          <w:p w14:paraId="5A2691E6" w14:textId="77777777" w:rsidR="00D34C6E" w:rsidRPr="002F5FEF" w:rsidRDefault="00D34C6E" w:rsidP="002B6C05">
            <w:pPr>
              <w:spacing w:after="0"/>
              <w:jc w:val="left"/>
              <w:rPr>
                <w:rFonts w:eastAsia="Franklin Gothic Book"/>
                <w:b/>
                <w:bCs/>
              </w:rPr>
            </w:pPr>
            <w:r w:rsidRPr="002F5FEF">
              <w:rPr>
                <w:rFonts w:eastAsia="Franklin Gothic Book"/>
                <w:b/>
                <w:bCs/>
              </w:rPr>
              <w:t xml:space="preserve">Would have </w:t>
            </w:r>
            <w:r w:rsidRPr="002F5FEF">
              <w:rPr>
                <w:rFonts w:eastAsia="Franklin Gothic Book"/>
                <w:b/>
                <w:bCs/>
              </w:rPr>
              <w:lastRenderedPageBreak/>
              <w:t>removed unit</w:t>
            </w:r>
          </w:p>
        </w:tc>
        <w:tc>
          <w:tcPr>
            <w:tcW w:w="1890" w:type="dxa"/>
            <w:shd w:val="clear" w:color="auto" w:fill="auto"/>
            <w:noWrap/>
            <w:vAlign w:val="center"/>
            <w:hideMark/>
          </w:tcPr>
          <w:p w14:paraId="14B815A0" w14:textId="77777777" w:rsidR="00D34C6E" w:rsidRPr="002F5FEF" w:rsidRDefault="00D34C6E" w:rsidP="002B6C05">
            <w:pPr>
              <w:spacing w:after="0"/>
              <w:jc w:val="left"/>
              <w:rPr>
                <w:rFonts w:eastAsia="Franklin Gothic Book"/>
              </w:rPr>
            </w:pPr>
            <w:r w:rsidRPr="002F5FEF">
              <w:rPr>
                <w:rFonts w:eastAsia="Franklin Gothic Book"/>
              </w:rPr>
              <w:lastRenderedPageBreak/>
              <w:t xml:space="preserve">Scenario </w:t>
            </w:r>
            <w:r>
              <w:rPr>
                <w:rFonts w:eastAsia="Franklin Gothic Book"/>
              </w:rPr>
              <w:t>B</w:t>
            </w:r>
            <w:r w:rsidRPr="002F5FEF">
              <w:rPr>
                <w:rFonts w:eastAsia="Franklin Gothic Book"/>
              </w:rPr>
              <w:t xml:space="preserve">: </w:t>
            </w:r>
            <w:r w:rsidRPr="002F5FEF">
              <w:rPr>
                <w:rFonts w:eastAsia="Franklin Gothic Book"/>
              </w:rPr>
              <w:lastRenderedPageBreak/>
              <w:t>Transferred No Induced Replacement</w:t>
            </w:r>
          </w:p>
        </w:tc>
        <w:tc>
          <w:tcPr>
            <w:tcW w:w="1507" w:type="dxa"/>
            <w:shd w:val="clear" w:color="auto" w:fill="auto"/>
            <w:noWrap/>
            <w:vAlign w:val="center"/>
          </w:tcPr>
          <w:p w14:paraId="75225245" w14:textId="77777777" w:rsidR="00D34C6E" w:rsidRPr="002F5FEF" w:rsidRDefault="00D34C6E" w:rsidP="002B6C05">
            <w:pPr>
              <w:spacing w:after="0"/>
              <w:jc w:val="left"/>
              <w:rPr>
                <w:rFonts w:eastAsia="Franklin Gothic Book"/>
              </w:rPr>
            </w:pPr>
            <w:r w:rsidRPr="002F5FEF">
              <w:rPr>
                <w:rFonts w:eastAsia="Franklin Gothic Book"/>
              </w:rPr>
              <w:lastRenderedPageBreak/>
              <w:t>N/A</w:t>
            </w:r>
          </w:p>
        </w:tc>
        <w:tc>
          <w:tcPr>
            <w:tcW w:w="1350" w:type="dxa"/>
            <w:shd w:val="clear" w:color="auto" w:fill="auto"/>
            <w:noWrap/>
            <w:vAlign w:val="center"/>
          </w:tcPr>
          <w:p w14:paraId="40BB1548" w14:textId="77777777" w:rsidR="00D34C6E" w:rsidRPr="002F5FEF" w:rsidRDefault="00D34C6E" w:rsidP="002B6C05">
            <w:pPr>
              <w:spacing w:after="0"/>
              <w:jc w:val="center"/>
              <w:rPr>
                <w:rFonts w:eastAsia="Franklin Gothic Book"/>
              </w:rPr>
            </w:pPr>
            <w:r w:rsidRPr="002F5FEF">
              <w:rPr>
                <w:rFonts w:eastAsia="Franklin Gothic Book"/>
              </w:rPr>
              <w:t>30%</w:t>
            </w:r>
          </w:p>
        </w:tc>
        <w:tc>
          <w:tcPr>
            <w:tcW w:w="1193" w:type="dxa"/>
            <w:shd w:val="clear" w:color="auto" w:fill="auto"/>
            <w:noWrap/>
            <w:vAlign w:val="center"/>
          </w:tcPr>
          <w:p w14:paraId="642C3A81" w14:textId="77777777" w:rsidR="00D34C6E" w:rsidRPr="002F5FEF" w:rsidRDefault="00D34C6E" w:rsidP="002B6C05">
            <w:pPr>
              <w:spacing w:after="0"/>
              <w:jc w:val="center"/>
              <w:rPr>
                <w:rFonts w:eastAsia="Franklin Gothic Book"/>
              </w:rPr>
            </w:pPr>
            <w:r w:rsidRPr="002F5FEF">
              <w:rPr>
                <w:rFonts w:eastAsia="Franklin Gothic Book"/>
              </w:rPr>
              <w:t>1,026</w:t>
            </w:r>
          </w:p>
        </w:tc>
        <w:tc>
          <w:tcPr>
            <w:tcW w:w="1080" w:type="dxa"/>
            <w:shd w:val="clear" w:color="auto" w:fill="auto"/>
            <w:noWrap/>
            <w:vAlign w:val="center"/>
          </w:tcPr>
          <w:p w14:paraId="0FCD4E6B" w14:textId="77777777" w:rsidR="00D34C6E" w:rsidRPr="002F5FEF" w:rsidRDefault="00D34C6E" w:rsidP="002B6C05">
            <w:pPr>
              <w:spacing w:after="0"/>
              <w:jc w:val="center"/>
              <w:rPr>
                <w:rFonts w:eastAsia="Franklin Gothic Book"/>
              </w:rPr>
            </w:pPr>
            <w:r w:rsidRPr="002F5FEF">
              <w:rPr>
                <w:rFonts w:eastAsia="Franklin Gothic Book"/>
              </w:rPr>
              <w:t>520</w:t>
            </w:r>
          </w:p>
        </w:tc>
        <w:tc>
          <w:tcPr>
            <w:tcW w:w="1008" w:type="dxa"/>
            <w:shd w:val="clear" w:color="auto" w:fill="auto"/>
            <w:noWrap/>
            <w:vAlign w:val="center"/>
          </w:tcPr>
          <w:p w14:paraId="52461365" w14:textId="77777777" w:rsidR="00D34C6E" w:rsidRPr="002F5FEF" w:rsidRDefault="00D34C6E" w:rsidP="002B6C05">
            <w:pPr>
              <w:spacing w:after="0"/>
              <w:jc w:val="center"/>
              <w:rPr>
                <w:rFonts w:eastAsia="Franklin Gothic Book"/>
              </w:rPr>
            </w:pPr>
            <w:r w:rsidRPr="002F5FEF">
              <w:rPr>
                <w:rFonts w:eastAsia="Franklin Gothic Book"/>
              </w:rPr>
              <w:t>506</w:t>
            </w:r>
          </w:p>
        </w:tc>
      </w:tr>
      <w:tr w:rsidR="00D34C6E" w:rsidRPr="002F5FEF" w14:paraId="48D250CA" w14:textId="77777777" w:rsidTr="002B6C05">
        <w:trPr>
          <w:trHeight w:val="20"/>
        </w:trPr>
        <w:tc>
          <w:tcPr>
            <w:tcW w:w="1548" w:type="dxa"/>
            <w:vMerge/>
            <w:shd w:val="clear" w:color="auto" w:fill="auto"/>
            <w:vAlign w:val="center"/>
          </w:tcPr>
          <w:p w14:paraId="1FA57439" w14:textId="77777777" w:rsidR="00D34C6E" w:rsidRPr="002F5FEF" w:rsidRDefault="00D34C6E" w:rsidP="002B6C05">
            <w:pPr>
              <w:spacing w:after="0"/>
              <w:jc w:val="left"/>
              <w:rPr>
                <w:rFonts w:eastAsia="Franklin Gothic Book"/>
                <w:b/>
                <w:bCs/>
              </w:rPr>
            </w:pPr>
          </w:p>
        </w:tc>
        <w:tc>
          <w:tcPr>
            <w:tcW w:w="1890" w:type="dxa"/>
            <w:vMerge w:val="restart"/>
            <w:shd w:val="clear" w:color="auto" w:fill="auto"/>
            <w:vAlign w:val="center"/>
          </w:tcPr>
          <w:p w14:paraId="2968822E" w14:textId="77777777" w:rsidR="00D34C6E" w:rsidRPr="002F5FEF" w:rsidRDefault="00D34C6E" w:rsidP="002B6C05">
            <w:pPr>
              <w:spacing w:after="0"/>
              <w:jc w:val="left"/>
              <w:rPr>
                <w:rFonts w:eastAsia="Franklin Gothic Book"/>
              </w:rPr>
            </w:pPr>
            <w:r w:rsidRPr="002F5FEF">
              <w:rPr>
                <w:rFonts w:eastAsia="Franklin Gothic Book"/>
              </w:rPr>
              <w:t xml:space="preserve">Scenario </w:t>
            </w:r>
            <w:r>
              <w:rPr>
                <w:rFonts w:eastAsia="Franklin Gothic Book"/>
              </w:rPr>
              <w:t>C</w:t>
            </w:r>
            <w:r w:rsidRPr="002F5FEF">
              <w:rPr>
                <w:rFonts w:eastAsia="Franklin Gothic Book"/>
              </w:rPr>
              <w:t>: Removed from Service</w:t>
            </w:r>
          </w:p>
        </w:tc>
        <w:tc>
          <w:tcPr>
            <w:tcW w:w="1507" w:type="dxa"/>
            <w:shd w:val="clear" w:color="auto" w:fill="auto"/>
            <w:noWrap/>
            <w:vAlign w:val="center"/>
          </w:tcPr>
          <w:p w14:paraId="2956DF87" w14:textId="77777777" w:rsidR="00D34C6E" w:rsidRPr="002F5FEF" w:rsidRDefault="00D34C6E" w:rsidP="002B6C05">
            <w:pPr>
              <w:spacing w:after="0"/>
              <w:jc w:val="left"/>
              <w:rPr>
                <w:rFonts w:eastAsia="Franklin Gothic Book"/>
              </w:rPr>
            </w:pPr>
            <w:r w:rsidRPr="002F5FEF">
              <w:rPr>
                <w:rFonts w:eastAsia="Franklin Gothic Book"/>
              </w:rPr>
              <w:t>Recycled/ Destroyed</w:t>
            </w:r>
          </w:p>
        </w:tc>
        <w:tc>
          <w:tcPr>
            <w:tcW w:w="1350" w:type="dxa"/>
            <w:shd w:val="clear" w:color="auto" w:fill="auto"/>
            <w:noWrap/>
            <w:vAlign w:val="center"/>
          </w:tcPr>
          <w:p w14:paraId="04C9F618" w14:textId="77777777" w:rsidR="00D34C6E" w:rsidRPr="002F5FEF" w:rsidRDefault="00D34C6E" w:rsidP="002B6C05">
            <w:pPr>
              <w:spacing w:after="0"/>
              <w:jc w:val="center"/>
              <w:rPr>
                <w:rFonts w:eastAsia="Franklin Gothic Book"/>
              </w:rPr>
            </w:pPr>
            <w:r w:rsidRPr="002F5FEF">
              <w:rPr>
                <w:rFonts w:eastAsia="Franklin Gothic Book"/>
              </w:rPr>
              <w:t>20%</w:t>
            </w:r>
          </w:p>
        </w:tc>
        <w:tc>
          <w:tcPr>
            <w:tcW w:w="1193" w:type="dxa"/>
            <w:shd w:val="clear" w:color="auto" w:fill="auto"/>
            <w:noWrap/>
            <w:vAlign w:val="center"/>
          </w:tcPr>
          <w:p w14:paraId="52F2A519" w14:textId="77777777" w:rsidR="00D34C6E" w:rsidRPr="002F5FEF" w:rsidRDefault="00D34C6E" w:rsidP="002B6C05">
            <w:pPr>
              <w:spacing w:after="0"/>
              <w:jc w:val="center"/>
              <w:rPr>
                <w:rFonts w:eastAsia="Franklin Gothic Book"/>
              </w:rPr>
            </w:pPr>
            <w:r w:rsidRPr="002F5FEF">
              <w:rPr>
                <w:rFonts w:eastAsia="Franklin Gothic Book"/>
              </w:rPr>
              <w:t>0</w:t>
            </w:r>
          </w:p>
        </w:tc>
        <w:tc>
          <w:tcPr>
            <w:tcW w:w="1080" w:type="dxa"/>
            <w:shd w:val="clear" w:color="auto" w:fill="auto"/>
            <w:noWrap/>
            <w:vAlign w:val="center"/>
          </w:tcPr>
          <w:p w14:paraId="41B49AA1" w14:textId="77777777" w:rsidR="00D34C6E" w:rsidRPr="002F5FEF" w:rsidRDefault="00D34C6E" w:rsidP="002B6C05">
            <w:pPr>
              <w:spacing w:after="0"/>
              <w:jc w:val="center"/>
              <w:rPr>
                <w:rFonts w:eastAsia="Franklin Gothic Book"/>
              </w:rPr>
            </w:pPr>
            <w:r w:rsidRPr="002F5FEF">
              <w:rPr>
                <w:rFonts w:eastAsia="Franklin Gothic Book"/>
              </w:rPr>
              <w:t>0</w:t>
            </w:r>
          </w:p>
        </w:tc>
        <w:tc>
          <w:tcPr>
            <w:tcW w:w="1008" w:type="dxa"/>
            <w:shd w:val="clear" w:color="auto" w:fill="auto"/>
            <w:noWrap/>
            <w:vAlign w:val="center"/>
          </w:tcPr>
          <w:p w14:paraId="489CF791" w14:textId="77777777" w:rsidR="00D34C6E" w:rsidRPr="002F5FEF" w:rsidRDefault="00D34C6E" w:rsidP="002B6C05">
            <w:pPr>
              <w:spacing w:after="0"/>
              <w:jc w:val="center"/>
              <w:rPr>
                <w:rFonts w:eastAsia="Franklin Gothic Book"/>
              </w:rPr>
            </w:pPr>
            <w:r w:rsidRPr="002F5FEF">
              <w:rPr>
                <w:rFonts w:eastAsia="Franklin Gothic Book"/>
              </w:rPr>
              <w:t>0</w:t>
            </w:r>
          </w:p>
        </w:tc>
      </w:tr>
      <w:tr w:rsidR="00D34C6E" w:rsidRPr="002F5FEF" w14:paraId="64179E62" w14:textId="77777777" w:rsidTr="002B6C05">
        <w:trPr>
          <w:trHeight w:val="20"/>
        </w:trPr>
        <w:tc>
          <w:tcPr>
            <w:tcW w:w="1548" w:type="dxa"/>
            <w:vMerge/>
            <w:shd w:val="clear" w:color="auto" w:fill="auto"/>
            <w:vAlign w:val="center"/>
          </w:tcPr>
          <w:p w14:paraId="47722A6D" w14:textId="77777777" w:rsidR="00D34C6E" w:rsidRPr="002F5FEF" w:rsidRDefault="00D34C6E" w:rsidP="002B6C05">
            <w:pPr>
              <w:spacing w:after="0"/>
              <w:jc w:val="left"/>
              <w:rPr>
                <w:rFonts w:eastAsia="Franklin Gothic Book"/>
                <w:b/>
                <w:bCs/>
              </w:rPr>
            </w:pPr>
          </w:p>
        </w:tc>
        <w:tc>
          <w:tcPr>
            <w:tcW w:w="1890" w:type="dxa"/>
            <w:vMerge/>
            <w:shd w:val="clear" w:color="auto" w:fill="auto"/>
            <w:vAlign w:val="center"/>
          </w:tcPr>
          <w:p w14:paraId="01D277A9" w14:textId="77777777" w:rsidR="00D34C6E" w:rsidRPr="002F5FEF" w:rsidRDefault="00D34C6E" w:rsidP="002B6C05">
            <w:pPr>
              <w:spacing w:after="0"/>
              <w:jc w:val="left"/>
              <w:rPr>
                <w:rFonts w:eastAsia="Franklin Gothic Book"/>
              </w:rPr>
            </w:pPr>
          </w:p>
        </w:tc>
        <w:tc>
          <w:tcPr>
            <w:tcW w:w="1507" w:type="dxa"/>
            <w:shd w:val="clear" w:color="auto" w:fill="auto"/>
            <w:noWrap/>
            <w:vAlign w:val="center"/>
          </w:tcPr>
          <w:p w14:paraId="02453CA1" w14:textId="77777777" w:rsidR="00D34C6E" w:rsidRPr="002F5FEF" w:rsidRDefault="00D34C6E" w:rsidP="002B6C05">
            <w:pPr>
              <w:spacing w:after="0"/>
              <w:jc w:val="left"/>
              <w:rPr>
                <w:rFonts w:eastAsia="Franklin Gothic Book"/>
              </w:rPr>
            </w:pPr>
            <w:r w:rsidRPr="002F5FEF">
              <w:rPr>
                <w:rFonts w:eastAsia="Franklin Gothic Book"/>
              </w:rPr>
              <w:t>Retailer would Recycle</w:t>
            </w:r>
          </w:p>
        </w:tc>
        <w:tc>
          <w:tcPr>
            <w:tcW w:w="1350" w:type="dxa"/>
            <w:shd w:val="clear" w:color="auto" w:fill="auto"/>
            <w:noWrap/>
            <w:vAlign w:val="center"/>
          </w:tcPr>
          <w:p w14:paraId="3533A2BD" w14:textId="77777777" w:rsidR="00D34C6E" w:rsidRPr="002F5FEF" w:rsidRDefault="00D34C6E" w:rsidP="002B6C05">
            <w:pPr>
              <w:spacing w:after="0"/>
              <w:jc w:val="center"/>
              <w:rPr>
                <w:rFonts w:eastAsia="Franklin Gothic Book"/>
              </w:rPr>
            </w:pPr>
            <w:r w:rsidRPr="002F5FEF">
              <w:rPr>
                <w:rFonts w:eastAsia="Franklin Gothic Book"/>
              </w:rPr>
              <w:t>13%</w:t>
            </w:r>
          </w:p>
        </w:tc>
        <w:tc>
          <w:tcPr>
            <w:tcW w:w="1193" w:type="dxa"/>
            <w:shd w:val="clear" w:color="auto" w:fill="auto"/>
            <w:noWrap/>
            <w:vAlign w:val="center"/>
          </w:tcPr>
          <w:p w14:paraId="18F70A9E" w14:textId="77777777" w:rsidR="00D34C6E" w:rsidRPr="002F5FEF" w:rsidRDefault="00D34C6E" w:rsidP="002B6C05">
            <w:pPr>
              <w:spacing w:after="0"/>
              <w:jc w:val="center"/>
              <w:rPr>
                <w:rFonts w:eastAsia="Franklin Gothic Book"/>
              </w:rPr>
            </w:pPr>
            <w:r w:rsidRPr="002F5FEF">
              <w:rPr>
                <w:rFonts w:eastAsia="Franklin Gothic Book"/>
              </w:rPr>
              <w:t>0</w:t>
            </w:r>
          </w:p>
        </w:tc>
        <w:tc>
          <w:tcPr>
            <w:tcW w:w="1080" w:type="dxa"/>
            <w:shd w:val="clear" w:color="auto" w:fill="auto"/>
            <w:noWrap/>
            <w:vAlign w:val="center"/>
          </w:tcPr>
          <w:p w14:paraId="585F190D" w14:textId="77777777" w:rsidR="00D34C6E" w:rsidRPr="002F5FEF" w:rsidRDefault="00D34C6E" w:rsidP="002B6C05">
            <w:pPr>
              <w:spacing w:after="0"/>
              <w:jc w:val="center"/>
              <w:rPr>
                <w:rFonts w:eastAsia="Franklin Gothic Book"/>
              </w:rPr>
            </w:pPr>
            <w:r w:rsidRPr="002F5FEF">
              <w:rPr>
                <w:rFonts w:eastAsia="Franklin Gothic Book"/>
              </w:rPr>
              <w:t>0</w:t>
            </w:r>
          </w:p>
        </w:tc>
        <w:tc>
          <w:tcPr>
            <w:tcW w:w="1008" w:type="dxa"/>
            <w:shd w:val="clear" w:color="auto" w:fill="auto"/>
            <w:noWrap/>
            <w:vAlign w:val="center"/>
          </w:tcPr>
          <w:p w14:paraId="5350F6C4" w14:textId="77777777" w:rsidR="00D34C6E" w:rsidRPr="002F5FEF" w:rsidRDefault="00D34C6E" w:rsidP="002B6C05">
            <w:pPr>
              <w:spacing w:after="0"/>
              <w:jc w:val="center"/>
              <w:rPr>
                <w:rFonts w:eastAsia="Franklin Gothic Book"/>
              </w:rPr>
            </w:pPr>
            <w:r w:rsidRPr="002F5FEF">
              <w:rPr>
                <w:rFonts w:eastAsia="Franklin Gothic Book"/>
              </w:rPr>
              <w:t>0</w:t>
            </w:r>
          </w:p>
        </w:tc>
      </w:tr>
      <w:tr w:rsidR="00D34C6E" w:rsidRPr="002F5FEF" w14:paraId="7DEB7AC2" w14:textId="77777777" w:rsidTr="002B6C05">
        <w:trPr>
          <w:trHeight w:val="20"/>
        </w:trPr>
        <w:tc>
          <w:tcPr>
            <w:tcW w:w="8568" w:type="dxa"/>
            <w:gridSpan w:val="6"/>
            <w:shd w:val="clear" w:color="auto" w:fill="auto"/>
            <w:noWrap/>
            <w:vAlign w:val="center"/>
            <w:hideMark/>
          </w:tcPr>
          <w:p w14:paraId="792405FE" w14:textId="77777777" w:rsidR="00D34C6E" w:rsidRPr="002F5FEF" w:rsidRDefault="00D34C6E" w:rsidP="002B6C05">
            <w:pPr>
              <w:spacing w:after="0"/>
              <w:jc w:val="left"/>
              <w:rPr>
                <w:rFonts w:eastAsia="Franklin Gothic Book"/>
                <w:b/>
                <w:bCs/>
              </w:rPr>
            </w:pPr>
            <w:r>
              <w:rPr>
                <w:rFonts w:eastAsia="Franklin Gothic Book"/>
                <w:b/>
                <w:bCs/>
              </w:rPr>
              <w:t>Net Savings (kWh)</w:t>
            </w:r>
          </w:p>
        </w:tc>
        <w:tc>
          <w:tcPr>
            <w:tcW w:w="1008" w:type="dxa"/>
            <w:shd w:val="clear" w:color="auto" w:fill="auto"/>
            <w:noWrap/>
            <w:vAlign w:val="center"/>
            <w:hideMark/>
          </w:tcPr>
          <w:p w14:paraId="7606CCCB" w14:textId="77777777" w:rsidR="00D34C6E" w:rsidRPr="002F5FEF" w:rsidRDefault="00D34C6E" w:rsidP="002B6C05">
            <w:pPr>
              <w:spacing w:after="0"/>
              <w:jc w:val="center"/>
              <w:rPr>
                <w:rFonts w:eastAsia="Franklin Gothic Book"/>
              </w:rPr>
            </w:pPr>
            <w:r w:rsidRPr="002F5FEF">
              <w:rPr>
                <w:rFonts w:eastAsia="Franklin Gothic Book"/>
              </w:rPr>
              <w:t>475</w:t>
            </w:r>
          </w:p>
        </w:tc>
      </w:tr>
    </w:tbl>
    <w:p w14:paraId="4DD15DC9" w14:textId="77777777" w:rsidR="00D34C6E" w:rsidRPr="00561644" w:rsidRDefault="00D34C6E" w:rsidP="00D34C6E">
      <w:pPr>
        <w:pStyle w:val="TableFootnote"/>
        <w:rPr>
          <w:sz w:val="18"/>
          <w:szCs w:val="20"/>
        </w:rPr>
      </w:pPr>
      <w:r w:rsidRPr="00561644">
        <w:rPr>
          <w:sz w:val="18"/>
          <w:szCs w:val="20"/>
        </w:rPr>
        <w:t>*The percent values presented in this table serve only as examples; actual research should be conducted to determine the percentage of units falling into each of these categories. Note that UEC (Unit Energy Consumption) values presented in the table represent example values, factoring in part-use.</w:t>
      </w:r>
    </w:p>
    <w:p w14:paraId="7407C4DA" w14:textId="77777777" w:rsidR="00D34C6E" w:rsidRDefault="00D34C6E" w:rsidP="0088039F">
      <w:pPr>
        <w:pStyle w:val="Heading3"/>
        <w:rPr>
          <w:rFonts w:eastAsia="Franklin Gothic Book"/>
        </w:rPr>
      </w:pPr>
      <w:bookmarkStart w:id="1475" w:name="_Toc442804278"/>
      <w:bookmarkStart w:id="1476" w:name="_Toc442805495"/>
      <w:bookmarkStart w:id="1477" w:name="_Toc472494712"/>
      <w:bookmarkStart w:id="1478" w:name="_Toc520462910"/>
      <w:bookmarkStart w:id="1479" w:name="_Toc473108054"/>
      <w:bookmarkStart w:id="1480" w:name="_Toc520824165"/>
      <w:bookmarkStart w:id="1481" w:name="_Toc16619948"/>
      <w:bookmarkStart w:id="1482" w:name="_Toc113619803"/>
      <w:r w:rsidRPr="0020381F">
        <w:t>Enhanced Method</w:t>
      </w:r>
      <w:bookmarkEnd w:id="1475"/>
      <w:bookmarkEnd w:id="1476"/>
      <w:bookmarkEnd w:id="1477"/>
      <w:bookmarkEnd w:id="1478"/>
      <w:bookmarkEnd w:id="1479"/>
      <w:bookmarkEnd w:id="1480"/>
      <w:bookmarkEnd w:id="1481"/>
      <w:bookmarkEnd w:id="1482"/>
    </w:p>
    <w:p w14:paraId="6917E16B" w14:textId="77777777" w:rsidR="00D34C6E" w:rsidRDefault="00D34C6E" w:rsidP="00D34C6E">
      <w:pPr>
        <w:rPr>
          <w:rFonts w:eastAsia="Franklin Gothic Book"/>
        </w:rPr>
      </w:pPr>
      <w:r w:rsidRPr="0020381F">
        <w:rPr>
          <w:rFonts w:eastAsia="Franklin Gothic Book"/>
        </w:rPr>
        <w:t>Results can be enhanced by including three additional research efforts. The basic method has defaults where primary research on enhanced approaches cannot be performed:</w:t>
      </w:r>
    </w:p>
    <w:p w14:paraId="542FBA62" w14:textId="0D106A98" w:rsidR="00D34C6E" w:rsidRPr="00CC19BB" w:rsidRDefault="00D34C6E" w:rsidP="00D34C6E">
      <w:pPr>
        <w:pStyle w:val="ListParagraph"/>
        <w:widowControl/>
        <w:numPr>
          <w:ilvl w:val="0"/>
          <w:numId w:val="41"/>
        </w:numPr>
        <w:spacing w:after="60"/>
        <w:contextualSpacing w:val="0"/>
        <w:rPr>
          <w:rFonts w:eastAsia="Franklin Gothic Book"/>
        </w:rPr>
      </w:pPr>
      <w:r w:rsidRPr="00C34F25">
        <w:rPr>
          <w:rFonts w:eastAsia="Franklin Gothic Book"/>
        </w:rPr>
        <w:t xml:space="preserve">A retailer survey, to determine the quantity and/or proportion of units returned to a retailer and that the retailer would deconstruct or recycle. Through this survey, one would determine a retailer’s criteria for reselling used units vs. deconstructing them, based on unit age and condition. Results from the survey and analysis would be used to determine the proportion of those who would have returned an old appliance to the retailer that should be included in Scenario D (free riders). This research was conducted for ComEd in EPY6 </w:t>
      </w:r>
      <w:r w:rsidR="00F23CDD" w:rsidRPr="00C34F25">
        <w:rPr>
          <w:rFonts w:eastAsia="Franklin Gothic Book"/>
        </w:rPr>
        <w:t>evaluation,</w:t>
      </w:r>
      <w:r w:rsidRPr="00C34F25">
        <w:rPr>
          <w:rFonts w:eastAsia="Franklin Gothic Book"/>
        </w:rPr>
        <w:t xml:space="preserve"> and those results were applied to Ameren.</w:t>
      </w:r>
    </w:p>
    <w:p w14:paraId="460E2CC0" w14:textId="77777777" w:rsidR="00D34C6E" w:rsidRPr="00CC19BB" w:rsidRDefault="00D34C6E" w:rsidP="00D34C6E">
      <w:pPr>
        <w:pStyle w:val="ListParagraph"/>
        <w:widowControl/>
        <w:numPr>
          <w:ilvl w:val="0"/>
          <w:numId w:val="41"/>
        </w:numPr>
        <w:spacing w:after="60"/>
        <w:contextualSpacing w:val="0"/>
        <w:rPr>
          <w:rFonts w:eastAsia="Franklin Gothic Book"/>
        </w:rPr>
      </w:pPr>
      <w:r w:rsidRPr="00C34F25">
        <w:rPr>
          <w:rFonts w:eastAsia="Franklin Gothic Book"/>
        </w:rPr>
        <w:t xml:space="preserve">An appliance market assessment study to determine the size of the secondary appliance market and whether removal of participating units from the market would cause an otherwise would-be receiver to purchase an alternative used or new unit. Savings attributable to these participants are the most difficult to estimate, as the scenario attempts to estimate what the prospective buyer of a used appliance would do in the absence of finding a program-recycled unit in the marketplace (i.e., the program took the unit off the grid, so the prospective purchaser faced, in theory, a smaller supply of used appliances). It is difficult to answer this question with certainty, absent </w:t>
      </w:r>
      <w:r>
        <w:rPr>
          <w:rFonts w:eastAsia="Franklin Gothic Book"/>
        </w:rPr>
        <w:t>Program Administrator</w:t>
      </w:r>
      <w:r w:rsidRPr="00C34F25">
        <w:rPr>
          <w:rFonts w:eastAsia="Franklin Gothic Book"/>
        </w:rPr>
        <w:t xml:space="preserve">-specific information regarding the change in the total number of appliances (overall and used appliances specifically) that were active before and after program implementation. In some </w:t>
      </w:r>
      <w:proofErr w:type="gramStart"/>
      <w:r w:rsidRPr="00C34F25">
        <w:rPr>
          <w:rFonts w:eastAsia="Franklin Gothic Book"/>
        </w:rPr>
        <w:t>cases</w:t>
      </w:r>
      <w:proofErr w:type="gramEnd"/>
      <w:r w:rsidRPr="00C34F25">
        <w:rPr>
          <w:rFonts w:eastAsia="Franklin Gothic Book"/>
        </w:rPr>
        <w:t xml:space="preserve"> outside of Illinois, evaluators have conducted in-depth market research to estimate both the program’s impact on the secondary market and the appropriate attribution of savings for this scenario. Although these studies are imperfect, they can provide</w:t>
      </w:r>
      <w:r>
        <w:rPr>
          <w:rFonts w:eastAsia="Franklin Gothic Book"/>
        </w:rPr>
        <w:t xml:space="preserve"> Program Administrator</w:t>
      </w:r>
      <w:r w:rsidRPr="00C34F25">
        <w:rPr>
          <w:rFonts w:eastAsia="Franklin Gothic Book"/>
        </w:rPr>
        <w:t>-specific information related to the program’s net energy impact. Where feasible, evaluators and utilities should design and implement such an approach. Unfortunately, this type of research tends to be cost-prohibitive, or the necessary data may simply be unavailable.</w:t>
      </w:r>
    </w:p>
    <w:p w14:paraId="28D791DA" w14:textId="49D60B15" w:rsidR="00D34C6E" w:rsidRPr="00CC19BB" w:rsidRDefault="00D34C6E" w:rsidP="00D34C6E">
      <w:pPr>
        <w:pStyle w:val="ListParagraph"/>
        <w:widowControl/>
        <w:numPr>
          <w:ilvl w:val="0"/>
          <w:numId w:val="41"/>
        </w:numPr>
        <w:spacing w:after="60"/>
        <w:contextualSpacing w:val="0"/>
        <w:rPr>
          <w:rFonts w:eastAsia="Franklin Gothic Book"/>
        </w:rPr>
      </w:pPr>
      <w:r w:rsidRPr="00C34F25">
        <w:rPr>
          <w:rFonts w:eastAsia="Franklin Gothic Book"/>
        </w:rPr>
        <w:t xml:space="preserve">However, it is possible to estimate through nonparticipant surveys which of the disposal responses given by nonparticipants were most likely to have been to an opportunistic would-be-acquirer. Transfers </w:t>
      </w:r>
      <w:r>
        <w:rPr>
          <w:rFonts w:eastAsia="Franklin Gothic Book"/>
        </w:rPr>
        <w:t xml:space="preserve">that </w:t>
      </w:r>
      <w:r w:rsidRPr="00C34F25">
        <w:rPr>
          <w:rFonts w:eastAsia="Franklin Gothic Book"/>
        </w:rPr>
        <w:t>would most likely have been opportunistic are determined primarily based on the cost to the recipient. If the appliance was sold or transferred to a retailer, there would have been a cost to the recipient of that appliance. If the recipient was willing to pay for the appliance or was willing to exert the effort to visit a retail location, this suggests the recipient was actively seeking an appliance. However, if the unit were given away for free</w:t>
      </w:r>
      <w:r>
        <w:rPr>
          <w:rFonts w:eastAsia="Franklin Gothic Book"/>
        </w:rPr>
        <w:t>,</w:t>
      </w:r>
      <w:r w:rsidRPr="00C34F25">
        <w:rPr>
          <w:rFonts w:eastAsia="Franklin Gothic Book"/>
        </w:rPr>
        <w:t xml:space="preserve"> there was little cost to the </w:t>
      </w:r>
      <w:r w:rsidR="00F23CDD" w:rsidRPr="00C34F25">
        <w:rPr>
          <w:rFonts w:eastAsia="Franklin Gothic Book"/>
        </w:rPr>
        <w:t>recipient,</w:t>
      </w:r>
      <w:r w:rsidRPr="00C34F25">
        <w:rPr>
          <w:rFonts w:eastAsia="Franklin Gothic Book"/>
        </w:rPr>
        <w:t xml:space="preserve"> and </w:t>
      </w:r>
      <w:r>
        <w:rPr>
          <w:rFonts w:eastAsia="Franklin Gothic Book"/>
        </w:rPr>
        <w:t xml:space="preserve">it </w:t>
      </w:r>
      <w:r w:rsidRPr="00C34F25">
        <w:rPr>
          <w:rFonts w:eastAsia="Franklin Gothic Book"/>
        </w:rPr>
        <w:t xml:space="preserve">is a reasonable proxy for the proportion of opportunistic acquirers. This proportion would replace the 50% default assumption (scenario C in </w:t>
      </w:r>
      <w:r>
        <w:rPr>
          <w:rFonts w:eastAsia="Franklin Gothic Book"/>
        </w:rPr>
        <w:t>Figure 4-2</w:t>
      </w:r>
      <w:r w:rsidRPr="00C34F25">
        <w:rPr>
          <w:rFonts w:eastAsia="Franklin Gothic Book"/>
        </w:rPr>
        <w:t xml:space="preserve">) of would-be-acquirers that would or would not find an alternate unit. </w:t>
      </w:r>
    </w:p>
    <w:p w14:paraId="71031256" w14:textId="77777777" w:rsidR="00D34C6E" w:rsidRPr="00C34F25" w:rsidRDefault="00D34C6E" w:rsidP="00D34C6E">
      <w:pPr>
        <w:pStyle w:val="ListParagraph"/>
        <w:widowControl/>
        <w:numPr>
          <w:ilvl w:val="0"/>
          <w:numId w:val="41"/>
        </w:numPr>
        <w:contextualSpacing w:val="0"/>
        <w:rPr>
          <w:rFonts w:eastAsia="Franklin Gothic Book"/>
        </w:rPr>
      </w:pPr>
      <w:r w:rsidRPr="00C34F25">
        <w:rPr>
          <w:rFonts w:eastAsia="Franklin Gothic Book"/>
        </w:rPr>
        <w:t xml:space="preserve">A nonparticipant survey can be used to assess how nonparticipants acquire and dispose of used units. As nonparticipants do not have the same perceived response bias as participants, they can help offset some of this potential bias in estimating the true proportion of the population that would have recycled their units in program’s absence. The evaluators will average the results of the nonparticipant survey with the participant survey if the nonparticipant survey is of sufficient sample size. Otherwise, results may be used </w:t>
      </w:r>
      <w:r w:rsidRPr="00C34F25">
        <w:rPr>
          <w:rFonts w:eastAsia="Franklin Gothic Book"/>
        </w:rPr>
        <w:lastRenderedPageBreak/>
        <w:t xml:space="preserve">for a qualitative characterization of potential bias. Though recommended, use of a nonparticipant survey need not be required, given budget and time considerations. A nonparticipant survey was completed as part of </w:t>
      </w:r>
      <w:proofErr w:type="spellStart"/>
      <w:r w:rsidRPr="00C34F25">
        <w:rPr>
          <w:rFonts w:eastAsia="Franklin Gothic Book"/>
        </w:rPr>
        <w:t>ComEd’s</w:t>
      </w:r>
      <w:proofErr w:type="spellEnd"/>
      <w:r w:rsidRPr="00C34F25">
        <w:rPr>
          <w:rFonts w:eastAsia="Franklin Gothic Book"/>
        </w:rPr>
        <w:t xml:space="preserve"> EPY6 evaluation and used qualitatively to validate participant results.</w:t>
      </w:r>
    </w:p>
    <w:p w14:paraId="1DE36BA6" w14:textId="77777777" w:rsidR="00D34C6E" w:rsidRPr="009B67BF" w:rsidRDefault="00D34C6E" w:rsidP="00D34C6E">
      <w:pPr>
        <w:pStyle w:val="Heading2"/>
        <w:keepLines w:val="0"/>
        <w:widowControl/>
        <w:numPr>
          <w:ilvl w:val="1"/>
          <w:numId w:val="8"/>
        </w:numPr>
        <w:jc w:val="left"/>
      </w:pPr>
      <w:bookmarkStart w:id="1483" w:name="_Toc442945597"/>
      <w:bookmarkStart w:id="1484" w:name="_Toc442945672"/>
      <w:bookmarkStart w:id="1485" w:name="_Toc442975724"/>
      <w:bookmarkStart w:id="1486" w:name="_Toc442945598"/>
      <w:bookmarkStart w:id="1487" w:name="_Toc442945673"/>
      <w:bookmarkStart w:id="1488" w:name="_Toc442975725"/>
      <w:bookmarkStart w:id="1489" w:name="_Toc442945599"/>
      <w:bookmarkStart w:id="1490" w:name="_Toc442945674"/>
      <w:bookmarkStart w:id="1491" w:name="_Toc442975726"/>
      <w:bookmarkStart w:id="1492" w:name="_Toc442945600"/>
      <w:bookmarkStart w:id="1493" w:name="_Toc442945675"/>
      <w:bookmarkStart w:id="1494" w:name="_Toc442975727"/>
      <w:bookmarkStart w:id="1495" w:name="_Toc431526459"/>
      <w:bookmarkStart w:id="1496" w:name="_Toc411554712"/>
      <w:bookmarkStart w:id="1497" w:name="_Ref442305444"/>
      <w:bookmarkStart w:id="1498" w:name="_Ref442305458"/>
      <w:bookmarkStart w:id="1499" w:name="_Toc442804279"/>
      <w:bookmarkStart w:id="1500" w:name="_Toc442805496"/>
      <w:bookmarkStart w:id="1501" w:name="_Toc472494713"/>
      <w:bookmarkStart w:id="1502" w:name="_Toc520462911"/>
      <w:bookmarkStart w:id="1503" w:name="_Toc473108055"/>
      <w:bookmarkStart w:id="1504" w:name="_Toc520824166"/>
      <w:bookmarkStart w:id="1505" w:name="_Toc16619949"/>
      <w:bookmarkStart w:id="1506" w:name="_Toc113619804"/>
      <w:bookmarkEnd w:id="1483"/>
      <w:bookmarkEnd w:id="1484"/>
      <w:bookmarkEnd w:id="1485"/>
      <w:bookmarkEnd w:id="1486"/>
      <w:bookmarkEnd w:id="1487"/>
      <w:bookmarkEnd w:id="1488"/>
      <w:bookmarkEnd w:id="1489"/>
      <w:bookmarkEnd w:id="1490"/>
      <w:bookmarkEnd w:id="1491"/>
      <w:bookmarkEnd w:id="1492"/>
      <w:bookmarkEnd w:id="1493"/>
      <w:bookmarkEnd w:id="1494"/>
      <w:r w:rsidRPr="009B67BF">
        <w:t xml:space="preserve">Residential Upstream Lighting </w:t>
      </w:r>
      <w:bookmarkEnd w:id="1495"/>
      <w:bookmarkEnd w:id="1496"/>
      <w:r>
        <w:t>Protocol</w:t>
      </w:r>
      <w:bookmarkEnd w:id="1497"/>
      <w:bookmarkEnd w:id="1498"/>
      <w:bookmarkEnd w:id="1499"/>
      <w:bookmarkEnd w:id="1500"/>
      <w:bookmarkEnd w:id="1501"/>
      <w:bookmarkEnd w:id="1502"/>
      <w:bookmarkEnd w:id="1503"/>
      <w:bookmarkEnd w:id="1504"/>
      <w:bookmarkEnd w:id="1505"/>
      <w:bookmarkEnd w:id="1506"/>
    </w:p>
    <w:p w14:paraId="38A58344" w14:textId="77777777" w:rsidR="00D34C6E" w:rsidRPr="009B67BF" w:rsidRDefault="00D34C6E" w:rsidP="00D34C6E">
      <w:pPr>
        <w:rPr>
          <w:rFonts w:eastAsia="Franklin Gothic Book"/>
        </w:rPr>
      </w:pPr>
      <w:r w:rsidRPr="009B67BF">
        <w:rPr>
          <w:rFonts w:eastAsia="Franklin Gothic Book"/>
        </w:rPr>
        <w:t xml:space="preserve">The Illinois Residential Upstream Lighting programs to date have provided discounts on efficient lighting through retailers at the point of purchase. Such programs often remain transparent to customers purchasing incentivized lighting. Program administrators also do not know the identity of most customers purchasing the program-discounted lighting; </w:t>
      </w:r>
      <w:proofErr w:type="gramStart"/>
      <w:r w:rsidRPr="009B67BF">
        <w:rPr>
          <w:rFonts w:eastAsia="Franklin Gothic Book"/>
        </w:rPr>
        <w:t>so</w:t>
      </w:r>
      <w:proofErr w:type="gramEnd"/>
      <w:r w:rsidRPr="009B67BF">
        <w:rPr>
          <w:rFonts w:eastAsia="Franklin Gothic Book"/>
        </w:rPr>
        <w:t xml:space="preserve"> these customers cannot easily be contacted once they leave the store for a traditional self-report NTG evaluation survey (i.e., an after-the-fact, direct solicitation of customers regarding what they would have done in the program’s absence). Similar surveys can be conducted with customers within program retailers after they have made their lighting purchasing decision but before they leave the store. For programs such as this, in store customer surveys are preferable to the traditional self-report telephone surveys that ask customers to recall their past light bulb purchases. Light bulbs are a small and relatively insignificant purchase for most </w:t>
      </w:r>
      <w:proofErr w:type="gramStart"/>
      <w:r w:rsidRPr="009B67BF">
        <w:rPr>
          <w:rFonts w:eastAsia="Franklin Gothic Book"/>
        </w:rPr>
        <w:t>people</w:t>
      </w:r>
      <w:r>
        <w:rPr>
          <w:rFonts w:eastAsia="Franklin Gothic Book"/>
        </w:rPr>
        <w:t>,</w:t>
      </w:r>
      <w:proofErr w:type="gramEnd"/>
      <w:r w:rsidRPr="009B67BF">
        <w:rPr>
          <w:rFonts w:eastAsia="Franklin Gothic Book"/>
        </w:rPr>
        <w:t xml:space="preserve"> thus the recall bias could be substantial.</w:t>
      </w:r>
    </w:p>
    <w:p w14:paraId="40A997E0" w14:textId="77777777" w:rsidR="00D34C6E" w:rsidRPr="009B67BF" w:rsidRDefault="00D34C6E" w:rsidP="00D34C6E">
      <w:pPr>
        <w:rPr>
          <w:rFonts w:eastAsia="Franklin Gothic Book"/>
        </w:rPr>
      </w:pPr>
      <w:r w:rsidRPr="009B67BF">
        <w:rPr>
          <w:rFonts w:eastAsia="Franklin Gothic Book"/>
        </w:rPr>
        <w:t>Further, as upstream programs work with multiple market actors and can include wide-reaching marketing campaigns promoting energy efficiency to the general public, they tend to stimulate spillover and “market effects.” As a result, estimating NTG for upstream residential lighting programs can be challenging. Multiple methods exist, each with their own strengths and weaknesses.</w:t>
      </w:r>
    </w:p>
    <w:p w14:paraId="453453DA" w14:textId="77777777" w:rsidR="00D34C6E" w:rsidRPr="009B67BF" w:rsidRDefault="00D34C6E" w:rsidP="00D34C6E">
      <w:pPr>
        <w:rPr>
          <w:rFonts w:eastAsia="Franklin Gothic Book"/>
        </w:rPr>
      </w:pPr>
      <w:r w:rsidRPr="009B67BF">
        <w:rPr>
          <w:rFonts w:eastAsia="Franklin Gothic Book"/>
        </w:rPr>
        <w:t>Ameren and ComEd implement their residential lighting programs comparably, and the evaluation teams have used a consistent primary NTG evaluation method. This section details the consensus NTG methodology, which has been used multiple times for both ComEd and Ameren and is considered the most well-vetted and defensible NTG method that has been successfully used in Illinois.</w:t>
      </w:r>
    </w:p>
    <w:p w14:paraId="0381A61E" w14:textId="77777777" w:rsidR="00D34C6E" w:rsidRPr="009B67BF" w:rsidRDefault="00D34C6E" w:rsidP="00D34C6E">
      <w:pPr>
        <w:rPr>
          <w:rFonts w:eastAsia="Franklin Gothic Book"/>
        </w:rPr>
      </w:pPr>
      <w:r w:rsidRPr="009B67BF">
        <w:rPr>
          <w:rFonts w:eastAsia="Franklin Gothic Book"/>
        </w:rPr>
        <w:t>For EPY5 and EPY6, Ameren and ComEd used a customer self-report methodology to estimate NTG for their upstream residential lighting programs.</w:t>
      </w:r>
      <w:r w:rsidRPr="00B31077">
        <w:rPr>
          <w:rFonts w:eastAsia="Franklin Gothic Book"/>
          <w:vertAlign w:val="superscript"/>
        </w:rPr>
        <w:footnoteReference w:id="77"/>
      </w:r>
      <w:r w:rsidRPr="009B67BF">
        <w:rPr>
          <w:rFonts w:eastAsia="Franklin Gothic Book"/>
        </w:rPr>
        <w:t xml:space="preserve"> Customer self-report data in this method are collected during surveys conducted within program retailers with customers purchasing program bulbs (i.e., in-store intercept surveys). This method separately estimates free ridership, participant spillover, and nonparticipant spillover. Details follow on the primary data collection and scoring algorithms.</w:t>
      </w:r>
    </w:p>
    <w:p w14:paraId="1FCE9129" w14:textId="77777777" w:rsidR="00D34C6E" w:rsidRDefault="00D34C6E" w:rsidP="0088039F">
      <w:pPr>
        <w:pStyle w:val="Heading3"/>
      </w:pPr>
      <w:bookmarkStart w:id="1507" w:name="_Toc442804280"/>
      <w:bookmarkStart w:id="1508" w:name="_Toc442805497"/>
      <w:bookmarkStart w:id="1509" w:name="_Toc472494714"/>
      <w:bookmarkStart w:id="1510" w:name="_Toc520462912"/>
      <w:bookmarkStart w:id="1511" w:name="_Toc473108056"/>
      <w:bookmarkStart w:id="1512" w:name="_Toc520824167"/>
      <w:bookmarkStart w:id="1513" w:name="_Toc16619950"/>
      <w:bookmarkStart w:id="1514" w:name="_Toc113619805"/>
      <w:bookmarkStart w:id="1515" w:name="_Toc431526460"/>
      <w:r>
        <w:t>Basic Method</w:t>
      </w:r>
      <w:bookmarkEnd w:id="1507"/>
      <w:bookmarkEnd w:id="1508"/>
      <w:bookmarkEnd w:id="1509"/>
      <w:bookmarkEnd w:id="1510"/>
      <w:bookmarkEnd w:id="1511"/>
      <w:bookmarkEnd w:id="1512"/>
      <w:bookmarkEnd w:id="1513"/>
      <w:bookmarkEnd w:id="1514"/>
    </w:p>
    <w:p w14:paraId="52A39794" w14:textId="77777777" w:rsidR="00D34C6E" w:rsidRPr="009B67BF" w:rsidRDefault="00D34C6E" w:rsidP="001A2AE6">
      <w:pPr>
        <w:pStyle w:val="Heading4"/>
      </w:pPr>
      <w:bookmarkStart w:id="1516" w:name="_Toc442804281"/>
      <w:bookmarkStart w:id="1517" w:name="_Toc442805498"/>
      <w:bookmarkStart w:id="1518" w:name="_Toc401839535"/>
      <w:bookmarkStart w:id="1519" w:name="_Toc409365123"/>
      <w:bookmarkStart w:id="1520" w:name="_Toc411554713"/>
      <w:r w:rsidRPr="009B67BF">
        <w:t>Free Ridership</w:t>
      </w:r>
      <w:bookmarkEnd w:id="1515"/>
      <w:bookmarkEnd w:id="1516"/>
      <w:bookmarkEnd w:id="1517"/>
      <w:bookmarkEnd w:id="1518"/>
      <w:bookmarkEnd w:id="1519"/>
      <w:bookmarkEnd w:id="1520"/>
    </w:p>
    <w:p w14:paraId="68FADFC1" w14:textId="77777777" w:rsidR="00D34C6E" w:rsidRPr="009B67BF" w:rsidRDefault="00D34C6E" w:rsidP="00D34C6E">
      <w:pPr>
        <w:rPr>
          <w:rFonts w:eastAsia="Franklin Gothic Book"/>
        </w:rPr>
      </w:pPr>
      <w:r w:rsidRPr="009B67BF">
        <w:rPr>
          <w:rFonts w:eastAsia="Franklin Gothic Book"/>
        </w:rPr>
        <w:t xml:space="preserve">Free ridership </w:t>
      </w:r>
      <w:r>
        <w:rPr>
          <w:rFonts w:eastAsia="Franklin Gothic Book"/>
        </w:rPr>
        <w:t xml:space="preserve">for this program </w:t>
      </w:r>
      <w:r w:rsidRPr="009B67BF">
        <w:rPr>
          <w:rFonts w:eastAsia="Franklin Gothic Book"/>
        </w:rPr>
        <w:t xml:space="preserve">is </w:t>
      </w:r>
      <w:r>
        <w:rPr>
          <w:rFonts w:eastAsia="Franklin Gothic Book"/>
        </w:rPr>
        <w:t xml:space="preserve">calculated as </w:t>
      </w:r>
      <w:r w:rsidRPr="009B67BF">
        <w:rPr>
          <w:rFonts w:eastAsia="Franklin Gothic Book"/>
        </w:rPr>
        <w:t>the proportion of program bulbs that would have been purchased if the program did not exist. Three alternative scenarios could occur:</w:t>
      </w:r>
    </w:p>
    <w:p w14:paraId="7B66EAE4" w14:textId="77777777" w:rsidR="00D34C6E" w:rsidRPr="009B67BF" w:rsidRDefault="00D34C6E" w:rsidP="00D34C6E">
      <w:pPr>
        <w:widowControl/>
        <w:numPr>
          <w:ilvl w:val="0"/>
          <w:numId w:val="2"/>
        </w:numPr>
        <w:spacing w:after="60"/>
        <w:ind w:left="720"/>
        <w:rPr>
          <w:rFonts w:eastAsia="Franklin Gothic Book"/>
        </w:rPr>
      </w:pPr>
      <w:r w:rsidRPr="009B67BF">
        <w:rPr>
          <w:rFonts w:eastAsia="Franklin Gothic Book"/>
        </w:rPr>
        <w:t>Full Free Rider: The customer would have purchased the same quantity of efficient bulbs (CFLs or LEDs) in the program’s absence.</w:t>
      </w:r>
    </w:p>
    <w:p w14:paraId="364E2FBB" w14:textId="77777777" w:rsidR="00D34C6E" w:rsidRPr="009B67BF" w:rsidRDefault="00D34C6E" w:rsidP="00D34C6E">
      <w:pPr>
        <w:widowControl/>
        <w:numPr>
          <w:ilvl w:val="0"/>
          <w:numId w:val="2"/>
        </w:numPr>
        <w:spacing w:after="60"/>
        <w:ind w:left="720"/>
        <w:rPr>
          <w:rFonts w:eastAsia="Franklin Gothic Book"/>
        </w:rPr>
      </w:pPr>
      <w:r w:rsidRPr="009B67BF">
        <w:rPr>
          <w:rFonts w:eastAsia="Franklin Gothic Book"/>
        </w:rPr>
        <w:t>Partial Free Rider: The customer would have purchased fewer efficient bulbs (CFLs or LEDs) in the program’s absence.</w:t>
      </w:r>
    </w:p>
    <w:p w14:paraId="7089D8FF" w14:textId="77777777" w:rsidR="00D34C6E" w:rsidRPr="009B67BF" w:rsidRDefault="00D34C6E" w:rsidP="00D34C6E">
      <w:pPr>
        <w:widowControl/>
        <w:numPr>
          <w:ilvl w:val="0"/>
          <w:numId w:val="2"/>
        </w:numPr>
        <w:ind w:left="720"/>
        <w:rPr>
          <w:rFonts w:eastAsia="Franklin Gothic Book"/>
        </w:rPr>
      </w:pPr>
      <w:r w:rsidRPr="009B67BF">
        <w:rPr>
          <w:rFonts w:eastAsia="Franklin Gothic Book"/>
        </w:rPr>
        <w:t>Non-Free Rider: The customer would have not purchased any efficient bulbs (CFLs or LEDs) in the program’s absence.</w:t>
      </w:r>
    </w:p>
    <w:p w14:paraId="73569416" w14:textId="77777777" w:rsidR="00D34C6E" w:rsidRPr="009B67BF" w:rsidRDefault="00D34C6E" w:rsidP="00D34C6E">
      <w:pPr>
        <w:rPr>
          <w:rFonts w:eastAsia="Franklin Gothic Book"/>
        </w:rPr>
      </w:pPr>
      <w:r w:rsidRPr="009B67BF">
        <w:rPr>
          <w:rFonts w:eastAsia="Franklin Gothic Book"/>
        </w:rPr>
        <w:t xml:space="preserve">Free ridership is calculated as the average of two distinct scores: a </w:t>
      </w:r>
      <w:r>
        <w:rPr>
          <w:rFonts w:eastAsia="Franklin Gothic Book"/>
        </w:rPr>
        <w:t>P</w:t>
      </w:r>
      <w:r w:rsidRPr="009B67BF">
        <w:rPr>
          <w:rFonts w:eastAsia="Franklin Gothic Book"/>
        </w:rPr>
        <w:t xml:space="preserve">rogram </w:t>
      </w:r>
      <w:r>
        <w:rPr>
          <w:rFonts w:eastAsia="Franklin Gothic Book"/>
        </w:rPr>
        <w:t>I</w:t>
      </w:r>
      <w:r w:rsidRPr="009B67BF">
        <w:rPr>
          <w:rFonts w:eastAsia="Franklin Gothic Book"/>
        </w:rPr>
        <w:t xml:space="preserve">nfluence </w:t>
      </w:r>
      <w:r>
        <w:rPr>
          <w:rFonts w:eastAsia="Franklin Gothic Book"/>
        </w:rPr>
        <w:t>S</w:t>
      </w:r>
      <w:r w:rsidRPr="009B67BF">
        <w:rPr>
          <w:rFonts w:eastAsia="Franklin Gothic Book"/>
        </w:rPr>
        <w:t xml:space="preserve">core and a </w:t>
      </w:r>
      <w:r>
        <w:rPr>
          <w:rFonts w:eastAsia="Franklin Gothic Book"/>
        </w:rPr>
        <w:t>N</w:t>
      </w:r>
      <w:r w:rsidRPr="009B67BF">
        <w:rPr>
          <w:rFonts w:eastAsia="Franklin Gothic Book"/>
        </w:rPr>
        <w:t>o-</w:t>
      </w:r>
      <w:r>
        <w:rPr>
          <w:rFonts w:eastAsia="Franklin Gothic Book"/>
        </w:rPr>
        <w:t>P</w:t>
      </w:r>
      <w:r w:rsidRPr="009B67BF">
        <w:rPr>
          <w:rFonts w:eastAsia="Franklin Gothic Book"/>
        </w:rPr>
        <w:t>rogram score. These scores are defined as follows:</w:t>
      </w:r>
    </w:p>
    <w:p w14:paraId="5B7C0E18" w14:textId="77777777" w:rsidR="00D34C6E" w:rsidRPr="009B67BF" w:rsidRDefault="00D34C6E" w:rsidP="00D34C6E">
      <w:pPr>
        <w:widowControl/>
        <w:numPr>
          <w:ilvl w:val="0"/>
          <w:numId w:val="3"/>
        </w:numPr>
        <w:spacing w:after="60"/>
        <w:ind w:left="720"/>
        <w:rPr>
          <w:rFonts w:eastAsia="Franklin Gothic Book"/>
        </w:rPr>
      </w:pPr>
      <w:r w:rsidRPr="009B67BF">
        <w:rPr>
          <w:rFonts w:eastAsia="Franklin Gothic Book"/>
        </w:rPr>
        <w:t xml:space="preserve">The </w:t>
      </w:r>
      <w:r>
        <w:rPr>
          <w:rFonts w:eastAsia="Franklin Gothic Book"/>
        </w:rPr>
        <w:t>P</w:t>
      </w:r>
      <w:r w:rsidRPr="009B67BF">
        <w:rPr>
          <w:rFonts w:eastAsia="Franklin Gothic Book"/>
        </w:rPr>
        <w:t xml:space="preserve">rogram </w:t>
      </w:r>
      <w:r>
        <w:rPr>
          <w:rFonts w:eastAsia="Franklin Gothic Book"/>
        </w:rPr>
        <w:t>I</w:t>
      </w:r>
      <w:r w:rsidRPr="009B67BF">
        <w:rPr>
          <w:rFonts w:eastAsia="Franklin Gothic Book"/>
        </w:rPr>
        <w:t xml:space="preserve">nfluence </w:t>
      </w:r>
      <w:r>
        <w:rPr>
          <w:rFonts w:eastAsia="Franklin Gothic Book"/>
        </w:rPr>
        <w:t>S</w:t>
      </w:r>
      <w:r w:rsidRPr="009B67BF">
        <w:rPr>
          <w:rFonts w:eastAsia="Franklin Gothic Book"/>
        </w:rPr>
        <w:t xml:space="preserve">core captures the maximum level of program influence, reported by a survey respondent, of the residential lighting program on their decisions to purchase program bulbs on the day of the survey. This program influence can take a number of forms, such as: the monetary incentive provided to decrease the cost of high-efficiency bulbs; program-sponsored educational materials that explain the </w:t>
      </w:r>
      <w:r w:rsidRPr="009B67BF">
        <w:rPr>
          <w:rFonts w:eastAsia="Franklin Gothic Book"/>
        </w:rPr>
        <w:lastRenderedPageBreak/>
        <w:t>benefits of efficient lighting; in-store product placement of efficient bulbs; and program bulb recommendations provided by retail store personnel.</w:t>
      </w:r>
    </w:p>
    <w:p w14:paraId="4135A388" w14:textId="77777777" w:rsidR="00D34C6E" w:rsidRPr="009B67BF" w:rsidRDefault="00D34C6E" w:rsidP="00D34C6E">
      <w:pPr>
        <w:widowControl/>
        <w:numPr>
          <w:ilvl w:val="0"/>
          <w:numId w:val="3"/>
        </w:numPr>
        <w:ind w:left="720"/>
        <w:rPr>
          <w:rFonts w:eastAsia="Franklin Gothic Book"/>
        </w:rPr>
      </w:pPr>
      <w:r w:rsidRPr="009B67BF">
        <w:rPr>
          <w:rFonts w:eastAsia="Franklin Gothic Book"/>
        </w:rPr>
        <w:t xml:space="preserve">The </w:t>
      </w:r>
      <w:r>
        <w:rPr>
          <w:rFonts w:eastAsia="Franklin Gothic Book"/>
        </w:rPr>
        <w:t>N</w:t>
      </w:r>
      <w:r w:rsidRPr="009B67BF">
        <w:rPr>
          <w:rFonts w:eastAsia="Franklin Gothic Book"/>
        </w:rPr>
        <w:t>o-</w:t>
      </w:r>
      <w:r>
        <w:rPr>
          <w:rFonts w:eastAsia="Franklin Gothic Book"/>
        </w:rPr>
        <w:t>P</w:t>
      </w:r>
      <w:r w:rsidRPr="009B67BF">
        <w:rPr>
          <w:rFonts w:eastAsia="Franklin Gothic Book"/>
        </w:rPr>
        <w:t xml:space="preserve">rogram </w:t>
      </w:r>
      <w:r>
        <w:rPr>
          <w:rFonts w:eastAsia="Franklin Gothic Book"/>
        </w:rPr>
        <w:t>S</w:t>
      </w:r>
      <w:r w:rsidRPr="009B67BF">
        <w:rPr>
          <w:rFonts w:eastAsia="Franklin Gothic Book"/>
        </w:rPr>
        <w:t>core is used to estimate how many program bulbs a survey respondent would have purchased in the absence of the residential lighting program.</w:t>
      </w:r>
    </w:p>
    <w:p w14:paraId="41CF7910" w14:textId="77777777" w:rsidR="00D34C6E" w:rsidRDefault="00D34C6E" w:rsidP="00D34C6E">
      <w:pPr>
        <w:rPr>
          <w:rFonts w:eastAsia="Franklin Gothic Book"/>
        </w:rPr>
      </w:pPr>
      <w:r>
        <w:rPr>
          <w:rFonts w:eastAsia="Franklin Gothic Book"/>
        </w:rPr>
        <w:t xml:space="preserve">Figure 4-3 </w:t>
      </w:r>
      <w:r w:rsidRPr="009B67BF">
        <w:rPr>
          <w:rFonts w:eastAsia="Franklin Gothic Book"/>
        </w:rPr>
        <w:t>illustrates the scoring algorithm for Residential Upstream Lighting Free Ridership via In-Store Intercepts.</w:t>
      </w:r>
    </w:p>
    <w:p w14:paraId="4F6440CA" w14:textId="41A2E816" w:rsidR="00D34C6E" w:rsidRPr="005B157F" w:rsidRDefault="00BD5DED" w:rsidP="00D21F1A">
      <w:pPr>
        <w:pStyle w:val="Captions"/>
      </w:pPr>
      <w:bookmarkStart w:id="1521" w:name="_Ref442628990"/>
      <w:bookmarkStart w:id="1522" w:name="_Toc472494757"/>
      <w:bookmarkStart w:id="1523" w:name="_Toc473108117"/>
      <w:bookmarkStart w:id="1524" w:name="_Toc520824265"/>
      <w:bookmarkStart w:id="1525" w:name="_Toc523148247"/>
      <w:bookmarkStart w:id="1526" w:name="_Toc16620009"/>
      <w:bookmarkStart w:id="1527" w:name="_Toc83376836"/>
      <w:r w:rsidRPr="00975634">
        <w:rPr>
          <w:noProof/>
        </w:rPr>
        <w:drawing>
          <wp:anchor distT="0" distB="0" distL="114300" distR="114300" simplePos="0" relativeHeight="251658752" behindDoc="0" locked="0" layoutInCell="1" allowOverlap="1" wp14:anchorId="00D17FB4" wp14:editId="3B92F7BC">
            <wp:simplePos x="0" y="0"/>
            <wp:positionH relativeFrom="column">
              <wp:posOffset>0</wp:posOffset>
            </wp:positionH>
            <wp:positionV relativeFrom="paragraph">
              <wp:posOffset>187960</wp:posOffset>
            </wp:positionV>
            <wp:extent cx="5995035" cy="3108960"/>
            <wp:effectExtent l="0" t="0" r="5715" b="0"/>
            <wp:wrapSquare wrapText="bothSides"/>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995035" cy="3108960"/>
                    </a:xfrm>
                    <a:prstGeom prst="rect">
                      <a:avLst/>
                    </a:prstGeom>
                    <a:noFill/>
                    <a:ln>
                      <a:noFill/>
                    </a:ln>
                  </pic:spPr>
                </pic:pic>
              </a:graphicData>
            </a:graphic>
          </wp:anchor>
        </w:drawing>
      </w:r>
      <w:r w:rsidR="00D34C6E" w:rsidRPr="005B157F">
        <w:t>Figure 4</w:t>
      </w:r>
      <w:r w:rsidR="00D34C6E" w:rsidRPr="005B157F">
        <w:noBreakHyphen/>
      </w:r>
      <w:bookmarkEnd w:id="1521"/>
      <w:r w:rsidR="00D34C6E" w:rsidRPr="005B157F">
        <w:t>3. Residential Upstream Lighting Free Ridership via In-Store Intercept</w:t>
      </w:r>
      <w:bookmarkEnd w:id="1522"/>
      <w:bookmarkEnd w:id="1523"/>
      <w:bookmarkEnd w:id="1524"/>
      <w:bookmarkEnd w:id="1525"/>
      <w:bookmarkEnd w:id="1526"/>
      <w:bookmarkEnd w:id="1527"/>
    </w:p>
    <w:p w14:paraId="54166763" w14:textId="1A015EEA" w:rsidR="00D34C6E" w:rsidRDefault="00D34C6E" w:rsidP="00D34C6E"/>
    <w:p w14:paraId="7A893147" w14:textId="77777777" w:rsidR="00D34C6E" w:rsidRPr="009B67BF" w:rsidRDefault="00D34C6E" w:rsidP="001A2AE6">
      <w:pPr>
        <w:pStyle w:val="Heading4"/>
      </w:pPr>
      <w:bookmarkStart w:id="1528" w:name="_Toc442804282"/>
      <w:bookmarkStart w:id="1529" w:name="_Toc442805499"/>
      <w:r w:rsidRPr="009B67BF">
        <w:t>Data Collection</w:t>
      </w:r>
      <w:bookmarkEnd w:id="1528"/>
      <w:bookmarkEnd w:id="1529"/>
    </w:p>
    <w:p w14:paraId="7C347BB5" w14:textId="77777777" w:rsidR="00D34C6E" w:rsidRPr="009B67BF" w:rsidRDefault="00D34C6E" w:rsidP="00D34C6E">
      <w:pPr>
        <w:rPr>
          <w:rFonts w:eastAsia="Franklin Gothic Book"/>
        </w:rPr>
      </w:pPr>
      <w:r w:rsidRPr="009B67BF">
        <w:rPr>
          <w:rFonts w:eastAsia="Franklin Gothic Book"/>
        </w:rPr>
        <w:t xml:space="preserve">To estimate free ridership, the evaluation teams will conduct in-store intercept surveys with customers purchasing program-discounted lighting at participating retailers. Customers are asked questions that are used to estimate a </w:t>
      </w:r>
      <w:r>
        <w:rPr>
          <w:rFonts w:eastAsia="Franklin Gothic Book"/>
        </w:rPr>
        <w:t>P</w:t>
      </w:r>
      <w:r w:rsidRPr="009B67BF">
        <w:rPr>
          <w:rFonts w:eastAsia="Franklin Gothic Book"/>
        </w:rPr>
        <w:t xml:space="preserve">rogram </w:t>
      </w:r>
      <w:r>
        <w:rPr>
          <w:rFonts w:eastAsia="Franklin Gothic Book"/>
        </w:rPr>
        <w:t>I</w:t>
      </w:r>
      <w:r w:rsidRPr="009B67BF">
        <w:rPr>
          <w:rFonts w:eastAsia="Franklin Gothic Book"/>
        </w:rPr>
        <w:t xml:space="preserve">nfluence </w:t>
      </w:r>
      <w:r>
        <w:rPr>
          <w:rFonts w:eastAsia="Franklin Gothic Book"/>
        </w:rPr>
        <w:t>S</w:t>
      </w:r>
      <w:r w:rsidRPr="009B67BF">
        <w:rPr>
          <w:rFonts w:eastAsia="Franklin Gothic Book"/>
        </w:rPr>
        <w:t xml:space="preserve">core and a </w:t>
      </w:r>
      <w:r>
        <w:rPr>
          <w:rFonts w:eastAsia="Franklin Gothic Book"/>
        </w:rPr>
        <w:t>No-Program</w:t>
      </w:r>
      <w:r w:rsidRPr="009B67BF">
        <w:rPr>
          <w:rFonts w:eastAsia="Franklin Gothic Book"/>
        </w:rPr>
        <w:t xml:space="preserve"> </w:t>
      </w:r>
      <w:r>
        <w:rPr>
          <w:rFonts w:eastAsia="Franklin Gothic Book"/>
        </w:rPr>
        <w:t>S</w:t>
      </w:r>
      <w:r w:rsidRPr="009B67BF">
        <w:rPr>
          <w:rFonts w:eastAsia="Franklin Gothic Book"/>
        </w:rPr>
        <w:t>core for each customer and efficient bulb type purchased.</w:t>
      </w:r>
    </w:p>
    <w:p w14:paraId="047AC5F8" w14:textId="77777777" w:rsidR="00D34C6E" w:rsidRPr="00E7684E" w:rsidRDefault="00D34C6E" w:rsidP="00D34C6E">
      <w:pPr>
        <w:ind w:left="720"/>
        <w:rPr>
          <w:rFonts w:eastAsia="Franklin Gothic Book"/>
          <w:b/>
        </w:rPr>
      </w:pPr>
      <w:r w:rsidRPr="00E7684E">
        <w:rPr>
          <w:rFonts w:eastAsia="Franklin Gothic Book"/>
          <w:b/>
        </w:rPr>
        <w:t>Primary Program Influence Score Questions</w:t>
      </w:r>
    </w:p>
    <w:p w14:paraId="75096E44" w14:textId="77777777" w:rsidR="00D34C6E" w:rsidRPr="009B67BF" w:rsidRDefault="00D34C6E" w:rsidP="00D34C6E">
      <w:pPr>
        <w:widowControl/>
        <w:numPr>
          <w:ilvl w:val="0"/>
          <w:numId w:val="4"/>
        </w:numPr>
        <w:spacing w:after="60"/>
        <w:ind w:left="720"/>
        <w:jc w:val="left"/>
        <w:rPr>
          <w:rFonts w:eastAsia="Franklin Gothic Book"/>
        </w:rPr>
      </w:pPr>
      <w:r w:rsidRPr="009B67BF">
        <w:rPr>
          <w:rFonts w:eastAsia="Franklin Gothic Book"/>
        </w:rPr>
        <w:t>Light bulb purchasing plans for current shopping trip (Yes/No)</w:t>
      </w:r>
    </w:p>
    <w:p w14:paraId="05D8293B" w14:textId="77777777" w:rsidR="00D34C6E" w:rsidRPr="009B67BF" w:rsidRDefault="00D34C6E" w:rsidP="00D34C6E">
      <w:pPr>
        <w:widowControl/>
        <w:numPr>
          <w:ilvl w:val="0"/>
          <w:numId w:val="4"/>
        </w:numPr>
        <w:spacing w:after="60"/>
        <w:ind w:left="720"/>
        <w:jc w:val="left"/>
        <w:rPr>
          <w:rFonts w:eastAsia="Franklin Gothic Book"/>
        </w:rPr>
      </w:pPr>
      <w:r w:rsidRPr="009B67BF">
        <w:rPr>
          <w:rFonts w:eastAsia="Franklin Gothic Book"/>
        </w:rPr>
        <w:t>If planning to purchase bulbs:</w:t>
      </w:r>
    </w:p>
    <w:p w14:paraId="50B28018" w14:textId="77777777" w:rsidR="00D34C6E" w:rsidRPr="009B67BF" w:rsidRDefault="00D34C6E" w:rsidP="00D34C6E">
      <w:pPr>
        <w:widowControl/>
        <w:numPr>
          <w:ilvl w:val="1"/>
          <w:numId w:val="4"/>
        </w:numPr>
        <w:spacing w:after="60"/>
        <w:ind w:left="1080"/>
        <w:jc w:val="left"/>
        <w:rPr>
          <w:rFonts w:eastAsia="Franklin Gothic Book"/>
        </w:rPr>
      </w:pPr>
      <w:r w:rsidRPr="009B67BF">
        <w:rPr>
          <w:rFonts w:eastAsia="Franklin Gothic Book"/>
        </w:rPr>
        <w:t>Bulb type (CFL, LED, Incandescent, Halogen)</w:t>
      </w:r>
    </w:p>
    <w:p w14:paraId="6AE8F361" w14:textId="77777777" w:rsidR="00D34C6E" w:rsidRPr="00AA53AE" w:rsidRDefault="00D34C6E" w:rsidP="00D34C6E">
      <w:pPr>
        <w:widowControl/>
        <w:numPr>
          <w:ilvl w:val="1"/>
          <w:numId w:val="4"/>
        </w:numPr>
        <w:spacing w:after="60"/>
        <w:ind w:left="1080"/>
        <w:jc w:val="left"/>
        <w:rPr>
          <w:rFonts w:eastAsia="Franklin Gothic Book"/>
        </w:rPr>
      </w:pPr>
      <w:r w:rsidRPr="00DA6F8C">
        <w:rPr>
          <w:rFonts w:eastAsia="Franklin Gothic Book"/>
        </w:rPr>
        <w:t>Program administrator</w:t>
      </w:r>
      <w:r w:rsidRPr="00AA53AE">
        <w:rPr>
          <w:rFonts w:eastAsia="Franklin Gothic Book"/>
        </w:rPr>
        <w:t>-incentivized bulbs (Yes/No)</w:t>
      </w:r>
    </w:p>
    <w:p w14:paraId="05CDC834" w14:textId="77777777" w:rsidR="00D34C6E" w:rsidRPr="00661756" w:rsidRDefault="00D34C6E" w:rsidP="00D34C6E">
      <w:pPr>
        <w:widowControl/>
        <w:numPr>
          <w:ilvl w:val="0"/>
          <w:numId w:val="4"/>
        </w:numPr>
        <w:spacing w:after="60"/>
        <w:ind w:left="720"/>
        <w:jc w:val="left"/>
        <w:rPr>
          <w:rFonts w:eastAsia="Franklin Gothic Book"/>
        </w:rPr>
      </w:pPr>
      <w:r w:rsidRPr="00661756">
        <w:rPr>
          <w:rFonts w:eastAsia="Franklin Gothic Book"/>
        </w:rPr>
        <w:t>Influence of various program factors:</w:t>
      </w:r>
    </w:p>
    <w:p w14:paraId="42861F06" w14:textId="77777777" w:rsidR="00D34C6E" w:rsidRPr="00661756" w:rsidRDefault="00D34C6E" w:rsidP="00D34C6E">
      <w:pPr>
        <w:widowControl/>
        <w:numPr>
          <w:ilvl w:val="1"/>
          <w:numId w:val="4"/>
        </w:numPr>
        <w:spacing w:after="60"/>
        <w:ind w:left="1080"/>
        <w:jc w:val="left"/>
        <w:rPr>
          <w:rFonts w:eastAsia="Franklin Gothic Book"/>
        </w:rPr>
      </w:pPr>
      <w:r w:rsidRPr="00661756">
        <w:rPr>
          <w:rFonts w:eastAsia="Franklin Gothic Book"/>
        </w:rPr>
        <w:t>Program incentive</w:t>
      </w:r>
    </w:p>
    <w:p w14:paraId="2E61027F" w14:textId="77777777" w:rsidR="00D34C6E" w:rsidRPr="00661756" w:rsidRDefault="00D34C6E" w:rsidP="00D34C6E">
      <w:pPr>
        <w:widowControl/>
        <w:numPr>
          <w:ilvl w:val="1"/>
          <w:numId w:val="4"/>
        </w:numPr>
        <w:spacing w:after="60"/>
        <w:ind w:left="1080"/>
        <w:jc w:val="left"/>
        <w:rPr>
          <w:rFonts w:eastAsia="Franklin Gothic Book"/>
        </w:rPr>
      </w:pPr>
      <w:r w:rsidRPr="00661756">
        <w:rPr>
          <w:rFonts w:eastAsia="Franklin Gothic Book"/>
        </w:rPr>
        <w:t xml:space="preserve">In-store information (printed materials or information from </w:t>
      </w:r>
      <w:r>
        <w:rPr>
          <w:rFonts w:eastAsia="Franklin Gothic Book"/>
        </w:rPr>
        <w:t>Program Administrator</w:t>
      </w:r>
      <w:r w:rsidRPr="00661756">
        <w:rPr>
          <w:rFonts w:eastAsia="Franklin Gothic Book"/>
        </w:rPr>
        <w:t xml:space="preserve"> representatives or retail personnel)</w:t>
      </w:r>
    </w:p>
    <w:p w14:paraId="5AA98964" w14:textId="77777777" w:rsidR="00D34C6E" w:rsidRPr="00661756" w:rsidRDefault="00D34C6E" w:rsidP="00D34C6E">
      <w:pPr>
        <w:widowControl/>
        <w:numPr>
          <w:ilvl w:val="1"/>
          <w:numId w:val="4"/>
        </w:numPr>
        <w:spacing w:after="60"/>
        <w:ind w:left="1080"/>
        <w:jc w:val="left"/>
        <w:rPr>
          <w:rFonts w:eastAsia="Franklin Gothic Book"/>
        </w:rPr>
      </w:pPr>
      <w:r w:rsidRPr="00661756">
        <w:rPr>
          <w:rFonts w:eastAsia="Franklin Gothic Book"/>
        </w:rPr>
        <w:t>Positioning of discounted bulbs within the store</w:t>
      </w:r>
    </w:p>
    <w:p w14:paraId="3508B791" w14:textId="77777777" w:rsidR="00D34C6E" w:rsidRPr="00661756" w:rsidRDefault="00D34C6E" w:rsidP="00D34C6E">
      <w:pPr>
        <w:ind w:left="720"/>
        <w:rPr>
          <w:rFonts w:eastAsia="Franklin Gothic Book"/>
          <w:b/>
        </w:rPr>
      </w:pPr>
      <w:r w:rsidRPr="00661756">
        <w:rPr>
          <w:rFonts w:eastAsia="Franklin Gothic Book"/>
          <w:b/>
        </w:rPr>
        <w:t>Primary No-</w:t>
      </w:r>
      <w:r>
        <w:rPr>
          <w:rFonts w:eastAsia="Franklin Gothic Book"/>
          <w:b/>
        </w:rPr>
        <w:t>P</w:t>
      </w:r>
      <w:r w:rsidRPr="00661756">
        <w:rPr>
          <w:rFonts w:eastAsia="Franklin Gothic Book"/>
          <w:b/>
        </w:rPr>
        <w:t>rogram Score Questions</w:t>
      </w:r>
    </w:p>
    <w:p w14:paraId="2A770148" w14:textId="77777777" w:rsidR="00D34C6E" w:rsidRPr="00661756" w:rsidRDefault="00D34C6E" w:rsidP="00D34C6E">
      <w:pPr>
        <w:widowControl/>
        <w:numPr>
          <w:ilvl w:val="0"/>
          <w:numId w:val="5"/>
        </w:numPr>
        <w:spacing w:after="60"/>
        <w:ind w:left="720"/>
        <w:jc w:val="left"/>
        <w:rPr>
          <w:rFonts w:eastAsia="Franklin Gothic Book"/>
        </w:rPr>
      </w:pPr>
      <w:r w:rsidRPr="00661756">
        <w:rPr>
          <w:rFonts w:eastAsia="Franklin Gothic Book"/>
        </w:rPr>
        <w:t xml:space="preserve">Stated preference of light bulb purchases had the </w:t>
      </w:r>
      <w:r>
        <w:rPr>
          <w:rFonts w:eastAsia="Franklin Gothic Book"/>
        </w:rPr>
        <w:t>Program Administrator</w:t>
      </w:r>
      <w:r w:rsidRPr="00661756">
        <w:rPr>
          <w:rFonts w:eastAsia="Franklin Gothic Book"/>
        </w:rPr>
        <w:t xml:space="preserve"> incentive not been available (purchase all, some, or none of efficient bulbs)</w:t>
      </w:r>
    </w:p>
    <w:p w14:paraId="3278E533" w14:textId="77777777" w:rsidR="00D34C6E" w:rsidRPr="009B67BF" w:rsidRDefault="00D34C6E" w:rsidP="00D34C6E">
      <w:pPr>
        <w:widowControl/>
        <w:numPr>
          <w:ilvl w:val="0"/>
          <w:numId w:val="5"/>
        </w:numPr>
        <w:ind w:left="720"/>
        <w:jc w:val="left"/>
        <w:rPr>
          <w:rFonts w:eastAsia="Franklin Gothic Book"/>
        </w:rPr>
      </w:pPr>
      <w:r w:rsidRPr="00661756">
        <w:rPr>
          <w:rFonts w:eastAsia="Franklin Gothic Book"/>
        </w:rPr>
        <w:t xml:space="preserve">Quantity of light bulbs purchased absent the </w:t>
      </w:r>
      <w:r w:rsidRPr="009B67BF">
        <w:rPr>
          <w:rFonts w:eastAsia="Franklin Gothic Book"/>
        </w:rPr>
        <w:t>incentive</w:t>
      </w:r>
    </w:p>
    <w:p w14:paraId="62FD9849" w14:textId="77777777" w:rsidR="00D34C6E" w:rsidRPr="009B67BF" w:rsidRDefault="00D34C6E" w:rsidP="001A2AE6">
      <w:pPr>
        <w:pStyle w:val="Heading4"/>
      </w:pPr>
      <w:bookmarkStart w:id="1530" w:name="_Toc442804283"/>
      <w:bookmarkStart w:id="1531" w:name="_Toc442805500"/>
      <w:r w:rsidRPr="009B67BF">
        <w:lastRenderedPageBreak/>
        <w:t>Scoring Algorithms</w:t>
      </w:r>
      <w:bookmarkEnd w:id="1530"/>
      <w:bookmarkEnd w:id="1531"/>
    </w:p>
    <w:p w14:paraId="35C822A7" w14:textId="77777777" w:rsidR="00D34C6E" w:rsidRPr="009B67BF" w:rsidRDefault="00D34C6E" w:rsidP="00D34C6E">
      <w:pPr>
        <w:rPr>
          <w:rFonts w:eastAsia="Franklin Gothic Book"/>
        </w:rPr>
      </w:pPr>
      <w:r w:rsidRPr="009B67BF">
        <w:rPr>
          <w:rFonts w:eastAsia="Franklin Gothic Book"/>
        </w:rPr>
        <w:t xml:space="preserve">Using the data collected from program participants during the in-store intercept surveys, </w:t>
      </w:r>
      <w:r>
        <w:rPr>
          <w:rFonts w:eastAsia="Franklin Gothic Book"/>
        </w:rPr>
        <w:t>P</w:t>
      </w:r>
      <w:r w:rsidRPr="009B67BF">
        <w:rPr>
          <w:rFonts w:eastAsia="Franklin Gothic Book"/>
        </w:rPr>
        <w:t xml:space="preserve">rogram </w:t>
      </w:r>
      <w:r>
        <w:rPr>
          <w:rFonts w:eastAsia="Franklin Gothic Book"/>
        </w:rPr>
        <w:t>I</w:t>
      </w:r>
      <w:r w:rsidRPr="009B67BF">
        <w:rPr>
          <w:rFonts w:eastAsia="Franklin Gothic Book"/>
        </w:rPr>
        <w:t xml:space="preserve">nfluence and </w:t>
      </w:r>
      <w:r>
        <w:rPr>
          <w:rFonts w:eastAsia="Franklin Gothic Book"/>
        </w:rPr>
        <w:t>No-Program</w:t>
      </w:r>
      <w:r w:rsidRPr="009B67BF">
        <w:rPr>
          <w:rFonts w:eastAsia="Franklin Gothic Book"/>
        </w:rPr>
        <w:t xml:space="preserve"> </w:t>
      </w:r>
      <w:r>
        <w:rPr>
          <w:rFonts w:eastAsia="Franklin Gothic Book"/>
        </w:rPr>
        <w:t>S</w:t>
      </w:r>
      <w:r w:rsidRPr="009B67BF">
        <w:rPr>
          <w:rFonts w:eastAsia="Franklin Gothic Book"/>
        </w:rPr>
        <w:t xml:space="preserve">cores are calculated for each survey respondent and then combined to estimate a respondent-specific </w:t>
      </w:r>
      <w:r>
        <w:rPr>
          <w:rFonts w:eastAsia="Franklin Gothic Book"/>
        </w:rPr>
        <w:t>F</w:t>
      </w:r>
      <w:r w:rsidRPr="009B67BF">
        <w:rPr>
          <w:rFonts w:eastAsia="Franklin Gothic Book"/>
        </w:rPr>
        <w:t xml:space="preserve">ree </w:t>
      </w:r>
      <w:r>
        <w:rPr>
          <w:rFonts w:eastAsia="Franklin Gothic Book"/>
        </w:rPr>
        <w:t>R</w:t>
      </w:r>
      <w:r w:rsidRPr="009B67BF">
        <w:rPr>
          <w:rFonts w:eastAsia="Franklin Gothic Book"/>
        </w:rPr>
        <w:t xml:space="preserve">idership </w:t>
      </w:r>
      <w:r>
        <w:rPr>
          <w:rFonts w:eastAsia="Franklin Gothic Book"/>
        </w:rPr>
        <w:t>S</w:t>
      </w:r>
      <w:r w:rsidRPr="009B67BF">
        <w:rPr>
          <w:rFonts w:eastAsia="Franklin Gothic Book"/>
        </w:rPr>
        <w:t>core.</w:t>
      </w:r>
    </w:p>
    <w:p w14:paraId="59E63D5A" w14:textId="77777777" w:rsidR="00D34C6E" w:rsidRPr="009B67BF" w:rsidRDefault="00D34C6E" w:rsidP="00D34C6E">
      <w:pPr>
        <w:pStyle w:val="Heading5"/>
        <w:numPr>
          <w:ilvl w:val="4"/>
          <w:numId w:val="8"/>
        </w:numPr>
      </w:pPr>
      <w:bookmarkStart w:id="1532" w:name="_Toc442804284"/>
      <w:bookmarkStart w:id="1533" w:name="_Toc442805501"/>
      <w:r w:rsidRPr="009B67BF">
        <w:t>Calculation of the Program Influence Score</w:t>
      </w:r>
      <w:bookmarkEnd w:id="1532"/>
      <w:bookmarkEnd w:id="1533"/>
    </w:p>
    <w:p w14:paraId="70CC99FB" w14:textId="77777777" w:rsidR="00D34C6E" w:rsidRPr="009B67BF" w:rsidRDefault="00D34C6E" w:rsidP="00D34C6E">
      <w:pPr>
        <w:rPr>
          <w:rFonts w:eastAsia="Franklin Gothic Book"/>
        </w:rPr>
      </w:pPr>
      <w:r w:rsidRPr="009B67BF">
        <w:rPr>
          <w:rFonts w:eastAsia="Franklin Gothic Book"/>
        </w:rPr>
        <w:t xml:space="preserve">Survey respondents purchasing one or more program-discounted bulbs are assigned a </w:t>
      </w:r>
      <w:r>
        <w:rPr>
          <w:rFonts w:eastAsia="Franklin Gothic Book"/>
        </w:rPr>
        <w:t>P</w:t>
      </w:r>
      <w:r w:rsidRPr="009B67BF">
        <w:rPr>
          <w:rFonts w:eastAsia="Franklin Gothic Book"/>
        </w:rPr>
        <w:t xml:space="preserve">reliminary </w:t>
      </w:r>
      <w:r>
        <w:rPr>
          <w:rFonts w:eastAsia="Franklin Gothic Book"/>
        </w:rPr>
        <w:t>P</w:t>
      </w:r>
      <w:r w:rsidRPr="009B67BF">
        <w:rPr>
          <w:rFonts w:eastAsia="Franklin Gothic Book"/>
        </w:rPr>
        <w:t xml:space="preserve">rogram </w:t>
      </w:r>
      <w:r>
        <w:rPr>
          <w:rFonts w:eastAsia="Franklin Gothic Book"/>
        </w:rPr>
        <w:t>I</w:t>
      </w:r>
      <w:r w:rsidRPr="009B67BF">
        <w:rPr>
          <w:rFonts w:eastAsia="Franklin Gothic Book"/>
        </w:rPr>
        <w:t xml:space="preserve">nfluence </w:t>
      </w:r>
      <w:r>
        <w:rPr>
          <w:rFonts w:eastAsia="Franklin Gothic Book"/>
        </w:rPr>
        <w:t>S</w:t>
      </w:r>
      <w:r w:rsidRPr="009B67BF">
        <w:rPr>
          <w:rFonts w:eastAsia="Franklin Gothic Book"/>
        </w:rPr>
        <w:t xml:space="preserve">core based on the maximum program influence level (on a 0 to 10 scale) they assigned to one or more program factors (e.g., monetary incentive/informational materials </w:t>
      </w:r>
      <w:r>
        <w:rPr>
          <w:rFonts w:eastAsia="Franklin Gothic Book"/>
        </w:rPr>
        <w:t>[</w:t>
      </w:r>
      <w:r w:rsidRPr="009B67BF">
        <w:rPr>
          <w:rFonts w:eastAsia="Franklin Gothic Book"/>
        </w:rPr>
        <w:t>printed or from store personnel</w:t>
      </w:r>
      <w:r>
        <w:rPr>
          <w:rFonts w:eastAsia="Franklin Gothic Book"/>
        </w:rPr>
        <w:t>]</w:t>
      </w:r>
      <w:r w:rsidRPr="009B67BF">
        <w:rPr>
          <w:rFonts w:eastAsia="Franklin Gothic Book"/>
        </w:rPr>
        <w:t>/product positioning). The influence level assigned to the monetary incentive should be increased for survey respondents (using a linear decreasing function</w:t>
      </w:r>
      <w:r>
        <w:rPr>
          <w:rFonts w:eastAsia="Franklin Gothic Book"/>
        </w:rPr>
        <w:t>)</w:t>
      </w:r>
      <w:r w:rsidRPr="00B31077">
        <w:rPr>
          <w:rFonts w:eastAsia="Franklin Gothic Book"/>
          <w:vertAlign w:val="superscript"/>
        </w:rPr>
        <w:footnoteReference w:id="78"/>
      </w:r>
      <w:r w:rsidRPr="009B67BF">
        <w:rPr>
          <w:rFonts w:eastAsia="Franklin Gothic Book"/>
        </w:rPr>
        <w:t xml:space="preserve"> who indicated that</w:t>
      </w:r>
      <w:r>
        <w:rPr>
          <w:rFonts w:eastAsia="Franklin Gothic Book"/>
        </w:rPr>
        <w:t>,</w:t>
      </w:r>
      <w:r w:rsidRPr="009B67BF">
        <w:rPr>
          <w:rFonts w:eastAsia="Franklin Gothic Book"/>
        </w:rPr>
        <w:t xml:space="preserve"> absent the incentive</w:t>
      </w:r>
      <w:r>
        <w:rPr>
          <w:rFonts w:eastAsia="Franklin Gothic Book"/>
        </w:rPr>
        <w:t>,</w:t>
      </w:r>
      <w:r w:rsidRPr="009B67BF">
        <w:rPr>
          <w:rFonts w:eastAsia="Franklin Gothic Book"/>
        </w:rPr>
        <w:t xml:space="preserve"> they would not have purchased any of the program bulbs they were purchasing that day.</w:t>
      </w:r>
    </w:p>
    <w:p w14:paraId="743C2EC9" w14:textId="77777777" w:rsidR="00D34C6E" w:rsidRPr="009B67BF" w:rsidRDefault="00D34C6E" w:rsidP="00D34C6E">
      <w:pPr>
        <w:rPr>
          <w:rFonts w:eastAsia="Franklin Gothic Book"/>
        </w:rPr>
      </w:pPr>
      <w:r w:rsidRPr="009B67BF">
        <w:rPr>
          <w:rFonts w:eastAsia="Franklin Gothic Book"/>
        </w:rPr>
        <w:t xml:space="preserve">After the </w:t>
      </w:r>
      <w:r>
        <w:rPr>
          <w:rFonts w:eastAsia="Franklin Gothic Book"/>
        </w:rPr>
        <w:t>P</w:t>
      </w:r>
      <w:r w:rsidRPr="009B67BF">
        <w:rPr>
          <w:rFonts w:eastAsia="Franklin Gothic Book"/>
        </w:rPr>
        <w:t xml:space="preserve">reliminary </w:t>
      </w:r>
      <w:r>
        <w:rPr>
          <w:rFonts w:eastAsia="Franklin Gothic Book"/>
        </w:rPr>
        <w:t>P</w:t>
      </w:r>
      <w:r w:rsidRPr="009B67BF">
        <w:rPr>
          <w:rFonts w:eastAsia="Franklin Gothic Book"/>
        </w:rPr>
        <w:t xml:space="preserve">rogram </w:t>
      </w:r>
      <w:r>
        <w:rPr>
          <w:rFonts w:eastAsia="Franklin Gothic Book"/>
        </w:rPr>
        <w:t>I</w:t>
      </w:r>
      <w:r w:rsidRPr="009B67BF">
        <w:rPr>
          <w:rFonts w:eastAsia="Franklin Gothic Book"/>
        </w:rPr>
        <w:t xml:space="preserve">nfluence </w:t>
      </w:r>
      <w:r>
        <w:rPr>
          <w:rFonts w:eastAsia="Franklin Gothic Book"/>
        </w:rPr>
        <w:t>S</w:t>
      </w:r>
      <w:r w:rsidRPr="009B67BF">
        <w:rPr>
          <w:rFonts w:eastAsia="Franklin Gothic Book"/>
        </w:rPr>
        <w:t>core is assigned, a secondary algorithm is run that adjusts the preliminary program influence based on survey data regarding the customers purchasing plans when they entered the store. Survey respondents who indicate</w:t>
      </w:r>
      <w:r>
        <w:rPr>
          <w:rFonts w:eastAsia="Franklin Gothic Book"/>
        </w:rPr>
        <w:t>d</w:t>
      </w:r>
      <w:r w:rsidRPr="009B67BF">
        <w:rPr>
          <w:rFonts w:eastAsia="Franklin Gothic Book"/>
        </w:rPr>
        <w:t xml:space="preserve"> they planned to purchase high-efficiency bulbs prior to entering the store and </w:t>
      </w:r>
      <w:r>
        <w:rPr>
          <w:rFonts w:eastAsia="Franklin Gothic Book"/>
        </w:rPr>
        <w:t>who had</w:t>
      </w:r>
      <w:r w:rsidRPr="009B67BF">
        <w:rPr>
          <w:rFonts w:eastAsia="Franklin Gothic Book"/>
        </w:rPr>
        <w:t xml:space="preserve"> not come to the store specifically to buy </w:t>
      </w:r>
      <w:r>
        <w:rPr>
          <w:rFonts w:eastAsia="Franklin Gothic Book"/>
        </w:rPr>
        <w:t>Program Administrator</w:t>
      </w:r>
      <w:r w:rsidRPr="009B67BF">
        <w:rPr>
          <w:rFonts w:eastAsia="Franklin Gothic Book"/>
        </w:rPr>
        <w:t xml:space="preserve">-incentivized program bulbs, should have their </w:t>
      </w:r>
      <w:r>
        <w:rPr>
          <w:rFonts w:eastAsia="Franklin Gothic Book"/>
        </w:rPr>
        <w:t>P</w:t>
      </w:r>
      <w:r w:rsidRPr="009B67BF">
        <w:rPr>
          <w:rFonts w:eastAsia="Franklin Gothic Book"/>
        </w:rPr>
        <w:t xml:space="preserve">rogram </w:t>
      </w:r>
      <w:r>
        <w:rPr>
          <w:rFonts w:eastAsia="Franklin Gothic Book"/>
        </w:rPr>
        <w:t>I</w:t>
      </w:r>
      <w:r w:rsidRPr="009B67BF">
        <w:rPr>
          <w:rFonts w:eastAsia="Franklin Gothic Book"/>
        </w:rPr>
        <w:t xml:space="preserve">nfluence </w:t>
      </w:r>
      <w:r>
        <w:rPr>
          <w:rFonts w:eastAsia="Franklin Gothic Book"/>
        </w:rPr>
        <w:t>S</w:t>
      </w:r>
      <w:r w:rsidRPr="009B67BF">
        <w:rPr>
          <w:rFonts w:eastAsia="Franklin Gothic Book"/>
        </w:rPr>
        <w:t xml:space="preserve">core cut in half. This adjustment makes the final </w:t>
      </w:r>
      <w:r>
        <w:rPr>
          <w:rFonts w:eastAsia="Franklin Gothic Book"/>
        </w:rPr>
        <w:t>P</w:t>
      </w:r>
      <w:r w:rsidRPr="009B67BF">
        <w:rPr>
          <w:rFonts w:eastAsia="Franklin Gothic Book"/>
        </w:rPr>
        <w:t xml:space="preserve">rogram </w:t>
      </w:r>
      <w:r>
        <w:rPr>
          <w:rFonts w:eastAsia="Franklin Gothic Book"/>
        </w:rPr>
        <w:t>I</w:t>
      </w:r>
      <w:r w:rsidRPr="009B67BF">
        <w:rPr>
          <w:rFonts w:eastAsia="Franklin Gothic Book"/>
        </w:rPr>
        <w:t xml:space="preserve">nfluence </w:t>
      </w:r>
      <w:r>
        <w:rPr>
          <w:rFonts w:eastAsia="Franklin Gothic Book"/>
        </w:rPr>
        <w:t>S</w:t>
      </w:r>
      <w:r w:rsidRPr="009B67BF">
        <w:rPr>
          <w:rFonts w:eastAsia="Franklin Gothic Book"/>
        </w:rPr>
        <w:t>core reflective of their stated planned intention to purchase efficient bulbs in the program’s absence.</w:t>
      </w:r>
    </w:p>
    <w:p w14:paraId="43DBD7EB" w14:textId="77777777" w:rsidR="00D34C6E" w:rsidRPr="009B67BF" w:rsidRDefault="00D34C6E" w:rsidP="00D34C6E">
      <w:pPr>
        <w:pStyle w:val="Heading5"/>
        <w:numPr>
          <w:ilvl w:val="4"/>
          <w:numId w:val="8"/>
        </w:numPr>
      </w:pPr>
      <w:bookmarkStart w:id="1534" w:name="_Toc442804285"/>
      <w:bookmarkStart w:id="1535" w:name="_Toc442805502"/>
      <w:r w:rsidRPr="009B67BF">
        <w:t xml:space="preserve">Calculation of the </w:t>
      </w:r>
      <w:r>
        <w:t>No-Program</w:t>
      </w:r>
      <w:r w:rsidRPr="009B67BF">
        <w:t xml:space="preserve"> Score</w:t>
      </w:r>
      <w:bookmarkEnd w:id="1534"/>
      <w:bookmarkEnd w:id="1535"/>
    </w:p>
    <w:p w14:paraId="63F738CC" w14:textId="77777777" w:rsidR="00D34C6E" w:rsidRPr="00661756" w:rsidRDefault="00D34C6E" w:rsidP="00D34C6E">
      <w:pPr>
        <w:rPr>
          <w:rFonts w:eastAsia="Franklin Gothic Book"/>
        </w:rPr>
      </w:pPr>
      <w:r w:rsidRPr="009B67BF">
        <w:rPr>
          <w:rFonts w:eastAsia="Franklin Gothic Book"/>
        </w:rPr>
        <w:t xml:space="preserve">The </w:t>
      </w:r>
      <w:r>
        <w:rPr>
          <w:rFonts w:eastAsia="Franklin Gothic Book"/>
        </w:rPr>
        <w:t>No-Program</w:t>
      </w:r>
      <w:r w:rsidRPr="009B67BF">
        <w:rPr>
          <w:rFonts w:eastAsia="Franklin Gothic Book"/>
        </w:rPr>
        <w:t xml:space="preserve"> </w:t>
      </w:r>
      <w:r>
        <w:rPr>
          <w:rFonts w:eastAsia="Franklin Gothic Book"/>
        </w:rPr>
        <w:t>S</w:t>
      </w:r>
      <w:r w:rsidRPr="009B67BF">
        <w:rPr>
          <w:rFonts w:eastAsia="Franklin Gothic Book"/>
        </w:rPr>
        <w:t xml:space="preserve">core is based on whether a </w:t>
      </w:r>
      <w:proofErr w:type="gramStart"/>
      <w:r w:rsidRPr="009B67BF">
        <w:rPr>
          <w:rFonts w:eastAsia="Franklin Gothic Book"/>
        </w:rPr>
        <w:t>respondent states</w:t>
      </w:r>
      <w:proofErr w:type="gramEnd"/>
      <w:r w:rsidRPr="009B67BF">
        <w:rPr>
          <w:rFonts w:eastAsia="Franklin Gothic Book"/>
        </w:rPr>
        <w:t xml:space="preserve"> they would have purchased all, some, or none of the program-discounted bulbs in the absence of </w:t>
      </w:r>
      <w:r>
        <w:rPr>
          <w:rFonts w:eastAsia="Franklin Gothic Book"/>
        </w:rPr>
        <w:t>Program Administrator</w:t>
      </w:r>
      <w:r w:rsidRPr="00AA53AE">
        <w:rPr>
          <w:rFonts w:eastAsia="Franklin Gothic Book"/>
        </w:rPr>
        <w:t xml:space="preserve"> incentives. Respondents </w:t>
      </w:r>
      <w:proofErr w:type="gramStart"/>
      <w:r w:rsidRPr="00AA53AE">
        <w:rPr>
          <w:rFonts w:eastAsia="Franklin Gothic Book"/>
        </w:rPr>
        <w:t>reporting</w:t>
      </w:r>
      <w:proofErr w:type="gramEnd"/>
      <w:r w:rsidRPr="00AA53AE">
        <w:rPr>
          <w:rFonts w:eastAsia="Franklin Gothic Book"/>
        </w:rPr>
        <w:t xml:space="preserve"> they would have purchased all of the efficient bulbs without the incentive should be considered free riders and receive a </w:t>
      </w:r>
      <w:r>
        <w:rPr>
          <w:rFonts w:eastAsia="Franklin Gothic Book"/>
        </w:rPr>
        <w:t>N</w:t>
      </w:r>
      <w:r w:rsidRPr="00661756">
        <w:rPr>
          <w:rFonts w:eastAsia="Franklin Gothic Book"/>
        </w:rPr>
        <w:t>o-</w:t>
      </w:r>
      <w:r>
        <w:rPr>
          <w:rFonts w:eastAsia="Franklin Gothic Book"/>
        </w:rPr>
        <w:t>P</w:t>
      </w:r>
      <w:r w:rsidRPr="00661756">
        <w:rPr>
          <w:rFonts w:eastAsia="Franklin Gothic Book"/>
        </w:rPr>
        <w:t xml:space="preserve">rogram </w:t>
      </w:r>
      <w:r>
        <w:rPr>
          <w:rFonts w:eastAsia="Franklin Gothic Book"/>
        </w:rPr>
        <w:t>S</w:t>
      </w:r>
      <w:r w:rsidRPr="00661756">
        <w:rPr>
          <w:rFonts w:eastAsia="Franklin Gothic Book"/>
        </w:rPr>
        <w:t xml:space="preserve">core of zero. Those reporting they would have purchased none of the efficient bulbs without the incentives should be classified as non-free riders and receive a </w:t>
      </w:r>
      <w:r>
        <w:rPr>
          <w:rFonts w:eastAsia="Franklin Gothic Book"/>
        </w:rPr>
        <w:t>N</w:t>
      </w:r>
      <w:r w:rsidRPr="00661756">
        <w:rPr>
          <w:rFonts w:eastAsia="Franklin Gothic Book"/>
        </w:rPr>
        <w:t>o-</w:t>
      </w:r>
      <w:r>
        <w:rPr>
          <w:rFonts w:eastAsia="Franklin Gothic Book"/>
        </w:rPr>
        <w:t>P</w:t>
      </w:r>
      <w:r w:rsidRPr="00661756">
        <w:rPr>
          <w:rFonts w:eastAsia="Franklin Gothic Book"/>
        </w:rPr>
        <w:t xml:space="preserve">rogram </w:t>
      </w:r>
      <w:r>
        <w:rPr>
          <w:rFonts w:eastAsia="Franklin Gothic Book"/>
        </w:rPr>
        <w:t>S</w:t>
      </w:r>
      <w:r w:rsidRPr="00661756">
        <w:rPr>
          <w:rFonts w:eastAsia="Franklin Gothic Book"/>
        </w:rPr>
        <w:t xml:space="preserve">core of 10, the maximum. Respondents </w:t>
      </w:r>
      <w:proofErr w:type="gramStart"/>
      <w:r w:rsidRPr="00661756">
        <w:rPr>
          <w:rFonts w:eastAsia="Franklin Gothic Book"/>
        </w:rPr>
        <w:t>reporting</w:t>
      </w:r>
      <w:proofErr w:type="gramEnd"/>
      <w:r w:rsidRPr="00661756">
        <w:rPr>
          <w:rFonts w:eastAsia="Franklin Gothic Book"/>
        </w:rPr>
        <w:t xml:space="preserve"> they would have purchased some of the efficient bulbs without the incentive should be assigned a </w:t>
      </w:r>
      <w:r>
        <w:rPr>
          <w:rFonts w:eastAsia="Franklin Gothic Book"/>
        </w:rPr>
        <w:t>N</w:t>
      </w:r>
      <w:r w:rsidRPr="00661756">
        <w:rPr>
          <w:rFonts w:eastAsia="Franklin Gothic Book"/>
        </w:rPr>
        <w:t>o-</w:t>
      </w:r>
      <w:r>
        <w:rPr>
          <w:rFonts w:eastAsia="Franklin Gothic Book"/>
        </w:rPr>
        <w:t>P</w:t>
      </w:r>
      <w:r w:rsidRPr="00661756">
        <w:rPr>
          <w:rFonts w:eastAsia="Franklin Gothic Book"/>
        </w:rPr>
        <w:t xml:space="preserve">rogram </w:t>
      </w:r>
      <w:r>
        <w:rPr>
          <w:rFonts w:eastAsia="Franklin Gothic Book"/>
        </w:rPr>
        <w:t>S</w:t>
      </w:r>
      <w:r w:rsidRPr="00661756">
        <w:rPr>
          <w:rFonts w:eastAsia="Franklin Gothic Book"/>
        </w:rPr>
        <w:t>core between 0 and 10, reflective of the percentage of efficient bulbs they would not have purchased absent the program.</w:t>
      </w:r>
    </w:p>
    <w:p w14:paraId="1E4ACF91" w14:textId="77777777" w:rsidR="00D34C6E" w:rsidRPr="009B67BF" w:rsidRDefault="00D34C6E" w:rsidP="00D34C6E">
      <w:pPr>
        <w:rPr>
          <w:rFonts w:eastAsia="Franklin Gothic Book"/>
        </w:rPr>
      </w:pPr>
      <w:r w:rsidRPr="00661756">
        <w:rPr>
          <w:rFonts w:eastAsia="Franklin Gothic Book"/>
        </w:rPr>
        <w:t xml:space="preserve">Respondents </w:t>
      </w:r>
      <w:proofErr w:type="gramStart"/>
      <w:r w:rsidRPr="00661756">
        <w:rPr>
          <w:rFonts w:eastAsia="Franklin Gothic Book"/>
        </w:rPr>
        <w:t>reporting</w:t>
      </w:r>
      <w:proofErr w:type="gramEnd"/>
      <w:r w:rsidRPr="00661756">
        <w:rPr>
          <w:rFonts w:eastAsia="Franklin Gothic Book"/>
        </w:rPr>
        <w:t xml:space="preserve"> they would have purchased all of the program-discounted bulbs in the program’s absence, but in-store materials provided by the </w:t>
      </w:r>
      <w:r>
        <w:rPr>
          <w:rFonts w:eastAsia="Franklin Gothic Book"/>
        </w:rPr>
        <w:t>Program Administrator</w:t>
      </w:r>
      <w:r w:rsidRPr="009B67BF">
        <w:rPr>
          <w:rFonts w:eastAsia="Franklin Gothic Book"/>
        </w:rPr>
        <w:t xml:space="preserve"> had a moderate to high influence on their decision</w:t>
      </w:r>
      <w:r>
        <w:rPr>
          <w:rFonts w:eastAsia="Franklin Gothic Book"/>
        </w:rPr>
        <w:t>,</w:t>
      </w:r>
      <w:r w:rsidRPr="009B67BF">
        <w:rPr>
          <w:rFonts w:eastAsia="Franklin Gothic Book"/>
        </w:rPr>
        <w:t xml:space="preserve"> should have their </w:t>
      </w:r>
      <w:r>
        <w:rPr>
          <w:rFonts w:eastAsia="Franklin Gothic Book"/>
        </w:rPr>
        <w:t>No-Program</w:t>
      </w:r>
      <w:r w:rsidRPr="009B67BF">
        <w:rPr>
          <w:rFonts w:eastAsia="Franklin Gothic Book"/>
        </w:rPr>
        <w:t xml:space="preserve"> </w:t>
      </w:r>
      <w:r>
        <w:rPr>
          <w:rFonts w:eastAsia="Franklin Gothic Book"/>
        </w:rPr>
        <w:t>S</w:t>
      </w:r>
      <w:r w:rsidRPr="009B67BF">
        <w:rPr>
          <w:rFonts w:eastAsia="Franklin Gothic Book"/>
        </w:rPr>
        <w:t>cores adjusted to equal the level of influence they attributed to these program-sponsored informational materials.</w:t>
      </w:r>
    </w:p>
    <w:p w14:paraId="37099EE8" w14:textId="77777777" w:rsidR="00D34C6E" w:rsidRDefault="00D34C6E" w:rsidP="001A2AE6">
      <w:pPr>
        <w:pStyle w:val="Heading4"/>
      </w:pPr>
      <w:bookmarkStart w:id="1536" w:name="_Toc442804286"/>
      <w:bookmarkStart w:id="1537" w:name="_Toc442805503"/>
      <w:r>
        <w:t>Calculation of Free Ridership</w:t>
      </w:r>
      <w:bookmarkEnd w:id="1536"/>
      <w:bookmarkEnd w:id="1537"/>
    </w:p>
    <w:p w14:paraId="0721EAB9" w14:textId="77777777" w:rsidR="00D34C6E" w:rsidRDefault="00D34C6E" w:rsidP="00D34C6E">
      <w:pPr>
        <w:spacing w:after="60"/>
      </w:pPr>
      <w:r>
        <w:t>The Free Ridership rate is calculated as follows:</w:t>
      </w:r>
    </w:p>
    <w:p w14:paraId="3B3676C7" w14:textId="77777777" w:rsidR="00D34C6E" w:rsidRPr="009B67BF" w:rsidRDefault="00D34C6E" w:rsidP="00D34C6E">
      <w:pPr>
        <w:tabs>
          <w:tab w:val="center" w:pos="5040"/>
          <w:tab w:val="right" w:pos="9360"/>
        </w:tabs>
        <w:jc w:val="center"/>
        <w:rPr>
          <w:rFonts w:eastAsia="Franklin Gothic Book"/>
        </w:rPr>
      </w:pPr>
      <w:r w:rsidRPr="009B67BF">
        <w:rPr>
          <w:rFonts w:eastAsia="Franklin Gothic Book"/>
        </w:rPr>
        <w:t xml:space="preserve">Free Ridership = 1 – (Program Influence Score + </w:t>
      </w:r>
      <w:r>
        <w:rPr>
          <w:rFonts w:eastAsia="Franklin Gothic Book"/>
        </w:rPr>
        <w:t>No-Program</w:t>
      </w:r>
      <w:r w:rsidRPr="009B67BF">
        <w:rPr>
          <w:rFonts w:eastAsia="Franklin Gothic Book"/>
        </w:rPr>
        <w:t xml:space="preserve"> Score)/20</w:t>
      </w:r>
    </w:p>
    <w:p w14:paraId="33777348" w14:textId="77777777" w:rsidR="00D34C6E" w:rsidRPr="009B67BF" w:rsidRDefault="00D34C6E" w:rsidP="00D34C6E">
      <w:pPr>
        <w:rPr>
          <w:rFonts w:eastAsia="Franklin Gothic Book"/>
        </w:rPr>
      </w:pPr>
      <w:r w:rsidRPr="009B67BF">
        <w:rPr>
          <w:rFonts w:eastAsia="Franklin Gothic Book"/>
        </w:rPr>
        <w:t xml:space="preserve">Using the calculated </w:t>
      </w:r>
      <w:r>
        <w:rPr>
          <w:rFonts w:eastAsia="Franklin Gothic Book"/>
        </w:rPr>
        <w:t>P</w:t>
      </w:r>
      <w:r w:rsidRPr="009B67BF">
        <w:rPr>
          <w:rFonts w:eastAsia="Franklin Gothic Book"/>
        </w:rPr>
        <w:t xml:space="preserve">rogram </w:t>
      </w:r>
      <w:r>
        <w:rPr>
          <w:rFonts w:eastAsia="Franklin Gothic Book"/>
        </w:rPr>
        <w:t>I</w:t>
      </w:r>
      <w:r w:rsidRPr="009B67BF">
        <w:rPr>
          <w:rFonts w:eastAsia="Franklin Gothic Book"/>
        </w:rPr>
        <w:t xml:space="preserve">nfluence and </w:t>
      </w:r>
      <w:r>
        <w:rPr>
          <w:rFonts w:eastAsia="Franklin Gothic Book"/>
        </w:rPr>
        <w:t>No-Program</w:t>
      </w:r>
      <w:r w:rsidRPr="009B67BF">
        <w:rPr>
          <w:rFonts w:eastAsia="Franklin Gothic Book"/>
        </w:rPr>
        <w:t xml:space="preserve"> </w:t>
      </w:r>
      <w:r>
        <w:rPr>
          <w:rFonts w:eastAsia="Franklin Gothic Book"/>
        </w:rPr>
        <w:t>S</w:t>
      </w:r>
      <w:r w:rsidRPr="009B67BF">
        <w:rPr>
          <w:rFonts w:eastAsia="Franklin Gothic Book"/>
        </w:rPr>
        <w:t xml:space="preserve">cores, </w:t>
      </w:r>
      <w:r>
        <w:rPr>
          <w:rFonts w:eastAsia="Franklin Gothic Book"/>
        </w:rPr>
        <w:t>F</w:t>
      </w:r>
      <w:r w:rsidRPr="009B67BF">
        <w:rPr>
          <w:rFonts w:eastAsia="Franklin Gothic Book"/>
        </w:rPr>
        <w:t xml:space="preserve">ree </w:t>
      </w:r>
      <w:r>
        <w:rPr>
          <w:rFonts w:eastAsia="Franklin Gothic Book"/>
        </w:rPr>
        <w:t>R</w:t>
      </w:r>
      <w:r w:rsidRPr="009B67BF">
        <w:rPr>
          <w:rFonts w:eastAsia="Franklin Gothic Book"/>
        </w:rPr>
        <w:t>idership is calculated as one minus the sum of the two scores (</w:t>
      </w:r>
      <w:r>
        <w:rPr>
          <w:rFonts w:eastAsia="Franklin Gothic Book"/>
        </w:rPr>
        <w:t>P</w:t>
      </w:r>
      <w:r w:rsidRPr="009B67BF">
        <w:rPr>
          <w:rFonts w:eastAsia="Franklin Gothic Book"/>
        </w:rPr>
        <w:t xml:space="preserve">rogram </w:t>
      </w:r>
      <w:r>
        <w:rPr>
          <w:rFonts w:eastAsia="Franklin Gothic Book"/>
        </w:rPr>
        <w:t>I</w:t>
      </w:r>
      <w:r w:rsidRPr="009B67BF">
        <w:rPr>
          <w:rFonts w:eastAsia="Franklin Gothic Book"/>
        </w:rPr>
        <w:t xml:space="preserve">nfluence </w:t>
      </w:r>
      <w:r>
        <w:rPr>
          <w:rFonts w:eastAsia="Franklin Gothic Book"/>
        </w:rPr>
        <w:t>S</w:t>
      </w:r>
      <w:r w:rsidRPr="009B67BF">
        <w:rPr>
          <w:rFonts w:eastAsia="Franklin Gothic Book"/>
        </w:rPr>
        <w:t xml:space="preserve">core </w:t>
      </w:r>
      <w:proofErr w:type="gramStart"/>
      <w:r w:rsidRPr="009B67BF">
        <w:rPr>
          <w:rFonts w:eastAsia="Franklin Gothic Book"/>
        </w:rPr>
        <w:t>plus</w:t>
      </w:r>
      <w:proofErr w:type="gramEnd"/>
      <w:r w:rsidRPr="009B67BF">
        <w:rPr>
          <w:rFonts w:eastAsia="Franklin Gothic Book"/>
        </w:rPr>
        <w:t xml:space="preserve"> </w:t>
      </w:r>
      <w:r>
        <w:rPr>
          <w:rFonts w:eastAsia="Franklin Gothic Book"/>
        </w:rPr>
        <w:t>No-Program</w:t>
      </w:r>
      <w:r w:rsidRPr="009B67BF">
        <w:rPr>
          <w:rFonts w:eastAsia="Franklin Gothic Book"/>
        </w:rPr>
        <w:t xml:space="preserve"> score), divided by 20. Dividing the sum of scores by 20 results in a ratio (between 0 and 1) that is representative of the average of the two zero to 10 scores. Subtracting this ratio from one </w:t>
      </w:r>
      <w:proofErr w:type="gramStart"/>
      <w:r w:rsidRPr="009B67BF">
        <w:rPr>
          <w:rFonts w:eastAsia="Franklin Gothic Book"/>
        </w:rPr>
        <w:t>reverses</w:t>
      </w:r>
      <w:proofErr w:type="gramEnd"/>
      <w:r w:rsidRPr="009B67BF">
        <w:rPr>
          <w:rFonts w:eastAsia="Franklin Gothic Book"/>
        </w:rPr>
        <w:t xml:space="preserve"> the score, thus representing the free ridership level. If either the </w:t>
      </w:r>
      <w:r>
        <w:rPr>
          <w:rFonts w:eastAsia="Franklin Gothic Book"/>
        </w:rPr>
        <w:t>No-Program</w:t>
      </w:r>
      <w:r w:rsidRPr="009B67BF">
        <w:rPr>
          <w:rFonts w:eastAsia="Franklin Gothic Book"/>
        </w:rPr>
        <w:t xml:space="preserve"> or </w:t>
      </w:r>
      <w:r>
        <w:rPr>
          <w:rFonts w:eastAsia="Franklin Gothic Book"/>
        </w:rPr>
        <w:t>P</w:t>
      </w:r>
      <w:r w:rsidRPr="009B67BF">
        <w:rPr>
          <w:rFonts w:eastAsia="Franklin Gothic Book"/>
        </w:rPr>
        <w:t xml:space="preserve">rogram </w:t>
      </w:r>
      <w:r>
        <w:rPr>
          <w:rFonts w:eastAsia="Franklin Gothic Book"/>
        </w:rPr>
        <w:t>I</w:t>
      </w:r>
      <w:r w:rsidRPr="009B67BF">
        <w:rPr>
          <w:rFonts w:eastAsia="Franklin Gothic Book"/>
        </w:rPr>
        <w:t xml:space="preserve">nfluence </w:t>
      </w:r>
      <w:r>
        <w:rPr>
          <w:rFonts w:eastAsia="Franklin Gothic Book"/>
        </w:rPr>
        <w:t>S</w:t>
      </w:r>
      <w:r w:rsidRPr="009B67BF">
        <w:rPr>
          <w:rFonts w:eastAsia="Franklin Gothic Book"/>
        </w:rPr>
        <w:t xml:space="preserve">cores are missing, </w:t>
      </w:r>
      <w:r>
        <w:rPr>
          <w:rFonts w:eastAsia="Franklin Gothic Book"/>
        </w:rPr>
        <w:t>F</w:t>
      </w:r>
      <w:r w:rsidRPr="009B67BF">
        <w:rPr>
          <w:rFonts w:eastAsia="Franklin Gothic Book"/>
        </w:rPr>
        <w:t xml:space="preserve">ree </w:t>
      </w:r>
      <w:r>
        <w:rPr>
          <w:rFonts w:eastAsia="Franklin Gothic Book"/>
        </w:rPr>
        <w:t>R</w:t>
      </w:r>
      <w:r w:rsidRPr="009B67BF">
        <w:rPr>
          <w:rFonts w:eastAsia="Franklin Gothic Book"/>
        </w:rPr>
        <w:t xml:space="preserve">idership can be calculated using the single available score divided by 10. Evaluators may also reference available data to perform documented modifications to individual free ridership estimates resulting from the application </w:t>
      </w:r>
      <w:r>
        <w:rPr>
          <w:rFonts w:eastAsia="Franklin Gothic Book"/>
        </w:rPr>
        <w:t>of this</w:t>
      </w:r>
      <w:r w:rsidRPr="009B67BF">
        <w:rPr>
          <w:rFonts w:eastAsia="Franklin Gothic Book"/>
        </w:rPr>
        <w:t xml:space="preserve"> free ridership assessment methodology.</w:t>
      </w:r>
    </w:p>
    <w:p w14:paraId="088E5379" w14:textId="77777777" w:rsidR="00D34C6E" w:rsidRPr="009B67BF" w:rsidRDefault="00D34C6E" w:rsidP="0088039F">
      <w:pPr>
        <w:pStyle w:val="Heading3"/>
      </w:pPr>
      <w:bookmarkStart w:id="1538" w:name="_Toc431526461"/>
      <w:bookmarkStart w:id="1539" w:name="_Toc442804287"/>
      <w:bookmarkStart w:id="1540" w:name="_Toc442805504"/>
      <w:bookmarkStart w:id="1541" w:name="_Toc401839536"/>
      <w:bookmarkStart w:id="1542" w:name="_Toc409365124"/>
      <w:bookmarkStart w:id="1543" w:name="_Toc411554714"/>
      <w:bookmarkStart w:id="1544" w:name="_Toc472494715"/>
      <w:bookmarkStart w:id="1545" w:name="_Toc520462913"/>
      <w:bookmarkStart w:id="1546" w:name="_Toc473108057"/>
      <w:bookmarkStart w:id="1547" w:name="_Toc520824168"/>
      <w:bookmarkStart w:id="1548" w:name="_Toc16619951"/>
      <w:bookmarkStart w:id="1549" w:name="_Toc113619806"/>
      <w:r w:rsidRPr="009B67BF">
        <w:t>Participant Spillover</w:t>
      </w:r>
      <w:bookmarkEnd w:id="1538"/>
      <w:bookmarkEnd w:id="1539"/>
      <w:bookmarkEnd w:id="1540"/>
      <w:bookmarkEnd w:id="1541"/>
      <w:bookmarkEnd w:id="1542"/>
      <w:bookmarkEnd w:id="1543"/>
      <w:bookmarkEnd w:id="1544"/>
      <w:bookmarkEnd w:id="1545"/>
      <w:bookmarkEnd w:id="1546"/>
      <w:bookmarkEnd w:id="1547"/>
      <w:bookmarkEnd w:id="1548"/>
      <w:bookmarkEnd w:id="1549"/>
    </w:p>
    <w:p w14:paraId="5724F2EA" w14:textId="77777777" w:rsidR="00D34C6E" w:rsidRPr="009B67BF" w:rsidRDefault="00D34C6E" w:rsidP="00D34C6E">
      <w:pPr>
        <w:rPr>
          <w:rFonts w:eastAsia="Franklin Gothic Book"/>
        </w:rPr>
      </w:pPr>
      <w:r>
        <w:rPr>
          <w:rFonts w:eastAsia="Franklin Gothic Book"/>
        </w:rPr>
        <w:t>For this program, p</w:t>
      </w:r>
      <w:r w:rsidRPr="009B67BF">
        <w:rPr>
          <w:rFonts w:eastAsia="Franklin Gothic Book"/>
        </w:rPr>
        <w:t xml:space="preserve">articipant spillover results from purchases of non-discounted efficient bulbs by program bulb </w:t>
      </w:r>
      <w:r w:rsidRPr="009B67BF">
        <w:rPr>
          <w:rFonts w:eastAsia="Franklin Gothic Book"/>
        </w:rPr>
        <w:lastRenderedPageBreak/>
        <w:t>purchasers who are influenced by their participation in the residential lighting program to purchase additional non-discounted efficient bulbs.</w:t>
      </w:r>
    </w:p>
    <w:p w14:paraId="3F87F06C" w14:textId="77777777" w:rsidR="00D34C6E" w:rsidRPr="009B67BF" w:rsidRDefault="00D34C6E" w:rsidP="001A2AE6">
      <w:pPr>
        <w:pStyle w:val="Heading4"/>
      </w:pPr>
      <w:bookmarkStart w:id="1550" w:name="_Toc442804288"/>
      <w:bookmarkStart w:id="1551" w:name="_Toc442805505"/>
      <w:r w:rsidRPr="009B67BF">
        <w:t>Data Collection</w:t>
      </w:r>
      <w:bookmarkEnd w:id="1550"/>
      <w:bookmarkEnd w:id="1551"/>
    </w:p>
    <w:p w14:paraId="5D1F2AE9" w14:textId="77777777" w:rsidR="00D34C6E" w:rsidRDefault="00D34C6E" w:rsidP="00D34C6E">
      <w:pPr>
        <w:rPr>
          <w:rFonts w:eastAsia="Franklin Gothic Book"/>
        </w:rPr>
      </w:pPr>
      <w:r w:rsidRPr="009B67BF">
        <w:rPr>
          <w:rFonts w:eastAsia="Franklin Gothic Book"/>
        </w:rPr>
        <w:t>Data collected during in-store intercept surveys with customers purchasing program bulbs should be used to estimate participant spillover. During these surveys, customers purchasing program-discounted and non-discounted efficient bulbs</w:t>
      </w:r>
      <w:r>
        <w:rPr>
          <w:rFonts w:eastAsia="Franklin Gothic Book"/>
        </w:rPr>
        <w:t xml:space="preserve"> (CFLs or LEDs)</w:t>
      </w:r>
      <w:r w:rsidRPr="009B67BF">
        <w:rPr>
          <w:rFonts w:eastAsia="Franklin Gothic Book"/>
        </w:rPr>
        <w:t xml:space="preserve"> should be asked questions to determine whether the residential lighting program influenced their purchases of non-discounted efficient bulbs.</w:t>
      </w:r>
    </w:p>
    <w:p w14:paraId="0FBE1805" w14:textId="77777777" w:rsidR="00D34C6E" w:rsidRDefault="00D34C6E" w:rsidP="00D34C6E">
      <w:pPr>
        <w:spacing w:after="60"/>
        <w:ind w:left="720"/>
        <w:rPr>
          <w:rFonts w:eastAsia="Franklin Gothic Book"/>
          <w:b/>
        </w:rPr>
      </w:pPr>
      <w:r w:rsidRPr="00E7684E">
        <w:rPr>
          <w:rFonts w:eastAsia="Franklin Gothic Book"/>
          <w:b/>
        </w:rPr>
        <w:t>Primary P</w:t>
      </w:r>
      <w:r>
        <w:rPr>
          <w:rFonts w:eastAsia="Franklin Gothic Book"/>
          <w:b/>
        </w:rPr>
        <w:t>rogram Influence Score Question</w:t>
      </w:r>
    </w:p>
    <w:p w14:paraId="0AAC3676" w14:textId="77777777" w:rsidR="00D34C6E" w:rsidRPr="005A23CE" w:rsidRDefault="00D34C6E" w:rsidP="00D34C6E">
      <w:pPr>
        <w:pStyle w:val="ListParagraph"/>
        <w:widowControl/>
        <w:numPr>
          <w:ilvl w:val="3"/>
          <w:numId w:val="5"/>
        </w:numPr>
        <w:ind w:left="1080"/>
        <w:jc w:val="left"/>
        <w:rPr>
          <w:rFonts w:eastAsia="Franklin Gothic Book"/>
        </w:rPr>
      </w:pPr>
      <w:r>
        <w:rPr>
          <w:rFonts w:eastAsia="Franklin Gothic Book"/>
        </w:rPr>
        <w:t>Influence of the lighting program or in-store information on the customer’s decision to purchase non-discounted CFLs or LEDs. (0 to 10 scale where 0 is not at all influential and 10 is extremely influential)</w:t>
      </w:r>
    </w:p>
    <w:p w14:paraId="0BB1FAA7" w14:textId="77777777" w:rsidR="00D34C6E" w:rsidRPr="009B67BF" w:rsidRDefault="00D34C6E" w:rsidP="001A2AE6">
      <w:pPr>
        <w:pStyle w:val="Heading4"/>
      </w:pPr>
      <w:bookmarkStart w:id="1552" w:name="_Toc442804289"/>
      <w:bookmarkStart w:id="1553" w:name="_Toc442805506"/>
      <w:r w:rsidRPr="009B67BF">
        <w:t>Scoring Algorithm</w:t>
      </w:r>
      <w:bookmarkEnd w:id="1552"/>
      <w:bookmarkEnd w:id="1553"/>
    </w:p>
    <w:p w14:paraId="45E98B78" w14:textId="77777777" w:rsidR="00D34C6E" w:rsidRDefault="00D34C6E" w:rsidP="00D34C6E">
      <w:pPr>
        <w:rPr>
          <w:rFonts w:eastAsia="Franklin Gothic Book"/>
        </w:rPr>
      </w:pPr>
      <w:r w:rsidRPr="009B67BF">
        <w:rPr>
          <w:rFonts w:eastAsia="Franklin Gothic Book"/>
        </w:rPr>
        <w:t xml:space="preserve">To estimate participant spillover, the number of program-influenced, non-discounted efficient bulbs </w:t>
      </w:r>
      <w:r>
        <w:rPr>
          <w:rFonts w:eastAsia="Franklin Gothic Book"/>
        </w:rPr>
        <w:t xml:space="preserve">(CFLs or LEDs) </w:t>
      </w:r>
      <w:r w:rsidRPr="009B67BF">
        <w:rPr>
          <w:rFonts w:eastAsia="Franklin Gothic Book"/>
        </w:rPr>
        <w:t xml:space="preserve">purchased by program participants is divided by the total number of program bulbs purchased by these program participants. This results in the </w:t>
      </w:r>
      <w:r>
        <w:rPr>
          <w:rFonts w:eastAsia="Franklin Gothic Book"/>
        </w:rPr>
        <w:t>P</w:t>
      </w:r>
      <w:r w:rsidRPr="009B67BF">
        <w:rPr>
          <w:rFonts w:eastAsia="Franklin Gothic Book"/>
        </w:rPr>
        <w:t xml:space="preserve">articipant </w:t>
      </w:r>
      <w:r>
        <w:rPr>
          <w:rFonts w:eastAsia="Franklin Gothic Book"/>
        </w:rPr>
        <w:t>S</w:t>
      </w:r>
      <w:r w:rsidRPr="009B67BF">
        <w:rPr>
          <w:rFonts w:eastAsia="Franklin Gothic Book"/>
        </w:rPr>
        <w:t xml:space="preserve">pillover </w:t>
      </w:r>
      <w:r>
        <w:rPr>
          <w:rFonts w:eastAsia="Franklin Gothic Book"/>
        </w:rPr>
        <w:t>R</w:t>
      </w:r>
      <w:r w:rsidRPr="009B67BF">
        <w:rPr>
          <w:rFonts w:eastAsia="Franklin Gothic Book"/>
        </w:rPr>
        <w:t>ate.</w:t>
      </w:r>
    </w:p>
    <w:p w14:paraId="2B985A47" w14:textId="77777777" w:rsidR="00D34C6E" w:rsidRDefault="00D34C6E" w:rsidP="00D34C6E">
      <w:pPr>
        <w:rPr>
          <w:rFonts w:eastAsia="Franklin Gothic Book"/>
        </w:rPr>
      </w:pPr>
      <w:r w:rsidRPr="00EF0657">
        <w:rPr>
          <w:rFonts w:eastAsia="Franklin Gothic Book"/>
          <w:b/>
        </w:rPr>
        <w:t>Step 1:</w:t>
      </w:r>
      <w:r>
        <w:rPr>
          <w:rFonts w:eastAsia="Franklin Gothic Book"/>
          <w:b/>
        </w:rPr>
        <w:t xml:space="preserve"> </w:t>
      </w:r>
      <w:r w:rsidRPr="007B4ACB">
        <w:rPr>
          <w:rFonts w:eastAsia="Franklin Gothic Book"/>
        </w:rPr>
        <w:t>E</w:t>
      </w:r>
      <w:r w:rsidRPr="00043880">
        <w:rPr>
          <w:rFonts w:eastAsia="Franklin Gothic Book"/>
        </w:rPr>
        <w:t>st</w:t>
      </w:r>
      <w:r w:rsidRPr="00EF0657">
        <w:rPr>
          <w:rFonts w:eastAsia="Franklin Gothic Book"/>
        </w:rPr>
        <w:t>imate the</w:t>
      </w:r>
      <w:r>
        <w:rPr>
          <w:rFonts w:eastAsia="Franklin Gothic Book"/>
        </w:rPr>
        <w:t xml:space="preserve"> total number of non-discounted energy efficient bulbs purchased by respondents that had also purchased</w:t>
      </w:r>
      <w:r w:rsidRPr="00EF0657">
        <w:rPr>
          <w:rFonts w:eastAsia="Franklin Gothic Book"/>
        </w:rPr>
        <w:t xml:space="preserve"> </w:t>
      </w:r>
      <w:r>
        <w:rPr>
          <w:rFonts w:eastAsia="Franklin Gothic Book"/>
        </w:rPr>
        <w:t xml:space="preserve">program-discounted bulbs and were influenced by the program. Respondents who gave a rating of greater than 5 on the program influence question are considered to be influenced by the program.  </w:t>
      </w:r>
    </w:p>
    <w:p w14:paraId="0ECC2DE9" w14:textId="77777777" w:rsidR="00D34C6E" w:rsidRDefault="00D34C6E" w:rsidP="00D34C6E">
      <w:pPr>
        <w:spacing w:after="60"/>
        <w:rPr>
          <w:rFonts w:eastAsia="Franklin Gothic Book"/>
        </w:rPr>
      </w:pPr>
      <w:r>
        <w:rPr>
          <w:rFonts w:eastAsia="Franklin Gothic Book"/>
        </w:rPr>
        <w:t>Figure 4-4 below provides a visual depiction of the process of qualifying non-discounted bulbs as participant spillover bulbs.</w:t>
      </w:r>
    </w:p>
    <w:p w14:paraId="4A0A0E7F" w14:textId="11AD2D97" w:rsidR="00D34C6E" w:rsidRDefault="00D34C6E" w:rsidP="00D21F1A">
      <w:pPr>
        <w:pStyle w:val="Captions"/>
      </w:pPr>
      <w:bookmarkStart w:id="1554" w:name="_Toc472494758"/>
      <w:bookmarkStart w:id="1555" w:name="_Toc473108118"/>
      <w:bookmarkStart w:id="1556" w:name="_Toc520824266"/>
      <w:bookmarkStart w:id="1557" w:name="_Toc523148248"/>
      <w:bookmarkStart w:id="1558" w:name="_Toc16620010"/>
      <w:bookmarkStart w:id="1559" w:name="_Toc83376837"/>
      <w:r w:rsidRPr="00E73D8D">
        <w:t xml:space="preserve">Figure </w:t>
      </w:r>
      <w:r>
        <w:rPr>
          <w:noProof/>
        </w:rPr>
        <w:fldChar w:fldCharType="begin"/>
      </w:r>
      <w:r>
        <w:rPr>
          <w:noProof/>
        </w:rPr>
        <w:instrText xml:space="preserve"> STYLEREF 1 \s </w:instrText>
      </w:r>
      <w:r>
        <w:rPr>
          <w:noProof/>
        </w:rPr>
        <w:fldChar w:fldCharType="separate"/>
      </w:r>
      <w:r w:rsidR="00506A44">
        <w:rPr>
          <w:noProof/>
        </w:rPr>
        <w:t>4</w:t>
      </w:r>
      <w:r>
        <w:rPr>
          <w:noProof/>
        </w:rPr>
        <w:fldChar w:fldCharType="end"/>
      </w:r>
      <w:r w:rsidRPr="00E73D8D">
        <w:noBreakHyphen/>
        <w:t>4. Residential Upstream Lighting Participant Spillover Determination</w:t>
      </w:r>
      <w:bookmarkEnd w:id="1554"/>
      <w:bookmarkEnd w:id="1555"/>
      <w:bookmarkEnd w:id="1556"/>
      <w:bookmarkEnd w:id="1557"/>
      <w:bookmarkEnd w:id="1558"/>
      <w:bookmarkEnd w:id="1559"/>
    </w:p>
    <w:p w14:paraId="7EDB0995" w14:textId="77777777" w:rsidR="00D34C6E" w:rsidRPr="00E73D8D" w:rsidRDefault="00D34C6E" w:rsidP="00D34C6E">
      <w:pPr>
        <w:spacing w:after="0"/>
        <w:jc w:val="center"/>
      </w:pPr>
      <w:r>
        <w:rPr>
          <w:noProof/>
        </w:rPr>
        <w:drawing>
          <wp:inline distT="0" distB="0" distL="0" distR="0" wp14:anchorId="69516C7F" wp14:editId="76A7D526">
            <wp:extent cx="4731028" cy="3748721"/>
            <wp:effectExtent l="0" t="0" r="0" b="444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pic:nvPicPr>
                  <pic:blipFill>
                    <a:blip r:embed="rId58">
                      <a:extLst>
                        <a:ext uri="{28A0092B-C50C-407E-A947-70E740481C1C}">
                          <a14:useLocalDpi xmlns:a14="http://schemas.microsoft.com/office/drawing/2010/main" val="0"/>
                        </a:ext>
                      </a:extLst>
                    </a:blip>
                    <a:stretch>
                      <a:fillRect/>
                    </a:stretch>
                  </pic:blipFill>
                  <pic:spPr>
                    <a:xfrm>
                      <a:off x="0" y="0"/>
                      <a:ext cx="4731028" cy="3748721"/>
                    </a:xfrm>
                    <a:prstGeom prst="rect">
                      <a:avLst/>
                    </a:prstGeom>
                  </pic:spPr>
                </pic:pic>
              </a:graphicData>
            </a:graphic>
          </wp:inline>
        </w:drawing>
      </w:r>
    </w:p>
    <w:p w14:paraId="340B851A" w14:textId="77777777" w:rsidR="00D34C6E" w:rsidRDefault="00D34C6E" w:rsidP="00D34C6E">
      <w:pPr>
        <w:rPr>
          <w:rFonts w:eastAsia="Franklin Gothic Book"/>
        </w:rPr>
      </w:pPr>
      <w:r>
        <w:rPr>
          <w:rFonts w:eastAsia="Franklin Gothic Book"/>
          <w:b/>
        </w:rPr>
        <w:t xml:space="preserve">Step 2: </w:t>
      </w:r>
      <w:r>
        <w:rPr>
          <w:rFonts w:eastAsia="Franklin Gothic Book"/>
        </w:rPr>
        <w:t xml:space="preserve">Calculate the total number of program-discounted bulbs purchased by summing the number discounted bulbs purchased by all respondents. </w:t>
      </w:r>
    </w:p>
    <w:p w14:paraId="38FE068B" w14:textId="77777777" w:rsidR="00D34C6E" w:rsidRDefault="00D34C6E" w:rsidP="00D34C6E">
      <w:pPr>
        <w:ind w:firstLine="720"/>
        <w:rPr>
          <w:rFonts w:eastAsia="Franklin Gothic Book"/>
        </w:rPr>
      </w:pPr>
      <w:r>
        <w:rPr>
          <w:rFonts w:eastAsia="Franklin Gothic Book"/>
          <w:b/>
        </w:rPr>
        <w:t xml:space="preserve">Program Bulb Purchases </w:t>
      </w:r>
      <w:r>
        <w:rPr>
          <w:rFonts w:eastAsia="Franklin Gothic Book"/>
        </w:rPr>
        <w:t xml:space="preserve">= </w:t>
      </w:r>
      <w:proofErr w:type="gramStart"/>
      <w:r>
        <w:rPr>
          <w:rFonts w:eastAsia="Franklin Gothic Book"/>
        </w:rPr>
        <w:t>sum(</w:t>
      </w:r>
      <w:proofErr w:type="gramEnd"/>
      <w:r>
        <w:rPr>
          <w:rFonts w:eastAsia="Franklin Gothic Book"/>
        </w:rPr>
        <w:t>Number of Discounted CFLs or LEDs purchased)</w:t>
      </w:r>
    </w:p>
    <w:p w14:paraId="044DE302" w14:textId="77777777" w:rsidR="00D34C6E" w:rsidRDefault="00D34C6E" w:rsidP="00D34C6E">
      <w:pPr>
        <w:rPr>
          <w:rFonts w:eastAsia="Franklin Gothic Book"/>
        </w:rPr>
      </w:pPr>
      <w:r>
        <w:rPr>
          <w:rFonts w:eastAsia="Franklin Gothic Book"/>
          <w:b/>
        </w:rPr>
        <w:lastRenderedPageBreak/>
        <w:t>Step 3:</w:t>
      </w:r>
      <w:r>
        <w:rPr>
          <w:rFonts w:eastAsia="Franklin Gothic Book"/>
        </w:rPr>
        <w:t xml:space="preserve"> Calculate the spillover rate by dividing the total number of spillover bulbs purchased by the total number of program-discounted bulbs purchased. </w:t>
      </w:r>
    </w:p>
    <w:p w14:paraId="3B0A7568" w14:textId="77777777" w:rsidR="00D34C6E" w:rsidRDefault="00D34C6E" w:rsidP="00D34C6E">
      <w:pPr>
        <w:ind w:firstLine="720"/>
        <w:rPr>
          <w:rFonts w:eastAsia="Franklin Gothic Book"/>
        </w:rPr>
      </w:pPr>
      <w:r>
        <w:rPr>
          <w:rFonts w:eastAsia="Franklin Gothic Book"/>
          <w:b/>
        </w:rPr>
        <w:t xml:space="preserve">Spillover Rate </w:t>
      </w:r>
      <w:r>
        <w:rPr>
          <w:rFonts w:eastAsia="Franklin Gothic Book"/>
        </w:rPr>
        <w:t>= Spillover Purchases/Program Purchases</w:t>
      </w:r>
    </w:p>
    <w:p w14:paraId="1B46DAAB" w14:textId="77777777" w:rsidR="00D34C6E" w:rsidRPr="009B67BF" w:rsidRDefault="00D34C6E" w:rsidP="0088039F">
      <w:pPr>
        <w:pStyle w:val="Heading3"/>
      </w:pPr>
      <w:bookmarkStart w:id="1560" w:name="_Toc431526462"/>
      <w:bookmarkStart w:id="1561" w:name="_Toc442804290"/>
      <w:bookmarkStart w:id="1562" w:name="_Toc442805507"/>
      <w:bookmarkStart w:id="1563" w:name="_Toc409365125"/>
      <w:bookmarkStart w:id="1564" w:name="_Toc411554715"/>
      <w:bookmarkStart w:id="1565" w:name="_Toc472494716"/>
      <w:bookmarkStart w:id="1566" w:name="_Toc520462914"/>
      <w:bookmarkStart w:id="1567" w:name="_Toc473108058"/>
      <w:bookmarkStart w:id="1568" w:name="_Toc520824169"/>
      <w:bookmarkStart w:id="1569" w:name="_Toc16619952"/>
      <w:bookmarkStart w:id="1570" w:name="_Toc113619807"/>
      <w:r w:rsidRPr="009B67BF">
        <w:t>Nonparticipant Spillover</w:t>
      </w:r>
      <w:bookmarkEnd w:id="1560"/>
      <w:bookmarkEnd w:id="1561"/>
      <w:bookmarkEnd w:id="1562"/>
      <w:bookmarkEnd w:id="1563"/>
      <w:bookmarkEnd w:id="1564"/>
      <w:bookmarkEnd w:id="1565"/>
      <w:bookmarkEnd w:id="1566"/>
      <w:bookmarkEnd w:id="1567"/>
      <w:bookmarkEnd w:id="1568"/>
      <w:bookmarkEnd w:id="1569"/>
      <w:bookmarkEnd w:id="1570"/>
    </w:p>
    <w:p w14:paraId="083F9B54" w14:textId="77777777" w:rsidR="00D34C6E" w:rsidRPr="009B67BF" w:rsidRDefault="00D34C6E" w:rsidP="00D34C6E">
      <w:pPr>
        <w:rPr>
          <w:rFonts w:eastAsia="Franklin Gothic Book"/>
        </w:rPr>
      </w:pPr>
      <w:r w:rsidRPr="009B67BF">
        <w:rPr>
          <w:rFonts w:eastAsia="Franklin Gothic Book"/>
        </w:rPr>
        <w:t>Nonparticipant spillover results from purchases of non-discounted efficient bulbs by customers who are not purchasing program-discounted bulbs, but report that the residential lighting program influenced their decision to purchase non-discounted efficient bulbs.</w:t>
      </w:r>
    </w:p>
    <w:p w14:paraId="0B36AAC1" w14:textId="77777777" w:rsidR="00D34C6E" w:rsidRPr="009B67BF" w:rsidRDefault="00D34C6E" w:rsidP="001A2AE6">
      <w:pPr>
        <w:pStyle w:val="Heading4"/>
      </w:pPr>
      <w:bookmarkStart w:id="1571" w:name="_Toc442804291"/>
      <w:bookmarkStart w:id="1572" w:name="_Toc442805508"/>
      <w:r w:rsidRPr="009B67BF">
        <w:t>Data Collection</w:t>
      </w:r>
      <w:bookmarkEnd w:id="1571"/>
      <w:bookmarkEnd w:id="1572"/>
    </w:p>
    <w:p w14:paraId="4B415B4B" w14:textId="77777777" w:rsidR="00D34C6E" w:rsidRDefault="00D34C6E" w:rsidP="00D34C6E">
      <w:pPr>
        <w:rPr>
          <w:rFonts w:eastAsia="Franklin Gothic Book"/>
        </w:rPr>
      </w:pPr>
      <w:r w:rsidRPr="009B67BF">
        <w:rPr>
          <w:rFonts w:eastAsia="Franklin Gothic Book"/>
        </w:rPr>
        <w:t>Data collected during in-store intercept surveys with customers purchasing efficient bulbs not discounted by the program should be used to estimate nonparticipant spillover. During these surveys, customers purchasing non-discounted efficient bulbs</w:t>
      </w:r>
      <w:r>
        <w:rPr>
          <w:rFonts w:eastAsia="Franklin Gothic Book"/>
        </w:rPr>
        <w:t xml:space="preserve"> (CFLs or LEDs) and not purchasing any program-discounted bulbs</w:t>
      </w:r>
      <w:r w:rsidRPr="009B67BF">
        <w:rPr>
          <w:rFonts w:eastAsia="Franklin Gothic Book"/>
        </w:rPr>
        <w:t xml:space="preserve"> should be asked questions</w:t>
      </w:r>
      <w:r w:rsidRPr="005A23CE">
        <w:rPr>
          <w:rFonts w:eastAsia="Franklin Gothic Book"/>
        </w:rPr>
        <w:t xml:space="preserve"> </w:t>
      </w:r>
      <w:r>
        <w:rPr>
          <w:rFonts w:eastAsia="Franklin Gothic Book"/>
        </w:rPr>
        <w:t xml:space="preserve">about awareness of the program discounts and point-of-purchase program marketing and educational materials. These questions are used </w:t>
      </w:r>
      <w:r w:rsidRPr="009B67BF">
        <w:rPr>
          <w:rFonts w:eastAsia="Franklin Gothic Book"/>
        </w:rPr>
        <w:t>to determine whether the residential lighting program influenced their purchases of non-discounted efficient bulbs.</w:t>
      </w:r>
    </w:p>
    <w:p w14:paraId="25583A65" w14:textId="77777777" w:rsidR="00D34C6E" w:rsidRDefault="00D34C6E" w:rsidP="00D34C6E">
      <w:pPr>
        <w:keepNext/>
        <w:ind w:left="720"/>
        <w:rPr>
          <w:rFonts w:eastAsia="Franklin Gothic Book"/>
          <w:b/>
        </w:rPr>
      </w:pPr>
      <w:r w:rsidRPr="00E7684E">
        <w:rPr>
          <w:rFonts w:eastAsia="Franklin Gothic Book"/>
          <w:b/>
        </w:rPr>
        <w:t>Primary P</w:t>
      </w:r>
      <w:r>
        <w:rPr>
          <w:rFonts w:eastAsia="Franklin Gothic Book"/>
          <w:b/>
        </w:rPr>
        <w:t>rogram Influence Score Question</w:t>
      </w:r>
    </w:p>
    <w:p w14:paraId="44C4E89E" w14:textId="77777777" w:rsidR="00D34C6E" w:rsidRPr="009B67BF" w:rsidRDefault="00D34C6E" w:rsidP="00D34C6E">
      <w:pPr>
        <w:pStyle w:val="ListParagraph"/>
        <w:keepNext/>
        <w:widowControl/>
        <w:ind w:left="1080"/>
        <w:jc w:val="left"/>
        <w:rPr>
          <w:rFonts w:eastAsia="Franklin Gothic Book"/>
        </w:rPr>
      </w:pPr>
      <w:r>
        <w:rPr>
          <w:rFonts w:eastAsia="Franklin Gothic Book"/>
        </w:rPr>
        <w:t>1. Influence of the lighting program or in-store information on the customer’s decision to purchase non-discounted CFLs or LEDs. (0 to 10 scale where 0 is not at all influential and 10 is extremely influential)</w:t>
      </w:r>
    </w:p>
    <w:p w14:paraId="511CCA84" w14:textId="77777777" w:rsidR="00D34C6E" w:rsidRPr="009B67BF" w:rsidRDefault="00D34C6E" w:rsidP="001A2AE6">
      <w:pPr>
        <w:pStyle w:val="Heading4"/>
      </w:pPr>
      <w:bookmarkStart w:id="1573" w:name="_Toc442804292"/>
      <w:bookmarkStart w:id="1574" w:name="_Toc442805509"/>
      <w:r w:rsidRPr="009B67BF">
        <w:t>Scoring Algorithm</w:t>
      </w:r>
      <w:bookmarkEnd w:id="1573"/>
      <w:bookmarkEnd w:id="1574"/>
    </w:p>
    <w:p w14:paraId="589210FA" w14:textId="77777777" w:rsidR="00D34C6E" w:rsidRDefault="00D34C6E" w:rsidP="00D34C6E">
      <w:pPr>
        <w:rPr>
          <w:rFonts w:eastAsia="Franklin Gothic Book"/>
        </w:rPr>
      </w:pPr>
      <w:r>
        <w:rPr>
          <w:rFonts w:eastAsia="Franklin Gothic Book"/>
        </w:rPr>
        <w:t>The nonparticipant spillover scoring algorithm involves estimating the total number of nonparticipants, the incidence of nonparticipants in the sample, the total number of nonparticipant spillover bulbs, and the average number of nonparticipant spillover bulbs per customer in the sample, and then extrapolating the sample estimates to the population of the utility customers. Below are the steps used to calculate the nonparticipant spillover rate.</w:t>
      </w:r>
    </w:p>
    <w:p w14:paraId="76A23DA7" w14:textId="77777777" w:rsidR="00D34C6E" w:rsidRDefault="00D34C6E" w:rsidP="00D34C6E">
      <w:pPr>
        <w:rPr>
          <w:rFonts w:eastAsia="Franklin Gothic Book"/>
        </w:rPr>
      </w:pPr>
      <w:r>
        <w:rPr>
          <w:rFonts w:eastAsia="Franklin Gothic Book"/>
        </w:rPr>
        <w:t xml:space="preserve">Step 1. </w:t>
      </w:r>
      <w:r>
        <w:rPr>
          <w:rFonts w:eastAsia="Franklin Gothic Book"/>
        </w:rPr>
        <w:tab/>
        <w:t>Determine nonparticipant spillover in the sample by following the steps outlined below.</w:t>
      </w:r>
    </w:p>
    <w:p w14:paraId="49243304" w14:textId="77777777" w:rsidR="00D34C6E" w:rsidRPr="00F90B64" w:rsidRDefault="00D34C6E" w:rsidP="00D34C6E">
      <w:pPr>
        <w:pStyle w:val="ListParagraph"/>
        <w:numPr>
          <w:ilvl w:val="1"/>
          <w:numId w:val="17"/>
        </w:numPr>
        <w:spacing w:after="60"/>
        <w:rPr>
          <w:rFonts w:eastAsia="Franklin Gothic Book"/>
        </w:rPr>
      </w:pPr>
      <w:r>
        <w:rPr>
          <w:rFonts w:eastAsia="Franklin Gothic Book"/>
        </w:rPr>
        <w:t xml:space="preserve">Determine </w:t>
      </w:r>
      <w:r w:rsidRPr="00F90B64">
        <w:rPr>
          <w:rFonts w:eastAsia="Franklin Gothic Book"/>
        </w:rPr>
        <w:t xml:space="preserve">the total number of nonparticipating customers in the </w:t>
      </w:r>
      <w:r>
        <w:rPr>
          <w:rFonts w:eastAsia="Franklin Gothic Book"/>
        </w:rPr>
        <w:t>survey sample:</w:t>
      </w:r>
    </w:p>
    <w:p w14:paraId="0CC60A55" w14:textId="77777777" w:rsidR="00D34C6E" w:rsidRPr="0034520A" w:rsidRDefault="00D34C6E" w:rsidP="00D34C6E">
      <w:pPr>
        <w:spacing w:after="60"/>
        <w:ind w:left="1440"/>
        <w:rPr>
          <w:rFonts w:eastAsia="Franklin Gothic Book"/>
          <w:i/>
        </w:rPr>
      </w:pPr>
      <w:r w:rsidRPr="0034520A">
        <w:rPr>
          <w:rFonts w:eastAsia="Franklin Gothic Book"/>
          <w:i/>
        </w:rPr>
        <w:t>Nonparticipating customers (</w:t>
      </w:r>
      <w:r>
        <w:rPr>
          <w:rFonts w:eastAsia="Franklin Gothic Book"/>
          <w:i/>
        </w:rPr>
        <w:t>survey</w:t>
      </w:r>
      <w:r w:rsidRPr="0034520A">
        <w:rPr>
          <w:rFonts w:eastAsia="Franklin Gothic Book"/>
          <w:i/>
        </w:rPr>
        <w:t xml:space="preserve">) = customers who did not purchase any program-discounted energy efficient lighting products. These customers may have purchased non-discounted energy efficient lighting products, less efficient lighting products or both. </w:t>
      </w:r>
    </w:p>
    <w:p w14:paraId="2487053F" w14:textId="77777777" w:rsidR="00D34C6E" w:rsidRDefault="00D34C6E" w:rsidP="00D34C6E">
      <w:pPr>
        <w:spacing w:after="60"/>
        <w:ind w:left="1440" w:hanging="720"/>
        <w:rPr>
          <w:rFonts w:eastAsia="Franklin Gothic Book"/>
        </w:rPr>
      </w:pPr>
      <w:r>
        <w:rPr>
          <w:rFonts w:eastAsia="Franklin Gothic Book"/>
        </w:rPr>
        <w:t xml:space="preserve">B. </w:t>
      </w:r>
      <w:r>
        <w:rPr>
          <w:rFonts w:eastAsia="Franklin Gothic Book"/>
        </w:rPr>
        <w:tab/>
        <w:t>Determine the incidence of nonparticipating customers in the survey sample by dividing non-participating customers by total customers in the sample:</w:t>
      </w:r>
    </w:p>
    <w:p w14:paraId="6AE0F55C" w14:textId="77777777" w:rsidR="00D34C6E" w:rsidRPr="00957C22" w:rsidRDefault="00D34C6E" w:rsidP="00D34C6E">
      <w:pPr>
        <w:spacing w:after="60"/>
        <w:ind w:left="1440"/>
        <w:rPr>
          <w:rFonts w:eastAsia="Franklin Gothic Book"/>
          <w:i/>
        </w:rPr>
      </w:pPr>
      <w:r>
        <w:rPr>
          <w:rFonts w:eastAsia="Franklin Gothic Book"/>
          <w:i/>
        </w:rPr>
        <w:t>I</w:t>
      </w:r>
      <w:r w:rsidRPr="00957C22">
        <w:rPr>
          <w:rFonts w:eastAsia="Franklin Gothic Book"/>
          <w:i/>
        </w:rPr>
        <w:t>ncidence of nonparticipating customers</w:t>
      </w:r>
      <w:r w:rsidRPr="001E5DA3">
        <w:rPr>
          <w:rFonts w:eastAsia="Franklin Gothic Book"/>
          <w:i/>
        </w:rPr>
        <w:t xml:space="preserve"> (survey</w:t>
      </w:r>
      <w:r w:rsidRPr="00957C22">
        <w:rPr>
          <w:rFonts w:eastAsia="Franklin Gothic Book"/>
          <w:i/>
        </w:rPr>
        <w:t>)=Nonparticipating customers (</w:t>
      </w:r>
      <w:r>
        <w:rPr>
          <w:rFonts w:eastAsia="Franklin Gothic Book"/>
          <w:i/>
        </w:rPr>
        <w:t>survey</w:t>
      </w:r>
      <w:r w:rsidRPr="00957C22">
        <w:rPr>
          <w:rFonts w:eastAsia="Franklin Gothic Book"/>
          <w:i/>
        </w:rPr>
        <w:t>)/total customers (</w:t>
      </w:r>
      <w:r>
        <w:rPr>
          <w:rFonts w:eastAsia="Franklin Gothic Book"/>
          <w:i/>
        </w:rPr>
        <w:t>survey</w:t>
      </w:r>
      <w:r w:rsidRPr="00957C22">
        <w:rPr>
          <w:rFonts w:eastAsia="Franklin Gothic Book"/>
          <w:i/>
        </w:rPr>
        <w:t>)</w:t>
      </w:r>
    </w:p>
    <w:p w14:paraId="5331C275" w14:textId="77777777" w:rsidR="00D34C6E" w:rsidRDefault="00D34C6E" w:rsidP="00D34C6E">
      <w:pPr>
        <w:spacing w:after="60"/>
        <w:ind w:left="1440" w:hanging="720"/>
        <w:rPr>
          <w:rFonts w:eastAsia="Franklin Gothic Book"/>
        </w:rPr>
      </w:pPr>
      <w:r>
        <w:rPr>
          <w:rFonts w:eastAsia="Franklin Gothic Book"/>
        </w:rPr>
        <w:t>C.</w:t>
      </w:r>
      <w:r>
        <w:rPr>
          <w:rFonts w:eastAsia="Franklin Gothic Book"/>
        </w:rPr>
        <w:tab/>
      </w:r>
      <w:r w:rsidRPr="00FB1E5B">
        <w:rPr>
          <w:rFonts w:eastAsia="Franklin Gothic Book"/>
        </w:rPr>
        <w:t>Determine total number of nonparticipant spillover bulbs by summing CFLs and LEDs not di</w:t>
      </w:r>
      <w:r>
        <w:rPr>
          <w:rFonts w:eastAsia="Franklin Gothic Book"/>
        </w:rPr>
        <w:t>scounted by the program that were purchased by nonparticipating customers</w:t>
      </w:r>
      <w:r w:rsidRPr="00FB1E5B">
        <w:rPr>
          <w:rFonts w:eastAsia="Franklin Gothic Book"/>
        </w:rPr>
        <w:t xml:space="preserve"> who were aware of the program discounts</w:t>
      </w:r>
      <w:r>
        <w:rPr>
          <w:rFonts w:eastAsia="Franklin Gothic Book"/>
        </w:rPr>
        <w:t xml:space="preserve"> or marketing promoting energy efficient lighting and were influenced by it. Spillover qualifying bulbs are those purchased by customers who rate the program’s influence as greater than 5. The graphic below provides a visual depiction of the process of qualifying non-discounted products as spillover products.</w:t>
      </w:r>
    </w:p>
    <w:p w14:paraId="36FDDC0B" w14:textId="77777777" w:rsidR="00D34C6E" w:rsidRDefault="00D34C6E" w:rsidP="00D34C6E">
      <w:pPr>
        <w:rPr>
          <w:rFonts w:eastAsia="Franklin Gothic Book"/>
        </w:rPr>
      </w:pPr>
      <w:r>
        <w:rPr>
          <w:rFonts w:eastAsia="Franklin Gothic Book"/>
        </w:rPr>
        <w:t>Figure 4-5 below provides a visual depiction of the process of qualifying non-discounted bulbs as nonparticipant spillover bulbs.</w:t>
      </w:r>
      <w:r>
        <w:rPr>
          <w:rFonts w:eastAsia="Franklin Gothic Book"/>
        </w:rPr>
        <w:br w:type="page"/>
      </w:r>
    </w:p>
    <w:p w14:paraId="43EF6E28" w14:textId="0205F9A9" w:rsidR="00D34C6E" w:rsidRPr="00E73D8D" w:rsidRDefault="00D34C6E" w:rsidP="00D21F1A">
      <w:pPr>
        <w:pStyle w:val="Captions"/>
      </w:pPr>
      <w:bookmarkStart w:id="1575" w:name="_Toc472494759"/>
      <w:bookmarkStart w:id="1576" w:name="_Toc473108119"/>
      <w:bookmarkStart w:id="1577" w:name="_Toc520824267"/>
      <w:bookmarkStart w:id="1578" w:name="_Toc523148249"/>
      <w:bookmarkStart w:id="1579" w:name="_Toc16620011"/>
      <w:bookmarkStart w:id="1580" w:name="_Toc83376838"/>
      <w:r>
        <w:lastRenderedPageBreak/>
        <w:t xml:space="preserve">Figure </w:t>
      </w:r>
      <w:r>
        <w:rPr>
          <w:noProof/>
        </w:rPr>
        <w:fldChar w:fldCharType="begin"/>
      </w:r>
      <w:r>
        <w:rPr>
          <w:noProof/>
        </w:rPr>
        <w:instrText xml:space="preserve"> STYLEREF 1 \s </w:instrText>
      </w:r>
      <w:r>
        <w:rPr>
          <w:noProof/>
        </w:rPr>
        <w:fldChar w:fldCharType="separate"/>
      </w:r>
      <w:r w:rsidR="00506A44">
        <w:rPr>
          <w:noProof/>
        </w:rPr>
        <w:t>4</w:t>
      </w:r>
      <w:r>
        <w:rPr>
          <w:noProof/>
        </w:rPr>
        <w:fldChar w:fldCharType="end"/>
      </w:r>
      <w:r>
        <w:noBreakHyphen/>
        <w:t xml:space="preserve">5. </w:t>
      </w:r>
      <w:r w:rsidRPr="00A075C5">
        <w:t>Residential Upstream Lighting</w:t>
      </w:r>
      <w:r>
        <w:t xml:space="preserve"> Nonparticipant Spillover Determination</w:t>
      </w:r>
      <w:bookmarkEnd w:id="1575"/>
      <w:bookmarkEnd w:id="1576"/>
      <w:bookmarkEnd w:id="1577"/>
      <w:bookmarkEnd w:id="1578"/>
      <w:bookmarkEnd w:id="1579"/>
      <w:bookmarkEnd w:id="1580"/>
    </w:p>
    <w:p w14:paraId="5361DE67" w14:textId="77777777" w:rsidR="00D34C6E" w:rsidRDefault="00D34C6E" w:rsidP="00D34C6E">
      <w:pPr>
        <w:ind w:left="1440" w:hanging="720"/>
        <w:jc w:val="center"/>
        <w:rPr>
          <w:rFonts w:eastAsia="Franklin Gothic Book"/>
        </w:rPr>
      </w:pPr>
      <w:r>
        <w:rPr>
          <w:noProof/>
        </w:rPr>
        <w:drawing>
          <wp:inline distT="0" distB="0" distL="0" distR="0" wp14:anchorId="15C0ABD1" wp14:editId="610B80A4">
            <wp:extent cx="4158615" cy="4357370"/>
            <wp:effectExtent l="0" t="0" r="0" b="508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pic:nvPicPr>
                  <pic:blipFill>
                    <a:blip r:embed="rId59">
                      <a:extLst>
                        <a:ext uri="{28A0092B-C50C-407E-A947-70E740481C1C}">
                          <a14:useLocalDpi xmlns:a14="http://schemas.microsoft.com/office/drawing/2010/main" val="0"/>
                        </a:ext>
                      </a:extLst>
                    </a:blip>
                    <a:stretch>
                      <a:fillRect/>
                    </a:stretch>
                  </pic:blipFill>
                  <pic:spPr>
                    <a:xfrm>
                      <a:off x="0" y="0"/>
                      <a:ext cx="4158615" cy="4357370"/>
                    </a:xfrm>
                    <a:prstGeom prst="rect">
                      <a:avLst/>
                    </a:prstGeom>
                  </pic:spPr>
                </pic:pic>
              </a:graphicData>
            </a:graphic>
          </wp:inline>
        </w:drawing>
      </w:r>
      <w:r w:rsidRPr="4EBEC5D1">
        <w:rPr>
          <w:noProof/>
        </w:rPr>
        <w:t xml:space="preserve"> </w:t>
      </w:r>
    </w:p>
    <w:p w14:paraId="6C9E0881" w14:textId="77777777" w:rsidR="00D34C6E" w:rsidRDefault="00D34C6E" w:rsidP="00D34C6E">
      <w:pPr>
        <w:spacing w:after="60"/>
        <w:ind w:left="1440" w:hanging="720"/>
        <w:rPr>
          <w:rFonts w:eastAsia="Franklin Gothic Book"/>
        </w:rPr>
      </w:pPr>
      <w:r>
        <w:rPr>
          <w:rFonts w:eastAsia="Franklin Gothic Book"/>
        </w:rPr>
        <w:t>D.</w:t>
      </w:r>
      <w:r>
        <w:rPr>
          <w:rFonts w:eastAsia="Franklin Gothic Book"/>
        </w:rPr>
        <w:tab/>
        <w:t>Determine the average number of non-participating spillover bulbs per non-participating customer by dividing the total number of non-participating spillover bulbs in the survey by the total number of non-participating customers in the survey.</w:t>
      </w:r>
    </w:p>
    <w:p w14:paraId="05B93D12" w14:textId="77777777" w:rsidR="00D34C6E" w:rsidRPr="00E130B1" w:rsidRDefault="00D34C6E" w:rsidP="00D34C6E">
      <w:pPr>
        <w:ind w:left="1440" w:hanging="720"/>
        <w:rPr>
          <w:rFonts w:eastAsia="Franklin Gothic Book"/>
          <w:i/>
        </w:rPr>
      </w:pPr>
      <w:r>
        <w:rPr>
          <w:rFonts w:eastAsia="Franklin Gothic Book"/>
        </w:rPr>
        <w:tab/>
      </w:r>
      <w:r>
        <w:rPr>
          <w:rFonts w:eastAsia="Franklin Gothic Book"/>
          <w:i/>
        </w:rPr>
        <w:t>Average number of nonparticipating spillover bulbs (survey)=total number of nonparticipant spillover bulbs (survey)/nonparticipating customers (survey)</w:t>
      </w:r>
    </w:p>
    <w:p w14:paraId="2E6886ED" w14:textId="77777777" w:rsidR="00D34C6E" w:rsidRDefault="00D34C6E" w:rsidP="00D34C6E">
      <w:pPr>
        <w:rPr>
          <w:rFonts w:eastAsia="Franklin Gothic Book"/>
        </w:rPr>
      </w:pPr>
      <w:r>
        <w:rPr>
          <w:rFonts w:eastAsia="Franklin Gothic Book"/>
        </w:rPr>
        <w:t xml:space="preserve">Step 2. </w:t>
      </w:r>
      <w:r>
        <w:rPr>
          <w:rFonts w:eastAsia="Franklin Gothic Book"/>
        </w:rPr>
        <w:tab/>
        <w:t>Extrapolate nonparticipant spillover to the population</w:t>
      </w:r>
    </w:p>
    <w:p w14:paraId="7B0CEC17" w14:textId="77777777" w:rsidR="00D34C6E" w:rsidRDefault="00D34C6E" w:rsidP="00D34C6E">
      <w:pPr>
        <w:spacing w:after="60"/>
        <w:ind w:left="1440" w:hanging="720"/>
        <w:rPr>
          <w:rFonts w:eastAsia="Franklin Gothic Book"/>
        </w:rPr>
      </w:pPr>
      <w:r>
        <w:rPr>
          <w:rFonts w:eastAsia="Franklin Gothic Book"/>
        </w:rPr>
        <w:t>A.</w:t>
      </w:r>
      <w:r>
        <w:rPr>
          <w:rFonts w:eastAsia="Franklin Gothic Book"/>
        </w:rPr>
        <w:tab/>
        <w:t>Determine the total number of nonparticipating customers in the population by applying the nonparticipant incidence rate from the sample to the population</w:t>
      </w:r>
    </w:p>
    <w:p w14:paraId="39CA1ED3" w14:textId="77777777" w:rsidR="00D34C6E" w:rsidRPr="00E130B1" w:rsidRDefault="00D34C6E" w:rsidP="00D34C6E">
      <w:pPr>
        <w:spacing w:after="60"/>
        <w:ind w:left="1440" w:hanging="720"/>
        <w:rPr>
          <w:rFonts w:eastAsia="Franklin Gothic Book"/>
          <w:i/>
        </w:rPr>
      </w:pPr>
      <w:r w:rsidRPr="00E130B1">
        <w:rPr>
          <w:rFonts w:eastAsia="Franklin Gothic Book"/>
          <w:i/>
        </w:rPr>
        <w:tab/>
        <w:t>Total number of nonparticipating customers (population)=Utility residential customer count* incidence of nonparticipating customers (</w:t>
      </w:r>
      <w:r>
        <w:rPr>
          <w:rFonts w:eastAsia="Franklin Gothic Book"/>
          <w:i/>
        </w:rPr>
        <w:t>survey)</w:t>
      </w:r>
    </w:p>
    <w:p w14:paraId="1A0D50DB" w14:textId="77777777" w:rsidR="00D34C6E" w:rsidRPr="00933249" w:rsidRDefault="00D34C6E" w:rsidP="00D34C6E">
      <w:pPr>
        <w:pStyle w:val="ListParagraph"/>
        <w:numPr>
          <w:ilvl w:val="1"/>
          <w:numId w:val="17"/>
        </w:numPr>
        <w:spacing w:after="60"/>
        <w:ind w:left="1440" w:hanging="720"/>
        <w:contextualSpacing w:val="0"/>
        <w:rPr>
          <w:rFonts w:eastAsia="Franklin Gothic Book"/>
        </w:rPr>
      </w:pPr>
      <w:r w:rsidRPr="00933249">
        <w:rPr>
          <w:rFonts w:eastAsia="Franklin Gothic Book"/>
        </w:rPr>
        <w:t>Determine the total number of spillover bulbs by multiplying the average number of spillover bulbs</w:t>
      </w:r>
      <w:r>
        <w:rPr>
          <w:rFonts w:eastAsia="Franklin Gothic Book"/>
        </w:rPr>
        <w:t xml:space="preserve"> </w:t>
      </w:r>
      <w:r w:rsidRPr="00933249">
        <w:rPr>
          <w:rFonts w:eastAsia="Franklin Gothic Book"/>
        </w:rPr>
        <w:t>per nonparticipating customer in the survey by the total estimate of nonparticipating customers</w:t>
      </w:r>
    </w:p>
    <w:p w14:paraId="0BE3B0FC" w14:textId="77777777" w:rsidR="00D34C6E" w:rsidRDefault="00D34C6E" w:rsidP="00D34C6E">
      <w:pPr>
        <w:pStyle w:val="ListParagraph"/>
        <w:ind w:left="1440"/>
        <w:rPr>
          <w:rFonts w:eastAsia="Franklin Gothic Book"/>
          <w:i/>
        </w:rPr>
      </w:pPr>
      <w:r>
        <w:rPr>
          <w:rFonts w:eastAsia="Franklin Gothic Book"/>
          <w:i/>
        </w:rPr>
        <w:t>Total number of nonparticipant spillover bulbs=Average number of nonparticipant spillover bulbs (survey)*total number of nonparticipating customers (population)</w:t>
      </w:r>
    </w:p>
    <w:p w14:paraId="39097BB4" w14:textId="77777777" w:rsidR="00D34C6E" w:rsidRDefault="00D34C6E" w:rsidP="00D34C6E">
      <w:pPr>
        <w:ind w:left="720" w:hanging="720"/>
        <w:rPr>
          <w:rFonts w:eastAsia="Franklin Gothic Book"/>
        </w:rPr>
      </w:pPr>
      <w:r>
        <w:rPr>
          <w:rFonts w:eastAsia="Franklin Gothic Book"/>
        </w:rPr>
        <w:t>Step 3.</w:t>
      </w:r>
      <w:r>
        <w:rPr>
          <w:rFonts w:eastAsia="Franklin Gothic Book"/>
        </w:rPr>
        <w:tab/>
        <w:t xml:space="preserve">Calculate nonparticipant spillover rate by dividing the total number of nonparticipant spillover bulbs in the population by the total number of program-discounted bulbs: </w:t>
      </w:r>
    </w:p>
    <w:p w14:paraId="3BDB7F28" w14:textId="77777777" w:rsidR="00D34C6E" w:rsidRPr="00E130B1" w:rsidRDefault="00D34C6E" w:rsidP="00D34C6E">
      <w:pPr>
        <w:ind w:left="720"/>
        <w:rPr>
          <w:rFonts w:eastAsia="Franklin Gothic Book"/>
          <w:i/>
        </w:rPr>
      </w:pPr>
      <w:r>
        <w:rPr>
          <w:rFonts w:eastAsia="Franklin Gothic Book"/>
          <w:i/>
        </w:rPr>
        <w:t>Nonparticipant spillover rate=total number of nonparticipant spillover bulbs/total number of program discounted bulbs</w:t>
      </w:r>
    </w:p>
    <w:p w14:paraId="6EAA0868" w14:textId="77777777" w:rsidR="00D34C6E" w:rsidRPr="009B67BF" w:rsidRDefault="00D34C6E" w:rsidP="001A2AE6">
      <w:pPr>
        <w:pStyle w:val="Heading4"/>
      </w:pPr>
      <w:bookmarkStart w:id="1581" w:name="_Toc431526463"/>
      <w:bookmarkStart w:id="1582" w:name="_Toc442804293"/>
      <w:bookmarkStart w:id="1583" w:name="_Toc442805510"/>
      <w:bookmarkStart w:id="1584" w:name="_Toc411554716"/>
      <w:r w:rsidRPr="009B67BF">
        <w:lastRenderedPageBreak/>
        <w:t>Method Advantages and Disadvantages</w:t>
      </w:r>
      <w:bookmarkEnd w:id="1581"/>
      <w:bookmarkEnd w:id="1582"/>
      <w:bookmarkEnd w:id="1583"/>
      <w:bookmarkEnd w:id="1584"/>
    </w:p>
    <w:p w14:paraId="0C1166AF" w14:textId="77777777" w:rsidR="00D34C6E" w:rsidRPr="009B67BF" w:rsidRDefault="00D34C6E" w:rsidP="00D34C6E">
      <w:pPr>
        <w:rPr>
          <w:rFonts w:eastAsia="Franklin Gothic Book"/>
        </w:rPr>
      </w:pPr>
      <w:r w:rsidRPr="009B67BF">
        <w:rPr>
          <w:rFonts w:eastAsia="Franklin Gothic Book"/>
        </w:rPr>
        <w:t>The in-store intercept method described above has certain advantages and disadvantages.</w:t>
      </w:r>
    </w:p>
    <w:p w14:paraId="129D0671" w14:textId="77777777" w:rsidR="00D34C6E" w:rsidRPr="009B67BF" w:rsidRDefault="00D34C6E" w:rsidP="00D34C6E">
      <w:pPr>
        <w:rPr>
          <w:rFonts w:eastAsia="Franklin Gothic Book"/>
        </w:rPr>
      </w:pPr>
      <w:r w:rsidRPr="009B67BF">
        <w:rPr>
          <w:rFonts w:eastAsia="Franklin Gothic Book"/>
        </w:rPr>
        <w:t xml:space="preserve">Advantages: This approach catches customers at their point of purchase, before they leave the store and can no longer be contacted directly. Given the interview’s timing, customers can more easily recall price factors leading to their purchase choices. Also, as customers are intercepted at the store rather than surveyed by telephone, a higher cooperation rate </w:t>
      </w:r>
      <w:proofErr w:type="gramStart"/>
      <w:r w:rsidRPr="009B67BF">
        <w:rPr>
          <w:rFonts w:eastAsia="Franklin Gothic Book"/>
        </w:rPr>
        <w:t>results</w:t>
      </w:r>
      <w:proofErr w:type="gramEnd"/>
      <w:r w:rsidRPr="009B67BF">
        <w:rPr>
          <w:rFonts w:eastAsia="Franklin Gothic Book"/>
        </w:rPr>
        <w:t>.</w:t>
      </w:r>
    </w:p>
    <w:p w14:paraId="2D0CDFBD" w14:textId="77777777" w:rsidR="00D34C6E" w:rsidRPr="009B67BF" w:rsidRDefault="00D34C6E" w:rsidP="00D34C6E">
      <w:pPr>
        <w:rPr>
          <w:rFonts w:eastAsia="Franklin Gothic Book"/>
        </w:rPr>
      </w:pPr>
      <w:r w:rsidRPr="009B67BF">
        <w:rPr>
          <w:rFonts w:eastAsia="Franklin Gothic Book"/>
        </w:rPr>
        <w:t>Disadvantages: Customers may not fully connect the impact that in-store education, product placement, and advertising have on their decision making. While many consumers believe they are not influenced by advertising, retailers know advertising and product placement work. Further, store intercepts typically must be coordinated with education events, and many retailers do not allow interviews to take place in their stores. Consequently, results are not based on random samples of customers purchasing program-discounted lighting throughout the year and across all participating retailers, which could bias the results.</w:t>
      </w:r>
    </w:p>
    <w:p w14:paraId="61F02276" w14:textId="77777777" w:rsidR="00D34C6E" w:rsidRPr="009B67BF" w:rsidRDefault="00D34C6E" w:rsidP="00D34C6E">
      <w:pPr>
        <w:pStyle w:val="Heading2"/>
        <w:keepLines w:val="0"/>
        <w:widowControl/>
        <w:numPr>
          <w:ilvl w:val="1"/>
          <w:numId w:val="8"/>
        </w:numPr>
        <w:jc w:val="left"/>
      </w:pPr>
      <w:bookmarkStart w:id="1585" w:name="_Toc431526464"/>
      <w:bookmarkStart w:id="1586" w:name="_Ref442020776"/>
      <w:bookmarkStart w:id="1587" w:name="_Ref442020787"/>
      <w:bookmarkStart w:id="1588" w:name="_Toc442804294"/>
      <w:bookmarkStart w:id="1589" w:name="_Toc442805511"/>
      <w:bookmarkStart w:id="1590" w:name="_Toc472494717"/>
      <w:bookmarkStart w:id="1591" w:name="_Toc520462915"/>
      <w:bookmarkStart w:id="1592" w:name="_Toc473108059"/>
      <w:bookmarkStart w:id="1593" w:name="_Toc520824170"/>
      <w:bookmarkStart w:id="1594" w:name="_Toc16619953"/>
      <w:bookmarkStart w:id="1595" w:name="_Toc113619808"/>
      <w:r w:rsidRPr="009B67BF">
        <w:t>Prescriptive Rebate (With No Audit)</w:t>
      </w:r>
      <w:bookmarkEnd w:id="1585"/>
      <w:r>
        <w:t xml:space="preserve"> Protocol</w:t>
      </w:r>
      <w:bookmarkEnd w:id="1586"/>
      <w:bookmarkEnd w:id="1587"/>
      <w:bookmarkEnd w:id="1588"/>
      <w:bookmarkEnd w:id="1589"/>
      <w:bookmarkEnd w:id="1590"/>
      <w:bookmarkEnd w:id="1591"/>
      <w:bookmarkEnd w:id="1592"/>
      <w:bookmarkEnd w:id="1593"/>
      <w:bookmarkEnd w:id="1594"/>
      <w:bookmarkEnd w:id="1595"/>
    </w:p>
    <w:p w14:paraId="5466E9AC" w14:textId="77777777" w:rsidR="00D34C6E" w:rsidRDefault="00D34C6E" w:rsidP="00D34C6E">
      <w:r w:rsidRPr="00137CC1">
        <w:rPr>
          <w:rFonts w:eastAsia="Franklin Gothic Book"/>
        </w:rPr>
        <w:t xml:space="preserve">Prescriptive Rebate programs typically offer predetermined rebates to residential customers for purchasing measures such as </w:t>
      </w:r>
      <w:r w:rsidRPr="00137CC1">
        <w:t>high-efficiency furnaces, clothes washers, brushless/electronically commutated motors (ECMs), boilers, boiler reset controls, water heaters, air-source heat pumps (ASHPs), ground-source heat pumps (GSHPs), central air conditioners (CACs), programmable thermostats, smart thermostats, insulation, air sealing, duct sealing, and desktop power management software. The program may require installation by a registered program ally, but it does not require a home audit (although purchases may be made in response to an audit).</w:t>
      </w:r>
    </w:p>
    <w:p w14:paraId="0B1F5F67" w14:textId="77777777" w:rsidR="00D34C6E" w:rsidRPr="00137CC1" w:rsidRDefault="00D34C6E" w:rsidP="00D34C6E">
      <w:pPr>
        <w:keepNext/>
        <w:keepLines/>
        <w:rPr>
          <w:rFonts w:eastAsia="Franklin Gothic Book"/>
        </w:rPr>
      </w:pPr>
      <w:r w:rsidRPr="00137CC1">
        <w:rPr>
          <w:rFonts w:eastAsia="Franklin Gothic Book"/>
        </w:rPr>
        <w:t>These programs encourage consumers to undertake the following:</w:t>
      </w:r>
    </w:p>
    <w:p w14:paraId="4D9BA5D1" w14:textId="77777777" w:rsidR="00D34C6E" w:rsidRPr="00137CC1" w:rsidRDefault="00D34C6E" w:rsidP="00D34C6E">
      <w:pPr>
        <w:pStyle w:val="ListParagraph"/>
        <w:widowControl/>
        <w:numPr>
          <w:ilvl w:val="0"/>
          <w:numId w:val="28"/>
        </w:numPr>
        <w:spacing w:after="60"/>
        <w:contextualSpacing w:val="0"/>
        <w:jc w:val="left"/>
      </w:pPr>
      <w:r w:rsidRPr="00137CC1">
        <w:t>Purchase higher-efficiency equipment than they otherwise would have, had they shopped for such equipment at the same time (replace on burnout); and</w:t>
      </w:r>
    </w:p>
    <w:p w14:paraId="673533FE" w14:textId="77777777" w:rsidR="00D34C6E" w:rsidRDefault="00D34C6E" w:rsidP="00D34C6E">
      <w:pPr>
        <w:pStyle w:val="ListParagraph"/>
        <w:widowControl/>
        <w:numPr>
          <w:ilvl w:val="0"/>
          <w:numId w:val="28"/>
        </w:numPr>
        <w:contextualSpacing w:val="0"/>
        <w:jc w:val="left"/>
      </w:pPr>
      <w:r w:rsidRPr="00137CC1">
        <w:t>Replace operating but inefficient equipment with higher-efficiency equipment (early replacement).</w:t>
      </w:r>
    </w:p>
    <w:p w14:paraId="7F1874C8" w14:textId="639029E0" w:rsidR="00D34C6E" w:rsidRPr="00137CC1" w:rsidRDefault="00D34C6E" w:rsidP="00D34C6E">
      <w:pPr>
        <w:rPr>
          <w:rFonts w:eastAsia="Franklin Gothic Book"/>
        </w:rPr>
      </w:pPr>
      <w:r w:rsidRPr="00137CC1">
        <w:rPr>
          <w:rFonts w:eastAsia="Franklin Gothic Book"/>
        </w:rPr>
        <w:t>The basic method for estimating free ridership and participant spillover</w:t>
      </w:r>
      <w:r>
        <w:rPr>
          <w:rFonts w:eastAsia="Franklin Gothic Book"/>
        </w:rPr>
        <w:t xml:space="preserve"> (See Section </w:t>
      </w:r>
      <w:r>
        <w:rPr>
          <w:rFonts w:eastAsia="Franklin Gothic Book"/>
        </w:rPr>
        <w:fldChar w:fldCharType="begin"/>
      </w:r>
      <w:r>
        <w:rPr>
          <w:rFonts w:eastAsia="Franklin Gothic Book"/>
        </w:rPr>
        <w:instrText xml:space="preserve"> REF _Ref442342760 \r \h </w:instrText>
      </w:r>
      <w:r>
        <w:rPr>
          <w:rFonts w:eastAsia="Franklin Gothic Book"/>
        </w:rPr>
      </w:r>
      <w:r>
        <w:rPr>
          <w:rFonts w:eastAsia="Franklin Gothic Book"/>
        </w:rPr>
        <w:fldChar w:fldCharType="separate"/>
      </w:r>
      <w:r w:rsidR="00506A44">
        <w:rPr>
          <w:rFonts w:eastAsia="Franklin Gothic Book"/>
        </w:rPr>
        <w:t>4.1.2</w:t>
      </w:r>
      <w:r>
        <w:rPr>
          <w:rFonts w:eastAsia="Franklin Gothic Book"/>
        </w:rPr>
        <w:fldChar w:fldCharType="end"/>
      </w:r>
      <w:r>
        <w:rPr>
          <w:rFonts w:eastAsia="Franklin Gothic Book"/>
        </w:rPr>
        <w:t>)</w:t>
      </w:r>
      <w:r w:rsidRPr="00137CC1">
        <w:rPr>
          <w:rFonts w:eastAsia="Franklin Gothic Book"/>
        </w:rPr>
        <w:t xml:space="preserve"> for these programs uses a participant self-report, based on a standard battery of questions</w:t>
      </w:r>
      <w:r w:rsidRPr="00A4640B">
        <w:rPr>
          <w:rFonts w:eastAsia="Franklin Gothic Book"/>
        </w:rPr>
        <w:t>. An enhanced method may utilize trade ally surveys to provide another quantitative assessment, which may be triangulated with the basic method approach. As discussed further in Section 5.2, trade ally surveys may also be used to assess nonparticipant spillover.</w:t>
      </w:r>
    </w:p>
    <w:p w14:paraId="684510DE" w14:textId="77777777" w:rsidR="00D34C6E" w:rsidRPr="00137CC1" w:rsidRDefault="00D34C6E" w:rsidP="0088039F">
      <w:pPr>
        <w:pStyle w:val="Heading3"/>
      </w:pPr>
      <w:bookmarkStart w:id="1596" w:name="_Toc442804295"/>
      <w:bookmarkStart w:id="1597" w:name="_Toc442805512"/>
      <w:bookmarkStart w:id="1598" w:name="_Toc472494718"/>
      <w:bookmarkStart w:id="1599" w:name="_Toc520462916"/>
      <w:bookmarkStart w:id="1600" w:name="_Toc473108060"/>
      <w:bookmarkStart w:id="1601" w:name="_Toc520824171"/>
      <w:bookmarkStart w:id="1602" w:name="_Toc16619954"/>
      <w:bookmarkStart w:id="1603" w:name="_Toc113619809"/>
      <w:r w:rsidRPr="00137CC1">
        <w:t>Basic Method</w:t>
      </w:r>
      <w:bookmarkEnd w:id="1596"/>
      <w:bookmarkEnd w:id="1597"/>
      <w:bookmarkEnd w:id="1598"/>
      <w:bookmarkEnd w:id="1599"/>
      <w:bookmarkEnd w:id="1600"/>
      <w:bookmarkEnd w:id="1601"/>
      <w:bookmarkEnd w:id="1602"/>
      <w:bookmarkEnd w:id="1603"/>
    </w:p>
    <w:p w14:paraId="3CA50A5C" w14:textId="77777777" w:rsidR="00D34C6E" w:rsidRPr="00137CC1" w:rsidRDefault="00D34C6E" w:rsidP="001A2AE6">
      <w:pPr>
        <w:pStyle w:val="Heading4"/>
      </w:pPr>
      <w:bookmarkStart w:id="1604" w:name="_Toc411554706"/>
      <w:bookmarkStart w:id="1605" w:name="_Toc442804296"/>
      <w:bookmarkStart w:id="1606" w:name="_Toc442805513"/>
      <w:bookmarkStart w:id="1607" w:name="_Ref466560019"/>
      <w:bookmarkStart w:id="1608" w:name="_Ref466560168"/>
      <w:r w:rsidRPr="00137CC1">
        <w:t>Free Ridership</w:t>
      </w:r>
      <w:bookmarkEnd w:id="1604"/>
      <w:bookmarkEnd w:id="1605"/>
      <w:bookmarkEnd w:id="1606"/>
      <w:bookmarkEnd w:id="1607"/>
      <w:bookmarkEnd w:id="1608"/>
    </w:p>
    <w:p w14:paraId="228B52FA" w14:textId="77777777" w:rsidR="00D34C6E" w:rsidRDefault="00D34C6E" w:rsidP="00D34C6E">
      <w:pPr>
        <w:rPr>
          <w:rFonts w:eastAsia="Franklin Gothic Book"/>
        </w:rPr>
      </w:pPr>
      <w:r w:rsidRPr="00137CC1">
        <w:rPr>
          <w:rFonts w:eastAsia="Franklin Gothic Book"/>
        </w:rPr>
        <w:t>The free ridership assessment battery is brief to avoid applying an undue survey burden, yet it seeks to reduce self-report biases by including two main free ridership components:</w:t>
      </w:r>
    </w:p>
    <w:p w14:paraId="55FAF558" w14:textId="77777777" w:rsidR="00D34C6E" w:rsidRPr="00137CC1" w:rsidRDefault="00D34C6E" w:rsidP="00D34C6E">
      <w:pPr>
        <w:pStyle w:val="ListParagraph"/>
        <w:widowControl/>
        <w:numPr>
          <w:ilvl w:val="0"/>
          <w:numId w:val="29"/>
        </w:numPr>
        <w:spacing w:after="60"/>
        <w:contextualSpacing w:val="0"/>
        <w:jc w:val="left"/>
        <w:rPr>
          <w:rFonts w:eastAsia="Franklin Gothic Book"/>
        </w:rPr>
      </w:pPr>
      <w:r>
        <w:rPr>
          <w:rFonts w:eastAsia="Franklin Gothic Book"/>
        </w:rPr>
        <w:t>A P</w:t>
      </w:r>
      <w:r w:rsidRPr="00137CC1">
        <w:rPr>
          <w:rFonts w:eastAsia="Franklin Gothic Book"/>
        </w:rPr>
        <w:t xml:space="preserve">rogram </w:t>
      </w:r>
      <w:r>
        <w:rPr>
          <w:rFonts w:eastAsia="Franklin Gothic Book"/>
        </w:rPr>
        <w:t>I</w:t>
      </w:r>
      <w:r w:rsidRPr="00137CC1">
        <w:rPr>
          <w:rFonts w:eastAsia="Franklin Gothic Book"/>
        </w:rPr>
        <w:t xml:space="preserve">nfluence </w:t>
      </w:r>
      <w:r w:rsidRPr="00137CC1">
        <w:t>component</w:t>
      </w:r>
      <w:r w:rsidRPr="00137CC1">
        <w:rPr>
          <w:rFonts w:eastAsia="Franklin Gothic Book"/>
        </w:rPr>
        <w:t>, based on the participant’s perception of the program’s influence on carry</w:t>
      </w:r>
      <w:r>
        <w:rPr>
          <w:rFonts w:eastAsia="Franklin Gothic Book"/>
        </w:rPr>
        <w:t>ing</w:t>
      </w:r>
      <w:r w:rsidRPr="00137CC1">
        <w:rPr>
          <w:rFonts w:eastAsia="Franklin Gothic Book"/>
        </w:rPr>
        <w:t xml:space="preserve"> o</w:t>
      </w:r>
      <w:r>
        <w:rPr>
          <w:rFonts w:eastAsia="Franklin Gothic Book"/>
        </w:rPr>
        <w:t>ut the energy-efficient project; and</w:t>
      </w:r>
    </w:p>
    <w:p w14:paraId="17A31779" w14:textId="77777777" w:rsidR="00D34C6E" w:rsidRPr="00137CC1" w:rsidRDefault="00D34C6E" w:rsidP="00D34C6E">
      <w:pPr>
        <w:pStyle w:val="ListParagraph"/>
        <w:widowControl/>
        <w:numPr>
          <w:ilvl w:val="0"/>
          <w:numId w:val="29"/>
        </w:numPr>
        <w:contextualSpacing w:val="0"/>
        <w:jc w:val="left"/>
        <w:rPr>
          <w:rFonts w:eastAsia="Franklin Gothic Book"/>
        </w:rPr>
      </w:pPr>
      <w:r>
        <w:rPr>
          <w:rFonts w:eastAsia="Franklin Gothic Book"/>
        </w:rPr>
        <w:t>A No</w:t>
      </w:r>
      <w:r w:rsidRPr="00137CC1">
        <w:rPr>
          <w:rFonts w:eastAsia="Franklin Gothic Book"/>
        </w:rPr>
        <w:t>-</w:t>
      </w:r>
      <w:r>
        <w:rPr>
          <w:rFonts w:eastAsia="Franklin Gothic Book"/>
        </w:rPr>
        <w:t>P</w:t>
      </w:r>
      <w:r w:rsidRPr="00137CC1">
        <w:rPr>
          <w:rFonts w:eastAsia="Franklin Gothic Book"/>
        </w:rPr>
        <w:t xml:space="preserve">rogram </w:t>
      </w:r>
      <w:r w:rsidRPr="00137CC1">
        <w:t>component</w:t>
      </w:r>
      <w:r w:rsidRPr="00137CC1">
        <w:rPr>
          <w:rFonts w:eastAsia="Franklin Gothic Book"/>
        </w:rPr>
        <w:t>, based on the participant’s intention to carry out the energy-efficient pr</w:t>
      </w:r>
      <w:r>
        <w:rPr>
          <w:rFonts w:eastAsia="Franklin Gothic Book"/>
        </w:rPr>
        <w:t>oject without program funds.</w:t>
      </w:r>
    </w:p>
    <w:p w14:paraId="66C84303" w14:textId="77777777" w:rsidR="00D34C6E" w:rsidRDefault="00D34C6E" w:rsidP="00D34C6E">
      <w:pPr>
        <w:rPr>
          <w:rFonts w:eastAsia="Franklin Gothic Book"/>
        </w:rPr>
      </w:pPr>
      <w:r w:rsidRPr="00137CC1">
        <w:rPr>
          <w:rFonts w:eastAsia="Franklin Gothic Book"/>
        </w:rPr>
        <w:t xml:space="preserve">When scored, each component assesses the likelihood of free ridership on a scale of 0 to 10, with the two scores averaged and for a combined total free ridership score. As different and opposing biases potentially affect the two main components, the </w:t>
      </w:r>
      <w:r>
        <w:rPr>
          <w:rFonts w:eastAsia="Franklin Gothic Book"/>
        </w:rPr>
        <w:t>N</w:t>
      </w:r>
      <w:r w:rsidRPr="00137CC1">
        <w:rPr>
          <w:rFonts w:eastAsia="Franklin Gothic Book"/>
        </w:rPr>
        <w:t>o-</w:t>
      </w:r>
      <w:r>
        <w:rPr>
          <w:rFonts w:eastAsia="Franklin Gothic Book"/>
        </w:rPr>
        <w:t>P</w:t>
      </w:r>
      <w:r w:rsidRPr="00137CC1">
        <w:rPr>
          <w:rFonts w:eastAsia="Franklin Gothic Book"/>
        </w:rPr>
        <w:t xml:space="preserve">rogram component typically indicates higher free ridership than the </w:t>
      </w:r>
      <w:r>
        <w:rPr>
          <w:rFonts w:eastAsia="Franklin Gothic Book"/>
        </w:rPr>
        <w:t>P</w:t>
      </w:r>
      <w:r w:rsidRPr="00137CC1">
        <w:rPr>
          <w:rFonts w:eastAsia="Franklin Gothic Book"/>
        </w:rPr>
        <w:t xml:space="preserve">rogram </w:t>
      </w:r>
      <w:r>
        <w:rPr>
          <w:rFonts w:eastAsia="Franklin Gothic Book"/>
        </w:rPr>
        <w:t>I</w:t>
      </w:r>
      <w:r w:rsidRPr="00137CC1">
        <w:rPr>
          <w:rFonts w:eastAsia="Franklin Gothic Book"/>
        </w:rPr>
        <w:t>nfluence component. Therefore, combining the</w:t>
      </w:r>
      <w:r>
        <w:rPr>
          <w:rFonts w:eastAsia="Franklin Gothic Book"/>
        </w:rPr>
        <w:t>se</w:t>
      </w:r>
      <w:r w:rsidRPr="00137CC1">
        <w:rPr>
          <w:rFonts w:eastAsia="Franklin Gothic Book"/>
        </w:rPr>
        <w:t xml:space="preserve"> decreases the biases.</w:t>
      </w:r>
    </w:p>
    <w:p w14:paraId="2BBFC3ED" w14:textId="77777777" w:rsidR="00D34C6E" w:rsidRDefault="00D34C6E" w:rsidP="00D34C6E">
      <w:pPr>
        <w:rPr>
          <w:rFonts w:eastAsia="Franklin Gothic Book"/>
        </w:rPr>
      </w:pPr>
      <w:r>
        <w:rPr>
          <w:rFonts w:eastAsia="Franklin Gothic Book"/>
        </w:rPr>
        <w:t xml:space="preserve">Figure 4-6 </w:t>
      </w:r>
      <w:r w:rsidRPr="00137CC1">
        <w:rPr>
          <w:rFonts w:eastAsia="Franklin Gothic Book"/>
        </w:rPr>
        <w:t>illustrates the scoring algorithm</w:t>
      </w:r>
      <w:r>
        <w:rPr>
          <w:rFonts w:eastAsia="Franklin Gothic Book"/>
        </w:rPr>
        <w:t xml:space="preserve">. </w:t>
      </w:r>
      <w:r>
        <w:rPr>
          <w:rFonts w:eastAsia="Franklin Gothic Book"/>
        </w:rPr>
        <w:br w:type="page"/>
      </w:r>
    </w:p>
    <w:p w14:paraId="76CC1BE8" w14:textId="5B9F1C03" w:rsidR="00D34C6E" w:rsidRDefault="00B52153" w:rsidP="00D21F1A">
      <w:pPr>
        <w:pStyle w:val="Captions"/>
      </w:pPr>
      <w:bookmarkStart w:id="1609" w:name="_Ref442629034"/>
      <w:bookmarkStart w:id="1610" w:name="_Toc472494760"/>
      <w:bookmarkStart w:id="1611" w:name="_Toc473108120"/>
      <w:bookmarkStart w:id="1612" w:name="_Toc520824268"/>
      <w:bookmarkStart w:id="1613" w:name="_Toc523148250"/>
      <w:bookmarkStart w:id="1614" w:name="_Toc16620012"/>
      <w:bookmarkStart w:id="1615" w:name="_Toc83376839"/>
      <w:r w:rsidRPr="00160A3D">
        <w:rPr>
          <w:noProof/>
        </w:rPr>
        <w:lastRenderedPageBreak/>
        <w:drawing>
          <wp:anchor distT="0" distB="0" distL="114300" distR="114300" simplePos="0" relativeHeight="251661824" behindDoc="0" locked="0" layoutInCell="1" allowOverlap="1" wp14:anchorId="75B68D5F" wp14:editId="434A3D3F">
            <wp:simplePos x="0" y="0"/>
            <wp:positionH relativeFrom="column">
              <wp:posOffset>0</wp:posOffset>
            </wp:positionH>
            <wp:positionV relativeFrom="paragraph">
              <wp:posOffset>164965</wp:posOffset>
            </wp:positionV>
            <wp:extent cx="6449695" cy="3413125"/>
            <wp:effectExtent l="0" t="0" r="8255" b="0"/>
            <wp:wrapSquare wrapText="bothSides"/>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0">
                      <a:extLst>
                        <a:ext uri="{28A0092B-C50C-407E-A947-70E740481C1C}">
                          <a14:useLocalDpi xmlns:a14="http://schemas.microsoft.com/office/drawing/2010/main" val="0"/>
                        </a:ext>
                      </a:extLst>
                    </a:blip>
                    <a:srcRect t="5900"/>
                    <a:stretch/>
                  </pic:blipFill>
                  <pic:spPr bwMode="auto">
                    <a:xfrm>
                      <a:off x="0" y="0"/>
                      <a:ext cx="6449695" cy="3413125"/>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D34C6E">
        <w:t>Figure 4</w:t>
      </w:r>
      <w:r w:rsidR="00D34C6E">
        <w:noBreakHyphen/>
      </w:r>
      <w:bookmarkEnd w:id="1609"/>
      <w:r w:rsidR="00D34C6E">
        <w:t xml:space="preserve">6. </w:t>
      </w:r>
      <w:r w:rsidR="00D34C6E" w:rsidRPr="002A1A84">
        <w:t>Residential Prescriptive Rebate</w:t>
      </w:r>
      <w:r w:rsidR="00D34C6E">
        <w:t xml:space="preserve"> (With No Audit)</w:t>
      </w:r>
      <w:r w:rsidR="00D34C6E" w:rsidRPr="002A1A84">
        <w:t xml:space="preserve"> Free Ridership</w:t>
      </w:r>
      <w:bookmarkEnd w:id="1610"/>
      <w:bookmarkEnd w:id="1611"/>
      <w:bookmarkEnd w:id="1612"/>
      <w:bookmarkEnd w:id="1613"/>
      <w:bookmarkEnd w:id="1614"/>
      <w:bookmarkEnd w:id="1615"/>
    </w:p>
    <w:p w14:paraId="44FDEC71" w14:textId="77777777" w:rsidR="00D34C6E" w:rsidRDefault="00D34C6E" w:rsidP="00D34C6E">
      <w:pPr>
        <w:pStyle w:val="Heading5"/>
        <w:numPr>
          <w:ilvl w:val="4"/>
          <w:numId w:val="8"/>
        </w:numPr>
      </w:pPr>
      <w:bookmarkStart w:id="1616" w:name="_Toc442804297"/>
      <w:bookmarkStart w:id="1617" w:name="_Toc442805514"/>
      <w:r w:rsidRPr="009B67BF">
        <w:t xml:space="preserve">Calculation of the </w:t>
      </w:r>
      <w:r>
        <w:t>Program Influence</w:t>
      </w:r>
      <w:r w:rsidRPr="009B67BF">
        <w:t xml:space="preserve"> Score</w:t>
      </w:r>
      <w:bookmarkEnd w:id="1616"/>
      <w:bookmarkEnd w:id="1617"/>
    </w:p>
    <w:p w14:paraId="5C648018" w14:textId="77777777" w:rsidR="00D34C6E" w:rsidRDefault="00D34C6E" w:rsidP="00D34C6E">
      <w:pPr>
        <w:rPr>
          <w:rFonts w:eastAsia="Franklin Gothic Book"/>
        </w:rPr>
      </w:pPr>
      <w:r w:rsidRPr="00137CC1">
        <w:rPr>
          <w:rFonts w:eastAsia="Franklin Gothic Book"/>
        </w:rPr>
        <w:t>Program influence is assessed by asking respondents, on a scale from 0 (not at all important) to 10 (</w:t>
      </w:r>
      <w:r>
        <w:rPr>
          <w:rFonts w:eastAsia="Calibri"/>
        </w:rPr>
        <w:t xml:space="preserve">extremely </w:t>
      </w:r>
      <w:r w:rsidRPr="00137CC1">
        <w:rPr>
          <w:rFonts w:eastAsia="Franklin Gothic Book"/>
        </w:rPr>
        <w:t>important), how important they found various program elements were on their undertak</w:t>
      </w:r>
      <w:r>
        <w:rPr>
          <w:rFonts w:eastAsia="Franklin Gothic Book"/>
        </w:rPr>
        <w:t>ing</w:t>
      </w:r>
      <w:r w:rsidRPr="00137CC1">
        <w:rPr>
          <w:rFonts w:eastAsia="Franklin Gothic Book"/>
        </w:rPr>
        <w:t xml:space="preserve"> the project the way they did. The number of elements included will vary, depending on the program’s design. Logic models, program theory, and staff interviews typically inform the list of elements. Programs typically use the following elements to influence customer </w:t>
      </w:r>
      <w:r>
        <w:rPr>
          <w:rFonts w:eastAsia="Franklin Gothic Book"/>
        </w:rPr>
        <w:t>behavior</w:t>
      </w:r>
      <w:r w:rsidRPr="00137CC1">
        <w:rPr>
          <w:rFonts w:eastAsia="Franklin Gothic Book"/>
        </w:rPr>
        <w:t xml:space="preserve">: information; incentives or rebates; interaction with program staff (i.e., technical assistance); interaction with program proxies, such as members of a trade ally network; building audits or assessments; and financing. </w:t>
      </w:r>
    </w:p>
    <w:p w14:paraId="1692F8C8" w14:textId="77777777" w:rsidR="00D34C6E" w:rsidRDefault="00D34C6E" w:rsidP="00D34C6E">
      <w:pPr>
        <w:rPr>
          <w:rFonts w:eastAsia="Franklin Gothic Book"/>
        </w:rPr>
      </w:pPr>
      <w:r w:rsidRPr="00137CC1">
        <w:rPr>
          <w:rFonts w:eastAsia="Franklin Gothic Book"/>
        </w:rPr>
        <w:t xml:space="preserve">In addition to asking about specific program influences, surveys ask respondents whether they planned to purchase a high-efficiency version of the product before learning of the rebate program. The </w:t>
      </w:r>
      <w:r>
        <w:rPr>
          <w:rFonts w:eastAsia="Franklin Gothic Book"/>
        </w:rPr>
        <w:t>respondent’s rating of the rebate’s influence</w:t>
      </w:r>
      <w:r w:rsidRPr="00137CC1">
        <w:rPr>
          <w:rFonts w:eastAsia="Franklin Gothic Book"/>
        </w:rPr>
        <w:t xml:space="preserve"> is adjusted by 0.5 for those answering the question “yes.”</w:t>
      </w:r>
      <w:r w:rsidRPr="00B31077">
        <w:rPr>
          <w:rFonts w:eastAsia="Franklin Gothic Book"/>
          <w:vertAlign w:val="superscript"/>
        </w:rPr>
        <w:footnoteReference w:id="79"/>
      </w:r>
      <w:r>
        <w:rPr>
          <w:rFonts w:eastAsia="Franklin Gothic Book"/>
        </w:rPr>
        <w:t xml:space="preserve"> Evaluators should conduct a sensitivity analysis around the use of this adjustment and present it in the report.</w:t>
      </w:r>
    </w:p>
    <w:p w14:paraId="1F5EBEE4" w14:textId="77777777" w:rsidR="00D34C6E" w:rsidRDefault="00D34C6E" w:rsidP="00D34C6E">
      <w:pPr>
        <w:rPr>
          <w:rFonts w:eastAsia="Franklin Gothic Book"/>
        </w:rPr>
      </w:pPr>
      <w:r w:rsidRPr="00137CC1">
        <w:rPr>
          <w:rFonts w:eastAsia="Franklin Gothic Book"/>
        </w:rPr>
        <w:t xml:space="preserve">The </w:t>
      </w:r>
      <w:r>
        <w:rPr>
          <w:rFonts w:eastAsia="Franklin Gothic Book"/>
        </w:rPr>
        <w:t>Preliminary P</w:t>
      </w:r>
      <w:r w:rsidRPr="00137CC1">
        <w:rPr>
          <w:rFonts w:eastAsia="Franklin Gothic Book"/>
        </w:rPr>
        <w:t xml:space="preserve">rogram </w:t>
      </w:r>
      <w:r>
        <w:rPr>
          <w:rFonts w:eastAsia="Franklin Gothic Book"/>
        </w:rPr>
        <w:t>I</w:t>
      </w:r>
      <w:r w:rsidRPr="00137CC1">
        <w:rPr>
          <w:rFonts w:eastAsia="Franklin Gothic Book"/>
        </w:rPr>
        <w:t xml:space="preserve">nfluence </w:t>
      </w:r>
      <w:r>
        <w:rPr>
          <w:rFonts w:eastAsia="Franklin Gothic Book"/>
        </w:rPr>
        <w:t>S</w:t>
      </w:r>
      <w:r w:rsidRPr="00137CC1">
        <w:rPr>
          <w:rFonts w:eastAsia="Franklin Gothic Book"/>
        </w:rPr>
        <w:t xml:space="preserve">core equals the maximum influence rating for any program element rather than, for example, the mean influence rating. This is based on the rationale that if any given program element had a great influence on the respondent’s </w:t>
      </w:r>
      <w:r>
        <w:rPr>
          <w:rFonts w:eastAsia="Franklin Gothic Book"/>
        </w:rPr>
        <w:t>action</w:t>
      </w:r>
      <w:r w:rsidRPr="00137CC1">
        <w:rPr>
          <w:rFonts w:eastAsia="Franklin Gothic Book"/>
        </w:rPr>
        <w:t>, then the program itself had a great influence, even if other elements had less influence.</w:t>
      </w:r>
    </w:p>
    <w:p w14:paraId="10CDE714" w14:textId="77777777" w:rsidR="00D34C6E" w:rsidRDefault="00D34C6E" w:rsidP="00D34C6E">
      <w:pPr>
        <w:rPr>
          <w:rFonts w:eastAsia="Franklin Gothic Book"/>
        </w:rPr>
      </w:pPr>
      <w:r w:rsidRPr="00137CC1">
        <w:rPr>
          <w:rFonts w:eastAsia="Franklin Gothic Book"/>
        </w:rPr>
        <w:t xml:space="preserve">An inverse relationship occurs between high program influence and free ridership: the greater the program influence, the lower the free ridership. The </w:t>
      </w:r>
      <w:r>
        <w:rPr>
          <w:rFonts w:eastAsia="Franklin Gothic Book"/>
        </w:rPr>
        <w:t>Program I</w:t>
      </w:r>
      <w:r w:rsidRPr="00137CC1">
        <w:rPr>
          <w:rFonts w:eastAsia="Franklin Gothic Book"/>
        </w:rPr>
        <w:t xml:space="preserve">nfluence </w:t>
      </w:r>
      <w:r>
        <w:rPr>
          <w:rFonts w:eastAsia="Franklin Gothic Book"/>
        </w:rPr>
        <w:t>(PI) S</w:t>
      </w:r>
      <w:r w:rsidRPr="00137CC1">
        <w:rPr>
          <w:rFonts w:eastAsia="Franklin Gothic Book"/>
        </w:rPr>
        <w:t>core = 10</w:t>
      </w:r>
      <w:r>
        <w:rPr>
          <w:rFonts w:eastAsia="Franklin Gothic Book"/>
        </w:rPr>
        <w:t xml:space="preserve"> </w:t>
      </w:r>
      <w:r w:rsidRPr="00137CC1">
        <w:rPr>
          <w:rFonts w:eastAsia="Franklin Gothic Book"/>
        </w:rPr>
        <w:t>-</w:t>
      </w:r>
      <w:r>
        <w:rPr>
          <w:rFonts w:eastAsia="Franklin Gothic Book"/>
        </w:rPr>
        <w:t xml:space="preserve"> Preliminary Program </w:t>
      </w:r>
      <w:r w:rsidRPr="00137CC1">
        <w:rPr>
          <w:rFonts w:eastAsia="Franklin Gothic Book"/>
        </w:rPr>
        <w:t>Influence Score</w:t>
      </w:r>
      <w:r>
        <w:rPr>
          <w:rFonts w:eastAsia="Franklin Gothic Book"/>
        </w:rPr>
        <w:t>.</w:t>
      </w:r>
      <w:r w:rsidRPr="00137CC1">
        <w:rPr>
          <w:rFonts w:eastAsia="Franklin Gothic Book"/>
        </w:rPr>
        <w:t xml:space="preserve"> </w:t>
      </w:r>
    </w:p>
    <w:p w14:paraId="4626B139" w14:textId="77777777" w:rsidR="00D34C6E" w:rsidRDefault="00D34C6E" w:rsidP="00D34C6E">
      <w:pPr>
        <w:pStyle w:val="Heading5"/>
        <w:numPr>
          <w:ilvl w:val="4"/>
          <w:numId w:val="8"/>
        </w:numPr>
      </w:pPr>
      <w:bookmarkStart w:id="1618" w:name="_Toc442804298"/>
      <w:bookmarkStart w:id="1619" w:name="_Toc442805515"/>
      <w:r w:rsidRPr="009B67BF">
        <w:t xml:space="preserve">Calculation of the </w:t>
      </w:r>
      <w:r>
        <w:t>No-Program</w:t>
      </w:r>
      <w:r w:rsidRPr="009B67BF">
        <w:t xml:space="preserve"> Score</w:t>
      </w:r>
      <w:bookmarkEnd w:id="1618"/>
      <w:bookmarkEnd w:id="1619"/>
    </w:p>
    <w:p w14:paraId="5569B212" w14:textId="67225A63" w:rsidR="00D34C6E" w:rsidRDefault="00D34C6E" w:rsidP="00D34C6E">
      <w:pPr>
        <w:rPr>
          <w:rFonts w:eastAsia="Franklin Gothic Book"/>
        </w:rPr>
      </w:pPr>
      <w:r>
        <w:rPr>
          <w:rFonts w:eastAsia="Franklin Gothic Book"/>
        </w:rPr>
        <w:t xml:space="preserve">The No-Program (NP) Score is based on three measures of the likelihood of a participant purchasing equipment of the same level of high efficiency as the unit installed with the program at the same time in the absence of the </w:t>
      </w:r>
      <w:r>
        <w:rPr>
          <w:rFonts w:eastAsia="Franklin Gothic Book"/>
        </w:rPr>
        <w:lastRenderedPageBreak/>
        <w:t xml:space="preserve">program. Each of these likelihood measures are assessed on a 0-10 scale in which 0 means not at all likely and 10 means very likely. </w:t>
      </w:r>
    </w:p>
    <w:p w14:paraId="52E138A0" w14:textId="77777777" w:rsidR="00D34C6E" w:rsidRDefault="00D34C6E" w:rsidP="00D34C6E">
      <w:pPr>
        <w:rPr>
          <w:rFonts w:eastAsia="Franklin Gothic Book"/>
        </w:rPr>
      </w:pPr>
      <w:r>
        <w:rPr>
          <w:rFonts w:eastAsia="Franklin Gothic Book"/>
        </w:rPr>
        <w:t xml:space="preserve">First, the </w:t>
      </w:r>
      <w:r w:rsidRPr="00137CC1">
        <w:rPr>
          <w:rFonts w:eastAsia="Franklin Gothic Book"/>
        </w:rPr>
        <w:t xml:space="preserve">participant should be asked their likelihood of purchasing </w:t>
      </w:r>
      <w:r>
        <w:rPr>
          <w:rFonts w:eastAsia="Franklin Gothic Book"/>
        </w:rPr>
        <w:t xml:space="preserve">an item of </w:t>
      </w:r>
      <w:r>
        <w:rPr>
          <w:rFonts w:eastAsia="Franklin Gothic Book"/>
          <w:i/>
        </w:rPr>
        <w:t>any efficiency</w:t>
      </w:r>
      <w:r w:rsidRPr="00137CC1">
        <w:rPr>
          <w:rFonts w:eastAsia="Franklin Gothic Book"/>
        </w:rPr>
        <w:t xml:space="preserve"> within 12 or 6 months (12 months for a single or </w:t>
      </w:r>
      <w:proofErr w:type="gramStart"/>
      <w:r w:rsidRPr="00137CC1">
        <w:rPr>
          <w:rFonts w:eastAsia="Franklin Gothic Book"/>
        </w:rPr>
        <w:t>big ticket</w:t>
      </w:r>
      <w:proofErr w:type="gramEnd"/>
      <w:r w:rsidRPr="00137CC1">
        <w:rPr>
          <w:rFonts w:eastAsia="Franklin Gothic Book"/>
        </w:rPr>
        <w:t xml:space="preserve"> item and 6 months for less expensive items)</w:t>
      </w:r>
      <w:r>
        <w:rPr>
          <w:rFonts w:eastAsia="Franklin Gothic Book"/>
        </w:rPr>
        <w:t xml:space="preserve"> for the Timing (T) Score. Participants who were influenced by the program to replace still-functioning equipment will likely give a low score to this question, while participants who needed to replace burned out equipment will give a high score. This measure enables the analysis to use a single algorithm for both early replacement and replace-on-burnout scenarios. </w:t>
      </w:r>
    </w:p>
    <w:p w14:paraId="25463508" w14:textId="0D120AFE" w:rsidR="00D34C6E" w:rsidRDefault="00D34C6E" w:rsidP="00D34C6E">
      <w:pPr>
        <w:rPr>
          <w:rFonts w:eastAsia="Franklin Gothic Book"/>
        </w:rPr>
      </w:pPr>
      <w:r>
        <w:rPr>
          <w:rFonts w:eastAsia="Franklin Gothic Book"/>
        </w:rPr>
        <w:t>Next, the participant should be asked</w:t>
      </w:r>
      <w:r w:rsidRPr="00137CC1">
        <w:rPr>
          <w:rFonts w:eastAsia="Franklin Gothic Book"/>
        </w:rPr>
        <w:t xml:space="preserve"> a key question that asks the respondent to gauge their likelihood of purchasing,</w:t>
      </w:r>
      <w:r>
        <w:rPr>
          <w:rFonts w:eastAsia="Franklin Gothic Book"/>
        </w:rPr>
        <w:t xml:space="preserve"> absent the program, equipment of the</w:t>
      </w:r>
      <w:r w:rsidRPr="00BC12AD">
        <w:rPr>
          <w:rFonts w:eastAsia="Franklin Gothic Book"/>
        </w:rPr>
        <w:t xml:space="preserve"> same </w:t>
      </w:r>
      <w:r>
        <w:rPr>
          <w:rFonts w:eastAsia="Franklin Gothic Book"/>
        </w:rPr>
        <w:t xml:space="preserve">level of high efficiency as the unit installed with the </w:t>
      </w:r>
      <w:proofErr w:type="gramStart"/>
      <w:r>
        <w:rPr>
          <w:rFonts w:eastAsia="Franklin Gothic Book"/>
        </w:rPr>
        <w:t xml:space="preserve">program </w:t>
      </w:r>
      <w:r w:rsidRPr="00137CC1">
        <w:rPr>
          <w:rFonts w:eastAsia="Franklin Gothic Book"/>
        </w:rPr>
        <w:t>.</w:t>
      </w:r>
      <w:proofErr w:type="gramEnd"/>
      <w:r w:rsidRPr="00137CC1">
        <w:rPr>
          <w:rFonts w:eastAsia="Franklin Gothic Book"/>
        </w:rPr>
        <w:t xml:space="preserve"> </w:t>
      </w:r>
      <w:r>
        <w:rPr>
          <w:rFonts w:eastAsia="Franklin Gothic Book"/>
        </w:rPr>
        <w:t xml:space="preserve">This measure forms the Efficiency €€ Score. </w:t>
      </w:r>
      <w:r w:rsidRPr="00137CC1">
        <w:rPr>
          <w:rFonts w:eastAsia="Franklin Gothic Book"/>
        </w:rPr>
        <w:t xml:space="preserve">A respondent stating the likelihood of purchasing </w:t>
      </w:r>
      <w:r>
        <w:rPr>
          <w:rFonts w:eastAsia="Franklin Gothic Book"/>
        </w:rPr>
        <w:t xml:space="preserve">an item of </w:t>
      </w:r>
      <w:r w:rsidRPr="00137CC1">
        <w:rPr>
          <w:rFonts w:eastAsia="Franklin Gothic Book"/>
        </w:rPr>
        <w:t xml:space="preserve">the </w:t>
      </w:r>
      <w:r w:rsidRPr="00BC12AD">
        <w:rPr>
          <w:rFonts w:eastAsia="Franklin Gothic Book"/>
          <w:i/>
        </w:rPr>
        <w:t xml:space="preserve">same </w:t>
      </w:r>
      <w:r>
        <w:rPr>
          <w:rFonts w:eastAsia="Franklin Gothic Book"/>
          <w:i/>
        </w:rPr>
        <w:t>level of high efficiency</w:t>
      </w:r>
      <w:r w:rsidRPr="00BC12AD">
        <w:rPr>
          <w:rFonts w:eastAsia="Franklin Gothic Book"/>
          <w:i/>
        </w:rPr>
        <w:t xml:space="preserve"> </w:t>
      </w:r>
      <w:r w:rsidRPr="00137CC1">
        <w:rPr>
          <w:rFonts w:eastAsia="Franklin Gothic Book"/>
        </w:rPr>
        <w:t>as a 5 on a scale of 0 to</w:t>
      </w:r>
      <w:r>
        <w:rPr>
          <w:rFonts w:eastAsia="Franklin Gothic Book"/>
        </w:rPr>
        <w:t xml:space="preserve"> 10 is assigned an Efficiency S</w:t>
      </w:r>
      <w:r w:rsidRPr="00137CC1">
        <w:rPr>
          <w:rFonts w:eastAsia="Franklin Gothic Book"/>
        </w:rPr>
        <w:t>core of 5.</w:t>
      </w:r>
    </w:p>
    <w:p w14:paraId="116D44C2" w14:textId="77777777" w:rsidR="00D34C6E" w:rsidRDefault="00D34C6E" w:rsidP="00D34C6E">
      <w:pPr>
        <w:rPr>
          <w:rFonts w:eastAsia="Franklin Gothic Book"/>
        </w:rPr>
      </w:pPr>
      <w:r>
        <w:rPr>
          <w:rFonts w:eastAsia="Franklin Gothic Book"/>
        </w:rPr>
        <w:t>I</w:t>
      </w:r>
      <w:r w:rsidRPr="00137CC1">
        <w:rPr>
          <w:rFonts w:eastAsia="Franklin Gothic Book"/>
        </w:rPr>
        <w:t>f multiple quantities of an item are purchased, the respondent should be asked about the likelihood of purchasing fewer energy-efficient items</w:t>
      </w:r>
      <w:r>
        <w:rPr>
          <w:rFonts w:eastAsia="Franklin Gothic Book"/>
        </w:rPr>
        <w:t>. The response to this question is subtracted from 10 to compute the Quantity (Q) Score</w:t>
      </w:r>
      <w:r w:rsidRPr="00137CC1">
        <w:rPr>
          <w:rFonts w:eastAsia="Franklin Gothic Book"/>
        </w:rPr>
        <w:t xml:space="preserve">. </w:t>
      </w:r>
    </w:p>
    <w:p w14:paraId="27F37994" w14:textId="77777777" w:rsidR="00D34C6E" w:rsidRDefault="00D34C6E" w:rsidP="00D34C6E">
      <w:pPr>
        <w:rPr>
          <w:rFonts w:eastAsia="Franklin Gothic Book"/>
        </w:rPr>
      </w:pPr>
      <w:r>
        <w:rPr>
          <w:rFonts w:eastAsia="Franklin Gothic Book"/>
        </w:rPr>
        <w:t>The No-Program Score is the minimum of the Timing, Efficiency, and (if applicable) Quantity Scores. Finally, t</w:t>
      </w:r>
      <w:r w:rsidRPr="00137CC1">
        <w:rPr>
          <w:rFonts w:eastAsia="Franklin Gothic Book"/>
        </w:rPr>
        <w:t xml:space="preserve">he </w:t>
      </w:r>
      <w:r>
        <w:rPr>
          <w:rFonts w:eastAsia="Franklin Gothic Book"/>
        </w:rPr>
        <w:t>No-Program Score</w:t>
      </w:r>
      <w:r w:rsidRPr="00137CC1">
        <w:rPr>
          <w:rFonts w:eastAsia="Franklin Gothic Book"/>
        </w:rPr>
        <w:t xml:space="preserve"> is averaged with the </w:t>
      </w:r>
      <w:r>
        <w:rPr>
          <w:rFonts w:eastAsia="Franklin Gothic Book"/>
        </w:rPr>
        <w:t>P</w:t>
      </w:r>
      <w:r w:rsidRPr="00137CC1">
        <w:rPr>
          <w:rFonts w:eastAsia="Franklin Gothic Book"/>
        </w:rPr>
        <w:t xml:space="preserve">rogram </w:t>
      </w:r>
      <w:r>
        <w:rPr>
          <w:rFonts w:eastAsia="Franklin Gothic Book"/>
        </w:rPr>
        <w:t>I</w:t>
      </w:r>
      <w:r w:rsidRPr="00137CC1">
        <w:rPr>
          <w:rFonts w:eastAsia="Franklin Gothic Book"/>
        </w:rPr>
        <w:t xml:space="preserve">nfluence </w:t>
      </w:r>
      <w:r>
        <w:rPr>
          <w:rFonts w:eastAsia="Franklin Gothic Book"/>
        </w:rPr>
        <w:t>S</w:t>
      </w:r>
      <w:r w:rsidRPr="00137CC1">
        <w:rPr>
          <w:rFonts w:eastAsia="Franklin Gothic Book"/>
        </w:rPr>
        <w:t>core</w:t>
      </w:r>
      <w:r>
        <w:rPr>
          <w:rFonts w:eastAsia="Franklin Gothic Book"/>
        </w:rPr>
        <w:t xml:space="preserve"> to calculate the F</w:t>
      </w:r>
      <w:r w:rsidRPr="00137CC1">
        <w:rPr>
          <w:rFonts w:eastAsia="Franklin Gothic Book"/>
        </w:rPr>
        <w:t xml:space="preserve">inal </w:t>
      </w:r>
      <w:r>
        <w:rPr>
          <w:rFonts w:eastAsia="Franklin Gothic Book"/>
        </w:rPr>
        <w:t>F</w:t>
      </w:r>
      <w:r w:rsidRPr="00137CC1">
        <w:rPr>
          <w:rFonts w:eastAsia="Franklin Gothic Book"/>
        </w:rPr>
        <w:t xml:space="preserve">ree </w:t>
      </w:r>
      <w:r>
        <w:rPr>
          <w:rFonts w:eastAsia="Franklin Gothic Book"/>
        </w:rPr>
        <w:t>R</w:t>
      </w:r>
      <w:r w:rsidRPr="00137CC1">
        <w:rPr>
          <w:rFonts w:eastAsia="Franklin Gothic Book"/>
        </w:rPr>
        <w:t xml:space="preserve">idership </w:t>
      </w:r>
      <w:r>
        <w:rPr>
          <w:rFonts w:eastAsia="Franklin Gothic Book"/>
        </w:rPr>
        <w:t>Value</w:t>
      </w:r>
      <w:r w:rsidRPr="00137CC1">
        <w:rPr>
          <w:rFonts w:eastAsia="Franklin Gothic Book"/>
        </w:rPr>
        <w:t>.</w:t>
      </w:r>
    </w:p>
    <w:p w14:paraId="428BF7F6" w14:textId="7A7C5B86" w:rsidR="00D34C6E" w:rsidRPr="001702D1" w:rsidRDefault="00016B3F" w:rsidP="00D34C6E">
      <w:pPr>
        <w:jc w:val="center"/>
        <w:rPr>
          <w:rFonts w:eastAsia="Franklin Gothic Book"/>
        </w:rPr>
      </w:pPr>
      <m:oMathPara>
        <m:oMath>
          <m:r>
            <w:rPr>
              <w:rFonts w:ascii="Cambria Math" w:eastAsia="Franklin Gothic Book" w:hAnsi="Cambria Math"/>
            </w:rPr>
            <m:t xml:space="preserve">No Program Score </m:t>
          </m:r>
          <m:d>
            <m:dPr>
              <m:ctrlPr>
                <w:rPr>
                  <w:rFonts w:ascii="Cambria Math" w:eastAsia="Franklin Gothic Book" w:hAnsi="Cambria Math"/>
                  <w:i/>
                </w:rPr>
              </m:ctrlPr>
            </m:dPr>
            <m:e>
              <m:r>
                <w:rPr>
                  <w:rFonts w:ascii="Cambria Math" w:eastAsia="Franklin Gothic Book" w:hAnsi="Cambria Math"/>
                </w:rPr>
                <m:t>NP</m:t>
              </m:r>
            </m:e>
          </m:d>
          <m:r>
            <w:rPr>
              <w:rFonts w:ascii="Cambria Math" w:eastAsia="Franklin Gothic Book" w:hAnsi="Cambria Math"/>
            </w:rPr>
            <m:t>= Min</m:t>
          </m:r>
          <m:d>
            <m:dPr>
              <m:ctrlPr>
                <w:rPr>
                  <w:rFonts w:ascii="Cambria Math" w:eastAsia="Franklin Gothic Book" w:hAnsi="Cambria Math"/>
                  <w:i/>
                </w:rPr>
              </m:ctrlPr>
            </m:dPr>
            <m:e>
              <m:r>
                <w:rPr>
                  <w:rFonts w:ascii="Cambria Math" w:eastAsia="Franklin Gothic Book" w:hAnsi="Cambria Math"/>
                </w:rPr>
                <m:t>T, E, Q</m:t>
              </m:r>
            </m:e>
          </m:d>
        </m:oMath>
      </m:oMathPara>
    </w:p>
    <w:p w14:paraId="0EB46001" w14:textId="6552155A" w:rsidR="00D34C6E" w:rsidRPr="00A82FCB" w:rsidRDefault="00016B3F" w:rsidP="00D34C6E">
      <w:pPr>
        <w:jc w:val="center"/>
        <w:rPr>
          <w:rFonts w:eastAsia="Franklin Gothic Book"/>
        </w:rPr>
      </w:pPr>
      <m:oMathPara>
        <m:oMath>
          <m:r>
            <w:rPr>
              <w:rFonts w:ascii="Cambria Math" w:eastAsia="Franklin Gothic Book" w:hAnsi="Cambria Math"/>
            </w:rPr>
            <m:t xml:space="preserve">Free Ridership </m:t>
          </m:r>
          <m:d>
            <m:dPr>
              <m:ctrlPr>
                <w:rPr>
                  <w:rFonts w:ascii="Cambria Math" w:eastAsia="Franklin Gothic Book" w:hAnsi="Cambria Math"/>
                  <w:i/>
                </w:rPr>
              </m:ctrlPr>
            </m:dPr>
            <m:e>
              <m:r>
                <w:rPr>
                  <w:rFonts w:ascii="Cambria Math" w:eastAsia="Franklin Gothic Book" w:hAnsi="Cambria Math"/>
                </w:rPr>
                <m:t>FR</m:t>
              </m:r>
            </m:e>
          </m:d>
          <m:r>
            <w:rPr>
              <w:rFonts w:ascii="Cambria Math" w:eastAsia="Franklin Gothic Book" w:hAnsi="Cambria Math"/>
            </w:rPr>
            <m:t>= Mean</m:t>
          </m:r>
          <m:d>
            <m:dPr>
              <m:ctrlPr>
                <w:rPr>
                  <w:rFonts w:ascii="Cambria Math" w:eastAsia="Franklin Gothic Book" w:hAnsi="Cambria Math"/>
                  <w:i/>
                </w:rPr>
              </m:ctrlPr>
            </m:dPr>
            <m:e>
              <m:r>
                <w:rPr>
                  <w:rFonts w:ascii="Cambria Math" w:eastAsia="Franklin Gothic Book" w:hAnsi="Cambria Math"/>
                </w:rPr>
                <m:t>PI, NP</m:t>
              </m:r>
            </m:e>
          </m:d>
        </m:oMath>
      </m:oMathPara>
    </w:p>
    <w:p w14:paraId="38D3AC5A" w14:textId="77777777" w:rsidR="00D34C6E" w:rsidRPr="00137CC1" w:rsidRDefault="00D34C6E" w:rsidP="00D34C6E">
      <w:pPr>
        <w:pStyle w:val="Heading5"/>
        <w:numPr>
          <w:ilvl w:val="4"/>
          <w:numId w:val="8"/>
        </w:numPr>
      </w:pPr>
      <w:bookmarkStart w:id="1620" w:name="_Toc442804299"/>
      <w:bookmarkStart w:id="1621" w:name="_Toc442805516"/>
      <w:r>
        <w:t>Consistency Checks</w:t>
      </w:r>
      <w:bookmarkEnd w:id="1620"/>
      <w:bookmarkEnd w:id="1621"/>
    </w:p>
    <w:p w14:paraId="2B87D60F" w14:textId="77777777" w:rsidR="00D34C6E" w:rsidRDefault="00D34C6E" w:rsidP="00D34C6E">
      <w:pPr>
        <w:rPr>
          <w:rFonts w:eastAsia="Franklin Gothic Book"/>
        </w:rPr>
      </w:pPr>
      <w:r w:rsidRPr="00137CC1">
        <w:rPr>
          <w:rFonts w:eastAsia="Franklin Gothic Book"/>
        </w:rPr>
        <w:t>To address the possibility of conflicting responses (i.e., low intention score and high influence score), the survey should include consistency checks that, at a minimum, ask participants an open-ended question to address the program’s influence. For example:</w:t>
      </w:r>
    </w:p>
    <w:p w14:paraId="152BBD5E" w14:textId="77777777" w:rsidR="00D34C6E" w:rsidRPr="00137CC1" w:rsidRDefault="00D34C6E" w:rsidP="00D34C6E">
      <w:pPr>
        <w:pStyle w:val="ListParagraph"/>
        <w:widowControl/>
        <w:numPr>
          <w:ilvl w:val="0"/>
          <w:numId w:val="46"/>
        </w:numPr>
        <w:contextualSpacing w:val="0"/>
        <w:jc w:val="left"/>
        <w:rPr>
          <w:rFonts w:eastAsia="Franklin Gothic Book"/>
        </w:rPr>
      </w:pPr>
      <w:r w:rsidRPr="00137CC1">
        <w:rPr>
          <w:rFonts w:eastAsia="Franklin Gothic Book"/>
        </w:rPr>
        <w:t xml:space="preserve">In your own </w:t>
      </w:r>
      <w:r w:rsidRPr="00137CC1">
        <w:t>words</w:t>
      </w:r>
      <w:r w:rsidRPr="00137CC1">
        <w:rPr>
          <w:rFonts w:eastAsia="Franklin Gothic Book"/>
        </w:rPr>
        <w:t xml:space="preserve">, please tell me the influence the program had on your purchase </w:t>
      </w:r>
      <w:r>
        <w:rPr>
          <w:rFonts w:eastAsia="Franklin Gothic Book"/>
        </w:rPr>
        <w:t xml:space="preserve">of </w:t>
      </w:r>
      <w:r w:rsidRPr="00137CC1">
        <w:rPr>
          <w:rFonts w:eastAsia="Franklin Gothic Book"/>
        </w:rPr>
        <w:t xml:space="preserve">the </w:t>
      </w:r>
      <w:r>
        <w:rPr>
          <w:rFonts w:eastAsia="Franklin Gothic Book"/>
        </w:rPr>
        <w:t>&lt;</w:t>
      </w:r>
      <w:r w:rsidRPr="00137CC1">
        <w:rPr>
          <w:rFonts w:eastAsia="Franklin Gothic Book"/>
        </w:rPr>
        <w:t>insert measure name</w:t>
      </w:r>
      <w:r>
        <w:rPr>
          <w:rFonts w:eastAsia="Franklin Gothic Book"/>
        </w:rPr>
        <w:t>&gt;</w:t>
      </w:r>
      <w:r w:rsidRPr="00137CC1">
        <w:rPr>
          <w:rFonts w:eastAsia="Franklin Gothic Book"/>
        </w:rPr>
        <w:t>.</w:t>
      </w:r>
    </w:p>
    <w:p w14:paraId="4A0C704D" w14:textId="77777777" w:rsidR="00D34C6E" w:rsidRDefault="00D34C6E" w:rsidP="00D34C6E">
      <w:pPr>
        <w:rPr>
          <w:rFonts w:eastAsia="Franklin Gothic Book"/>
        </w:rPr>
      </w:pPr>
      <w:r w:rsidRPr="00137CC1">
        <w:rPr>
          <w:rFonts w:eastAsia="Franklin Gothic Book"/>
        </w:rPr>
        <w:t xml:space="preserve">In this case, the evaluation analyst will assess the response to this </w:t>
      </w:r>
      <w:proofErr w:type="gramStart"/>
      <w:r w:rsidRPr="00137CC1">
        <w:rPr>
          <w:rFonts w:eastAsia="Franklin Gothic Book"/>
        </w:rPr>
        <w:t>open ended</w:t>
      </w:r>
      <w:proofErr w:type="gramEnd"/>
      <w:r w:rsidRPr="00137CC1">
        <w:rPr>
          <w:rFonts w:eastAsia="Franklin Gothic Book"/>
        </w:rPr>
        <w:t xml:space="preserve"> question and its consistency with the other questions, and, if warranted based on clear additional information, they will adjust the score based on expert judgement. If an inconsistency exists and the open-ended response does not resolve the inconsistency, the respondent will be removed from the calculation. All instances of this occurring should be documented in the final report. Additional consistency checks, triggered and resolved within the survey with additional questions to participants, remain optional.</w:t>
      </w:r>
    </w:p>
    <w:p w14:paraId="5A3D19CE" w14:textId="77777777" w:rsidR="00D34C6E" w:rsidRDefault="00D34C6E" w:rsidP="00D34C6E">
      <w:pPr>
        <w:rPr>
          <w:rFonts w:eastAsia="Franklin Gothic Book"/>
        </w:rPr>
      </w:pPr>
      <w:r w:rsidRPr="00137CC1">
        <w:rPr>
          <w:rFonts w:eastAsia="Franklin Gothic Book"/>
        </w:rPr>
        <w:t>Missing responses to specific questions should be treated as “missing” for that particular question, but the observation or case will be retained in the analysis. Evaluation reports should note if this affects more than 5% of the responses.</w:t>
      </w:r>
    </w:p>
    <w:p w14:paraId="7513D9E3" w14:textId="77777777" w:rsidR="00D34C6E" w:rsidRPr="009B67BF" w:rsidRDefault="00D34C6E" w:rsidP="00D34C6E">
      <w:pPr>
        <w:pStyle w:val="Heading2"/>
        <w:keepLines w:val="0"/>
        <w:widowControl/>
        <w:numPr>
          <w:ilvl w:val="1"/>
          <w:numId w:val="8"/>
        </w:numPr>
        <w:jc w:val="left"/>
      </w:pPr>
      <w:bookmarkStart w:id="1622" w:name="_Toc431526469"/>
      <w:bookmarkStart w:id="1623" w:name="_Ref442305481"/>
      <w:bookmarkStart w:id="1624" w:name="_Ref442305485"/>
      <w:bookmarkStart w:id="1625" w:name="_Toc442804303"/>
      <w:bookmarkStart w:id="1626" w:name="_Toc442805520"/>
      <w:bookmarkStart w:id="1627" w:name="_Toc472494720"/>
      <w:bookmarkStart w:id="1628" w:name="_Toc520462918"/>
      <w:bookmarkStart w:id="1629" w:name="_Toc473108062"/>
      <w:bookmarkStart w:id="1630" w:name="_Toc520824172"/>
      <w:bookmarkStart w:id="1631" w:name="_Toc16619955"/>
      <w:bookmarkStart w:id="1632" w:name="_Toc113619810"/>
      <w:r w:rsidRPr="009B67BF">
        <w:t>Single-Family Home Energy Audit Pro</w:t>
      </w:r>
      <w:bookmarkEnd w:id="1622"/>
      <w:r>
        <w:t>tocol</w:t>
      </w:r>
      <w:bookmarkEnd w:id="1623"/>
      <w:bookmarkEnd w:id="1624"/>
      <w:bookmarkEnd w:id="1625"/>
      <w:bookmarkEnd w:id="1626"/>
      <w:bookmarkEnd w:id="1627"/>
      <w:bookmarkEnd w:id="1628"/>
      <w:bookmarkEnd w:id="1629"/>
      <w:bookmarkEnd w:id="1630"/>
      <w:bookmarkEnd w:id="1631"/>
      <w:bookmarkEnd w:id="1632"/>
    </w:p>
    <w:p w14:paraId="159AC271" w14:textId="77777777" w:rsidR="00D34C6E" w:rsidRPr="009B67BF" w:rsidRDefault="00D34C6E" w:rsidP="00D34C6E">
      <w:pPr>
        <w:rPr>
          <w:rFonts w:eastAsia="Franklin Gothic Book"/>
        </w:rPr>
      </w:pPr>
      <w:r w:rsidRPr="009B67BF">
        <w:rPr>
          <w:rFonts w:eastAsia="Franklin Gothic Book"/>
        </w:rPr>
        <w:t xml:space="preserve">Single-Family Home Energy Audit programs (or energy assessment programs) seek to secure energy savings for residential customers by providing audits, direct-install measures, and incentives for additional energy efficiency opportunities. The participation process generally begins with an energy audit, performed by a program-affiliated companies or individuals; this involves an auditor assessing the customer’s home to identify energy-saving opportunities. At that time, the auditor may install free instant-savings measures, such as CFLs, low-flow showerheads, and faucet aerators. Auditors also may educate customers about incentives available through the audit program (e.g., air sealing, insulation) or other </w:t>
      </w:r>
      <w:r>
        <w:rPr>
          <w:rFonts w:eastAsia="Franklin Gothic Book"/>
        </w:rPr>
        <w:t>Program Administrator</w:t>
      </w:r>
      <w:r w:rsidRPr="00C70B43">
        <w:rPr>
          <w:rFonts w:eastAsia="Franklin Gothic Book"/>
        </w:rPr>
        <w:t>-s</w:t>
      </w:r>
      <w:r w:rsidRPr="009B67BF">
        <w:rPr>
          <w:rFonts w:eastAsia="Franklin Gothic Book"/>
        </w:rPr>
        <w:t>ponsored energy efficiency programs.</w:t>
      </w:r>
    </w:p>
    <w:p w14:paraId="6D222EF5" w14:textId="10C4BA18" w:rsidR="00D34C6E" w:rsidRPr="009B67BF" w:rsidRDefault="00D34C6E" w:rsidP="00D34C6E">
      <w:pPr>
        <w:rPr>
          <w:rFonts w:eastAsia="Franklin Gothic Book"/>
        </w:rPr>
      </w:pPr>
      <w:r w:rsidRPr="009B67BF">
        <w:rPr>
          <w:rFonts w:eastAsia="Franklin Gothic Book"/>
        </w:rPr>
        <w:t>For these programs, free ridership and participant spillover</w:t>
      </w:r>
      <w:r>
        <w:rPr>
          <w:rFonts w:eastAsia="Franklin Gothic Book"/>
        </w:rPr>
        <w:t xml:space="preserve"> (See Section </w:t>
      </w:r>
      <w:r>
        <w:rPr>
          <w:rFonts w:eastAsia="Franklin Gothic Book"/>
        </w:rPr>
        <w:fldChar w:fldCharType="begin"/>
      </w:r>
      <w:r>
        <w:rPr>
          <w:rFonts w:eastAsia="Franklin Gothic Book"/>
        </w:rPr>
        <w:instrText xml:space="preserve"> REF _Ref442342924 \r \h </w:instrText>
      </w:r>
      <w:r>
        <w:rPr>
          <w:rFonts w:eastAsia="Franklin Gothic Book"/>
        </w:rPr>
      </w:r>
      <w:r>
        <w:rPr>
          <w:rFonts w:eastAsia="Franklin Gothic Book"/>
        </w:rPr>
        <w:fldChar w:fldCharType="separate"/>
      </w:r>
      <w:r w:rsidR="00506A44">
        <w:rPr>
          <w:rFonts w:eastAsia="Franklin Gothic Book"/>
        </w:rPr>
        <w:t>4.1.2</w:t>
      </w:r>
      <w:r>
        <w:rPr>
          <w:rFonts w:eastAsia="Franklin Gothic Book"/>
        </w:rPr>
        <w:fldChar w:fldCharType="end"/>
      </w:r>
      <w:r>
        <w:rPr>
          <w:rFonts w:eastAsia="Franklin Gothic Book"/>
        </w:rPr>
        <w:t>)</w:t>
      </w:r>
      <w:r w:rsidRPr="009B67BF">
        <w:rPr>
          <w:rFonts w:eastAsia="Franklin Gothic Book"/>
        </w:rPr>
        <w:t xml:space="preserve"> estimates rely on participant self-reports, gathered through surveys.</w:t>
      </w:r>
    </w:p>
    <w:p w14:paraId="537058E6" w14:textId="77777777" w:rsidR="00D34C6E" w:rsidRPr="009B67BF" w:rsidRDefault="00D34C6E" w:rsidP="0088039F">
      <w:pPr>
        <w:pStyle w:val="Heading3"/>
      </w:pPr>
      <w:bookmarkStart w:id="1633" w:name="_Toc431526470"/>
      <w:bookmarkStart w:id="1634" w:name="_Toc442804304"/>
      <w:bookmarkStart w:id="1635" w:name="_Toc442805521"/>
      <w:bookmarkStart w:id="1636" w:name="_Toc472494721"/>
      <w:bookmarkStart w:id="1637" w:name="_Toc520462919"/>
      <w:bookmarkStart w:id="1638" w:name="_Toc473108063"/>
      <w:bookmarkStart w:id="1639" w:name="_Toc520824173"/>
      <w:bookmarkStart w:id="1640" w:name="_Toc16619956"/>
      <w:bookmarkStart w:id="1641" w:name="_Toc113619811"/>
      <w:r>
        <w:t>Basic Method</w:t>
      </w:r>
      <w:bookmarkEnd w:id="1633"/>
      <w:bookmarkEnd w:id="1634"/>
      <w:bookmarkEnd w:id="1635"/>
      <w:bookmarkEnd w:id="1636"/>
      <w:bookmarkEnd w:id="1637"/>
      <w:bookmarkEnd w:id="1638"/>
      <w:bookmarkEnd w:id="1639"/>
      <w:bookmarkEnd w:id="1640"/>
      <w:bookmarkEnd w:id="1641"/>
    </w:p>
    <w:p w14:paraId="180F5EFA" w14:textId="77777777" w:rsidR="00D34C6E" w:rsidRPr="009B67BF" w:rsidRDefault="00D34C6E" w:rsidP="00D34C6E">
      <w:pPr>
        <w:rPr>
          <w:rFonts w:eastAsia="Franklin Gothic Book"/>
        </w:rPr>
      </w:pPr>
      <w:r w:rsidRPr="009B67BF">
        <w:rPr>
          <w:rFonts w:eastAsia="Franklin Gothic Book"/>
        </w:rPr>
        <w:t xml:space="preserve">Given the multiple components of some audit programs, net impacts should be estimated using </w:t>
      </w:r>
      <w:r>
        <w:rPr>
          <w:rFonts w:eastAsia="Franklin Gothic Book"/>
        </w:rPr>
        <w:t xml:space="preserve">survey </w:t>
      </w:r>
      <w:r w:rsidRPr="009B67BF">
        <w:rPr>
          <w:rFonts w:eastAsia="Franklin Gothic Book"/>
        </w:rPr>
        <w:t xml:space="preserve">batteries </w:t>
      </w:r>
      <w:r w:rsidRPr="009B67BF">
        <w:rPr>
          <w:rFonts w:eastAsia="Franklin Gothic Book"/>
        </w:rPr>
        <w:lastRenderedPageBreak/>
        <w:t xml:space="preserve">tailored to a customer’s experience (e.g., receipt of free direct-install measures and discounted or rebated measures). The following sections outline the approach for two program components, one dealing with the direct installation of free low-cost measures and a second dealing with envelope measures, such as air sealing </w:t>
      </w:r>
      <w:r>
        <w:rPr>
          <w:rFonts w:eastAsia="Franklin Gothic Book"/>
        </w:rPr>
        <w:br/>
      </w:r>
      <w:r w:rsidRPr="009B67BF">
        <w:rPr>
          <w:rFonts w:eastAsia="Franklin Gothic Book"/>
        </w:rPr>
        <w:t>and insulation.</w:t>
      </w:r>
    </w:p>
    <w:p w14:paraId="20BB541F" w14:textId="77777777" w:rsidR="00D34C6E" w:rsidRPr="009B67BF" w:rsidRDefault="00D34C6E" w:rsidP="001A2AE6">
      <w:pPr>
        <w:pStyle w:val="Heading4"/>
      </w:pPr>
      <w:bookmarkStart w:id="1642" w:name="_Toc442804305"/>
      <w:bookmarkStart w:id="1643" w:name="_Toc442805522"/>
      <w:r w:rsidRPr="009B67BF">
        <w:t>No-Cost, Direct Install Measures</w:t>
      </w:r>
      <w:bookmarkEnd w:id="1642"/>
      <w:bookmarkEnd w:id="1643"/>
    </w:p>
    <w:p w14:paraId="4D96DEAF" w14:textId="77777777" w:rsidR="00D34C6E" w:rsidRPr="009B67BF" w:rsidRDefault="00D34C6E" w:rsidP="00D34C6E">
      <w:pPr>
        <w:rPr>
          <w:rFonts w:eastAsia="Franklin Gothic Book"/>
        </w:rPr>
      </w:pPr>
      <w:r w:rsidRPr="009B67BF">
        <w:rPr>
          <w:rFonts w:eastAsia="Franklin Gothic Book"/>
        </w:rPr>
        <w:t xml:space="preserve">For free measures directly installed by program staff due to the audit, free ridership calculations should include the following components: </w:t>
      </w:r>
      <w:r>
        <w:rPr>
          <w:rFonts w:eastAsia="Franklin Gothic Book"/>
        </w:rPr>
        <w:t>T</w:t>
      </w:r>
      <w:r w:rsidRPr="009B67BF">
        <w:rPr>
          <w:rFonts w:eastAsia="Franklin Gothic Book"/>
        </w:rPr>
        <w:t xml:space="preserve">iming, </w:t>
      </w:r>
      <w:r>
        <w:rPr>
          <w:rFonts w:eastAsia="Franklin Gothic Book"/>
        </w:rPr>
        <w:t xml:space="preserve">Efficiency, </w:t>
      </w:r>
      <w:r w:rsidRPr="009B67BF">
        <w:rPr>
          <w:rFonts w:eastAsia="Franklin Gothic Book"/>
        </w:rPr>
        <w:t xml:space="preserve">and </w:t>
      </w:r>
      <w:r>
        <w:rPr>
          <w:rFonts w:eastAsia="Franklin Gothic Book"/>
        </w:rPr>
        <w:t>Q</w:t>
      </w:r>
      <w:r w:rsidRPr="009B67BF">
        <w:rPr>
          <w:rFonts w:eastAsia="Franklin Gothic Book"/>
        </w:rPr>
        <w:t>uantity.</w:t>
      </w:r>
    </w:p>
    <w:p w14:paraId="2FE9CCF9" w14:textId="77777777" w:rsidR="00D34C6E" w:rsidRPr="009B67BF" w:rsidRDefault="00D34C6E" w:rsidP="00D34C6E">
      <w:pPr>
        <w:rPr>
          <w:rFonts w:eastAsia="Franklin Gothic Book"/>
        </w:rPr>
      </w:pPr>
      <w:r w:rsidRPr="009B67BF">
        <w:rPr>
          <w:rFonts w:eastAsia="Franklin Gothic Book"/>
        </w:rPr>
        <w:t xml:space="preserve">This approach provides several important benefits, such as deriving a partial free ridership score based on the likelihood that the participant would take similar actions in the absence of the audit. For example, partial scores can be assigned to customers who planned to install the measure, but the program influenced that </w:t>
      </w:r>
      <w:r>
        <w:rPr>
          <w:rFonts w:eastAsia="Franklin Gothic Book"/>
        </w:rPr>
        <w:t>installation</w:t>
      </w:r>
      <w:r w:rsidRPr="009B67BF">
        <w:rPr>
          <w:rFonts w:eastAsia="Franklin Gothic Book"/>
        </w:rPr>
        <w:t>, particularly in terms of timing (e.g., the program might have accelerated the installation) or quantity (e.g., the program might have led to installation of additional program-qualified measures).</w:t>
      </w:r>
    </w:p>
    <w:p w14:paraId="3769276D" w14:textId="77777777" w:rsidR="00D34C6E" w:rsidRPr="009B67BF" w:rsidRDefault="00D34C6E" w:rsidP="00D34C6E">
      <w:pPr>
        <w:rPr>
          <w:rFonts w:eastAsia="Franklin Gothic Book"/>
        </w:rPr>
      </w:pPr>
      <w:r w:rsidRPr="009B67BF">
        <w:rPr>
          <w:rFonts w:eastAsia="Franklin Gothic Book"/>
        </w:rPr>
        <w:t>Outlines of components and their associated survey questions follow:</w:t>
      </w:r>
    </w:p>
    <w:p w14:paraId="581A5890" w14:textId="11855800" w:rsidR="00D34C6E" w:rsidRPr="00A61248" w:rsidRDefault="00D34C6E" w:rsidP="00D34C6E">
      <w:pPr>
        <w:pStyle w:val="ListParagraph"/>
        <w:numPr>
          <w:ilvl w:val="0"/>
          <w:numId w:val="46"/>
        </w:numPr>
        <w:spacing w:after="60"/>
        <w:contextualSpacing w:val="0"/>
        <w:rPr>
          <w:rFonts w:eastAsia="Calibri"/>
          <w:b/>
        </w:rPr>
      </w:pPr>
      <w:r w:rsidRPr="00A61248">
        <w:rPr>
          <w:rFonts w:eastAsia="Calibri"/>
          <w:b/>
        </w:rPr>
        <w:t xml:space="preserve">Timing (T). </w:t>
      </w:r>
      <w:r w:rsidRPr="00A61248">
        <w:rPr>
          <w:rFonts w:eastAsia="Franklin Gothic Book"/>
        </w:rPr>
        <w:t xml:space="preserve">The first question </w:t>
      </w:r>
      <w:r>
        <w:rPr>
          <w:rFonts w:eastAsia="Franklin Gothic Book"/>
        </w:rPr>
        <w:t>to</w:t>
      </w:r>
      <w:r w:rsidRPr="00A61248">
        <w:rPr>
          <w:rFonts w:eastAsia="Franklin Gothic Book"/>
        </w:rPr>
        <w:t xml:space="preserve"> compute the Timing (T) Score accounts for earlier installation of measures due to the program by asking respondents about their likelihood (0-10 scale) to have installed an item </w:t>
      </w:r>
      <w:r w:rsidRPr="00A61248">
        <w:rPr>
          <w:rFonts w:eastAsia="Franklin Gothic Book"/>
          <w:i/>
        </w:rPr>
        <w:t>of any efficiency</w:t>
      </w:r>
      <w:r w:rsidRPr="00A61248">
        <w:rPr>
          <w:rFonts w:eastAsia="Franklin Gothic Book"/>
        </w:rPr>
        <w:t xml:space="preserve"> within 6 or 12 months, had they not received it through the program (12 months for a single or </w:t>
      </w:r>
      <w:proofErr w:type="gramStart"/>
      <w:r w:rsidRPr="00A61248">
        <w:rPr>
          <w:rFonts w:eastAsia="Franklin Gothic Book"/>
        </w:rPr>
        <w:t>big ticket</w:t>
      </w:r>
      <w:proofErr w:type="gramEnd"/>
      <w:r w:rsidRPr="00A61248">
        <w:rPr>
          <w:rFonts w:eastAsia="Franklin Gothic Book"/>
        </w:rPr>
        <w:t xml:space="preserve"> item and 6 months for less expensive items).</w:t>
      </w:r>
    </w:p>
    <w:p w14:paraId="05C46F99" w14:textId="07118F65" w:rsidR="00D34C6E" w:rsidRPr="009B67BF" w:rsidRDefault="00D34C6E" w:rsidP="00D34C6E">
      <w:pPr>
        <w:widowControl/>
        <w:numPr>
          <w:ilvl w:val="0"/>
          <w:numId w:val="46"/>
        </w:numPr>
        <w:spacing w:after="60"/>
        <w:rPr>
          <w:rFonts w:eastAsia="Calibri"/>
        </w:rPr>
      </w:pPr>
      <w:r>
        <w:rPr>
          <w:rFonts w:eastAsia="Franklin Gothic Book"/>
          <w:b/>
        </w:rPr>
        <w:t xml:space="preserve">Efficiency (E). </w:t>
      </w:r>
      <w:r w:rsidRPr="009B67BF">
        <w:rPr>
          <w:rFonts w:eastAsia="Calibri"/>
        </w:rPr>
        <w:t xml:space="preserve">This score reflects the likelihood that customers would have installed </w:t>
      </w:r>
      <w:r>
        <w:rPr>
          <w:rFonts w:eastAsia="Franklin Gothic Book"/>
        </w:rPr>
        <w:t>equipment, absent the program, of the same level of high efficiency as the unit installed with the program</w:t>
      </w:r>
      <w:r w:rsidRPr="009B67BF">
        <w:rPr>
          <w:rFonts w:eastAsia="Calibri"/>
        </w:rPr>
        <w:t xml:space="preserve">. For free measures, this is based on a question asking respondents to rate the likelihood that they would have installed </w:t>
      </w:r>
      <w:r>
        <w:rPr>
          <w:rFonts w:eastAsia="Franklin Gothic Book"/>
        </w:rPr>
        <w:t xml:space="preserve">equipment of the same level of high efficiency as the unit installed </w:t>
      </w:r>
      <w:r w:rsidRPr="009B67BF">
        <w:rPr>
          <w:rFonts w:eastAsia="Calibri"/>
        </w:rPr>
        <w:t xml:space="preserve">had they not </w:t>
      </w:r>
      <w:r w:rsidRPr="009B67BF">
        <w:rPr>
          <w:rFonts w:eastAsia="Franklin Gothic Book"/>
        </w:rPr>
        <w:t>received</w:t>
      </w:r>
      <w:r w:rsidRPr="009B67BF">
        <w:rPr>
          <w:rFonts w:eastAsia="Calibri"/>
        </w:rPr>
        <w:t xml:space="preserve"> them for free through the audit (on a 0 to 10 scale, where 0 is not at all likely and 10 is extremely likely). A higher likelihood value means a higher level of free ridership (i.e., a lower attribution level for the program).</w:t>
      </w:r>
    </w:p>
    <w:p w14:paraId="5BF9E78B" w14:textId="77777777" w:rsidR="00D34C6E" w:rsidRPr="009B67BF" w:rsidRDefault="00D34C6E" w:rsidP="00D34C6E">
      <w:pPr>
        <w:widowControl/>
        <w:numPr>
          <w:ilvl w:val="0"/>
          <w:numId w:val="46"/>
        </w:numPr>
        <w:rPr>
          <w:rFonts w:eastAsia="Franklin Gothic Book"/>
        </w:rPr>
      </w:pPr>
      <w:r>
        <w:rPr>
          <w:rFonts w:eastAsia="Franklin Gothic Book"/>
          <w:b/>
        </w:rPr>
        <w:t>Quantity (Q).</w:t>
      </w:r>
      <w:r w:rsidRPr="009B67BF">
        <w:rPr>
          <w:rFonts w:eastAsia="Franklin Gothic Book"/>
        </w:rPr>
        <w:t xml:space="preserve"> </w:t>
      </w:r>
      <w:r w:rsidRPr="00DA6F8C">
        <w:rPr>
          <w:rFonts w:eastAsia="Franklin Gothic Book"/>
        </w:rPr>
        <w:t xml:space="preserve">The question </w:t>
      </w:r>
      <w:r>
        <w:rPr>
          <w:rFonts w:eastAsia="Franklin Gothic Book"/>
        </w:rPr>
        <w:t xml:space="preserve">to compute the Quantity (Q) Score </w:t>
      </w:r>
      <w:r w:rsidRPr="00DA6F8C">
        <w:rPr>
          <w:rFonts w:eastAsia="Franklin Gothic Book"/>
        </w:rPr>
        <w:t>asks respondents about the likelihood that they would have installed fewer measures or performed</w:t>
      </w:r>
      <w:r w:rsidRPr="009B67BF">
        <w:t xml:space="preserve"> less weatherization without the program. The response to this question is subtracted from 10</w:t>
      </w:r>
      <w:r>
        <w:t xml:space="preserve"> to compute the Quantity Score</w:t>
      </w:r>
      <w:r w:rsidRPr="009B67BF">
        <w:t xml:space="preserve">, as a lower score means a greater likelihood </w:t>
      </w:r>
      <w:r>
        <w:t>the respondent</w:t>
      </w:r>
      <w:r w:rsidRPr="009B67BF">
        <w:t xml:space="preserve"> would have installed the same or a greater number of measures. </w:t>
      </w:r>
    </w:p>
    <w:p w14:paraId="1D34AAB9" w14:textId="77777777" w:rsidR="00D34C6E" w:rsidRPr="009B67BF" w:rsidRDefault="00D34C6E" w:rsidP="00D34C6E">
      <w:pPr>
        <w:rPr>
          <w:rFonts w:eastAsia="Franklin Gothic Book"/>
        </w:rPr>
      </w:pPr>
      <w:r w:rsidRPr="009B67BF">
        <w:rPr>
          <w:rFonts w:eastAsia="Franklin Gothic Book"/>
        </w:rPr>
        <w:t xml:space="preserve">Given the low cost of the measures provided through the direct-install component of most audit programs and the number of measures received per participant, efforts have been made to streamline the free ridership battery to reduce the respondent’s burden. As such, the overall </w:t>
      </w:r>
      <w:r>
        <w:rPr>
          <w:rFonts w:eastAsia="Franklin Gothic Book"/>
        </w:rPr>
        <w:t>Final F</w:t>
      </w:r>
      <w:r w:rsidRPr="009B67BF">
        <w:rPr>
          <w:rFonts w:eastAsia="Franklin Gothic Book"/>
        </w:rPr>
        <w:t xml:space="preserve">ree </w:t>
      </w:r>
      <w:r>
        <w:rPr>
          <w:rFonts w:eastAsia="Franklin Gothic Book"/>
        </w:rPr>
        <w:t>R</w:t>
      </w:r>
      <w:r w:rsidRPr="009B67BF">
        <w:rPr>
          <w:rFonts w:eastAsia="Franklin Gothic Book"/>
        </w:rPr>
        <w:t xml:space="preserve">idership </w:t>
      </w:r>
      <w:r>
        <w:rPr>
          <w:rFonts w:eastAsia="Franklin Gothic Book"/>
        </w:rPr>
        <w:t>Value</w:t>
      </w:r>
      <w:r w:rsidRPr="009B67BF">
        <w:rPr>
          <w:rFonts w:eastAsia="Franklin Gothic Book"/>
        </w:rPr>
        <w:t xml:space="preserve"> per measure can be </w:t>
      </w:r>
      <w:r>
        <w:rPr>
          <w:rFonts w:eastAsia="Franklin Gothic Book"/>
        </w:rPr>
        <w:t>calculated by taking the minimum of the Timing, Efficiency, and Quantity Scores</w:t>
      </w:r>
      <w:r w:rsidRPr="009B67BF">
        <w:rPr>
          <w:rFonts w:eastAsia="Franklin Gothic Book"/>
        </w:rPr>
        <w:t>, as shown in the following equation:</w:t>
      </w:r>
    </w:p>
    <w:p w14:paraId="08862BEA" w14:textId="2E488EF5" w:rsidR="00D34C6E" w:rsidRPr="001702D1" w:rsidRDefault="00016B3F" w:rsidP="00D34C6E">
      <w:pPr>
        <w:jc w:val="center"/>
        <w:rPr>
          <w:rFonts w:eastAsia="Franklin Gothic Book"/>
        </w:rPr>
      </w:pPr>
      <m:oMathPara>
        <m:oMath>
          <m:r>
            <w:rPr>
              <w:rFonts w:ascii="Cambria Math" w:eastAsia="Franklin Gothic Book" w:hAnsi="Cambria Math"/>
            </w:rPr>
            <m:t xml:space="preserve">Free Ridership </m:t>
          </m:r>
          <m:d>
            <m:dPr>
              <m:ctrlPr>
                <w:rPr>
                  <w:rFonts w:ascii="Cambria Math" w:eastAsia="Franklin Gothic Book" w:hAnsi="Cambria Math"/>
                  <w:i/>
                </w:rPr>
              </m:ctrlPr>
            </m:dPr>
            <m:e>
              <m:r>
                <w:rPr>
                  <w:rFonts w:ascii="Cambria Math" w:eastAsia="Franklin Gothic Book" w:hAnsi="Cambria Math"/>
                </w:rPr>
                <m:t>FR</m:t>
              </m:r>
            </m:e>
          </m:d>
          <m:r>
            <w:rPr>
              <w:rFonts w:ascii="Cambria Math" w:eastAsia="Franklin Gothic Book" w:hAnsi="Cambria Math"/>
            </w:rPr>
            <m:t>= Min</m:t>
          </m:r>
          <m:d>
            <m:dPr>
              <m:ctrlPr>
                <w:rPr>
                  <w:rFonts w:ascii="Cambria Math" w:eastAsia="Franklin Gothic Book" w:hAnsi="Cambria Math"/>
                  <w:i/>
                </w:rPr>
              </m:ctrlPr>
            </m:dPr>
            <m:e>
              <m:r>
                <w:rPr>
                  <w:rFonts w:ascii="Cambria Math" w:eastAsia="Franklin Gothic Book" w:hAnsi="Cambria Math"/>
                </w:rPr>
                <m:t>T,E,Q</m:t>
              </m:r>
            </m:e>
          </m:d>
        </m:oMath>
      </m:oMathPara>
    </w:p>
    <w:p w14:paraId="1E4F6609" w14:textId="77777777" w:rsidR="00D34C6E" w:rsidRPr="00336304" w:rsidRDefault="00D34C6E" w:rsidP="00D34C6E">
      <w:r>
        <w:rPr>
          <w:rFonts w:eastAsia="Calibri"/>
        </w:rPr>
        <w:t>Figure 4-7 illustrates the algorithm for no-cost measures.</w:t>
      </w:r>
    </w:p>
    <w:p w14:paraId="670A1952" w14:textId="77777777" w:rsidR="00D34C6E" w:rsidRPr="002430F1" w:rsidRDefault="00D34C6E" w:rsidP="00D34C6E">
      <w:pPr>
        <w:widowControl/>
        <w:spacing w:after="160" w:line="259" w:lineRule="auto"/>
        <w:jc w:val="left"/>
      </w:pPr>
      <w:bookmarkStart w:id="1644" w:name="_Ref442630511"/>
      <w:r>
        <w:br w:type="page"/>
      </w:r>
    </w:p>
    <w:p w14:paraId="683B9209" w14:textId="4062C60C" w:rsidR="00D34C6E" w:rsidRDefault="00B52153" w:rsidP="00B52153">
      <w:pPr>
        <w:pStyle w:val="Captions"/>
      </w:pPr>
      <w:bookmarkStart w:id="1645" w:name="_Toc472494761"/>
      <w:bookmarkStart w:id="1646" w:name="_Toc473108121"/>
      <w:bookmarkStart w:id="1647" w:name="_Toc520824269"/>
      <w:bookmarkStart w:id="1648" w:name="_Toc523148251"/>
      <w:bookmarkStart w:id="1649" w:name="_Toc16620013"/>
      <w:bookmarkStart w:id="1650" w:name="_Toc83376840"/>
      <w:r w:rsidRPr="00160A3D">
        <w:rPr>
          <w:noProof/>
        </w:rPr>
        <w:lastRenderedPageBreak/>
        <w:drawing>
          <wp:anchor distT="0" distB="0" distL="114300" distR="114300" simplePos="0" relativeHeight="251664896" behindDoc="0" locked="0" layoutInCell="1" allowOverlap="1" wp14:anchorId="2F958C90" wp14:editId="6723D039">
            <wp:simplePos x="0" y="0"/>
            <wp:positionH relativeFrom="column">
              <wp:posOffset>0</wp:posOffset>
            </wp:positionH>
            <wp:positionV relativeFrom="paragraph">
              <wp:posOffset>187325</wp:posOffset>
            </wp:positionV>
            <wp:extent cx="6688455" cy="2983865"/>
            <wp:effectExtent l="0" t="0" r="0" b="6985"/>
            <wp:wrapSquare wrapText="bothSides"/>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1">
                      <a:extLst>
                        <a:ext uri="{28A0092B-C50C-407E-A947-70E740481C1C}">
                          <a14:useLocalDpi xmlns:a14="http://schemas.microsoft.com/office/drawing/2010/main" val="0"/>
                        </a:ext>
                      </a:extLst>
                    </a:blip>
                    <a:srcRect t="20684"/>
                    <a:stretch/>
                  </pic:blipFill>
                  <pic:spPr bwMode="auto">
                    <a:xfrm>
                      <a:off x="0" y="0"/>
                      <a:ext cx="6688455" cy="2983865"/>
                    </a:xfrm>
                    <a:prstGeom prst="rect">
                      <a:avLst/>
                    </a:prstGeom>
                    <a:ln>
                      <a:noFill/>
                    </a:ln>
                    <a:extLst>
                      <a:ext uri="{53640926-AAD7-44D8-BBD7-CCE9431645EC}">
                        <a14:shadowObscured xmlns:a14="http://schemas.microsoft.com/office/drawing/2010/main"/>
                      </a:ext>
                    </a:extLst>
                  </pic:spPr>
                </pic:pic>
              </a:graphicData>
            </a:graphic>
          </wp:anchor>
        </w:drawing>
      </w:r>
      <w:r w:rsidR="00D34C6E">
        <w:t>Figure 4</w:t>
      </w:r>
      <w:r w:rsidR="00D34C6E">
        <w:noBreakHyphen/>
      </w:r>
      <w:bookmarkEnd w:id="1644"/>
      <w:r w:rsidR="00D34C6E">
        <w:t xml:space="preserve">7. </w:t>
      </w:r>
      <w:r w:rsidR="00D34C6E" w:rsidRPr="009508D7">
        <w:t xml:space="preserve">Single-Family </w:t>
      </w:r>
      <w:r w:rsidR="00D34C6E">
        <w:t xml:space="preserve">Home Energy </w:t>
      </w:r>
      <w:r w:rsidR="00D34C6E" w:rsidRPr="009508D7">
        <w:t>Audit Free Ridership—No Cost Measures</w:t>
      </w:r>
      <w:bookmarkEnd w:id="1645"/>
      <w:bookmarkEnd w:id="1646"/>
      <w:bookmarkEnd w:id="1647"/>
      <w:bookmarkEnd w:id="1648"/>
      <w:bookmarkEnd w:id="1649"/>
      <w:bookmarkEnd w:id="1650"/>
    </w:p>
    <w:p w14:paraId="505E5A7B" w14:textId="77777777" w:rsidR="00D34C6E" w:rsidRPr="009B67BF" w:rsidRDefault="00D34C6E" w:rsidP="001A2AE6">
      <w:pPr>
        <w:pStyle w:val="Heading4"/>
      </w:pPr>
      <w:bookmarkStart w:id="1651" w:name="_Toc442804306"/>
      <w:bookmarkStart w:id="1652" w:name="_Toc442805523"/>
      <w:r w:rsidRPr="009B67BF">
        <w:t>Rebated/Discounted Measures</w:t>
      </w:r>
      <w:bookmarkEnd w:id="1651"/>
      <w:bookmarkEnd w:id="1652"/>
    </w:p>
    <w:p w14:paraId="4EC1FA26" w14:textId="77777777" w:rsidR="00D34C6E" w:rsidRPr="009B67BF" w:rsidRDefault="00D34C6E" w:rsidP="00D34C6E">
      <w:pPr>
        <w:rPr>
          <w:rFonts w:eastAsia="Franklin Gothic Book"/>
        </w:rPr>
      </w:pPr>
      <w:r w:rsidRPr="009B67BF">
        <w:rPr>
          <w:rFonts w:eastAsia="Franklin Gothic Book"/>
        </w:rPr>
        <w:t>Estimating NTG for rebated measures (typically for building shells) requires a more rigorous process than estimating NTG for free direct-install measures. In particular, the approach integrates an assessment of various program components that may have influenced the participant’s install</w:t>
      </w:r>
      <w:r>
        <w:rPr>
          <w:rFonts w:eastAsia="Franklin Gothic Book"/>
        </w:rPr>
        <w:t>ation of</w:t>
      </w:r>
      <w:r w:rsidRPr="009B67BF">
        <w:rPr>
          <w:rFonts w:eastAsia="Franklin Gothic Book"/>
        </w:rPr>
        <w:t xml:space="preserve"> the measures. For discounted envelope measures, the </w:t>
      </w:r>
      <w:r w:rsidRPr="009B67BF">
        <w:t xml:space="preserve">basic free ridership factor consists of the following two components: </w:t>
      </w:r>
    </w:p>
    <w:p w14:paraId="02A65901" w14:textId="77777777" w:rsidR="00D34C6E" w:rsidRPr="00137CC1" w:rsidRDefault="00D34C6E" w:rsidP="00D34C6E">
      <w:pPr>
        <w:pStyle w:val="ListParagraph"/>
        <w:widowControl/>
        <w:numPr>
          <w:ilvl w:val="0"/>
          <w:numId w:val="14"/>
        </w:numPr>
        <w:spacing w:after="60"/>
        <w:contextualSpacing w:val="0"/>
        <w:rPr>
          <w:rFonts w:eastAsia="Franklin Gothic Book"/>
        </w:rPr>
      </w:pPr>
      <w:r>
        <w:rPr>
          <w:rFonts w:eastAsia="Franklin Gothic Book"/>
        </w:rPr>
        <w:t>A P</w:t>
      </w:r>
      <w:r w:rsidRPr="00137CC1">
        <w:rPr>
          <w:rFonts w:eastAsia="Franklin Gothic Book"/>
        </w:rPr>
        <w:t xml:space="preserve">rogram </w:t>
      </w:r>
      <w:r>
        <w:rPr>
          <w:rFonts w:eastAsia="Franklin Gothic Book"/>
        </w:rPr>
        <w:t>I</w:t>
      </w:r>
      <w:r w:rsidRPr="00137CC1">
        <w:rPr>
          <w:rFonts w:eastAsia="Franklin Gothic Book"/>
        </w:rPr>
        <w:t xml:space="preserve">nfluence </w:t>
      </w:r>
      <w:r w:rsidRPr="00137CC1">
        <w:t>component</w:t>
      </w:r>
      <w:r w:rsidRPr="00137CC1">
        <w:rPr>
          <w:rFonts w:eastAsia="Franklin Gothic Book"/>
        </w:rPr>
        <w:t>, based on the participant’s perception of the influence</w:t>
      </w:r>
      <w:r>
        <w:rPr>
          <w:rFonts w:eastAsia="Franklin Gothic Book"/>
        </w:rPr>
        <w:t xml:space="preserve"> of various program elements—including the discount and the audit itself—on </w:t>
      </w:r>
      <w:r w:rsidRPr="00137CC1">
        <w:rPr>
          <w:rFonts w:eastAsia="Franklin Gothic Book"/>
        </w:rPr>
        <w:t>carry</w:t>
      </w:r>
      <w:r>
        <w:rPr>
          <w:rFonts w:eastAsia="Franklin Gothic Book"/>
        </w:rPr>
        <w:t>ing</w:t>
      </w:r>
      <w:r w:rsidRPr="00137CC1">
        <w:rPr>
          <w:rFonts w:eastAsia="Franklin Gothic Book"/>
        </w:rPr>
        <w:t xml:space="preserve"> o</w:t>
      </w:r>
      <w:r>
        <w:rPr>
          <w:rFonts w:eastAsia="Franklin Gothic Book"/>
        </w:rPr>
        <w:t>ut the energy-efficient project; and</w:t>
      </w:r>
    </w:p>
    <w:p w14:paraId="42B11CA2" w14:textId="7C7105EE" w:rsidR="00D34C6E" w:rsidRPr="00F84367" w:rsidRDefault="00D34C6E" w:rsidP="00D34C6E">
      <w:pPr>
        <w:pStyle w:val="ListParagraph"/>
        <w:widowControl/>
        <w:numPr>
          <w:ilvl w:val="0"/>
          <w:numId w:val="14"/>
        </w:numPr>
        <w:contextualSpacing w:val="0"/>
        <w:rPr>
          <w:rFonts w:eastAsia="Franklin Gothic Book"/>
        </w:rPr>
      </w:pPr>
      <w:r>
        <w:rPr>
          <w:rFonts w:eastAsia="Franklin Gothic Book"/>
        </w:rPr>
        <w:t>A No</w:t>
      </w:r>
      <w:r w:rsidRPr="00137CC1">
        <w:rPr>
          <w:rFonts w:eastAsia="Franklin Gothic Book"/>
        </w:rPr>
        <w:t>-</w:t>
      </w:r>
      <w:r>
        <w:rPr>
          <w:rFonts w:eastAsia="Franklin Gothic Book"/>
        </w:rPr>
        <w:t>P</w:t>
      </w:r>
      <w:r w:rsidRPr="00137CC1">
        <w:rPr>
          <w:rFonts w:eastAsia="Franklin Gothic Book"/>
        </w:rPr>
        <w:t xml:space="preserve">rogram </w:t>
      </w:r>
      <w:r w:rsidRPr="00137CC1">
        <w:t>component</w:t>
      </w:r>
      <w:r w:rsidRPr="00137CC1">
        <w:rPr>
          <w:rFonts w:eastAsia="Franklin Gothic Book"/>
        </w:rPr>
        <w:t xml:space="preserve">, based on the participant’s </w:t>
      </w:r>
      <w:r>
        <w:rPr>
          <w:rFonts w:eastAsia="Franklin Gothic Book"/>
        </w:rPr>
        <w:t>likelihood of</w:t>
      </w:r>
      <w:r w:rsidRPr="00137CC1">
        <w:rPr>
          <w:rFonts w:eastAsia="Franklin Gothic Book"/>
        </w:rPr>
        <w:t xml:space="preserve"> </w:t>
      </w:r>
      <w:r>
        <w:rPr>
          <w:rFonts w:eastAsia="Franklin Gothic Book"/>
        </w:rPr>
        <w:t>purchasing</w:t>
      </w:r>
      <w:r w:rsidRPr="00F3427F">
        <w:rPr>
          <w:rFonts w:eastAsia="Franklin Gothic Book"/>
        </w:rPr>
        <w:t xml:space="preserve"> </w:t>
      </w:r>
      <w:r>
        <w:rPr>
          <w:rFonts w:eastAsia="Franklin Gothic Book"/>
        </w:rPr>
        <w:t>equipment, absent the program, of the same level of high efficiency as the unit installed at installed</w:t>
      </w:r>
      <w:r w:rsidR="00B52153">
        <w:rPr>
          <w:rFonts w:eastAsia="Franklin Gothic Book"/>
        </w:rPr>
        <w:t xml:space="preserve"> </w:t>
      </w:r>
      <w:r>
        <w:rPr>
          <w:rFonts w:eastAsia="Franklin Gothic Book"/>
        </w:rPr>
        <w:t xml:space="preserve">at the same time. </w:t>
      </w:r>
    </w:p>
    <w:p w14:paraId="1FA43F35" w14:textId="0B2F3D66" w:rsidR="00D34C6E" w:rsidRDefault="00D34C6E" w:rsidP="00D34C6E">
      <w:pPr>
        <w:rPr>
          <w:rFonts w:eastAsia="Calibri"/>
        </w:rPr>
      </w:pPr>
      <w:r w:rsidRPr="008B1E72">
        <w:rPr>
          <w:rFonts w:eastAsia="Franklin Gothic Book"/>
        </w:rPr>
        <w:t xml:space="preserve">The </w:t>
      </w:r>
      <w:r w:rsidRPr="00B91F15">
        <w:rPr>
          <w:rFonts w:eastAsia="Franklin Gothic Book"/>
        </w:rPr>
        <w:t>free ridership method for discounted measures is identical to that used in the Pr</w:t>
      </w:r>
      <w:r w:rsidRPr="00023705">
        <w:rPr>
          <w:rFonts w:eastAsia="Franklin Gothic Book"/>
        </w:rPr>
        <w:t>escriptive Rebate (With No Audit)</w:t>
      </w:r>
      <w:r>
        <w:rPr>
          <w:rFonts w:eastAsia="Franklin Gothic Book"/>
        </w:rPr>
        <w:t xml:space="preserve"> protocol</w:t>
      </w:r>
      <w:r w:rsidRPr="008B1E72">
        <w:rPr>
          <w:rFonts w:eastAsia="Franklin Gothic Book"/>
        </w:rPr>
        <w:t xml:space="preserve">, with the one exception that the </w:t>
      </w:r>
      <w:r>
        <w:rPr>
          <w:rFonts w:eastAsia="Franklin Gothic Book"/>
        </w:rPr>
        <w:t xml:space="preserve">questions about program influence should be sure to include the audit itself as one of the program attributes. Evaluators should refer to Section </w:t>
      </w:r>
      <w:r>
        <w:rPr>
          <w:rFonts w:eastAsia="Franklin Gothic Book"/>
        </w:rPr>
        <w:fldChar w:fldCharType="begin"/>
      </w:r>
      <w:r>
        <w:rPr>
          <w:rFonts w:eastAsia="Franklin Gothic Book"/>
        </w:rPr>
        <w:instrText xml:space="preserve"> REF _Ref466560168 \r \h </w:instrText>
      </w:r>
      <w:r>
        <w:rPr>
          <w:rFonts w:eastAsia="Franklin Gothic Book"/>
        </w:rPr>
      </w:r>
      <w:r>
        <w:rPr>
          <w:rFonts w:eastAsia="Franklin Gothic Book"/>
        </w:rPr>
        <w:fldChar w:fldCharType="separate"/>
      </w:r>
      <w:r w:rsidR="00506A44">
        <w:rPr>
          <w:rFonts w:eastAsia="Franklin Gothic Book"/>
        </w:rPr>
        <w:t>4.4.1.1</w:t>
      </w:r>
      <w:r>
        <w:rPr>
          <w:rFonts w:eastAsia="Franklin Gothic Book"/>
        </w:rPr>
        <w:fldChar w:fldCharType="end"/>
      </w:r>
      <w:r>
        <w:rPr>
          <w:rFonts w:eastAsia="Franklin Gothic Book"/>
        </w:rPr>
        <w:t xml:space="preserve"> for details of the method. </w:t>
      </w:r>
      <w:r>
        <w:rPr>
          <w:rFonts w:eastAsia="Calibri"/>
        </w:rPr>
        <w:t xml:space="preserve">Figure 4-8 illustrates the algorithm for discounted measures. </w:t>
      </w:r>
      <w:bookmarkStart w:id="1653" w:name="_Ref442633054"/>
    </w:p>
    <w:p w14:paraId="7B19A240" w14:textId="77777777" w:rsidR="00D34C6E" w:rsidRDefault="00D34C6E" w:rsidP="00D34C6E">
      <w:pPr>
        <w:rPr>
          <w:rFonts w:eastAsia="Calibri"/>
        </w:rPr>
      </w:pPr>
      <w:r>
        <w:rPr>
          <w:rFonts w:eastAsia="Calibri"/>
        </w:rPr>
        <w:br w:type="page"/>
      </w:r>
    </w:p>
    <w:p w14:paraId="2A71F030" w14:textId="10B04C8C" w:rsidR="00D34C6E" w:rsidRDefault="00B52153" w:rsidP="00D34C6E">
      <w:bookmarkStart w:id="1654" w:name="_Toc472494762"/>
      <w:bookmarkStart w:id="1655" w:name="_Toc473108122"/>
      <w:bookmarkStart w:id="1656" w:name="_Toc520824270"/>
      <w:bookmarkStart w:id="1657" w:name="_Toc523148252"/>
      <w:bookmarkStart w:id="1658" w:name="_Toc16620014"/>
      <w:r w:rsidRPr="00BD7B81">
        <w:rPr>
          <w:rFonts w:ascii="Calibri" w:hAnsi="Calibri" w:cs="Calibri"/>
          <w:noProof/>
          <w:color w:val="000000"/>
          <w:spacing w:val="5"/>
          <w:kern w:val="28"/>
          <w:szCs w:val="20"/>
        </w:rPr>
        <w:lastRenderedPageBreak/>
        <w:drawing>
          <wp:anchor distT="0" distB="0" distL="114300" distR="114300" simplePos="0" relativeHeight="251667968" behindDoc="0" locked="0" layoutInCell="1" allowOverlap="1" wp14:anchorId="31DE5BC8" wp14:editId="5B021FB7">
            <wp:simplePos x="0" y="0"/>
            <wp:positionH relativeFrom="column">
              <wp:posOffset>0</wp:posOffset>
            </wp:positionH>
            <wp:positionV relativeFrom="paragraph">
              <wp:posOffset>259378</wp:posOffset>
            </wp:positionV>
            <wp:extent cx="6330315" cy="3320415"/>
            <wp:effectExtent l="0" t="0" r="0" b="0"/>
            <wp:wrapSquare wrapText="bothSides"/>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2">
                      <a:extLst>
                        <a:ext uri="{28A0092B-C50C-407E-A947-70E740481C1C}">
                          <a14:useLocalDpi xmlns:a14="http://schemas.microsoft.com/office/drawing/2010/main" val="0"/>
                        </a:ext>
                      </a:extLst>
                    </a:blip>
                    <a:srcRect t="6739"/>
                    <a:stretch/>
                  </pic:blipFill>
                  <pic:spPr bwMode="auto">
                    <a:xfrm>
                      <a:off x="0" y="0"/>
                      <a:ext cx="6330315" cy="3320415"/>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D34C6E">
        <w:t>Figure 4</w:t>
      </w:r>
      <w:r w:rsidR="00D34C6E">
        <w:noBreakHyphen/>
      </w:r>
      <w:bookmarkEnd w:id="1653"/>
      <w:r w:rsidR="00D34C6E">
        <w:t xml:space="preserve">8. </w:t>
      </w:r>
      <w:r w:rsidR="00D34C6E" w:rsidRPr="00714B1A">
        <w:t>Single-Family Home Energy Audit Free Ridership—Discounted Measures</w:t>
      </w:r>
      <w:bookmarkEnd w:id="1654"/>
      <w:bookmarkEnd w:id="1655"/>
      <w:bookmarkEnd w:id="1656"/>
      <w:bookmarkEnd w:id="1657"/>
      <w:bookmarkEnd w:id="1658"/>
    </w:p>
    <w:p w14:paraId="70182399" w14:textId="77777777" w:rsidR="00D34C6E" w:rsidRPr="009B67BF" w:rsidRDefault="00D34C6E" w:rsidP="001A2AE6">
      <w:pPr>
        <w:pStyle w:val="Heading4"/>
      </w:pPr>
      <w:bookmarkStart w:id="1659" w:name="_Toc442804307"/>
      <w:bookmarkStart w:id="1660" w:name="_Toc442805524"/>
      <w:r>
        <w:t>Consistency Checks</w:t>
      </w:r>
      <w:bookmarkEnd w:id="1659"/>
      <w:bookmarkEnd w:id="1660"/>
    </w:p>
    <w:p w14:paraId="691A8D54" w14:textId="77777777" w:rsidR="00D34C6E" w:rsidRPr="009B67BF" w:rsidRDefault="00D34C6E" w:rsidP="00D34C6E">
      <w:pPr>
        <w:rPr>
          <w:rFonts w:eastAsia="Franklin Gothic Book"/>
        </w:rPr>
      </w:pPr>
      <w:r w:rsidRPr="009B67BF">
        <w:rPr>
          <w:rFonts w:eastAsia="Franklin Gothic Book"/>
        </w:rPr>
        <w:t xml:space="preserve">To address the possibility of conflicting responses (e.g., the </w:t>
      </w:r>
      <w:r w:rsidRPr="009B67BF">
        <w:rPr>
          <w:rFonts w:eastAsia="Calibri"/>
        </w:rPr>
        <w:t xml:space="preserve">high likelihood to install the same measure in the program’s absence and the high importance </w:t>
      </w:r>
      <w:r>
        <w:rPr>
          <w:rFonts w:eastAsia="Calibri"/>
        </w:rPr>
        <w:t>of</w:t>
      </w:r>
      <w:r w:rsidRPr="009B67BF">
        <w:rPr>
          <w:rFonts w:eastAsia="Calibri"/>
        </w:rPr>
        <w:t xml:space="preserve"> program factors</w:t>
      </w:r>
      <w:r w:rsidRPr="009B67BF">
        <w:rPr>
          <w:rFonts w:eastAsia="Franklin Gothic Book"/>
        </w:rPr>
        <w:t>), the survey should include consistency checks that, at a minimum, ask participants an open-ended question to address a program’s influence, such as the following:</w:t>
      </w:r>
    </w:p>
    <w:p w14:paraId="3AACCD52" w14:textId="77777777" w:rsidR="00D34C6E" w:rsidRPr="009B67BF" w:rsidRDefault="00D34C6E" w:rsidP="00D34C6E">
      <w:pPr>
        <w:widowControl/>
        <w:numPr>
          <w:ilvl w:val="0"/>
          <w:numId w:val="14"/>
        </w:numPr>
        <w:jc w:val="left"/>
        <w:rPr>
          <w:rFonts w:eastAsia="Franklin Gothic Book"/>
        </w:rPr>
      </w:pPr>
      <w:r w:rsidRPr="009B67BF">
        <w:rPr>
          <w:rFonts w:eastAsia="Franklin Gothic Book"/>
        </w:rPr>
        <w:t xml:space="preserve">In </w:t>
      </w:r>
      <w:r w:rsidRPr="009B67BF">
        <w:t>your</w:t>
      </w:r>
      <w:r w:rsidRPr="009B67BF">
        <w:rPr>
          <w:rFonts w:eastAsia="Franklin Gothic Book"/>
        </w:rPr>
        <w:t xml:space="preserve"> own words, please </w:t>
      </w:r>
      <w:r w:rsidRPr="004E388A">
        <w:rPr>
          <w:rFonts w:eastAsia="Calibri"/>
        </w:rPr>
        <w:t>tell</w:t>
      </w:r>
      <w:r w:rsidRPr="009B67BF">
        <w:rPr>
          <w:rFonts w:eastAsia="Franklin Gothic Book"/>
        </w:rPr>
        <w:t xml:space="preserve"> me the influence the program had on your purchase </w:t>
      </w:r>
      <w:r>
        <w:rPr>
          <w:rFonts w:eastAsia="Franklin Gothic Book"/>
        </w:rPr>
        <w:t xml:space="preserve">of </w:t>
      </w:r>
      <w:r w:rsidRPr="009B67BF">
        <w:rPr>
          <w:rFonts w:eastAsia="Franklin Gothic Book"/>
        </w:rPr>
        <w:t xml:space="preserve">the </w:t>
      </w:r>
      <w:r>
        <w:rPr>
          <w:rFonts w:eastAsia="Franklin Gothic Book"/>
        </w:rPr>
        <w:t>&lt;</w:t>
      </w:r>
      <w:r w:rsidRPr="009B67BF">
        <w:rPr>
          <w:rFonts w:eastAsia="Franklin Gothic Book"/>
        </w:rPr>
        <w:t>insert measure name</w:t>
      </w:r>
      <w:r>
        <w:rPr>
          <w:rFonts w:eastAsia="Franklin Gothic Book"/>
        </w:rPr>
        <w:t>&gt;</w:t>
      </w:r>
      <w:r w:rsidRPr="009B67BF">
        <w:rPr>
          <w:rFonts w:eastAsia="Franklin Gothic Book"/>
        </w:rPr>
        <w:t>.</w:t>
      </w:r>
    </w:p>
    <w:p w14:paraId="124D9BA8" w14:textId="77777777" w:rsidR="00D34C6E" w:rsidRPr="009B67BF" w:rsidRDefault="00D34C6E" w:rsidP="00D34C6E">
      <w:pPr>
        <w:rPr>
          <w:rFonts w:eastAsia="Franklin Gothic Book"/>
        </w:rPr>
      </w:pPr>
      <w:r w:rsidRPr="009B67BF">
        <w:rPr>
          <w:rFonts w:eastAsia="Franklin Gothic Book"/>
        </w:rPr>
        <w:t>For low or no-cost, direct-install measures, surveys should include two questions to assess a program’s influence on the respondent. The first should be asked at the beginning of the NTG battery, and the second should be asked at its conclusion. Questions include the following:</w:t>
      </w:r>
    </w:p>
    <w:p w14:paraId="46593FD7" w14:textId="77777777" w:rsidR="00D34C6E" w:rsidRDefault="00D34C6E" w:rsidP="00D34C6E">
      <w:pPr>
        <w:keepNext/>
        <w:widowControl/>
        <w:numPr>
          <w:ilvl w:val="0"/>
          <w:numId w:val="14"/>
        </w:numPr>
        <w:spacing w:after="60"/>
        <w:rPr>
          <w:rFonts w:eastAsia="Calibri"/>
        </w:rPr>
      </w:pPr>
      <w:r w:rsidRPr="004E388A">
        <w:rPr>
          <w:rFonts w:eastAsia="Calibri"/>
        </w:rPr>
        <w:t>Prior to the audit, had you purchased any &lt;measures&gt;? Y/N</w:t>
      </w:r>
    </w:p>
    <w:p w14:paraId="68F303B4" w14:textId="77777777" w:rsidR="00D34C6E" w:rsidRDefault="00D34C6E" w:rsidP="00D34C6E">
      <w:pPr>
        <w:widowControl/>
        <w:numPr>
          <w:ilvl w:val="0"/>
          <w:numId w:val="14"/>
        </w:numPr>
        <w:spacing w:after="60"/>
        <w:rPr>
          <w:rFonts w:eastAsia="Calibri"/>
        </w:rPr>
      </w:pPr>
      <w:r w:rsidRPr="004E388A">
        <w:rPr>
          <w:rFonts w:eastAsia="Calibri"/>
        </w:rPr>
        <w:t>IF YES AND LIKELIHOOD TO INSTALL WITHOUT THE PROGRAM IS &lt;7: Given that you had purchased &lt;measures&gt; before receiving the audit, why didn’t you purchase additional &lt;measures&gt; on your own without the program? [OPEN END]</w:t>
      </w:r>
    </w:p>
    <w:p w14:paraId="4DE2001C" w14:textId="77777777" w:rsidR="00D34C6E" w:rsidRPr="004E388A" w:rsidRDefault="00D34C6E" w:rsidP="00D34C6E">
      <w:pPr>
        <w:widowControl/>
        <w:numPr>
          <w:ilvl w:val="0"/>
          <w:numId w:val="14"/>
        </w:numPr>
        <w:rPr>
          <w:rFonts w:eastAsia="Calibri"/>
        </w:rPr>
      </w:pPr>
      <w:r w:rsidRPr="004E388A">
        <w:rPr>
          <w:rFonts w:eastAsia="Calibri"/>
        </w:rPr>
        <w:t>IF NO AND LIKELIHOOD TO INSTALL WITHOUT THE PROGRAM IS &gt;6: Given that you have not purchased &lt;measures&gt; before, why were you likely to purchase &lt;measures&gt; on your own without the program? [OPEN END]</w:t>
      </w:r>
    </w:p>
    <w:p w14:paraId="722B0557" w14:textId="77777777" w:rsidR="00D34C6E" w:rsidRPr="009B67BF" w:rsidRDefault="00D34C6E" w:rsidP="00D34C6E">
      <w:pPr>
        <w:rPr>
          <w:rFonts w:eastAsia="Franklin Gothic Book"/>
        </w:rPr>
      </w:pPr>
      <w:r w:rsidRPr="009B67BF">
        <w:rPr>
          <w:rFonts w:eastAsia="Franklin Gothic Book"/>
        </w:rPr>
        <w:t xml:space="preserve">In both cases, the evaluation analyst will assess responses to open ended questions and their consistency with the other questions; if warranted, based on clear additional information, the evaluator will adjust the original question score </w:t>
      </w:r>
      <w:r>
        <w:rPr>
          <w:rFonts w:eastAsia="Franklin Gothic Book"/>
        </w:rPr>
        <w:t>if</w:t>
      </w:r>
      <w:r w:rsidRPr="009B67BF">
        <w:rPr>
          <w:rFonts w:eastAsia="Franklin Gothic Book"/>
        </w:rPr>
        <w:t xml:space="preserve"> require</w:t>
      </w:r>
      <w:r>
        <w:rPr>
          <w:rFonts w:eastAsia="Franklin Gothic Book"/>
        </w:rPr>
        <w:t>d</w:t>
      </w:r>
      <w:r w:rsidRPr="009B67BF">
        <w:rPr>
          <w:rFonts w:eastAsia="Franklin Gothic Book"/>
        </w:rPr>
        <w:t>. If inconsistency occurs and the open-ended response does not resolve it, the original question response will be removed from the calculation. Final reports should document all instances of such adjustments. Optionally, additional participant questions can be included to trigger and resolve additional consistency checks.</w:t>
      </w:r>
    </w:p>
    <w:p w14:paraId="7778CC45" w14:textId="77777777" w:rsidR="00D34C6E" w:rsidRPr="00FC271F" w:rsidRDefault="00D34C6E" w:rsidP="00D34C6E">
      <w:pPr>
        <w:rPr>
          <w:rFonts w:eastAsia="Franklin Gothic Book"/>
        </w:rPr>
      </w:pPr>
      <w:r w:rsidRPr="009B67BF">
        <w:rPr>
          <w:rFonts w:eastAsia="Franklin Gothic Book"/>
        </w:rPr>
        <w:t>Missing responses to specific questions (e.g., don’t know or refused) should be treated as “missing” for those particular questions, but the analysis retains the observation or case. The evaluation reports should note if this affects more than 5% of responses.</w:t>
      </w:r>
      <w:bookmarkStart w:id="1661" w:name="_Toc431526472"/>
    </w:p>
    <w:p w14:paraId="70416208" w14:textId="77777777" w:rsidR="00D34C6E" w:rsidRPr="009B67BF" w:rsidRDefault="00D34C6E" w:rsidP="00D34C6E">
      <w:pPr>
        <w:pStyle w:val="Heading2"/>
        <w:keepLines w:val="0"/>
        <w:widowControl/>
        <w:numPr>
          <w:ilvl w:val="1"/>
          <w:numId w:val="8"/>
        </w:numPr>
        <w:jc w:val="left"/>
      </w:pPr>
      <w:bookmarkStart w:id="1662" w:name="_Ref442019850"/>
      <w:bookmarkStart w:id="1663" w:name="_Ref442019865"/>
      <w:bookmarkStart w:id="1664" w:name="_Toc442804308"/>
      <w:bookmarkStart w:id="1665" w:name="_Toc442805525"/>
      <w:bookmarkStart w:id="1666" w:name="_Toc472494722"/>
      <w:bookmarkStart w:id="1667" w:name="_Toc520462920"/>
      <w:bookmarkStart w:id="1668" w:name="_Toc473108064"/>
      <w:bookmarkStart w:id="1669" w:name="_Toc520824174"/>
      <w:bookmarkStart w:id="1670" w:name="_Toc16619957"/>
      <w:bookmarkStart w:id="1671" w:name="_Toc113619812"/>
      <w:r w:rsidRPr="009B67BF">
        <w:lastRenderedPageBreak/>
        <w:t xml:space="preserve">Multifamily </w:t>
      </w:r>
      <w:bookmarkEnd w:id="1661"/>
      <w:r>
        <w:t>Protocol</w:t>
      </w:r>
      <w:bookmarkEnd w:id="1662"/>
      <w:bookmarkEnd w:id="1663"/>
      <w:bookmarkEnd w:id="1664"/>
      <w:bookmarkEnd w:id="1665"/>
      <w:bookmarkEnd w:id="1666"/>
      <w:bookmarkEnd w:id="1667"/>
      <w:bookmarkEnd w:id="1668"/>
      <w:bookmarkEnd w:id="1669"/>
      <w:bookmarkEnd w:id="1670"/>
      <w:bookmarkEnd w:id="1671"/>
    </w:p>
    <w:p w14:paraId="175ACD90" w14:textId="77777777" w:rsidR="00D34C6E" w:rsidRPr="009B67BF" w:rsidRDefault="00D34C6E" w:rsidP="00D34C6E">
      <w:pPr>
        <w:widowControl/>
        <w:rPr>
          <w:rFonts w:eastAsia="Calibri"/>
        </w:rPr>
      </w:pPr>
      <w:r w:rsidRPr="009B67BF" w:rsidDel="00B1700D">
        <w:rPr>
          <w:rFonts w:eastAsia="Calibri"/>
        </w:rPr>
        <w:t>M</w:t>
      </w:r>
      <w:r w:rsidRPr="009B67BF">
        <w:rPr>
          <w:rFonts w:eastAsia="Calibri"/>
        </w:rPr>
        <w:t xml:space="preserve">ultifamily energy efficiency programs typically offer direct installation of low-cost, energy-efficient measures in multifamily dwelling units, in addition to rebates for common area lighting retrofits, air sealing, insulation, and improvements to HVAC systems and controls. These programs have various target audiences from owners, managers, or developers of market rate multifamily housing to those operating lower income or assisted living housing. Across these groups, properties must generally have a minimum of between three and five units to qualify for </w:t>
      </w:r>
      <w:r>
        <w:rPr>
          <w:rFonts w:eastAsia="Calibri"/>
        </w:rPr>
        <w:t>th</w:t>
      </w:r>
      <w:r w:rsidRPr="00237C67">
        <w:rPr>
          <w:rFonts w:eastAsia="Calibri"/>
        </w:rPr>
        <w:t xml:space="preserve">e </w:t>
      </w:r>
      <w:r w:rsidRPr="009B67BF">
        <w:rPr>
          <w:rFonts w:eastAsia="Calibri"/>
        </w:rPr>
        <w:t>programs.</w:t>
      </w:r>
    </w:p>
    <w:p w14:paraId="118CBC25" w14:textId="77777777" w:rsidR="00D34C6E" w:rsidRPr="009B67BF" w:rsidRDefault="00D34C6E" w:rsidP="00D34C6E">
      <w:pPr>
        <w:rPr>
          <w:rFonts w:eastAsia="Calibri"/>
        </w:rPr>
      </w:pPr>
      <w:r w:rsidRPr="009B67BF">
        <w:rPr>
          <w:rFonts w:eastAsia="Calibri"/>
        </w:rPr>
        <w:t xml:space="preserve">Most multifamily program savings </w:t>
      </w:r>
      <w:r>
        <w:rPr>
          <w:rFonts w:eastAsia="Calibri"/>
        </w:rPr>
        <w:t>are</w:t>
      </w:r>
      <w:r w:rsidRPr="009B67BF">
        <w:rPr>
          <w:rFonts w:eastAsia="Calibri"/>
        </w:rPr>
        <w:t xml:space="preserve"> typically achieved by encouraging customers to install higher</w:t>
      </w:r>
      <w:r>
        <w:rPr>
          <w:rFonts w:eastAsia="Calibri"/>
        </w:rPr>
        <w:t>-</w:t>
      </w:r>
      <w:r w:rsidRPr="009B67BF">
        <w:rPr>
          <w:rFonts w:eastAsia="Calibri"/>
        </w:rPr>
        <w:t>efficiency equipment than they would have installed on their own. However, programs may also encourage early replacement of still functioning equipment that is less efficient, thus impacting the timing of the installation</w:t>
      </w:r>
      <w:r>
        <w:rPr>
          <w:rFonts w:eastAsia="Calibri"/>
        </w:rPr>
        <w:t>,</w:t>
      </w:r>
      <w:r w:rsidRPr="009B67BF">
        <w:rPr>
          <w:rFonts w:eastAsia="Calibri"/>
        </w:rPr>
        <w:t xml:space="preserve"> so that savings is realized earlier. The incentive may also make it more affordable for customers to install a greater number of high</w:t>
      </w:r>
      <w:r>
        <w:rPr>
          <w:rFonts w:eastAsia="Calibri"/>
        </w:rPr>
        <w:t>-</w:t>
      </w:r>
      <w:r w:rsidRPr="009B67BF">
        <w:rPr>
          <w:rFonts w:eastAsia="Calibri"/>
        </w:rPr>
        <w:t>efficiency measures.</w:t>
      </w:r>
    </w:p>
    <w:p w14:paraId="5F1A9F12" w14:textId="4504D8E6" w:rsidR="00D34C6E" w:rsidRDefault="00D34C6E" w:rsidP="00D34C6E">
      <w:pPr>
        <w:rPr>
          <w:rFonts w:eastAsia="Franklin Gothic Book"/>
        </w:rPr>
      </w:pPr>
      <w:r w:rsidRPr="009B67BF">
        <w:rPr>
          <w:rFonts w:eastAsia="Franklin Gothic Book"/>
        </w:rPr>
        <w:t>The basic method for estimation of free</w:t>
      </w:r>
      <w:r>
        <w:rPr>
          <w:rFonts w:eastAsia="Franklin Gothic Book"/>
        </w:rPr>
        <w:t xml:space="preserve"> </w:t>
      </w:r>
      <w:r w:rsidRPr="009B67BF">
        <w:rPr>
          <w:rFonts w:eastAsia="Franklin Gothic Book"/>
        </w:rPr>
        <w:t>ridership and participant spillover</w:t>
      </w:r>
      <w:r>
        <w:rPr>
          <w:rFonts w:eastAsia="Franklin Gothic Book"/>
        </w:rPr>
        <w:t xml:space="preserve"> (See Section </w:t>
      </w:r>
      <w:r>
        <w:rPr>
          <w:rFonts w:eastAsia="Franklin Gothic Book"/>
        </w:rPr>
        <w:fldChar w:fldCharType="begin"/>
      </w:r>
      <w:r>
        <w:rPr>
          <w:rFonts w:eastAsia="Franklin Gothic Book"/>
        </w:rPr>
        <w:instrText xml:space="preserve"> REF _Ref442343015 \r \h </w:instrText>
      </w:r>
      <w:r>
        <w:rPr>
          <w:rFonts w:eastAsia="Franklin Gothic Book"/>
        </w:rPr>
      </w:r>
      <w:r>
        <w:rPr>
          <w:rFonts w:eastAsia="Franklin Gothic Book"/>
        </w:rPr>
        <w:fldChar w:fldCharType="separate"/>
      </w:r>
      <w:r w:rsidR="00506A44">
        <w:rPr>
          <w:rFonts w:eastAsia="Franklin Gothic Book"/>
        </w:rPr>
        <w:t>4.1.2</w:t>
      </w:r>
      <w:r>
        <w:rPr>
          <w:rFonts w:eastAsia="Franklin Gothic Book"/>
        </w:rPr>
        <w:fldChar w:fldCharType="end"/>
      </w:r>
      <w:r>
        <w:rPr>
          <w:rFonts w:eastAsia="Franklin Gothic Book"/>
        </w:rPr>
        <w:t>)</w:t>
      </w:r>
      <w:r w:rsidRPr="009B67BF">
        <w:rPr>
          <w:rFonts w:eastAsia="Franklin Gothic Book"/>
        </w:rPr>
        <w:t xml:space="preserve"> for these types of programs is based on participant self-report gathered through surveys. For common area and building shell components of the program, participants are property managers and owners responsible for building maintenance and renovation. However, depending on the program design for the in-unit component of the program and specifically the installation of efficient lighting, participat</w:t>
      </w:r>
      <w:r>
        <w:rPr>
          <w:rFonts w:eastAsia="Franklin Gothic Book"/>
        </w:rPr>
        <w:t>ing</w:t>
      </w:r>
      <w:r w:rsidRPr="009B67BF">
        <w:rPr>
          <w:rFonts w:eastAsia="Franklin Gothic Book"/>
        </w:rPr>
        <w:t xml:space="preserve"> in the program (i.e.</w:t>
      </w:r>
      <w:r>
        <w:rPr>
          <w:rFonts w:eastAsia="Franklin Gothic Book"/>
        </w:rPr>
        <w:t>,</w:t>
      </w:r>
      <w:r w:rsidRPr="009B67BF">
        <w:rPr>
          <w:rFonts w:eastAsia="Franklin Gothic Book"/>
        </w:rPr>
        <w:t xml:space="preserve"> install program measures) may </w:t>
      </w:r>
      <w:r>
        <w:rPr>
          <w:rFonts w:eastAsia="Franklin Gothic Book"/>
        </w:rPr>
        <w:t xml:space="preserve">be driven by </w:t>
      </w:r>
      <w:r w:rsidRPr="009B67BF">
        <w:rPr>
          <w:rFonts w:eastAsia="Franklin Gothic Book"/>
        </w:rPr>
        <w:t>either property managers/owners or tenants</w:t>
      </w:r>
      <w:r>
        <w:rPr>
          <w:rFonts w:eastAsia="Franklin Gothic Book"/>
        </w:rPr>
        <w:t xml:space="preserve"> or, potentially, both</w:t>
      </w:r>
      <w:r w:rsidRPr="009B67BF">
        <w:rPr>
          <w:rFonts w:eastAsia="Franklin Gothic Book"/>
        </w:rPr>
        <w:t>. This distinction is due to the fact that in some market</w:t>
      </w:r>
      <w:r>
        <w:rPr>
          <w:rFonts w:eastAsia="Franklin Gothic Book"/>
        </w:rPr>
        <w:t>-</w:t>
      </w:r>
      <w:r w:rsidRPr="009B67BF">
        <w:rPr>
          <w:rFonts w:eastAsia="Franklin Gothic Book"/>
        </w:rPr>
        <w:t>rate apartments, the tenant is responsible for decisions related to the installation of program measures, including light bulbs, while this is not common practice in income</w:t>
      </w:r>
      <w:r>
        <w:rPr>
          <w:rFonts w:eastAsia="Franklin Gothic Book"/>
        </w:rPr>
        <w:t>-</w:t>
      </w:r>
      <w:r w:rsidRPr="009B67BF">
        <w:rPr>
          <w:rFonts w:eastAsia="Franklin Gothic Book"/>
        </w:rPr>
        <w:t>qualified or assisted</w:t>
      </w:r>
      <w:r>
        <w:rPr>
          <w:rFonts w:eastAsia="Franklin Gothic Book"/>
        </w:rPr>
        <w:t>-</w:t>
      </w:r>
      <w:r w:rsidRPr="009B67BF">
        <w:rPr>
          <w:rFonts w:eastAsia="Franklin Gothic Book"/>
        </w:rPr>
        <w:t>living setting</w:t>
      </w:r>
      <w:r>
        <w:rPr>
          <w:rFonts w:eastAsia="Franklin Gothic Book"/>
        </w:rPr>
        <w:t>s</w:t>
      </w:r>
      <w:r w:rsidRPr="009B67BF">
        <w:rPr>
          <w:rFonts w:eastAsia="Franklin Gothic Book"/>
        </w:rPr>
        <w:t>. For other in-unit measures</w:t>
      </w:r>
      <w:r>
        <w:rPr>
          <w:rFonts w:eastAsia="Franklin Gothic Book"/>
        </w:rPr>
        <w:t>,</w:t>
      </w:r>
      <w:r w:rsidRPr="009B67BF">
        <w:rPr>
          <w:rFonts w:eastAsia="Franklin Gothic Book"/>
        </w:rPr>
        <w:t xml:space="preserve"> such as faucet aerators and low</w:t>
      </w:r>
      <w:r>
        <w:rPr>
          <w:rFonts w:eastAsia="Franklin Gothic Book"/>
        </w:rPr>
        <w:t>-</w:t>
      </w:r>
      <w:r w:rsidRPr="009B67BF">
        <w:rPr>
          <w:rFonts w:eastAsia="Franklin Gothic Book"/>
        </w:rPr>
        <w:t>flow showerheads, evaluators interview property managers/owners regarding program influence, as these measures are typically direct installed by program staff</w:t>
      </w:r>
      <w:r>
        <w:rPr>
          <w:rFonts w:eastAsia="Franklin Gothic Book"/>
        </w:rPr>
        <w:t>,</w:t>
      </w:r>
      <w:r w:rsidRPr="009B67BF">
        <w:rPr>
          <w:rFonts w:eastAsia="Franklin Gothic Book"/>
        </w:rPr>
        <w:t xml:space="preserve"> and there is a limited likelihood of tenants making changes to these features.</w:t>
      </w:r>
    </w:p>
    <w:p w14:paraId="1B556842" w14:textId="77777777" w:rsidR="00D34C6E" w:rsidRPr="009B67BF" w:rsidRDefault="00D34C6E" w:rsidP="0088039F">
      <w:pPr>
        <w:pStyle w:val="Heading3"/>
      </w:pPr>
      <w:bookmarkStart w:id="1672" w:name="_Toc431526473"/>
      <w:bookmarkStart w:id="1673" w:name="_Toc442804309"/>
      <w:bookmarkStart w:id="1674" w:name="_Toc442805526"/>
      <w:bookmarkStart w:id="1675" w:name="_Toc472494723"/>
      <w:bookmarkStart w:id="1676" w:name="_Toc520462921"/>
      <w:bookmarkStart w:id="1677" w:name="_Toc473108065"/>
      <w:bookmarkStart w:id="1678" w:name="_Toc520824175"/>
      <w:bookmarkStart w:id="1679" w:name="_Toc16619958"/>
      <w:bookmarkStart w:id="1680" w:name="_Toc113619813"/>
      <w:r>
        <w:t>Basic Method</w:t>
      </w:r>
      <w:bookmarkEnd w:id="1672"/>
      <w:bookmarkEnd w:id="1673"/>
      <w:bookmarkEnd w:id="1674"/>
      <w:bookmarkEnd w:id="1675"/>
      <w:bookmarkEnd w:id="1676"/>
      <w:bookmarkEnd w:id="1677"/>
      <w:bookmarkEnd w:id="1678"/>
      <w:bookmarkEnd w:id="1679"/>
      <w:bookmarkEnd w:id="1680"/>
    </w:p>
    <w:p w14:paraId="368D62FA" w14:textId="77777777" w:rsidR="00D34C6E" w:rsidRPr="009B67BF" w:rsidRDefault="00D34C6E" w:rsidP="00D34C6E">
      <w:pPr>
        <w:rPr>
          <w:rFonts w:eastAsia="Franklin Gothic Book"/>
        </w:rPr>
      </w:pPr>
      <w:r w:rsidRPr="009B67BF">
        <w:rPr>
          <w:rFonts w:eastAsia="Franklin Gothic Book"/>
        </w:rPr>
        <w:t>Estimating NTG for rebated measures requires a more rigorous process than estimating NTG for free direct-install measures. In particular, the approach integrates an assessment of various program components that may have influenced the participant’s install</w:t>
      </w:r>
      <w:r>
        <w:rPr>
          <w:rFonts w:eastAsia="Franklin Gothic Book"/>
        </w:rPr>
        <w:t>ation of</w:t>
      </w:r>
      <w:r w:rsidRPr="009B67BF">
        <w:rPr>
          <w:rFonts w:eastAsia="Franklin Gothic Book"/>
        </w:rPr>
        <w:t xml:space="preserve"> the measures. For discounted measures, the </w:t>
      </w:r>
      <w:r w:rsidRPr="009B67BF">
        <w:t xml:space="preserve">basic free ridership factor consists of the following two components: </w:t>
      </w:r>
    </w:p>
    <w:p w14:paraId="691AD0BB" w14:textId="77777777" w:rsidR="00D34C6E" w:rsidRPr="00137CC1" w:rsidRDefault="00D34C6E" w:rsidP="00D34C6E">
      <w:pPr>
        <w:pStyle w:val="ListParagraph"/>
        <w:widowControl/>
        <w:numPr>
          <w:ilvl w:val="0"/>
          <w:numId w:val="14"/>
        </w:numPr>
        <w:spacing w:after="60"/>
        <w:contextualSpacing w:val="0"/>
        <w:rPr>
          <w:rFonts w:eastAsia="Franklin Gothic Book"/>
        </w:rPr>
      </w:pPr>
      <w:r>
        <w:rPr>
          <w:rFonts w:eastAsia="Franklin Gothic Book"/>
        </w:rPr>
        <w:t>A P</w:t>
      </w:r>
      <w:r w:rsidRPr="00137CC1">
        <w:rPr>
          <w:rFonts w:eastAsia="Franklin Gothic Book"/>
        </w:rPr>
        <w:t xml:space="preserve">rogram </w:t>
      </w:r>
      <w:r>
        <w:rPr>
          <w:rFonts w:eastAsia="Franklin Gothic Book"/>
        </w:rPr>
        <w:t>I</w:t>
      </w:r>
      <w:r w:rsidRPr="00137CC1">
        <w:rPr>
          <w:rFonts w:eastAsia="Franklin Gothic Book"/>
        </w:rPr>
        <w:t xml:space="preserve">nfluence </w:t>
      </w:r>
      <w:r w:rsidRPr="00137CC1">
        <w:t>component</w:t>
      </w:r>
      <w:r w:rsidRPr="00137CC1">
        <w:rPr>
          <w:rFonts w:eastAsia="Franklin Gothic Book"/>
        </w:rPr>
        <w:t>, based on the participant’s perception of the influence</w:t>
      </w:r>
      <w:r>
        <w:rPr>
          <w:rFonts w:eastAsia="Franklin Gothic Book"/>
        </w:rPr>
        <w:t xml:space="preserve"> of various program elements—including the discount and the audit itself—on </w:t>
      </w:r>
      <w:r w:rsidRPr="00137CC1">
        <w:rPr>
          <w:rFonts w:eastAsia="Franklin Gothic Book"/>
        </w:rPr>
        <w:t>carry</w:t>
      </w:r>
      <w:r>
        <w:rPr>
          <w:rFonts w:eastAsia="Franklin Gothic Book"/>
        </w:rPr>
        <w:t>ing</w:t>
      </w:r>
      <w:r w:rsidRPr="00137CC1">
        <w:rPr>
          <w:rFonts w:eastAsia="Franklin Gothic Book"/>
        </w:rPr>
        <w:t xml:space="preserve"> o</w:t>
      </w:r>
      <w:r>
        <w:rPr>
          <w:rFonts w:eastAsia="Franklin Gothic Book"/>
        </w:rPr>
        <w:t>ut the energy-efficient project; and</w:t>
      </w:r>
    </w:p>
    <w:p w14:paraId="44C693D0" w14:textId="5ADF2511" w:rsidR="00D34C6E" w:rsidRPr="005739A0" w:rsidRDefault="00D34C6E" w:rsidP="00D34C6E">
      <w:pPr>
        <w:pStyle w:val="ListParagraph"/>
        <w:widowControl/>
        <w:numPr>
          <w:ilvl w:val="0"/>
          <w:numId w:val="14"/>
        </w:numPr>
        <w:contextualSpacing w:val="0"/>
        <w:rPr>
          <w:rFonts w:eastAsia="Franklin Gothic Book"/>
        </w:rPr>
      </w:pPr>
      <w:r>
        <w:rPr>
          <w:rFonts w:eastAsia="Franklin Gothic Book"/>
        </w:rPr>
        <w:t>A No</w:t>
      </w:r>
      <w:r w:rsidRPr="00137CC1">
        <w:rPr>
          <w:rFonts w:eastAsia="Franklin Gothic Book"/>
        </w:rPr>
        <w:t>-</w:t>
      </w:r>
      <w:r>
        <w:rPr>
          <w:rFonts w:eastAsia="Franklin Gothic Book"/>
        </w:rPr>
        <w:t>P</w:t>
      </w:r>
      <w:r w:rsidRPr="00137CC1">
        <w:rPr>
          <w:rFonts w:eastAsia="Franklin Gothic Book"/>
        </w:rPr>
        <w:t xml:space="preserve">rogram </w:t>
      </w:r>
      <w:r w:rsidRPr="00137CC1">
        <w:t>component</w:t>
      </w:r>
      <w:r w:rsidRPr="00137CC1">
        <w:rPr>
          <w:rFonts w:eastAsia="Franklin Gothic Book"/>
        </w:rPr>
        <w:t xml:space="preserve">, based on the participant’s </w:t>
      </w:r>
      <w:r>
        <w:rPr>
          <w:rFonts w:eastAsia="Franklin Gothic Book"/>
        </w:rPr>
        <w:t>likelihood of</w:t>
      </w:r>
      <w:r w:rsidRPr="00137CC1">
        <w:rPr>
          <w:rFonts w:eastAsia="Franklin Gothic Book"/>
        </w:rPr>
        <w:t xml:space="preserve"> </w:t>
      </w:r>
      <w:r>
        <w:rPr>
          <w:rFonts w:eastAsia="Franklin Gothic Book"/>
        </w:rPr>
        <w:t>purchasing</w:t>
      </w:r>
      <w:r w:rsidRPr="00F3427F">
        <w:rPr>
          <w:rFonts w:eastAsia="Franklin Gothic Book"/>
        </w:rPr>
        <w:t xml:space="preserve"> </w:t>
      </w:r>
      <w:r>
        <w:rPr>
          <w:rFonts w:eastAsia="Franklin Gothic Book"/>
        </w:rPr>
        <w:t xml:space="preserve">equipment, absent the program, of the same level of high efficiency as the unit installed at the same time in the absence of the program. </w:t>
      </w:r>
    </w:p>
    <w:p w14:paraId="11217266" w14:textId="77777777" w:rsidR="00D34C6E" w:rsidRDefault="00D34C6E" w:rsidP="00D34C6E">
      <w:pPr>
        <w:rPr>
          <w:rFonts w:eastAsia="Calibri"/>
        </w:rPr>
      </w:pPr>
      <w:r w:rsidRPr="008B1E72">
        <w:rPr>
          <w:rFonts w:eastAsia="Franklin Gothic Book"/>
        </w:rPr>
        <w:t xml:space="preserve">The </w:t>
      </w:r>
      <w:r w:rsidRPr="00B91F15">
        <w:rPr>
          <w:rFonts w:eastAsia="Franklin Gothic Book"/>
        </w:rPr>
        <w:t>free ridership method for discounted measures is identical to that used in the Pr</w:t>
      </w:r>
      <w:r w:rsidRPr="00023705">
        <w:rPr>
          <w:rFonts w:eastAsia="Franklin Gothic Book"/>
        </w:rPr>
        <w:t>escriptive Rebate (With No Audit)</w:t>
      </w:r>
      <w:r>
        <w:rPr>
          <w:rFonts w:eastAsia="Franklin Gothic Book"/>
        </w:rPr>
        <w:t xml:space="preserve"> protocol</w:t>
      </w:r>
      <w:r w:rsidRPr="008B1E72">
        <w:rPr>
          <w:rFonts w:eastAsia="Franklin Gothic Book"/>
        </w:rPr>
        <w:t xml:space="preserve">, with the one exception that the </w:t>
      </w:r>
      <w:r>
        <w:rPr>
          <w:rFonts w:eastAsia="Franklin Gothic Book"/>
        </w:rPr>
        <w:t xml:space="preserve">questions about program influence should be sure to include the audit itself as one of the program attributes. Evaluators should refer to Section </w:t>
      </w:r>
      <w:r>
        <w:t>4.4.1.1.1 and 4.4.1.1.2</w:t>
      </w:r>
      <w:r>
        <w:rPr>
          <w:rFonts w:eastAsia="Franklin Gothic Book"/>
        </w:rPr>
        <w:t xml:space="preserve"> for details of the method. </w:t>
      </w:r>
      <w:r>
        <w:rPr>
          <w:rFonts w:eastAsia="Calibri"/>
        </w:rPr>
        <w:t xml:space="preserve">Figure 4-9 and Figure 4-10 </w:t>
      </w:r>
      <w:r w:rsidRPr="009B67BF">
        <w:rPr>
          <w:rFonts w:eastAsia="Calibri"/>
        </w:rPr>
        <w:t>also illustrate the algorithms</w:t>
      </w:r>
      <w:r>
        <w:rPr>
          <w:rFonts w:eastAsia="Calibri"/>
        </w:rPr>
        <w:t xml:space="preserve"> for CFL/LED and non-CFL/non-LED measures</w:t>
      </w:r>
      <w:r>
        <w:rPr>
          <w:rStyle w:val="FootnoteReference"/>
        </w:rPr>
        <w:footnoteReference w:id="80"/>
      </w:r>
      <w:r w:rsidRPr="009B67BF">
        <w:rPr>
          <w:rFonts w:eastAsia="Calibri"/>
        </w:rPr>
        <w:t>.</w:t>
      </w:r>
    </w:p>
    <w:p w14:paraId="4B2E72BE" w14:textId="77777777" w:rsidR="00D34C6E" w:rsidRDefault="00D34C6E" w:rsidP="00D34C6E">
      <w:pPr>
        <w:rPr>
          <w:rFonts w:eastAsia="Calibri"/>
        </w:rPr>
      </w:pPr>
      <w:r>
        <w:rPr>
          <w:rFonts w:eastAsia="Calibri"/>
        </w:rPr>
        <w:br w:type="page"/>
      </w:r>
    </w:p>
    <w:p w14:paraId="09DE8D50" w14:textId="00BB1794" w:rsidR="00D34C6E" w:rsidRDefault="00B52153" w:rsidP="00B52153">
      <w:pPr>
        <w:jc w:val="center"/>
      </w:pPr>
      <w:bookmarkStart w:id="1681" w:name="_Toc472494763"/>
      <w:bookmarkStart w:id="1682" w:name="_Toc473108123"/>
      <w:bookmarkStart w:id="1683" w:name="_Toc520824271"/>
      <w:bookmarkStart w:id="1684" w:name="_Toc523148253"/>
      <w:bookmarkStart w:id="1685" w:name="_Toc16620015"/>
      <w:r w:rsidRPr="001B4B8B">
        <w:rPr>
          <w:noProof/>
        </w:rPr>
        <w:lastRenderedPageBreak/>
        <w:drawing>
          <wp:anchor distT="0" distB="0" distL="114300" distR="114300" simplePos="0" relativeHeight="251674112" behindDoc="0" locked="1" layoutInCell="1" allowOverlap="1" wp14:anchorId="3A9271C1" wp14:editId="226E52E6">
            <wp:simplePos x="0" y="0"/>
            <wp:positionH relativeFrom="column">
              <wp:posOffset>0</wp:posOffset>
            </wp:positionH>
            <wp:positionV relativeFrom="paragraph">
              <wp:posOffset>239395</wp:posOffset>
            </wp:positionV>
            <wp:extent cx="6024880" cy="3119755"/>
            <wp:effectExtent l="0" t="0" r="0" b="4445"/>
            <wp:wrapSquare wrapText="bothSides"/>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3">
                      <a:extLst>
                        <a:ext uri="{28A0092B-C50C-407E-A947-70E740481C1C}">
                          <a14:useLocalDpi xmlns:a14="http://schemas.microsoft.com/office/drawing/2010/main" val="0"/>
                        </a:ext>
                      </a:extLst>
                    </a:blip>
                    <a:srcRect t="8029"/>
                    <a:stretch/>
                  </pic:blipFill>
                  <pic:spPr bwMode="auto">
                    <a:xfrm>
                      <a:off x="0" y="0"/>
                      <a:ext cx="6024880" cy="31197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bookmarkStart w:id="1686" w:name="_Toc83376841"/>
      <w:r w:rsidR="00D34C6E" w:rsidRPr="00830CF8">
        <w:rPr>
          <w:rStyle w:val="CaptionsChar"/>
        </w:rPr>
        <w:t>Figure 4</w:t>
      </w:r>
      <w:r w:rsidR="00D34C6E" w:rsidRPr="00830CF8">
        <w:rPr>
          <w:rStyle w:val="CaptionsChar"/>
        </w:rPr>
        <w:noBreakHyphen/>
        <w:t>9. Multifamily Free Ridership—Non-CFL/Non-LED Measures</w:t>
      </w:r>
      <w:bookmarkEnd w:id="1681"/>
      <w:bookmarkEnd w:id="1682"/>
      <w:bookmarkEnd w:id="1683"/>
      <w:bookmarkEnd w:id="1684"/>
      <w:bookmarkEnd w:id="1685"/>
      <w:bookmarkEnd w:id="1686"/>
    </w:p>
    <w:p w14:paraId="5C2C3A88" w14:textId="77777777" w:rsidR="00D34C6E" w:rsidRDefault="00D34C6E" w:rsidP="00B52153"/>
    <w:p w14:paraId="03CB2860" w14:textId="2A800CC0" w:rsidR="00D34C6E" w:rsidRDefault="00491711" w:rsidP="00B52153">
      <w:pPr>
        <w:pStyle w:val="Captions"/>
      </w:pPr>
      <w:bookmarkStart w:id="1687" w:name="_Ref442630419"/>
      <w:bookmarkStart w:id="1688" w:name="_Toc472494764"/>
      <w:bookmarkStart w:id="1689" w:name="_Toc473108124"/>
      <w:bookmarkStart w:id="1690" w:name="_Toc520824272"/>
      <w:bookmarkStart w:id="1691" w:name="_Toc523148254"/>
      <w:bookmarkStart w:id="1692" w:name="_Toc16620016"/>
      <w:bookmarkStart w:id="1693" w:name="_Toc83376842"/>
      <w:r w:rsidRPr="006D1852">
        <w:rPr>
          <w:noProof/>
        </w:rPr>
        <w:drawing>
          <wp:anchor distT="0" distB="0" distL="114300" distR="114300" simplePos="0" relativeHeight="251677184" behindDoc="0" locked="1" layoutInCell="1" allowOverlap="1" wp14:anchorId="01B6CB5D" wp14:editId="01FBD943">
            <wp:simplePos x="0" y="0"/>
            <wp:positionH relativeFrom="column">
              <wp:posOffset>0</wp:posOffset>
            </wp:positionH>
            <wp:positionV relativeFrom="paragraph">
              <wp:posOffset>268605</wp:posOffset>
            </wp:positionV>
            <wp:extent cx="5879465" cy="3136265"/>
            <wp:effectExtent l="0" t="0" r="6985" b="6985"/>
            <wp:wrapSquare wrapText="bothSides"/>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4">
                      <a:extLst>
                        <a:ext uri="{28A0092B-C50C-407E-A947-70E740481C1C}">
                          <a14:useLocalDpi xmlns:a14="http://schemas.microsoft.com/office/drawing/2010/main" val="0"/>
                        </a:ext>
                      </a:extLst>
                    </a:blip>
                    <a:srcRect t="5102"/>
                    <a:stretch/>
                  </pic:blipFill>
                  <pic:spPr bwMode="auto">
                    <a:xfrm>
                      <a:off x="0" y="0"/>
                      <a:ext cx="5879465" cy="31362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34C6E">
        <w:t>Figure 4</w:t>
      </w:r>
      <w:r w:rsidR="00D34C6E">
        <w:noBreakHyphen/>
      </w:r>
      <w:bookmarkEnd w:id="1687"/>
      <w:r w:rsidR="00D34C6E">
        <w:t xml:space="preserve">10. </w:t>
      </w:r>
      <w:r w:rsidR="00D34C6E" w:rsidRPr="00D96795">
        <w:t>Multifamily Free Ridership for Property Managers—CFL</w:t>
      </w:r>
      <w:r w:rsidR="00D34C6E">
        <w:t>/LED</w:t>
      </w:r>
      <w:r w:rsidR="00D34C6E" w:rsidRPr="00D96795">
        <w:t xml:space="preserve"> Measures</w:t>
      </w:r>
      <w:bookmarkEnd w:id="1688"/>
      <w:bookmarkEnd w:id="1689"/>
      <w:bookmarkEnd w:id="1690"/>
      <w:bookmarkEnd w:id="1691"/>
      <w:bookmarkEnd w:id="1692"/>
      <w:bookmarkEnd w:id="1693"/>
    </w:p>
    <w:p w14:paraId="4784DCC6" w14:textId="77777777" w:rsidR="00D34C6E" w:rsidRDefault="00D34C6E" w:rsidP="001A2AE6">
      <w:pPr>
        <w:pStyle w:val="Heading4"/>
      </w:pPr>
      <w:bookmarkStart w:id="1694" w:name="_Toc442804310"/>
      <w:bookmarkStart w:id="1695" w:name="_Toc442805527"/>
      <w:r>
        <w:t>Consistency Checks</w:t>
      </w:r>
      <w:bookmarkEnd w:id="1694"/>
      <w:bookmarkEnd w:id="1695"/>
    </w:p>
    <w:p w14:paraId="4F1670A5" w14:textId="77777777" w:rsidR="00D34C6E" w:rsidRPr="009B67BF" w:rsidRDefault="00D34C6E" w:rsidP="00D34C6E">
      <w:pPr>
        <w:rPr>
          <w:rFonts w:eastAsia="Franklin Gothic Book"/>
        </w:rPr>
      </w:pPr>
      <w:r w:rsidRPr="009B67BF">
        <w:rPr>
          <w:rFonts w:eastAsia="Franklin Gothic Book"/>
        </w:rPr>
        <w:t xml:space="preserve">To address the possibility of conflicting responses (e.g., </w:t>
      </w:r>
      <w:r w:rsidRPr="009B67BF">
        <w:rPr>
          <w:rFonts w:eastAsia="Calibri"/>
        </w:rPr>
        <w:t>high likelihood to install the same measure without the program</w:t>
      </w:r>
      <w:r>
        <w:rPr>
          <w:rFonts w:eastAsia="Calibri"/>
        </w:rPr>
        <w:t>,</w:t>
      </w:r>
      <w:r w:rsidRPr="009B67BF">
        <w:rPr>
          <w:rFonts w:eastAsia="Calibri"/>
        </w:rPr>
        <w:t xml:space="preserve"> high importance to program factors</w:t>
      </w:r>
      <w:r w:rsidRPr="009B67BF">
        <w:rPr>
          <w:rFonts w:eastAsia="Franklin Gothic Book"/>
        </w:rPr>
        <w:t xml:space="preserve">), the survey should include consistency checks that, at a minimum, ask participants an open-ended question to address the program’s influence. For </w:t>
      </w:r>
      <w:proofErr w:type="gramStart"/>
      <w:r w:rsidRPr="009B67BF">
        <w:rPr>
          <w:rFonts w:eastAsia="Franklin Gothic Book"/>
        </w:rPr>
        <w:t>example</w:t>
      </w:r>
      <w:proofErr w:type="gramEnd"/>
      <w:r>
        <w:rPr>
          <w:rStyle w:val="FootnoteReference"/>
          <w:rFonts w:eastAsia="Franklin Gothic Book"/>
        </w:rPr>
        <w:footnoteReference w:id="81"/>
      </w:r>
      <w:r w:rsidRPr="009B67BF">
        <w:rPr>
          <w:rFonts w:eastAsia="Franklin Gothic Book"/>
        </w:rPr>
        <w:t>:</w:t>
      </w:r>
    </w:p>
    <w:p w14:paraId="2AEC462E" w14:textId="77777777" w:rsidR="00D34C6E" w:rsidRPr="009B67BF" w:rsidRDefault="00D34C6E" w:rsidP="00D34C6E">
      <w:pPr>
        <w:widowControl/>
        <w:numPr>
          <w:ilvl w:val="0"/>
          <w:numId w:val="14"/>
        </w:numPr>
        <w:jc w:val="left"/>
        <w:rPr>
          <w:rFonts w:eastAsia="Franklin Gothic Book"/>
        </w:rPr>
      </w:pPr>
      <w:r w:rsidRPr="009B67BF">
        <w:rPr>
          <w:rFonts w:eastAsia="Franklin Gothic Book"/>
        </w:rPr>
        <w:lastRenderedPageBreak/>
        <w:t xml:space="preserve">In your own </w:t>
      </w:r>
      <w:r w:rsidRPr="004E388A">
        <w:rPr>
          <w:rFonts w:eastAsia="Calibri"/>
        </w:rPr>
        <w:t>words</w:t>
      </w:r>
      <w:r w:rsidRPr="009B67BF">
        <w:rPr>
          <w:rFonts w:eastAsia="Franklin Gothic Book"/>
        </w:rPr>
        <w:t xml:space="preserve">, please tell me the influence the program had on your purchase </w:t>
      </w:r>
      <w:r>
        <w:rPr>
          <w:rFonts w:eastAsia="Franklin Gothic Book"/>
        </w:rPr>
        <w:t xml:space="preserve">of </w:t>
      </w:r>
      <w:r w:rsidRPr="009B67BF">
        <w:rPr>
          <w:rFonts w:eastAsia="Franklin Gothic Book"/>
        </w:rPr>
        <w:t xml:space="preserve">the </w:t>
      </w:r>
      <w:r>
        <w:rPr>
          <w:rFonts w:eastAsia="Franklin Gothic Book"/>
        </w:rPr>
        <w:t>&lt;</w:t>
      </w:r>
      <w:r w:rsidRPr="009B67BF">
        <w:rPr>
          <w:rFonts w:eastAsia="Franklin Gothic Book"/>
        </w:rPr>
        <w:t>insert measure name</w:t>
      </w:r>
      <w:r>
        <w:rPr>
          <w:rFonts w:eastAsia="Franklin Gothic Book"/>
        </w:rPr>
        <w:t>&gt;</w:t>
      </w:r>
      <w:r w:rsidRPr="009B67BF">
        <w:rPr>
          <w:rFonts w:eastAsia="Franklin Gothic Book"/>
        </w:rPr>
        <w:t>.</w:t>
      </w:r>
    </w:p>
    <w:p w14:paraId="454D1D31" w14:textId="77777777" w:rsidR="00D34C6E" w:rsidRPr="009B67BF" w:rsidRDefault="00D34C6E" w:rsidP="00D34C6E">
      <w:pPr>
        <w:rPr>
          <w:rFonts w:eastAsia="Franklin Gothic Book"/>
        </w:rPr>
      </w:pPr>
      <w:r w:rsidRPr="009B67BF">
        <w:rPr>
          <w:rFonts w:eastAsia="Franklin Gothic Book"/>
        </w:rPr>
        <w:t xml:space="preserve">The evaluation analyst will assess the responses to the </w:t>
      </w:r>
      <w:proofErr w:type="gramStart"/>
      <w:r w:rsidRPr="009B67BF">
        <w:rPr>
          <w:rFonts w:eastAsia="Franklin Gothic Book"/>
        </w:rPr>
        <w:t>open ended</w:t>
      </w:r>
      <w:proofErr w:type="gramEnd"/>
      <w:r w:rsidRPr="009B67BF">
        <w:rPr>
          <w:rFonts w:eastAsia="Franklin Gothic Book"/>
        </w:rPr>
        <w:t xml:space="preserve"> questions and their consistency with the other survey questions, and, if warranted based on clear additional information, will adjust the original question score. If the open-ended response does not resolve the inconsistency, responses to the original question should be removed from the calculation. </w:t>
      </w:r>
      <w:r>
        <w:rPr>
          <w:rFonts w:eastAsia="Franklin Gothic Book"/>
        </w:rPr>
        <w:t>T</w:t>
      </w:r>
      <w:r w:rsidRPr="009B67BF">
        <w:rPr>
          <w:rFonts w:eastAsia="Franklin Gothic Book"/>
        </w:rPr>
        <w:t>he survey may include additional consistency check triggers and resolutions through additional participant questions.</w:t>
      </w:r>
      <w:r>
        <w:rPr>
          <w:rFonts w:eastAsia="Franklin Gothic Book"/>
        </w:rPr>
        <w:t xml:space="preserve"> </w:t>
      </w:r>
      <w:r w:rsidRPr="009B67BF">
        <w:rPr>
          <w:rFonts w:eastAsia="Franklin Gothic Book"/>
        </w:rPr>
        <w:t xml:space="preserve">The final report should document </w:t>
      </w:r>
      <w:r>
        <w:rPr>
          <w:rFonts w:eastAsia="Franklin Gothic Book"/>
        </w:rPr>
        <w:t xml:space="preserve">how often the consistency check rules were triggered, how often adjustments were made to scores, and how often inconsistencies could not be resolved. </w:t>
      </w:r>
    </w:p>
    <w:p w14:paraId="3A65A968" w14:textId="77777777" w:rsidR="00D34C6E" w:rsidRPr="009B67BF" w:rsidRDefault="00D34C6E" w:rsidP="00D34C6E">
      <w:pPr>
        <w:rPr>
          <w:rFonts w:eastAsia="Franklin Gothic Book"/>
        </w:rPr>
      </w:pPr>
      <w:r w:rsidRPr="009B67BF">
        <w:rPr>
          <w:rFonts w:eastAsia="Franklin Gothic Book"/>
        </w:rPr>
        <w:t>Missing responses to specific questions (</w:t>
      </w:r>
      <w:r>
        <w:rPr>
          <w:rFonts w:eastAsia="Franklin Gothic Book"/>
        </w:rPr>
        <w:t>including</w:t>
      </w:r>
      <w:r w:rsidRPr="009B67BF">
        <w:rPr>
          <w:rFonts w:eastAsia="Franklin Gothic Book"/>
        </w:rPr>
        <w:t xml:space="preserve"> don’t know or refused) should be treated as missing for that particular question, but the analysis should retain that observation or case. </w:t>
      </w:r>
      <w:r>
        <w:rPr>
          <w:rFonts w:eastAsia="Franklin Gothic Book"/>
        </w:rPr>
        <w:t>E</w:t>
      </w:r>
      <w:r w:rsidRPr="009B67BF">
        <w:rPr>
          <w:rFonts w:eastAsia="Franklin Gothic Book"/>
        </w:rPr>
        <w:t xml:space="preserve">valuation reports should note if this affects more than 5% of the responses. </w:t>
      </w:r>
    </w:p>
    <w:p w14:paraId="6920D4FE" w14:textId="77777777" w:rsidR="00D34C6E" w:rsidRPr="009B67BF" w:rsidRDefault="00D34C6E" w:rsidP="001A2AE6">
      <w:pPr>
        <w:pStyle w:val="Heading4"/>
      </w:pPr>
      <w:bookmarkStart w:id="1696" w:name="_Toc442804311"/>
      <w:bookmarkStart w:id="1697" w:name="_Toc442805528"/>
      <w:r w:rsidRPr="009B67BF">
        <w:t>Data Collection</w:t>
      </w:r>
      <w:bookmarkEnd w:id="1696"/>
      <w:bookmarkEnd w:id="1697"/>
    </w:p>
    <w:p w14:paraId="2B9808CA" w14:textId="77777777" w:rsidR="00D34C6E" w:rsidRDefault="00D34C6E" w:rsidP="00D34C6E">
      <w:pPr>
        <w:rPr>
          <w:rFonts w:eastAsia="Franklin Gothic Book"/>
        </w:rPr>
      </w:pPr>
      <w:r w:rsidRPr="009B67BF">
        <w:rPr>
          <w:rFonts w:eastAsia="Franklin Gothic Book"/>
        </w:rPr>
        <w:t>A participant survey should be used as the primary source of data collected for estimating free ridership in residential multifamily programs. As discussed, evaluators may field surveys with owners, property managers</w:t>
      </w:r>
      <w:r>
        <w:rPr>
          <w:rFonts w:eastAsia="Franklin Gothic Book"/>
        </w:rPr>
        <w:t>,</w:t>
      </w:r>
      <w:r w:rsidRPr="009B67BF">
        <w:rPr>
          <w:rFonts w:eastAsia="Franklin Gothic Book"/>
        </w:rPr>
        <w:t xml:space="preserve"> or tenants, depending on a program’s design and theory. Determining the appropriate audience from which to gather information for estimating free ridership depends on the program’s design, and, ultimately, the party responsible for deciding to install specific program measures.</w:t>
      </w:r>
      <w:bookmarkStart w:id="1698" w:name="_Toc431526476"/>
    </w:p>
    <w:p w14:paraId="0295F22C" w14:textId="77777777" w:rsidR="00D34C6E" w:rsidRPr="009B67BF" w:rsidRDefault="00D34C6E" w:rsidP="00D34C6E">
      <w:pPr>
        <w:pStyle w:val="Heading2"/>
        <w:keepLines w:val="0"/>
        <w:widowControl/>
        <w:numPr>
          <w:ilvl w:val="1"/>
          <w:numId w:val="8"/>
        </w:numPr>
        <w:jc w:val="left"/>
      </w:pPr>
      <w:bookmarkStart w:id="1699" w:name="_Ref442305513"/>
      <w:bookmarkStart w:id="1700" w:name="_Ref442305519"/>
      <w:bookmarkStart w:id="1701" w:name="_Toc442804312"/>
      <w:bookmarkStart w:id="1702" w:name="_Toc442805529"/>
      <w:bookmarkStart w:id="1703" w:name="_Toc472494724"/>
      <w:bookmarkStart w:id="1704" w:name="_Toc520462922"/>
      <w:bookmarkStart w:id="1705" w:name="_Toc473108066"/>
      <w:bookmarkStart w:id="1706" w:name="_Toc520824176"/>
      <w:bookmarkStart w:id="1707" w:name="_Toc16619959"/>
      <w:bookmarkStart w:id="1708" w:name="_Toc113619814"/>
      <w:r w:rsidRPr="009B67BF">
        <w:t xml:space="preserve">Energy Saving Kits and Elementary Education </w:t>
      </w:r>
      <w:bookmarkEnd w:id="1698"/>
      <w:r>
        <w:t>Protocol</w:t>
      </w:r>
      <w:bookmarkEnd w:id="1699"/>
      <w:bookmarkEnd w:id="1700"/>
      <w:bookmarkEnd w:id="1701"/>
      <w:bookmarkEnd w:id="1702"/>
      <w:bookmarkEnd w:id="1703"/>
      <w:bookmarkEnd w:id="1704"/>
      <w:bookmarkEnd w:id="1705"/>
      <w:bookmarkEnd w:id="1706"/>
      <w:bookmarkEnd w:id="1707"/>
      <w:bookmarkEnd w:id="1708"/>
    </w:p>
    <w:p w14:paraId="4D782BB8" w14:textId="77777777" w:rsidR="00D34C6E" w:rsidRPr="009B67BF" w:rsidRDefault="00D34C6E" w:rsidP="00D34C6E">
      <w:pPr>
        <w:rPr>
          <w:rFonts w:eastAsia="Franklin Gothic Book"/>
        </w:rPr>
      </w:pPr>
      <w:r w:rsidRPr="009B67BF">
        <w:rPr>
          <w:rFonts w:eastAsia="Franklin Gothic Book"/>
        </w:rPr>
        <w:t>Energy Saving Kits and Elementary Education Programs aim to secure energy savings through the distribution of kits containing various energy-saving measures, including (but not limited to): high-efficiency lighting (CFLs or LED lamps); bathroom and kitchen faucet aerators; and low-flow showerheads. Energy Saving Kits operate as an opt-in program; customers can request a kit by completing an Internet or phone application. Elementary Education Program participants do not request a kit as kits are distributed to all students in a classroom.</w:t>
      </w:r>
    </w:p>
    <w:p w14:paraId="1632125B" w14:textId="6F38C69C" w:rsidR="00D34C6E" w:rsidRPr="009B67BF" w:rsidRDefault="00D34C6E" w:rsidP="00D34C6E">
      <w:pPr>
        <w:rPr>
          <w:rFonts w:eastAsia="Franklin Gothic Book"/>
        </w:rPr>
      </w:pPr>
      <w:r w:rsidRPr="009B67BF">
        <w:rPr>
          <w:rFonts w:eastAsia="Franklin Gothic Book"/>
        </w:rPr>
        <w:t>Free ridership and participant spillover</w:t>
      </w:r>
      <w:r>
        <w:rPr>
          <w:rFonts w:eastAsia="Franklin Gothic Book"/>
        </w:rPr>
        <w:t xml:space="preserve"> (See Section </w:t>
      </w:r>
      <w:r>
        <w:rPr>
          <w:rFonts w:eastAsia="Franklin Gothic Book"/>
        </w:rPr>
        <w:fldChar w:fldCharType="begin"/>
      </w:r>
      <w:r>
        <w:rPr>
          <w:rFonts w:eastAsia="Franklin Gothic Book"/>
        </w:rPr>
        <w:instrText xml:space="preserve"> REF _Ref442343423 \r \h </w:instrText>
      </w:r>
      <w:r>
        <w:rPr>
          <w:rFonts w:eastAsia="Franklin Gothic Book"/>
        </w:rPr>
      </w:r>
      <w:r>
        <w:rPr>
          <w:rFonts w:eastAsia="Franklin Gothic Book"/>
        </w:rPr>
        <w:fldChar w:fldCharType="separate"/>
      </w:r>
      <w:r w:rsidR="00506A44">
        <w:rPr>
          <w:rFonts w:eastAsia="Franklin Gothic Book"/>
        </w:rPr>
        <w:t>4.1.2</w:t>
      </w:r>
      <w:r>
        <w:rPr>
          <w:rFonts w:eastAsia="Franklin Gothic Book"/>
        </w:rPr>
        <w:fldChar w:fldCharType="end"/>
      </w:r>
      <w:r>
        <w:rPr>
          <w:rFonts w:eastAsia="Franklin Gothic Book"/>
        </w:rPr>
        <w:t>)</w:t>
      </w:r>
      <w:r w:rsidRPr="009B67BF">
        <w:rPr>
          <w:rFonts w:eastAsia="Franklin Gothic Book"/>
        </w:rPr>
        <w:t xml:space="preserve"> estimations for both programs rely upon participant self-report information gathered through surveys, despite the differences in distribution models. This methodology can be used for other energy-saving kit programs, including kits with alternative distribution methods (e.g., kits dropped off at a participant’s home).</w:t>
      </w:r>
    </w:p>
    <w:p w14:paraId="19F6F5BE" w14:textId="77777777" w:rsidR="00D34C6E" w:rsidRPr="009B67BF" w:rsidRDefault="00D34C6E" w:rsidP="00D34C6E">
      <w:pPr>
        <w:rPr>
          <w:rFonts w:eastAsia="Franklin Gothic Book"/>
        </w:rPr>
      </w:pPr>
      <w:r w:rsidRPr="009B67BF">
        <w:rPr>
          <w:rFonts w:eastAsia="Franklin Gothic Book"/>
        </w:rPr>
        <w:t xml:space="preserve">The following section contains a description of the basic NTG method used. </w:t>
      </w:r>
      <w:r>
        <w:rPr>
          <w:rFonts w:eastAsia="Franklin Gothic Book"/>
        </w:rPr>
        <w:t xml:space="preserve">Figure 4-11 </w:t>
      </w:r>
      <w:r w:rsidRPr="009B67BF">
        <w:rPr>
          <w:rFonts w:eastAsia="Franklin Gothic Book"/>
        </w:rPr>
        <w:t>illustrates the method.</w:t>
      </w:r>
    </w:p>
    <w:p w14:paraId="28A6D2F9" w14:textId="2E508963" w:rsidR="00D34C6E" w:rsidRDefault="00B52153" w:rsidP="00B52153">
      <w:pPr>
        <w:pStyle w:val="Captions"/>
      </w:pPr>
      <w:bookmarkStart w:id="1709" w:name="_Ref442635687"/>
      <w:bookmarkStart w:id="1710" w:name="_Toc472494765"/>
      <w:bookmarkStart w:id="1711" w:name="_Toc473108125"/>
      <w:bookmarkStart w:id="1712" w:name="_Toc520824273"/>
      <w:bookmarkStart w:id="1713" w:name="_Toc523148255"/>
      <w:bookmarkStart w:id="1714" w:name="_Toc16620017"/>
      <w:bookmarkStart w:id="1715" w:name="_Toc83376843"/>
      <w:r w:rsidRPr="0029465B">
        <w:rPr>
          <w:noProof/>
        </w:rPr>
        <w:drawing>
          <wp:anchor distT="0" distB="0" distL="114300" distR="114300" simplePos="0" relativeHeight="251671040" behindDoc="0" locked="0" layoutInCell="1" allowOverlap="1" wp14:anchorId="05CF436A" wp14:editId="45F5C4DC">
            <wp:simplePos x="0" y="0"/>
            <wp:positionH relativeFrom="column">
              <wp:posOffset>0</wp:posOffset>
            </wp:positionH>
            <wp:positionV relativeFrom="paragraph">
              <wp:posOffset>187325</wp:posOffset>
            </wp:positionV>
            <wp:extent cx="6610350" cy="2567940"/>
            <wp:effectExtent l="0" t="0" r="0" b="3810"/>
            <wp:wrapSquare wrapText="bothSides"/>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5">
                      <a:extLst>
                        <a:ext uri="{28A0092B-C50C-407E-A947-70E740481C1C}">
                          <a14:useLocalDpi xmlns:a14="http://schemas.microsoft.com/office/drawing/2010/main" val="0"/>
                        </a:ext>
                      </a:extLst>
                    </a:blip>
                    <a:srcRect t="16394" b="14540"/>
                    <a:stretch/>
                  </pic:blipFill>
                  <pic:spPr bwMode="auto">
                    <a:xfrm>
                      <a:off x="0" y="0"/>
                      <a:ext cx="6610350" cy="2567940"/>
                    </a:xfrm>
                    <a:prstGeom prst="rect">
                      <a:avLst/>
                    </a:prstGeom>
                    <a:ln>
                      <a:noFill/>
                    </a:ln>
                    <a:extLst>
                      <a:ext uri="{53640926-AAD7-44D8-BBD7-CCE9431645EC}">
                        <a14:shadowObscured xmlns:a14="http://schemas.microsoft.com/office/drawing/2010/main"/>
                      </a:ext>
                    </a:extLst>
                  </pic:spPr>
                </pic:pic>
              </a:graphicData>
            </a:graphic>
          </wp:anchor>
        </w:drawing>
      </w:r>
      <w:r w:rsidR="00D34C6E">
        <w:t>Figure 4</w:t>
      </w:r>
      <w:r w:rsidR="00D34C6E">
        <w:noBreakHyphen/>
      </w:r>
      <w:bookmarkEnd w:id="1709"/>
      <w:r w:rsidR="00D34C6E">
        <w:t xml:space="preserve">11. </w:t>
      </w:r>
      <w:r w:rsidR="00D34C6E" w:rsidRPr="004A4E43">
        <w:t>Energy Saving Kits and Elementary Education Free Ridership</w:t>
      </w:r>
      <w:bookmarkEnd w:id="1710"/>
      <w:bookmarkEnd w:id="1711"/>
      <w:bookmarkEnd w:id="1712"/>
      <w:bookmarkEnd w:id="1713"/>
      <w:bookmarkEnd w:id="1714"/>
      <w:bookmarkEnd w:id="1715"/>
    </w:p>
    <w:p w14:paraId="22F8665D" w14:textId="21961494" w:rsidR="00D34C6E" w:rsidRDefault="00D34C6E" w:rsidP="00D34C6E"/>
    <w:p w14:paraId="2E7BB156" w14:textId="77777777" w:rsidR="00D34C6E" w:rsidRPr="009B67BF" w:rsidRDefault="00D34C6E" w:rsidP="0088039F">
      <w:pPr>
        <w:pStyle w:val="Heading3"/>
      </w:pPr>
      <w:bookmarkStart w:id="1716" w:name="_Toc431526477"/>
      <w:bookmarkStart w:id="1717" w:name="_Toc442804313"/>
      <w:bookmarkStart w:id="1718" w:name="_Toc442805530"/>
      <w:bookmarkStart w:id="1719" w:name="_Toc472494725"/>
      <w:bookmarkStart w:id="1720" w:name="_Toc520462923"/>
      <w:bookmarkStart w:id="1721" w:name="_Toc473108067"/>
      <w:bookmarkStart w:id="1722" w:name="_Toc520824177"/>
      <w:bookmarkStart w:id="1723" w:name="_Toc16619960"/>
      <w:bookmarkStart w:id="1724" w:name="_Toc113619815"/>
      <w:r>
        <w:lastRenderedPageBreak/>
        <w:t>Basic Method</w:t>
      </w:r>
      <w:bookmarkEnd w:id="1716"/>
      <w:bookmarkEnd w:id="1717"/>
      <w:bookmarkEnd w:id="1718"/>
      <w:bookmarkEnd w:id="1719"/>
      <w:bookmarkEnd w:id="1720"/>
      <w:bookmarkEnd w:id="1721"/>
      <w:bookmarkEnd w:id="1722"/>
      <w:bookmarkEnd w:id="1723"/>
      <w:bookmarkEnd w:id="1724"/>
    </w:p>
    <w:p w14:paraId="5A4F08E2" w14:textId="77777777" w:rsidR="00D34C6E" w:rsidRPr="009B67BF" w:rsidRDefault="00D34C6E" w:rsidP="00D34C6E">
      <w:pPr>
        <w:rPr>
          <w:rFonts w:eastAsia="Franklin Gothic Book"/>
        </w:rPr>
      </w:pPr>
      <w:r w:rsidRPr="009B67BF">
        <w:rPr>
          <w:rFonts w:eastAsia="Franklin Gothic Book"/>
        </w:rPr>
        <w:t xml:space="preserve">Free ridership calculations should include the following components: </w:t>
      </w:r>
      <w:r>
        <w:rPr>
          <w:rFonts w:eastAsia="Franklin Gothic Book"/>
        </w:rPr>
        <w:t>No-Program,</w:t>
      </w:r>
      <w:r w:rsidRPr="009B67BF">
        <w:rPr>
          <w:rFonts w:eastAsia="Franklin Gothic Book"/>
        </w:rPr>
        <w:t xml:space="preserve"> </w:t>
      </w:r>
      <w:r>
        <w:rPr>
          <w:rFonts w:eastAsia="Franklin Gothic Book"/>
        </w:rPr>
        <w:t>T</w:t>
      </w:r>
      <w:r w:rsidRPr="009B67BF">
        <w:rPr>
          <w:rFonts w:eastAsia="Franklin Gothic Book"/>
        </w:rPr>
        <w:t>iming</w:t>
      </w:r>
      <w:r>
        <w:rPr>
          <w:rFonts w:eastAsia="Franklin Gothic Book"/>
        </w:rPr>
        <w:t>,</w:t>
      </w:r>
      <w:r w:rsidRPr="009B67BF">
        <w:rPr>
          <w:rFonts w:eastAsia="Franklin Gothic Book"/>
        </w:rPr>
        <w:t xml:space="preserve"> and </w:t>
      </w:r>
      <w:r>
        <w:rPr>
          <w:rFonts w:eastAsia="Franklin Gothic Book"/>
        </w:rPr>
        <w:t>Q</w:t>
      </w:r>
      <w:r w:rsidRPr="009B67BF">
        <w:rPr>
          <w:rFonts w:eastAsia="Franklin Gothic Book"/>
        </w:rPr>
        <w:t>uantity.</w:t>
      </w:r>
    </w:p>
    <w:p w14:paraId="25149B5F" w14:textId="77777777" w:rsidR="00D34C6E" w:rsidRPr="009B67BF" w:rsidRDefault="00D34C6E" w:rsidP="00D34C6E">
      <w:pPr>
        <w:autoSpaceDE w:val="0"/>
        <w:autoSpaceDN w:val="0"/>
        <w:adjustRightInd w:val="0"/>
        <w:rPr>
          <w:rFonts w:eastAsia="Franklin Gothic Book"/>
        </w:rPr>
      </w:pPr>
      <w:r w:rsidRPr="009B67BF">
        <w:rPr>
          <w:rFonts w:eastAsia="Franklin Gothic Book"/>
        </w:rPr>
        <w:t xml:space="preserve">This approach provides several important benefits, such as the ability to derive a partial free ridership score based on the likelihood that similar actions would have taken place, even if the participant had not received a kit. For instance, partial scores can be assigned to customers with plans to install the measure, but the program at least influenced that </w:t>
      </w:r>
      <w:r>
        <w:rPr>
          <w:rFonts w:eastAsia="Franklin Gothic Book"/>
        </w:rPr>
        <w:t>installation</w:t>
      </w:r>
      <w:r w:rsidRPr="009B67BF">
        <w:rPr>
          <w:rFonts w:eastAsia="Franklin Gothic Book"/>
        </w:rPr>
        <w:t>, particularly in terms of timing (e.g., the program might have accelerated the installation) or quantity (e.g., the program might have led to the installation of additional measures).</w:t>
      </w:r>
    </w:p>
    <w:p w14:paraId="22995A1D" w14:textId="77777777" w:rsidR="00D34C6E" w:rsidRPr="009B67BF" w:rsidRDefault="00D34C6E" w:rsidP="00D34C6E">
      <w:pPr>
        <w:rPr>
          <w:rFonts w:eastAsia="Franklin Gothic Book"/>
        </w:rPr>
      </w:pPr>
      <w:r w:rsidRPr="009B67BF">
        <w:rPr>
          <w:rFonts w:eastAsia="Franklin Gothic Book"/>
        </w:rPr>
        <w:t>Outlines of components and their associated survey questions follow:</w:t>
      </w:r>
    </w:p>
    <w:p w14:paraId="7022D2C3" w14:textId="33740880" w:rsidR="00D34C6E" w:rsidRPr="006F3432" w:rsidRDefault="00D34C6E" w:rsidP="00D34C6E">
      <w:pPr>
        <w:pStyle w:val="ListParagraph"/>
        <w:numPr>
          <w:ilvl w:val="0"/>
          <w:numId w:val="14"/>
        </w:numPr>
        <w:spacing w:after="60"/>
        <w:rPr>
          <w:rFonts w:eastAsia="Calibri"/>
          <w:b/>
        </w:rPr>
      </w:pPr>
      <w:r w:rsidRPr="006F3432">
        <w:rPr>
          <w:rFonts w:eastAsia="Calibri"/>
          <w:b/>
        </w:rPr>
        <w:t xml:space="preserve">Timing (T). </w:t>
      </w:r>
      <w:r w:rsidRPr="006F3432">
        <w:rPr>
          <w:rFonts w:eastAsia="Franklin Gothic Book"/>
        </w:rPr>
        <w:t>The first question compute</w:t>
      </w:r>
      <w:r w:rsidR="00261F7B">
        <w:rPr>
          <w:rFonts w:eastAsia="Franklin Gothic Book"/>
        </w:rPr>
        <w:t>s</w:t>
      </w:r>
      <w:r w:rsidRPr="006F3432">
        <w:rPr>
          <w:rFonts w:eastAsia="Franklin Gothic Book"/>
        </w:rPr>
        <w:t xml:space="preserve"> the Timing (T) Score accounts for earlier installation of measures due to the program by asking respondents about their likelihood (0-10 scale) to have installed an item </w:t>
      </w:r>
      <w:r w:rsidRPr="006F3432">
        <w:rPr>
          <w:rFonts w:eastAsia="Franklin Gothic Book"/>
          <w:i/>
        </w:rPr>
        <w:t>of any efficiency</w:t>
      </w:r>
      <w:r w:rsidRPr="006F3432">
        <w:rPr>
          <w:rFonts w:eastAsia="Franklin Gothic Book"/>
        </w:rPr>
        <w:t xml:space="preserve"> within 6 or 12 months, had they not received it through the program (12 months for a single or </w:t>
      </w:r>
      <w:proofErr w:type="gramStart"/>
      <w:r w:rsidRPr="006F3432">
        <w:rPr>
          <w:rFonts w:eastAsia="Franklin Gothic Book"/>
        </w:rPr>
        <w:t>big ticket</w:t>
      </w:r>
      <w:proofErr w:type="gramEnd"/>
      <w:r w:rsidRPr="006F3432">
        <w:rPr>
          <w:rFonts w:eastAsia="Franklin Gothic Book"/>
        </w:rPr>
        <w:t xml:space="preserve"> item and 6 months for less expensive items).</w:t>
      </w:r>
    </w:p>
    <w:p w14:paraId="02FC86F1" w14:textId="12936284" w:rsidR="00D34C6E" w:rsidRPr="009B67BF" w:rsidRDefault="00D34C6E" w:rsidP="00D34C6E">
      <w:pPr>
        <w:widowControl/>
        <w:numPr>
          <w:ilvl w:val="0"/>
          <w:numId w:val="14"/>
        </w:numPr>
        <w:spacing w:after="60"/>
        <w:rPr>
          <w:rFonts w:eastAsia="Calibri"/>
        </w:rPr>
      </w:pPr>
      <w:r>
        <w:rPr>
          <w:rFonts w:eastAsia="Franklin Gothic Book"/>
          <w:b/>
        </w:rPr>
        <w:t xml:space="preserve">Efficiency (E). </w:t>
      </w:r>
      <w:r w:rsidRPr="009B67BF">
        <w:rPr>
          <w:rFonts w:eastAsia="Calibri"/>
        </w:rPr>
        <w:t xml:space="preserve">This score reflects the likelihood that customers would have installed </w:t>
      </w:r>
      <w:r>
        <w:rPr>
          <w:rFonts w:eastAsia="Franklin Gothic Book"/>
        </w:rPr>
        <w:t>equipment of the same level of high efficiency as the unit installed absent the program</w:t>
      </w:r>
      <w:r w:rsidRPr="009B67BF">
        <w:rPr>
          <w:rFonts w:eastAsia="Calibri"/>
        </w:rPr>
        <w:t xml:space="preserve">. </w:t>
      </w:r>
      <w:r>
        <w:rPr>
          <w:rFonts w:eastAsia="Calibri"/>
        </w:rPr>
        <w:t>T</w:t>
      </w:r>
      <w:r w:rsidRPr="009B67BF">
        <w:rPr>
          <w:rFonts w:eastAsia="Calibri"/>
        </w:rPr>
        <w:t xml:space="preserve">his is based on a question asking respondents to rate the likelihood that they would have installed measures </w:t>
      </w:r>
      <w:r>
        <w:rPr>
          <w:rFonts w:eastAsia="Franklin Gothic Book"/>
        </w:rPr>
        <w:t xml:space="preserve">of the same level of high efficiency </w:t>
      </w:r>
      <w:r w:rsidRPr="009B67BF">
        <w:rPr>
          <w:rFonts w:eastAsia="Calibri"/>
        </w:rPr>
        <w:t xml:space="preserve">had they not </w:t>
      </w:r>
      <w:r w:rsidRPr="009B67BF">
        <w:rPr>
          <w:rFonts w:eastAsia="Franklin Gothic Book"/>
        </w:rPr>
        <w:t>received</w:t>
      </w:r>
      <w:r w:rsidRPr="009B67BF">
        <w:rPr>
          <w:rFonts w:eastAsia="Calibri"/>
        </w:rPr>
        <w:t xml:space="preserve"> them for free through the </w:t>
      </w:r>
      <w:r>
        <w:rPr>
          <w:rFonts w:eastAsia="Calibri"/>
        </w:rPr>
        <w:t>kit</w:t>
      </w:r>
      <w:r w:rsidRPr="009B67BF">
        <w:rPr>
          <w:rFonts w:eastAsia="Calibri"/>
        </w:rPr>
        <w:t xml:space="preserve"> (on a 0 to 10 scale, where 0 is not at all likely and 10 is extremely likely). A higher likelihood value means a higher level of free ridership (i.e., a lower attribution level for the program).</w:t>
      </w:r>
    </w:p>
    <w:p w14:paraId="2CD18805" w14:textId="77777777" w:rsidR="00D34C6E" w:rsidRPr="009B67BF" w:rsidRDefault="00D34C6E" w:rsidP="00D34C6E">
      <w:pPr>
        <w:widowControl/>
        <w:numPr>
          <w:ilvl w:val="0"/>
          <w:numId w:val="14"/>
        </w:numPr>
        <w:rPr>
          <w:rFonts w:eastAsia="Franklin Gothic Book"/>
        </w:rPr>
      </w:pPr>
      <w:r>
        <w:rPr>
          <w:rFonts w:eastAsia="Franklin Gothic Book"/>
          <w:b/>
        </w:rPr>
        <w:t>Quantity (Q).</w:t>
      </w:r>
      <w:r w:rsidRPr="009B67BF">
        <w:rPr>
          <w:rFonts w:eastAsia="Franklin Gothic Book"/>
        </w:rPr>
        <w:t xml:space="preserve"> </w:t>
      </w:r>
      <w:r w:rsidRPr="00DA6F8C">
        <w:rPr>
          <w:rFonts w:eastAsia="Franklin Gothic Book"/>
        </w:rPr>
        <w:t xml:space="preserve">The question </w:t>
      </w:r>
      <w:r>
        <w:rPr>
          <w:rFonts w:eastAsia="Franklin Gothic Book"/>
        </w:rPr>
        <w:t xml:space="preserve">to compute the Quantity (Q) Score </w:t>
      </w:r>
      <w:r w:rsidRPr="00DA6F8C">
        <w:rPr>
          <w:rFonts w:eastAsia="Franklin Gothic Book"/>
        </w:rPr>
        <w:t xml:space="preserve">asks respondents about the likelihood that they would have installed fewer measures </w:t>
      </w:r>
      <w:r w:rsidRPr="009B67BF">
        <w:t>without the program. The response to this question is subtracted from 10</w:t>
      </w:r>
      <w:r>
        <w:t xml:space="preserve"> to compute the Quantity Score</w:t>
      </w:r>
      <w:r w:rsidRPr="009B67BF">
        <w:t xml:space="preserve">, as a lower score means a greater likelihood </w:t>
      </w:r>
      <w:r>
        <w:t>the respondent</w:t>
      </w:r>
      <w:r w:rsidRPr="009B67BF">
        <w:t xml:space="preserve"> would have installed the same or a greater number of measures. </w:t>
      </w:r>
    </w:p>
    <w:p w14:paraId="7D5BF1B2" w14:textId="77777777" w:rsidR="00D34C6E" w:rsidRPr="009B67BF" w:rsidRDefault="00D34C6E" w:rsidP="00D34C6E">
      <w:pPr>
        <w:rPr>
          <w:rFonts w:eastAsia="Franklin Gothic Book"/>
        </w:rPr>
      </w:pPr>
      <w:r w:rsidRPr="009B67BF">
        <w:rPr>
          <w:rFonts w:eastAsia="Franklin Gothic Book"/>
        </w:rPr>
        <w:t xml:space="preserve">Given the low cost of measures provided in the energy-saving kits as well as the number of measures included in each kit, efforts have been made to streamline the free ridership battery to reduce the respondent’s burden. As such, the overall </w:t>
      </w:r>
      <w:r>
        <w:rPr>
          <w:rFonts w:eastAsia="Franklin Gothic Book"/>
        </w:rPr>
        <w:t>Final F</w:t>
      </w:r>
      <w:r w:rsidRPr="009B67BF">
        <w:rPr>
          <w:rFonts w:eastAsia="Franklin Gothic Book"/>
        </w:rPr>
        <w:t xml:space="preserve">ree </w:t>
      </w:r>
      <w:r>
        <w:rPr>
          <w:rFonts w:eastAsia="Franklin Gothic Book"/>
        </w:rPr>
        <w:t>R</w:t>
      </w:r>
      <w:r w:rsidRPr="009B67BF">
        <w:rPr>
          <w:rFonts w:eastAsia="Franklin Gothic Book"/>
        </w:rPr>
        <w:t xml:space="preserve">idership </w:t>
      </w:r>
      <w:r>
        <w:rPr>
          <w:rFonts w:eastAsia="Franklin Gothic Book"/>
        </w:rPr>
        <w:t>Value</w:t>
      </w:r>
      <w:r w:rsidRPr="009B67BF">
        <w:rPr>
          <w:rFonts w:eastAsia="Franklin Gothic Book"/>
        </w:rPr>
        <w:t xml:space="preserve"> per measure can be </w:t>
      </w:r>
      <w:r>
        <w:rPr>
          <w:rFonts w:eastAsia="Franklin Gothic Book"/>
        </w:rPr>
        <w:t>calculated by taking the minimum of the Timing, Efficiency, and Quantity Scores</w:t>
      </w:r>
      <w:r w:rsidRPr="009B67BF">
        <w:rPr>
          <w:rFonts w:eastAsia="Franklin Gothic Book"/>
        </w:rPr>
        <w:t>, as shown in the following equation:</w:t>
      </w:r>
    </w:p>
    <w:p w14:paraId="4B542E41" w14:textId="7DEECF12" w:rsidR="00D34C6E" w:rsidRPr="001702D1" w:rsidRDefault="00016B3F" w:rsidP="00D34C6E">
      <w:pPr>
        <w:jc w:val="center"/>
        <w:rPr>
          <w:rFonts w:eastAsia="Franklin Gothic Book"/>
        </w:rPr>
      </w:pPr>
      <m:oMathPara>
        <m:oMath>
          <m:r>
            <w:rPr>
              <w:rFonts w:ascii="Cambria Math" w:eastAsia="Franklin Gothic Book" w:hAnsi="Cambria Math"/>
            </w:rPr>
            <m:t xml:space="preserve">Free Ridership </m:t>
          </m:r>
          <m:d>
            <m:dPr>
              <m:ctrlPr>
                <w:rPr>
                  <w:rFonts w:ascii="Cambria Math" w:eastAsia="Franklin Gothic Book" w:hAnsi="Cambria Math"/>
                  <w:i/>
                </w:rPr>
              </m:ctrlPr>
            </m:dPr>
            <m:e>
              <m:r>
                <w:rPr>
                  <w:rFonts w:ascii="Cambria Math" w:eastAsia="Franklin Gothic Book" w:hAnsi="Cambria Math"/>
                </w:rPr>
                <m:t>FR</m:t>
              </m:r>
            </m:e>
          </m:d>
          <m:r>
            <w:rPr>
              <w:rFonts w:ascii="Cambria Math" w:eastAsia="Franklin Gothic Book" w:hAnsi="Cambria Math"/>
            </w:rPr>
            <m:t>= Min</m:t>
          </m:r>
          <m:d>
            <m:dPr>
              <m:ctrlPr>
                <w:rPr>
                  <w:rFonts w:ascii="Cambria Math" w:eastAsia="Franklin Gothic Book" w:hAnsi="Cambria Math"/>
                  <w:i/>
                </w:rPr>
              </m:ctrlPr>
            </m:dPr>
            <m:e>
              <m:r>
                <w:rPr>
                  <w:rFonts w:ascii="Cambria Math" w:eastAsia="Franklin Gothic Book" w:hAnsi="Cambria Math"/>
                </w:rPr>
                <m:t>T, E,Q</m:t>
              </m:r>
            </m:e>
          </m:d>
        </m:oMath>
      </m:oMathPara>
    </w:p>
    <w:p w14:paraId="777F3F5D" w14:textId="77777777" w:rsidR="00D34C6E" w:rsidRPr="009B67BF" w:rsidRDefault="00D34C6E" w:rsidP="00D34C6E">
      <w:pPr>
        <w:rPr>
          <w:rFonts w:eastAsia="Franklin Gothic Book"/>
        </w:rPr>
      </w:pPr>
      <w:r w:rsidRPr="009B67BF">
        <w:rPr>
          <w:rFonts w:eastAsia="Franklin Gothic Book"/>
        </w:rPr>
        <w:t>Missing responses to specific questions (e.g., don’t know or refused) should be treated as “missing” for that particular question. Despite missing responses, the case will be retained in the analysis (pairwise deletion). The evaluation reports should present the percent missing for each of the three questions.</w:t>
      </w:r>
    </w:p>
    <w:p w14:paraId="67AEC520" w14:textId="77777777" w:rsidR="00D34C6E" w:rsidRPr="009B67BF" w:rsidRDefault="00D34C6E" w:rsidP="001A2AE6">
      <w:pPr>
        <w:pStyle w:val="Heading4"/>
      </w:pPr>
      <w:bookmarkStart w:id="1725" w:name="_Toc442804314"/>
      <w:bookmarkStart w:id="1726" w:name="_Toc442805531"/>
      <w:r w:rsidRPr="009B67BF">
        <w:t>Data Collection</w:t>
      </w:r>
      <w:bookmarkEnd w:id="1725"/>
      <w:bookmarkEnd w:id="1726"/>
    </w:p>
    <w:p w14:paraId="36CD3DA8" w14:textId="77777777" w:rsidR="00D34C6E" w:rsidRPr="009B67BF" w:rsidRDefault="00D34C6E" w:rsidP="00D34C6E">
      <w:pPr>
        <w:rPr>
          <w:rFonts w:eastAsia="Franklin Gothic Book"/>
        </w:rPr>
      </w:pPr>
      <w:r w:rsidRPr="009B67BF">
        <w:rPr>
          <w:rFonts w:eastAsia="Franklin Gothic Book"/>
        </w:rPr>
        <w:t>Evaluators should use a participant survey as the primary data collection source for estimating free ridership in Energy Saving Kits and El</w:t>
      </w:r>
      <w:r>
        <w:rPr>
          <w:rFonts w:eastAsia="Franklin Gothic Book"/>
        </w:rPr>
        <w:t xml:space="preserve">ementary Education Programs. As a </w:t>
      </w:r>
      <w:r w:rsidRPr="009B67BF">
        <w:rPr>
          <w:rFonts w:eastAsia="Franklin Gothic Book"/>
        </w:rPr>
        <w:t>general</w:t>
      </w:r>
      <w:r>
        <w:rPr>
          <w:rFonts w:eastAsia="Franklin Gothic Book"/>
        </w:rPr>
        <w:t xml:space="preserve"> rule</w:t>
      </w:r>
      <w:r w:rsidRPr="009B67BF">
        <w:rPr>
          <w:rFonts w:eastAsia="Franklin Gothic Book"/>
        </w:rPr>
        <w:t xml:space="preserve">, </w:t>
      </w:r>
      <w:r>
        <w:rPr>
          <w:rFonts w:eastAsia="Franklin Gothic Book"/>
        </w:rPr>
        <w:t>a</w:t>
      </w:r>
      <w:r w:rsidRPr="009B67BF">
        <w:rPr>
          <w:rFonts w:eastAsia="Franklin Gothic Book"/>
        </w:rPr>
        <w:t xml:space="preserve"> free ridership rate should be calculated for each separate kit component, and then be weighted by savings to determine the program-level results.</w:t>
      </w:r>
    </w:p>
    <w:p w14:paraId="7AC3387C" w14:textId="77777777" w:rsidR="00D34C6E" w:rsidRPr="009B67BF" w:rsidRDefault="00D34C6E" w:rsidP="00D34C6E">
      <w:pPr>
        <w:pStyle w:val="Heading2"/>
        <w:keepLines w:val="0"/>
        <w:widowControl/>
        <w:numPr>
          <w:ilvl w:val="1"/>
          <w:numId w:val="8"/>
        </w:numPr>
        <w:jc w:val="left"/>
      </w:pPr>
      <w:bookmarkStart w:id="1727" w:name="_Toc431527817"/>
      <w:bookmarkStart w:id="1728" w:name="_Toc431527818"/>
      <w:bookmarkStart w:id="1729" w:name="_Toc431527819"/>
      <w:bookmarkStart w:id="1730" w:name="_Toc431527820"/>
      <w:bookmarkStart w:id="1731" w:name="_Toc431527821"/>
      <w:bookmarkStart w:id="1732" w:name="_Toc431527822"/>
      <w:bookmarkStart w:id="1733" w:name="_Toc431527823"/>
      <w:bookmarkStart w:id="1734" w:name="_Toc431527824"/>
      <w:bookmarkStart w:id="1735" w:name="_Toc431527825"/>
      <w:bookmarkStart w:id="1736" w:name="_Toc431527826"/>
      <w:bookmarkStart w:id="1737" w:name="_Toc431527827"/>
      <w:bookmarkStart w:id="1738" w:name="_Toc431527828"/>
      <w:bookmarkStart w:id="1739" w:name="_Toc431527829"/>
      <w:bookmarkStart w:id="1740" w:name="_Toc431527830"/>
      <w:bookmarkStart w:id="1741" w:name="_Toc431527831"/>
      <w:bookmarkStart w:id="1742" w:name="_Toc431527832"/>
      <w:bookmarkStart w:id="1743" w:name="_Toc431527833"/>
      <w:bookmarkStart w:id="1744" w:name="_Toc431527834"/>
      <w:bookmarkStart w:id="1745" w:name="_Toc431527835"/>
      <w:bookmarkStart w:id="1746" w:name="_Toc431527836"/>
      <w:bookmarkStart w:id="1747" w:name="_Toc431527837"/>
      <w:bookmarkStart w:id="1748" w:name="_Toc431526480"/>
      <w:bookmarkStart w:id="1749" w:name="_Ref442305528"/>
      <w:bookmarkStart w:id="1750" w:name="_Ref442305534"/>
      <w:bookmarkStart w:id="1751" w:name="_Toc442804315"/>
      <w:bookmarkStart w:id="1752" w:name="_Toc442805532"/>
      <w:bookmarkStart w:id="1753" w:name="_Toc472494726"/>
      <w:bookmarkStart w:id="1754" w:name="_Toc520462924"/>
      <w:bookmarkStart w:id="1755" w:name="_Toc473108068"/>
      <w:bookmarkStart w:id="1756" w:name="_Toc520824178"/>
      <w:bookmarkStart w:id="1757" w:name="_Toc16619961"/>
      <w:bookmarkStart w:id="1758" w:name="_Toc11361981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r>
        <w:t xml:space="preserve">Residential </w:t>
      </w:r>
      <w:r w:rsidRPr="009B67BF">
        <w:t xml:space="preserve">New Construction </w:t>
      </w:r>
      <w:bookmarkEnd w:id="1748"/>
      <w:r>
        <w:t>Protocol</w:t>
      </w:r>
      <w:bookmarkEnd w:id="1749"/>
      <w:bookmarkEnd w:id="1750"/>
      <w:bookmarkEnd w:id="1751"/>
      <w:bookmarkEnd w:id="1752"/>
      <w:bookmarkEnd w:id="1753"/>
      <w:bookmarkEnd w:id="1754"/>
      <w:bookmarkEnd w:id="1755"/>
      <w:bookmarkEnd w:id="1756"/>
      <w:bookmarkEnd w:id="1757"/>
      <w:bookmarkEnd w:id="1758"/>
    </w:p>
    <w:p w14:paraId="2E5AE0D0" w14:textId="77777777" w:rsidR="00D34C6E" w:rsidRPr="009B67BF" w:rsidRDefault="00D34C6E" w:rsidP="00D34C6E">
      <w:pPr>
        <w:rPr>
          <w:rFonts w:eastAsia="Franklin Gothic Book"/>
        </w:rPr>
      </w:pPr>
      <w:r w:rsidRPr="009B67BF">
        <w:t xml:space="preserve">Residential New Construction programs typically offer builder training, technical information, marketing materials, and incentives to builders for the construction of eligible homes. Eligible homes must meet specific standards, designed to achieve energy efficiency levels above local building codes. </w:t>
      </w:r>
      <w:r w:rsidRPr="009B67BF">
        <w:rPr>
          <w:rFonts w:eastAsia="Franklin Gothic Book"/>
        </w:rPr>
        <w:t>Programs may use different tiers of standards to meet correspondingly different incentives.</w:t>
      </w:r>
    </w:p>
    <w:p w14:paraId="6F6F5776" w14:textId="77777777" w:rsidR="00D34C6E" w:rsidRPr="009B67BF" w:rsidRDefault="00D34C6E" w:rsidP="00D34C6E">
      <w:pPr>
        <w:rPr>
          <w:rFonts w:eastAsia="Franklin Gothic Book"/>
        </w:rPr>
      </w:pPr>
      <w:r w:rsidRPr="009B67BF">
        <w:rPr>
          <w:rFonts w:eastAsia="Franklin Gothic Book"/>
        </w:rPr>
        <w:t>The basic method for estimating free ridership and participant spillover for these programs is based on builder participant self-reporting, gathered through surveys.</w:t>
      </w:r>
    </w:p>
    <w:p w14:paraId="1D7B4A26" w14:textId="77777777" w:rsidR="00D34C6E" w:rsidRPr="009B67BF" w:rsidRDefault="00D34C6E" w:rsidP="00D34C6E">
      <w:pPr>
        <w:rPr>
          <w:rFonts w:eastAsia="Franklin Gothic Book"/>
        </w:rPr>
      </w:pPr>
      <w:r w:rsidRPr="009B67BF">
        <w:rPr>
          <w:rFonts w:eastAsia="Franklin Gothic Book"/>
        </w:rPr>
        <w:t>The following section describes the basic method used.</w:t>
      </w:r>
    </w:p>
    <w:p w14:paraId="1DD84616" w14:textId="77777777" w:rsidR="00D34C6E" w:rsidRPr="009B67BF" w:rsidRDefault="00D34C6E" w:rsidP="0088039F">
      <w:pPr>
        <w:pStyle w:val="Heading3"/>
      </w:pPr>
      <w:bookmarkStart w:id="1759" w:name="_Toc442975742"/>
      <w:bookmarkStart w:id="1760" w:name="_Toc442804316"/>
      <w:bookmarkStart w:id="1761" w:name="_Toc442805533"/>
      <w:bookmarkStart w:id="1762" w:name="_Toc472494727"/>
      <w:bookmarkStart w:id="1763" w:name="_Toc520462925"/>
      <w:bookmarkStart w:id="1764" w:name="_Toc473108069"/>
      <w:bookmarkStart w:id="1765" w:name="_Toc520824179"/>
      <w:bookmarkStart w:id="1766" w:name="_Toc16619962"/>
      <w:bookmarkStart w:id="1767" w:name="_Toc113619817"/>
      <w:bookmarkStart w:id="1768" w:name="_Toc431526481"/>
      <w:bookmarkEnd w:id="1759"/>
      <w:r w:rsidRPr="009B67BF">
        <w:t>Basic Method</w:t>
      </w:r>
      <w:bookmarkEnd w:id="1760"/>
      <w:bookmarkEnd w:id="1761"/>
      <w:bookmarkEnd w:id="1762"/>
      <w:bookmarkEnd w:id="1763"/>
      <w:bookmarkEnd w:id="1764"/>
      <w:bookmarkEnd w:id="1765"/>
      <w:bookmarkEnd w:id="1766"/>
      <w:bookmarkEnd w:id="1767"/>
    </w:p>
    <w:bookmarkEnd w:id="1768"/>
    <w:p w14:paraId="0D0568E7" w14:textId="77777777" w:rsidR="00D34C6E" w:rsidRPr="009B67BF" w:rsidRDefault="00D34C6E" w:rsidP="00D34C6E">
      <w:pPr>
        <w:rPr>
          <w:rFonts w:eastAsia="Franklin Gothic Book"/>
        </w:rPr>
      </w:pPr>
      <w:r>
        <w:rPr>
          <w:rFonts w:eastAsia="Franklin Gothic Book"/>
        </w:rPr>
        <w:t xml:space="preserve">For this program, </w:t>
      </w:r>
      <w:r w:rsidRPr="009B67BF">
        <w:rPr>
          <w:rFonts w:eastAsia="Franklin Gothic Book"/>
        </w:rPr>
        <w:t xml:space="preserve">a free rider is a builder </w:t>
      </w:r>
      <w:r>
        <w:rPr>
          <w:rFonts w:eastAsia="Franklin Gothic Book"/>
        </w:rPr>
        <w:t>who would have constructed</w:t>
      </w:r>
      <w:r w:rsidRPr="009B67BF">
        <w:rPr>
          <w:rFonts w:eastAsia="Franklin Gothic Book"/>
        </w:rPr>
        <w:t xml:space="preserve"> a home at the program’s efficiency level in </w:t>
      </w:r>
      <w:r w:rsidRPr="009B67BF">
        <w:rPr>
          <w:rFonts w:eastAsia="Franklin Gothic Book"/>
        </w:rPr>
        <w:lastRenderedPageBreak/>
        <w:t xml:space="preserve">the program’s absence. Given the multiple methods available to achieve desired home energy efficiency levels, survey questions consider the builder’s likelihood of meeting the same energy efficiency standard, rather than whether or not the builder would have installed certain energy efficiency measures. </w:t>
      </w:r>
      <w:r>
        <w:rPr>
          <w:rFonts w:eastAsia="Franklin Gothic Book"/>
        </w:rPr>
        <w:t xml:space="preserve"> Figure 4-12 </w:t>
      </w:r>
      <w:r w:rsidRPr="009B67BF">
        <w:rPr>
          <w:rFonts w:eastAsia="Franklin Gothic Book"/>
        </w:rPr>
        <w:t>(below) illustrates the method in more detail.</w:t>
      </w:r>
    </w:p>
    <w:p w14:paraId="23960E28" w14:textId="77777777" w:rsidR="00D34C6E" w:rsidRPr="009B67BF" w:rsidRDefault="00D34C6E" w:rsidP="00D34C6E">
      <w:pPr>
        <w:rPr>
          <w:rFonts w:eastAsia="Franklin Gothic Book"/>
        </w:rPr>
      </w:pPr>
      <w:r w:rsidRPr="009B67BF">
        <w:rPr>
          <w:rFonts w:eastAsia="Franklin Gothic Book"/>
        </w:rPr>
        <w:t xml:space="preserve">Evaluators assess </w:t>
      </w:r>
      <w:r>
        <w:rPr>
          <w:rFonts w:eastAsia="Franklin Gothic Book"/>
        </w:rPr>
        <w:t>P</w:t>
      </w:r>
      <w:r w:rsidRPr="009B67BF">
        <w:rPr>
          <w:rFonts w:eastAsia="Franklin Gothic Book"/>
        </w:rPr>
        <w:t xml:space="preserve">rogram </w:t>
      </w:r>
      <w:r>
        <w:rPr>
          <w:rFonts w:eastAsia="Franklin Gothic Book"/>
        </w:rPr>
        <w:t>I</w:t>
      </w:r>
      <w:r w:rsidRPr="009B67BF">
        <w:rPr>
          <w:rFonts w:eastAsia="Franklin Gothic Book"/>
        </w:rPr>
        <w:t>nfluence by asking respondents, on a scale from 0 (not at all important) to 10 (</w:t>
      </w:r>
      <w:r>
        <w:rPr>
          <w:rFonts w:eastAsia="Calibri"/>
        </w:rPr>
        <w:t xml:space="preserve">extremely </w:t>
      </w:r>
      <w:r w:rsidRPr="009B67BF">
        <w:rPr>
          <w:rFonts w:eastAsia="Franklin Gothic Book"/>
        </w:rPr>
        <w:t xml:space="preserve">important), how important they found various program elements in deciding to build to specific energy efficiency standards. The number of elements included vary, depending on the program’s design. Logic models, program theory, and staff interviews typically inform the list of program elements included. Programs typically use the following elements to influence builder </w:t>
      </w:r>
      <w:r>
        <w:rPr>
          <w:rFonts w:eastAsia="Franklin Gothic Book"/>
        </w:rPr>
        <w:t>actions</w:t>
      </w:r>
      <w:r w:rsidRPr="009B67BF">
        <w:rPr>
          <w:rFonts w:eastAsia="Franklin Gothic Book"/>
        </w:rPr>
        <w:t>: marketing materials; incentives or rebates; contacts with HERS Raters; and technical assistance.</w:t>
      </w:r>
    </w:p>
    <w:p w14:paraId="4EA9DCC3" w14:textId="77777777" w:rsidR="00D34C6E" w:rsidRDefault="00D34C6E" w:rsidP="00D34C6E">
      <w:pPr>
        <w:rPr>
          <w:rFonts w:eastAsia="Franklin Gothic Book"/>
        </w:rPr>
      </w:pPr>
      <w:r w:rsidRPr="009B67BF">
        <w:rPr>
          <w:rFonts w:eastAsia="Franklin Gothic Book"/>
        </w:rPr>
        <w:t xml:space="preserve">In addition to asking about specific program influences, surveys </w:t>
      </w:r>
      <w:r>
        <w:rPr>
          <w:rFonts w:eastAsia="Franklin Gothic Book"/>
        </w:rPr>
        <w:t xml:space="preserve">should </w:t>
      </w:r>
      <w:r w:rsidRPr="009B67BF">
        <w:rPr>
          <w:rFonts w:eastAsia="Franklin Gothic Book"/>
        </w:rPr>
        <w:t>ask builders whether they planned to build homes to the same standard before learning of the program.</w:t>
      </w:r>
    </w:p>
    <w:p w14:paraId="05B26F8C" w14:textId="00B1586E" w:rsidR="00D34C6E" w:rsidRDefault="005535C2" w:rsidP="00D21F1A">
      <w:pPr>
        <w:pStyle w:val="Captions"/>
      </w:pPr>
      <w:bookmarkStart w:id="1769" w:name="_Toc83376844"/>
      <w:r>
        <w:rPr>
          <w:noProof/>
        </w:rPr>
        <w:drawing>
          <wp:anchor distT="0" distB="0" distL="114300" distR="114300" simplePos="0" relativeHeight="251680256" behindDoc="0" locked="0" layoutInCell="1" allowOverlap="1" wp14:anchorId="41DA28C2" wp14:editId="5671C359">
            <wp:simplePos x="0" y="0"/>
            <wp:positionH relativeFrom="column">
              <wp:posOffset>103762</wp:posOffset>
            </wp:positionH>
            <wp:positionV relativeFrom="paragraph">
              <wp:posOffset>184785</wp:posOffset>
            </wp:positionV>
            <wp:extent cx="5696585" cy="3446780"/>
            <wp:effectExtent l="0" t="0" r="0" b="1270"/>
            <wp:wrapSquare wrapText="bothSides"/>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696585" cy="3446780"/>
                    </a:xfrm>
                    <a:prstGeom prst="rect">
                      <a:avLst/>
                    </a:prstGeom>
                    <a:noFill/>
                  </pic:spPr>
                </pic:pic>
              </a:graphicData>
            </a:graphic>
            <wp14:sizeRelH relativeFrom="margin">
              <wp14:pctWidth>0</wp14:pctWidth>
            </wp14:sizeRelH>
            <wp14:sizeRelV relativeFrom="margin">
              <wp14:pctHeight>0</wp14:pctHeight>
            </wp14:sizeRelV>
          </wp:anchor>
        </w:drawing>
      </w:r>
      <w:bookmarkStart w:id="1770" w:name="_Ref442634411"/>
      <w:bookmarkStart w:id="1771" w:name="_Toc472494766"/>
      <w:bookmarkStart w:id="1772" w:name="_Toc473108126"/>
      <w:bookmarkStart w:id="1773" w:name="_Toc520824274"/>
      <w:bookmarkStart w:id="1774" w:name="_Toc523148256"/>
      <w:bookmarkStart w:id="1775" w:name="_Toc16620018"/>
      <w:r w:rsidR="00D34C6E" w:rsidRPr="00790326">
        <w:t>Figure 4</w:t>
      </w:r>
      <w:r w:rsidR="00D34C6E" w:rsidRPr="00790326">
        <w:noBreakHyphen/>
      </w:r>
      <w:bookmarkEnd w:id="1770"/>
      <w:r w:rsidR="00D34C6E" w:rsidRPr="00790326">
        <w:t>1</w:t>
      </w:r>
      <w:r w:rsidR="00D34C6E">
        <w:t>2</w:t>
      </w:r>
      <w:r w:rsidR="00D34C6E" w:rsidRPr="00790326">
        <w:t>. Residential New Construction Free Ridership</w:t>
      </w:r>
      <w:bookmarkEnd w:id="1769"/>
      <w:bookmarkEnd w:id="1771"/>
      <w:bookmarkEnd w:id="1772"/>
      <w:bookmarkEnd w:id="1773"/>
      <w:bookmarkEnd w:id="1774"/>
      <w:bookmarkEnd w:id="1775"/>
    </w:p>
    <w:p w14:paraId="296DFBF1" w14:textId="6BD411D4" w:rsidR="00D34C6E" w:rsidRPr="00790326" w:rsidRDefault="00D34C6E" w:rsidP="00D34C6E"/>
    <w:p w14:paraId="7B671B39" w14:textId="77777777" w:rsidR="00D34C6E" w:rsidRDefault="00D34C6E" w:rsidP="00A352F0">
      <w:pPr>
        <w:pStyle w:val="Heading4"/>
      </w:pPr>
      <w:bookmarkStart w:id="1776" w:name="_Toc442804317"/>
      <w:bookmarkStart w:id="1777" w:name="_Toc442805534"/>
      <w:r>
        <w:t>Calculation of the Program Influence Score</w:t>
      </w:r>
      <w:bookmarkEnd w:id="1776"/>
      <w:bookmarkEnd w:id="1777"/>
    </w:p>
    <w:p w14:paraId="3D8C4F45" w14:textId="77777777" w:rsidR="00D34C6E" w:rsidRDefault="00D34C6E" w:rsidP="00D34C6E">
      <w:pPr>
        <w:rPr>
          <w:rFonts w:eastAsia="Franklin Gothic Book"/>
        </w:rPr>
      </w:pPr>
      <w:r w:rsidRPr="009B67BF">
        <w:rPr>
          <w:rFonts w:eastAsia="Franklin Gothic Book"/>
        </w:rPr>
        <w:t xml:space="preserve">The </w:t>
      </w:r>
      <w:r>
        <w:rPr>
          <w:rFonts w:eastAsia="Franklin Gothic Book"/>
        </w:rPr>
        <w:t>Program I</w:t>
      </w:r>
      <w:r w:rsidRPr="009B67BF">
        <w:rPr>
          <w:rFonts w:eastAsia="Franklin Gothic Book"/>
        </w:rPr>
        <w:t xml:space="preserve">nfluence </w:t>
      </w:r>
      <w:r>
        <w:rPr>
          <w:rFonts w:eastAsia="Franklin Gothic Book"/>
        </w:rPr>
        <w:t>S</w:t>
      </w:r>
      <w:r w:rsidRPr="009B67BF">
        <w:rPr>
          <w:rFonts w:eastAsia="Franklin Gothic Book"/>
        </w:rPr>
        <w:t>core</w:t>
      </w:r>
      <w:r>
        <w:rPr>
          <w:rFonts w:eastAsia="Franklin Gothic Book"/>
        </w:rPr>
        <w:t xml:space="preserve"> (PI)</w:t>
      </w:r>
      <w:r w:rsidRPr="009B67BF">
        <w:rPr>
          <w:rFonts w:eastAsia="Franklin Gothic Book"/>
        </w:rPr>
        <w:t xml:space="preserve"> equals</w:t>
      </w:r>
      <w:r>
        <w:rPr>
          <w:rFonts w:eastAsia="Franklin Gothic Book"/>
        </w:rPr>
        <w:t xml:space="preserve"> 10 minus </w:t>
      </w:r>
      <w:r w:rsidRPr="009B67BF">
        <w:rPr>
          <w:rFonts w:eastAsia="Franklin Gothic Book"/>
        </w:rPr>
        <w:t xml:space="preserve">the maximum influence rating for any program element rather than, for example, the mean influence rating. This is based on the rationale that if any given program element had a great influence on the respondent’s </w:t>
      </w:r>
      <w:r>
        <w:rPr>
          <w:rFonts w:eastAsia="Franklin Gothic Book"/>
        </w:rPr>
        <w:t>action,</w:t>
      </w:r>
      <w:r w:rsidRPr="009B67BF">
        <w:rPr>
          <w:rFonts w:eastAsia="Franklin Gothic Book"/>
        </w:rPr>
        <w:t xml:space="preserve"> the program itself had a great influence, even if other elements had less influence.</w:t>
      </w:r>
    </w:p>
    <w:p w14:paraId="4AC9E3C1" w14:textId="77777777" w:rsidR="00D34C6E" w:rsidRPr="00E36F2F" w:rsidRDefault="00D34C6E" w:rsidP="00A352F0">
      <w:pPr>
        <w:pStyle w:val="Heading4"/>
      </w:pPr>
      <w:r w:rsidRPr="00E36F2F">
        <w:t>Calculation of the No-Program Score</w:t>
      </w:r>
    </w:p>
    <w:p w14:paraId="3E334D36" w14:textId="77777777" w:rsidR="00D34C6E" w:rsidRPr="009B67BF" w:rsidRDefault="00D34C6E" w:rsidP="00D34C6E">
      <w:pPr>
        <w:rPr>
          <w:rFonts w:eastAsia="Franklin Gothic Book"/>
        </w:rPr>
      </w:pPr>
      <w:r w:rsidRPr="009B67BF">
        <w:rPr>
          <w:rFonts w:eastAsia="Franklin Gothic Book"/>
        </w:rPr>
        <w:t xml:space="preserve">Evaluators calculate the </w:t>
      </w:r>
      <w:r>
        <w:rPr>
          <w:rFonts w:eastAsia="Franklin Gothic Book"/>
        </w:rPr>
        <w:t>No-P</w:t>
      </w:r>
      <w:r w:rsidRPr="009B67BF">
        <w:rPr>
          <w:rFonts w:eastAsia="Franklin Gothic Book"/>
        </w:rPr>
        <w:t xml:space="preserve">rogram score using a set of questions that ask respondents to gauge their likelihood of building homes to the same standards and in the same quantities had the program not existed. Three separate responses are considered in calculating the </w:t>
      </w:r>
      <w:r>
        <w:rPr>
          <w:rFonts w:eastAsia="Franklin Gothic Book"/>
        </w:rPr>
        <w:t>No-Program S</w:t>
      </w:r>
      <w:r w:rsidRPr="009B67BF">
        <w:rPr>
          <w:rFonts w:eastAsia="Franklin Gothic Book"/>
        </w:rPr>
        <w:t>core:</w:t>
      </w:r>
    </w:p>
    <w:p w14:paraId="5125F23F" w14:textId="77777777" w:rsidR="00D34C6E" w:rsidRPr="009B67BF" w:rsidRDefault="00D34C6E" w:rsidP="00D34C6E">
      <w:pPr>
        <w:widowControl/>
        <w:numPr>
          <w:ilvl w:val="0"/>
          <w:numId w:val="14"/>
        </w:numPr>
        <w:spacing w:after="60"/>
        <w:rPr>
          <w:rFonts w:eastAsia="Franklin Gothic Book"/>
        </w:rPr>
      </w:pPr>
      <w:r w:rsidRPr="009B67BF">
        <w:rPr>
          <w:rFonts w:eastAsia="Franklin Gothic Book"/>
        </w:rPr>
        <w:t>The likelihood, on a scale of 0 to 10, that the builder would have built their homes to the same efficiency standard (Preliminary No</w:t>
      </w:r>
      <w:r>
        <w:rPr>
          <w:rFonts w:eastAsia="Franklin Gothic Book"/>
        </w:rPr>
        <w:t>-</w:t>
      </w:r>
      <w:r w:rsidRPr="009B67BF">
        <w:rPr>
          <w:rFonts w:eastAsia="Franklin Gothic Book"/>
        </w:rPr>
        <w:t>Program Score</w:t>
      </w:r>
      <w:r>
        <w:rPr>
          <w:rFonts w:eastAsia="Franklin Gothic Book"/>
        </w:rPr>
        <w:t xml:space="preserve"> (</w:t>
      </w:r>
      <w:proofErr w:type="spellStart"/>
      <w:r>
        <w:rPr>
          <w:rFonts w:eastAsia="Franklin Gothic Book"/>
        </w:rPr>
        <w:t>NP</w:t>
      </w:r>
      <w:r w:rsidRPr="0049764B">
        <w:rPr>
          <w:rFonts w:eastAsia="Franklin Gothic Book"/>
          <w:vertAlign w:val="subscript"/>
        </w:rPr>
        <w:t>p</w:t>
      </w:r>
      <w:proofErr w:type="spellEnd"/>
      <w:r>
        <w:rPr>
          <w:rFonts w:eastAsia="Franklin Gothic Book"/>
        </w:rPr>
        <w:t>)</w:t>
      </w:r>
      <w:r w:rsidRPr="009B67BF">
        <w:rPr>
          <w:rFonts w:eastAsia="Franklin Gothic Book"/>
        </w:rPr>
        <w:t>)</w:t>
      </w:r>
    </w:p>
    <w:p w14:paraId="37CB4EBA" w14:textId="77777777" w:rsidR="00D34C6E" w:rsidRPr="009B67BF" w:rsidRDefault="00D34C6E" w:rsidP="00D34C6E">
      <w:pPr>
        <w:widowControl/>
        <w:numPr>
          <w:ilvl w:val="0"/>
          <w:numId w:val="14"/>
        </w:numPr>
        <w:spacing w:after="60"/>
        <w:rPr>
          <w:rFonts w:eastAsia="Franklin Gothic Book"/>
        </w:rPr>
      </w:pPr>
      <w:r w:rsidRPr="009B67BF">
        <w:rPr>
          <w:rFonts w:eastAsia="Franklin Gothic Book"/>
        </w:rPr>
        <w:t xml:space="preserve">If that likelihood is greater than 6, the likelihood of fewer homes being built to the same efficiency standard. </w:t>
      </w:r>
    </w:p>
    <w:p w14:paraId="0D98085F" w14:textId="77777777" w:rsidR="00D34C6E" w:rsidRPr="009B67BF" w:rsidRDefault="00D34C6E" w:rsidP="00D34C6E">
      <w:pPr>
        <w:widowControl/>
        <w:numPr>
          <w:ilvl w:val="0"/>
          <w:numId w:val="14"/>
        </w:numPr>
        <w:rPr>
          <w:rFonts w:eastAsia="Franklin Gothic Book"/>
        </w:rPr>
      </w:pPr>
      <w:r w:rsidRPr="009B67BF">
        <w:rPr>
          <w:rFonts w:eastAsia="Franklin Gothic Book"/>
        </w:rPr>
        <w:lastRenderedPageBreak/>
        <w:t xml:space="preserve">If that likelihood is greater than 6, the </w:t>
      </w:r>
      <w:r>
        <w:rPr>
          <w:rFonts w:eastAsia="Franklin Gothic Book"/>
        </w:rPr>
        <w:t>response to the question</w:t>
      </w:r>
      <w:r w:rsidRPr="009B67BF">
        <w:rPr>
          <w:rFonts w:eastAsia="Franklin Gothic Book"/>
        </w:rPr>
        <w:t xml:space="preserve"> “for that scenario, what percentage of fewer homes wou</w:t>
      </w:r>
      <w:r>
        <w:rPr>
          <w:rFonts w:eastAsia="Franklin Gothic Book"/>
        </w:rPr>
        <w:t>ld be built to the standard?” (Quantity Score = (100% - % answer) * 10, which will be a number between 0 and 10</w:t>
      </w:r>
      <w:r w:rsidRPr="009B67BF">
        <w:rPr>
          <w:rFonts w:eastAsia="Franklin Gothic Book"/>
        </w:rPr>
        <w:t>)</w:t>
      </w:r>
    </w:p>
    <w:p w14:paraId="1C85CCFA" w14:textId="77777777" w:rsidR="00D34C6E" w:rsidRPr="009B67BF" w:rsidRDefault="00D34C6E" w:rsidP="00D34C6E">
      <w:pPr>
        <w:rPr>
          <w:rFonts w:eastAsia="Franklin Gothic Book"/>
        </w:rPr>
      </w:pPr>
      <w:r w:rsidRPr="009B67BF">
        <w:rPr>
          <w:rFonts w:eastAsia="Franklin Gothic Book"/>
        </w:rPr>
        <w:t xml:space="preserve">The resulting </w:t>
      </w:r>
      <w:r>
        <w:rPr>
          <w:rFonts w:eastAsia="Franklin Gothic Book"/>
        </w:rPr>
        <w:t>No-Program (NP) S</w:t>
      </w:r>
      <w:r w:rsidRPr="009B67BF">
        <w:rPr>
          <w:rFonts w:eastAsia="Franklin Gothic Book"/>
        </w:rPr>
        <w:t>core</w:t>
      </w:r>
      <w:r>
        <w:rPr>
          <w:rFonts w:eastAsia="Franklin Gothic Book"/>
        </w:rPr>
        <w:t xml:space="preserve"> is calculated as follows:</w:t>
      </w:r>
    </w:p>
    <w:p w14:paraId="54154998" w14:textId="77777777" w:rsidR="00D34C6E" w:rsidRPr="001702D1" w:rsidRDefault="00D34C6E" w:rsidP="00D34C6E">
      <w:pPr>
        <w:ind w:left="780"/>
        <w:jc w:val="center"/>
      </w:pPr>
      <w:r w:rsidRPr="002F5FEF">
        <w:rPr>
          <w:rFonts w:ascii="Cambria Math" w:hAnsi="Cambria Math"/>
        </w:rPr>
        <w:br/>
      </w:r>
      <m:oMathPara>
        <m:oMath>
          <m:r>
            <w:rPr>
              <w:rFonts w:ascii="Cambria Math" w:hAnsi="Cambria Math"/>
            </w:rPr>
            <m:t>NP=Mean</m:t>
          </m:r>
          <m:d>
            <m:dPr>
              <m:ctrlPr>
                <w:rPr>
                  <w:rFonts w:ascii="Cambria Math" w:eastAsia="Calibri" w:hAnsi="Cambria Math"/>
                  <w:i/>
                  <w:iCs/>
                </w:rPr>
              </m:ctrlPr>
            </m:dPr>
            <m:e>
              <m:sSub>
                <m:sSubPr>
                  <m:ctrlPr>
                    <w:rPr>
                      <w:rFonts w:ascii="Cambria Math" w:eastAsia="Calibri" w:hAnsi="Cambria Math"/>
                      <w:i/>
                    </w:rPr>
                  </m:ctrlPr>
                </m:sSubPr>
                <m:e>
                  <m:r>
                    <w:rPr>
                      <w:rFonts w:ascii="Cambria Math" w:eastAsia="Calibri" w:hAnsi="Cambria Math"/>
                    </w:rPr>
                    <m:t>NP</m:t>
                  </m:r>
                </m:e>
                <m:sub>
                  <m:r>
                    <w:rPr>
                      <w:rFonts w:ascii="Cambria Math" w:eastAsia="Calibri" w:hAnsi="Cambria Math"/>
                    </w:rPr>
                    <m:t>p</m:t>
                  </m:r>
                </m:sub>
              </m:sSub>
              <m:r>
                <w:rPr>
                  <w:rFonts w:ascii="Cambria Math" w:eastAsia="Calibri" w:hAnsi="Cambria Math"/>
                </w:rPr>
                <m:t>,Q</m:t>
              </m:r>
            </m:e>
          </m:d>
        </m:oMath>
      </m:oMathPara>
    </w:p>
    <w:p w14:paraId="4FB51D97" w14:textId="77777777" w:rsidR="00D34C6E" w:rsidRDefault="00D34C6E" w:rsidP="00D34C6E">
      <w:pPr>
        <w:rPr>
          <w:rFonts w:eastAsia="Calibri"/>
        </w:rPr>
      </w:pPr>
      <w:r w:rsidRPr="009B67BF">
        <w:rPr>
          <w:rFonts w:eastAsia="Calibri"/>
        </w:rPr>
        <w:t xml:space="preserve">The overall </w:t>
      </w:r>
      <w:r>
        <w:rPr>
          <w:rFonts w:eastAsia="Calibri"/>
        </w:rPr>
        <w:t>F</w:t>
      </w:r>
      <w:r w:rsidRPr="009B67BF">
        <w:rPr>
          <w:rFonts w:eastAsia="Calibri"/>
        </w:rPr>
        <w:t xml:space="preserve">ree </w:t>
      </w:r>
      <w:r>
        <w:rPr>
          <w:rFonts w:eastAsia="Franklin Gothic Book"/>
        </w:rPr>
        <w:t>R</w:t>
      </w:r>
      <w:r w:rsidRPr="004E388A">
        <w:rPr>
          <w:rFonts w:eastAsia="Franklin Gothic Book"/>
        </w:rPr>
        <w:t>idership</w:t>
      </w:r>
      <w:r>
        <w:rPr>
          <w:rFonts w:eastAsia="Calibri"/>
        </w:rPr>
        <w:t xml:space="preserve"> Value</w:t>
      </w:r>
      <w:r w:rsidRPr="009B67BF">
        <w:rPr>
          <w:rFonts w:eastAsia="Calibri"/>
        </w:rPr>
        <w:t xml:space="preserve"> derives from the average of the PI and NP scores, as shown in the following formula:</w:t>
      </w:r>
    </w:p>
    <w:p w14:paraId="723D0DBB" w14:textId="48E037B9" w:rsidR="00D34C6E" w:rsidRPr="001702D1" w:rsidRDefault="00016B3F" w:rsidP="00D34C6E">
      <w:pPr>
        <w:jc w:val="center"/>
        <w:rPr>
          <w:rFonts w:eastAsia="Franklin Gothic Book"/>
        </w:rPr>
      </w:pPr>
      <m:oMathPara>
        <m:oMath>
          <m:r>
            <w:rPr>
              <w:rFonts w:ascii="Cambria Math" w:eastAsia="Franklin Gothic Book" w:hAnsi="Cambria Math"/>
            </w:rPr>
            <m:t>FR=Mean</m:t>
          </m:r>
          <m:d>
            <m:dPr>
              <m:ctrlPr>
                <w:rPr>
                  <w:rFonts w:ascii="Cambria Math" w:eastAsia="Franklin Gothic Book" w:hAnsi="Cambria Math"/>
                  <w:i/>
                </w:rPr>
              </m:ctrlPr>
            </m:dPr>
            <m:e>
              <m:r>
                <w:rPr>
                  <w:rFonts w:ascii="Cambria Math" w:eastAsia="Franklin Gothic Book" w:hAnsi="Cambria Math"/>
                </w:rPr>
                <m:t>PI, NP</m:t>
              </m:r>
            </m:e>
          </m:d>
        </m:oMath>
      </m:oMathPara>
    </w:p>
    <w:p w14:paraId="2B44C402" w14:textId="77777777" w:rsidR="00D34C6E" w:rsidRPr="00691908" w:rsidRDefault="00D34C6E" w:rsidP="001A2AE6">
      <w:pPr>
        <w:pStyle w:val="Heading4"/>
      </w:pPr>
      <w:bookmarkStart w:id="1778" w:name="_Toc442804318"/>
      <w:bookmarkStart w:id="1779" w:name="_Toc442805535"/>
      <w:r w:rsidRPr="00691908">
        <w:t>Consistency Checks</w:t>
      </w:r>
      <w:bookmarkEnd w:id="1778"/>
      <w:bookmarkEnd w:id="1779"/>
    </w:p>
    <w:p w14:paraId="08204AFC" w14:textId="77777777" w:rsidR="00D34C6E" w:rsidRPr="009B67BF" w:rsidRDefault="00D34C6E" w:rsidP="00D34C6E">
      <w:pPr>
        <w:rPr>
          <w:rFonts w:eastAsia="Franklin Gothic Book"/>
        </w:rPr>
      </w:pPr>
      <w:r w:rsidRPr="009B67BF">
        <w:rPr>
          <w:rFonts w:eastAsia="Franklin Gothic Book"/>
        </w:rPr>
        <w:t xml:space="preserve">To address the possibility of conflicting responses (e.g., the </w:t>
      </w:r>
      <w:r w:rsidRPr="009B67BF">
        <w:rPr>
          <w:rFonts w:eastAsia="Calibri"/>
        </w:rPr>
        <w:t>high likelihood to build to the same efficiency standards without the program</w:t>
      </w:r>
      <w:r>
        <w:rPr>
          <w:rFonts w:eastAsia="Calibri"/>
        </w:rPr>
        <w:t>,</w:t>
      </w:r>
      <w:r w:rsidRPr="009B67BF">
        <w:rPr>
          <w:rFonts w:eastAsia="Calibri"/>
        </w:rPr>
        <w:t xml:space="preserve"> the high importance of program factors</w:t>
      </w:r>
      <w:r w:rsidRPr="009B67BF">
        <w:rPr>
          <w:rFonts w:eastAsia="Franklin Gothic Book"/>
        </w:rPr>
        <w:t>), the survey should include, at a minimum, consistency checks that ask participants an open-ended question to address the program’s influence. For example:</w:t>
      </w:r>
    </w:p>
    <w:p w14:paraId="59E9593F" w14:textId="77777777" w:rsidR="00D34C6E" w:rsidRPr="009B67BF" w:rsidRDefault="00D34C6E" w:rsidP="00D34C6E">
      <w:pPr>
        <w:widowControl/>
        <w:numPr>
          <w:ilvl w:val="0"/>
          <w:numId w:val="14"/>
        </w:numPr>
        <w:rPr>
          <w:rFonts w:eastAsia="Franklin Gothic Book"/>
        </w:rPr>
      </w:pPr>
      <w:r w:rsidRPr="009B67BF">
        <w:rPr>
          <w:rFonts w:eastAsia="Franklin Gothic Book"/>
        </w:rPr>
        <w:t>In your own words, please tell me the influence the program had on your building practices.</w:t>
      </w:r>
    </w:p>
    <w:p w14:paraId="6811AC76" w14:textId="77777777" w:rsidR="00D34C6E" w:rsidRPr="009B67BF" w:rsidRDefault="00D34C6E" w:rsidP="00D34C6E">
      <w:pPr>
        <w:rPr>
          <w:rFonts w:eastAsia="Franklin Gothic Book"/>
        </w:rPr>
      </w:pPr>
      <w:r w:rsidRPr="009B67BF">
        <w:rPr>
          <w:rFonts w:eastAsia="Franklin Gothic Book"/>
        </w:rPr>
        <w:t xml:space="preserve">If a high (&gt;6) Preliminary Program Influence Score </w:t>
      </w:r>
      <w:r>
        <w:rPr>
          <w:rFonts w:eastAsia="Franklin Gothic Book"/>
        </w:rPr>
        <w:t xml:space="preserve">(PPIS) </w:t>
      </w:r>
      <w:r w:rsidRPr="009B67BF">
        <w:rPr>
          <w:rFonts w:eastAsia="Franklin Gothic Book"/>
        </w:rPr>
        <w:t>results, yet the builder planned to meet the same efficiency standard prior to learning of the program; or if the P</w:t>
      </w:r>
      <w:r>
        <w:rPr>
          <w:rFonts w:eastAsia="Franklin Gothic Book"/>
        </w:rPr>
        <w:t xml:space="preserve">reliminary </w:t>
      </w:r>
      <w:r w:rsidRPr="009B67BF">
        <w:rPr>
          <w:rFonts w:eastAsia="Franklin Gothic Book"/>
        </w:rPr>
        <w:t>P</w:t>
      </w:r>
      <w:r>
        <w:rPr>
          <w:rFonts w:eastAsia="Franklin Gothic Book"/>
        </w:rPr>
        <w:t xml:space="preserve">rogram </w:t>
      </w:r>
      <w:r w:rsidRPr="009B67BF">
        <w:rPr>
          <w:rFonts w:eastAsia="Franklin Gothic Book"/>
        </w:rPr>
        <w:t>I</w:t>
      </w:r>
      <w:r>
        <w:rPr>
          <w:rFonts w:eastAsia="Franklin Gothic Book"/>
        </w:rPr>
        <w:t xml:space="preserve">nfluence </w:t>
      </w:r>
      <w:r w:rsidRPr="009B67BF">
        <w:rPr>
          <w:rFonts w:eastAsia="Franklin Gothic Book"/>
        </w:rPr>
        <w:t>S</w:t>
      </w:r>
      <w:r>
        <w:rPr>
          <w:rFonts w:eastAsia="Franklin Gothic Book"/>
        </w:rPr>
        <w:t>core</w:t>
      </w:r>
      <w:r w:rsidRPr="009B67BF">
        <w:rPr>
          <w:rFonts w:eastAsia="Franklin Gothic Book"/>
        </w:rPr>
        <w:t xml:space="preserve"> is lower (&lt;</w:t>
      </w:r>
      <w:r>
        <w:rPr>
          <w:rFonts w:eastAsia="Franklin Gothic Book"/>
        </w:rPr>
        <w:t>7</w:t>
      </w:r>
      <w:r w:rsidRPr="009B67BF">
        <w:rPr>
          <w:rFonts w:eastAsia="Franklin Gothic Book"/>
        </w:rPr>
        <w:t>), and the builder did not plan to build to the standards prior to learning of the program, the survey should include a question to determine why this occurred</w:t>
      </w:r>
      <w:r>
        <w:rPr>
          <w:rFonts w:eastAsia="Franklin Gothic Book"/>
        </w:rPr>
        <w:t>, using wording that gets at the following inconsistencies</w:t>
      </w:r>
      <w:r w:rsidRPr="009B67BF">
        <w:rPr>
          <w:rFonts w:eastAsia="Franklin Gothic Book"/>
        </w:rPr>
        <w:t>:</w:t>
      </w:r>
    </w:p>
    <w:p w14:paraId="09121E43" w14:textId="77777777" w:rsidR="00D34C6E" w:rsidRPr="009B67BF" w:rsidRDefault="00D34C6E" w:rsidP="00D34C6E">
      <w:pPr>
        <w:widowControl/>
        <w:numPr>
          <w:ilvl w:val="0"/>
          <w:numId w:val="14"/>
        </w:numPr>
        <w:spacing w:after="60"/>
        <w:rPr>
          <w:rFonts w:eastAsia="Franklin Gothic Book"/>
        </w:rPr>
      </w:pPr>
      <w:r w:rsidRPr="009B67BF">
        <w:rPr>
          <w:rFonts w:eastAsia="Franklin Gothic Book"/>
        </w:rPr>
        <w:t>IF P</w:t>
      </w:r>
      <w:r>
        <w:rPr>
          <w:rFonts w:eastAsia="Franklin Gothic Book"/>
        </w:rPr>
        <w:t xml:space="preserve">reliminary </w:t>
      </w:r>
      <w:r w:rsidRPr="009B67BF">
        <w:rPr>
          <w:rFonts w:eastAsia="Franklin Gothic Book"/>
        </w:rPr>
        <w:t>P</w:t>
      </w:r>
      <w:r>
        <w:rPr>
          <w:rFonts w:eastAsia="Franklin Gothic Book"/>
        </w:rPr>
        <w:t xml:space="preserve">rogram </w:t>
      </w:r>
      <w:r w:rsidRPr="009B67BF">
        <w:rPr>
          <w:rFonts w:eastAsia="Franklin Gothic Book"/>
        </w:rPr>
        <w:t>I</w:t>
      </w:r>
      <w:r>
        <w:rPr>
          <w:rFonts w:eastAsia="Franklin Gothic Book"/>
        </w:rPr>
        <w:t xml:space="preserve">nfluence </w:t>
      </w:r>
      <w:r w:rsidRPr="009B67BF">
        <w:rPr>
          <w:rFonts w:eastAsia="Franklin Gothic Book"/>
        </w:rPr>
        <w:t>S</w:t>
      </w:r>
      <w:r>
        <w:rPr>
          <w:rFonts w:eastAsia="Franklin Gothic Book"/>
        </w:rPr>
        <w:t>core</w:t>
      </w:r>
      <w:r w:rsidRPr="009B67BF">
        <w:rPr>
          <w:rFonts w:eastAsia="Franklin Gothic Book"/>
        </w:rPr>
        <w:t xml:space="preserve"> is &gt;6 and Builder planned to meet the same efficiency standard prior to learning OF THE PROGRAM: Given that you had plans to meet the standard prior to learning about the program, why do you think the </w:t>
      </w:r>
      <w:r>
        <w:rPr>
          <w:rFonts w:eastAsia="Franklin Gothic Book"/>
        </w:rPr>
        <w:t>&lt;</w:t>
      </w:r>
      <w:r w:rsidRPr="009B67BF">
        <w:rPr>
          <w:rFonts w:eastAsia="Franklin Gothic Book"/>
        </w:rPr>
        <w:t>program elements</w:t>
      </w:r>
      <w:r>
        <w:rPr>
          <w:rFonts w:eastAsia="Franklin Gothic Book"/>
        </w:rPr>
        <w:t>&gt;</w:t>
      </w:r>
      <w:r w:rsidRPr="009B67BF">
        <w:rPr>
          <w:rFonts w:eastAsia="Franklin Gothic Book"/>
        </w:rPr>
        <w:t xml:space="preserve"> were influential in you</w:t>
      </w:r>
      <w:r>
        <w:rPr>
          <w:rFonts w:eastAsia="Franklin Gothic Book"/>
        </w:rPr>
        <w:t>r</w:t>
      </w:r>
      <w:r w:rsidRPr="009B67BF">
        <w:rPr>
          <w:rFonts w:eastAsia="Franklin Gothic Book"/>
        </w:rPr>
        <w:t xml:space="preserve"> meet</w:t>
      </w:r>
      <w:r>
        <w:rPr>
          <w:rFonts w:eastAsia="Franklin Gothic Book"/>
        </w:rPr>
        <w:t>ing</w:t>
      </w:r>
      <w:r w:rsidRPr="009B67BF">
        <w:rPr>
          <w:rFonts w:eastAsia="Franklin Gothic Book"/>
        </w:rPr>
        <w:t xml:space="preserve"> the standard? [OPEN END]</w:t>
      </w:r>
    </w:p>
    <w:p w14:paraId="171F9954" w14:textId="77777777" w:rsidR="00D34C6E" w:rsidRPr="009B67BF" w:rsidRDefault="00D34C6E" w:rsidP="00D34C6E">
      <w:pPr>
        <w:widowControl/>
        <w:numPr>
          <w:ilvl w:val="0"/>
          <w:numId w:val="14"/>
        </w:numPr>
        <w:rPr>
          <w:rFonts w:eastAsia="Franklin Gothic Book"/>
        </w:rPr>
      </w:pPr>
      <w:r w:rsidRPr="009B67BF">
        <w:rPr>
          <w:rFonts w:eastAsia="Franklin Gothic Book"/>
        </w:rPr>
        <w:t>IF P</w:t>
      </w:r>
      <w:r>
        <w:rPr>
          <w:rFonts w:eastAsia="Franklin Gothic Book"/>
        </w:rPr>
        <w:t xml:space="preserve">reliminary </w:t>
      </w:r>
      <w:r w:rsidRPr="009B67BF">
        <w:rPr>
          <w:rFonts w:eastAsia="Franklin Gothic Book"/>
        </w:rPr>
        <w:t>P</w:t>
      </w:r>
      <w:r>
        <w:rPr>
          <w:rFonts w:eastAsia="Franklin Gothic Book"/>
        </w:rPr>
        <w:t xml:space="preserve">rogram </w:t>
      </w:r>
      <w:r w:rsidRPr="009B67BF">
        <w:rPr>
          <w:rFonts w:eastAsia="Franklin Gothic Book"/>
        </w:rPr>
        <w:t>I</w:t>
      </w:r>
      <w:r>
        <w:rPr>
          <w:rFonts w:eastAsia="Franklin Gothic Book"/>
        </w:rPr>
        <w:t xml:space="preserve">nfluence </w:t>
      </w:r>
      <w:r w:rsidRPr="009B67BF">
        <w:rPr>
          <w:rFonts w:eastAsia="Franklin Gothic Book"/>
        </w:rPr>
        <w:t>S</w:t>
      </w:r>
      <w:r>
        <w:rPr>
          <w:rFonts w:eastAsia="Franklin Gothic Book"/>
        </w:rPr>
        <w:t>core</w:t>
      </w:r>
      <w:r w:rsidRPr="009B67BF">
        <w:rPr>
          <w:rFonts w:eastAsia="Franklin Gothic Book"/>
        </w:rPr>
        <w:t xml:space="preserve"> is &lt;7 and Builder had no plans to meet the same efficiency standard prior to learning of the program: Given that you had no plans to meet the standard prior to learning about the program, why do </w:t>
      </w:r>
      <w:r>
        <w:rPr>
          <w:rFonts w:eastAsia="Franklin Gothic Book"/>
        </w:rPr>
        <w:t>you think the &lt;program elements&gt;</w:t>
      </w:r>
      <w:r w:rsidRPr="009B67BF">
        <w:rPr>
          <w:rFonts w:eastAsia="Franklin Gothic Book"/>
        </w:rPr>
        <w:t xml:space="preserve"> were not more influential in you</w:t>
      </w:r>
      <w:r>
        <w:rPr>
          <w:rFonts w:eastAsia="Franklin Gothic Book"/>
        </w:rPr>
        <w:t>r</w:t>
      </w:r>
      <w:r w:rsidRPr="009B67BF">
        <w:rPr>
          <w:rFonts w:eastAsia="Franklin Gothic Book"/>
        </w:rPr>
        <w:t xml:space="preserve"> meet</w:t>
      </w:r>
      <w:r>
        <w:rPr>
          <w:rFonts w:eastAsia="Franklin Gothic Book"/>
        </w:rPr>
        <w:t>ing</w:t>
      </w:r>
      <w:r w:rsidRPr="009B67BF">
        <w:rPr>
          <w:rFonts w:eastAsia="Franklin Gothic Book"/>
        </w:rPr>
        <w:t xml:space="preserve"> the standard? [OPEN END]</w:t>
      </w:r>
    </w:p>
    <w:p w14:paraId="3249ECB4" w14:textId="77777777" w:rsidR="00D34C6E" w:rsidRPr="009B67BF" w:rsidRDefault="00D34C6E" w:rsidP="00D34C6E">
      <w:pPr>
        <w:rPr>
          <w:rFonts w:eastAsia="Franklin Gothic Book"/>
        </w:rPr>
      </w:pPr>
      <w:r w:rsidRPr="009B67BF">
        <w:rPr>
          <w:rFonts w:eastAsia="Franklin Gothic Book"/>
        </w:rPr>
        <w:t xml:space="preserve">The evaluation analyst will assess the responses to the </w:t>
      </w:r>
      <w:proofErr w:type="gramStart"/>
      <w:r w:rsidRPr="009B67BF">
        <w:rPr>
          <w:rFonts w:eastAsia="Franklin Gothic Book"/>
        </w:rPr>
        <w:t>open ended</w:t>
      </w:r>
      <w:proofErr w:type="gramEnd"/>
      <w:r w:rsidRPr="009B67BF">
        <w:rPr>
          <w:rFonts w:eastAsia="Franklin Gothic Book"/>
        </w:rPr>
        <w:t xml:space="preserve"> questions and their consistency with the other survey questions, and, if warranted based on clear additional information, will adjust the original question score. If the open-ended response does not resolve the inconsistency, responses to the original question should be removed from the calculation. </w:t>
      </w:r>
      <w:r>
        <w:rPr>
          <w:rFonts w:eastAsia="Franklin Gothic Book"/>
        </w:rPr>
        <w:t>T</w:t>
      </w:r>
      <w:r w:rsidRPr="009B67BF">
        <w:rPr>
          <w:rFonts w:eastAsia="Franklin Gothic Book"/>
        </w:rPr>
        <w:t>he survey may include additional consistency check triggers and resolutions through additional participant questions.</w:t>
      </w:r>
      <w:r>
        <w:rPr>
          <w:rFonts w:eastAsia="Franklin Gothic Book"/>
        </w:rPr>
        <w:t xml:space="preserve"> </w:t>
      </w:r>
      <w:r w:rsidRPr="009B67BF">
        <w:rPr>
          <w:rFonts w:eastAsia="Franklin Gothic Book"/>
        </w:rPr>
        <w:t xml:space="preserve">The final report should document </w:t>
      </w:r>
      <w:r>
        <w:rPr>
          <w:rFonts w:eastAsia="Franklin Gothic Book"/>
        </w:rPr>
        <w:t xml:space="preserve">how often the consistency check rules were triggered, how often adjustments were made to scores, and how often inconsistencies could not be resolved. </w:t>
      </w:r>
    </w:p>
    <w:p w14:paraId="590A9047" w14:textId="77777777" w:rsidR="00D34C6E" w:rsidRPr="009B67BF" w:rsidRDefault="00D34C6E" w:rsidP="00D34C6E">
      <w:pPr>
        <w:rPr>
          <w:rFonts w:eastAsia="Franklin Gothic Book"/>
        </w:rPr>
      </w:pPr>
      <w:r w:rsidRPr="009B67BF">
        <w:rPr>
          <w:rFonts w:eastAsia="Franklin Gothic Book"/>
        </w:rPr>
        <w:t>Missing responses to specific questions (</w:t>
      </w:r>
      <w:r>
        <w:rPr>
          <w:rFonts w:eastAsia="Franklin Gothic Book"/>
        </w:rPr>
        <w:t>including</w:t>
      </w:r>
      <w:r w:rsidRPr="009B67BF">
        <w:rPr>
          <w:rFonts w:eastAsia="Franklin Gothic Book"/>
        </w:rPr>
        <w:t xml:space="preserve"> don’t know or refused) should be treated as missing for that particular question, but the analysis should retain that observation or case. </w:t>
      </w:r>
      <w:r>
        <w:rPr>
          <w:rFonts w:eastAsia="Franklin Gothic Book"/>
        </w:rPr>
        <w:t>E</w:t>
      </w:r>
      <w:r w:rsidRPr="009B67BF">
        <w:rPr>
          <w:rFonts w:eastAsia="Franklin Gothic Book"/>
        </w:rPr>
        <w:t>valuation reports should note if this affects more than 5% of the responses.</w:t>
      </w:r>
    </w:p>
    <w:p w14:paraId="054DDA4C" w14:textId="77777777" w:rsidR="00D34C6E" w:rsidRPr="009B67BF" w:rsidRDefault="00D34C6E" w:rsidP="0088039F">
      <w:pPr>
        <w:pStyle w:val="Heading3"/>
      </w:pPr>
      <w:bookmarkStart w:id="1780" w:name="_Toc442975744"/>
      <w:bookmarkStart w:id="1781" w:name="_Toc431526482"/>
      <w:bookmarkStart w:id="1782" w:name="_Toc442804319"/>
      <w:bookmarkStart w:id="1783" w:name="_Toc442805536"/>
      <w:bookmarkStart w:id="1784" w:name="_Toc472494728"/>
      <w:bookmarkStart w:id="1785" w:name="_Toc520462926"/>
      <w:bookmarkStart w:id="1786" w:name="_Toc473108070"/>
      <w:bookmarkStart w:id="1787" w:name="_Toc520824180"/>
      <w:bookmarkStart w:id="1788" w:name="_Toc16619963"/>
      <w:bookmarkStart w:id="1789" w:name="_Toc113619818"/>
      <w:bookmarkEnd w:id="1780"/>
      <w:r w:rsidRPr="009B67BF">
        <w:lastRenderedPageBreak/>
        <w:t>Participant Spillover</w:t>
      </w:r>
      <w:bookmarkEnd w:id="1781"/>
      <w:bookmarkEnd w:id="1782"/>
      <w:bookmarkEnd w:id="1783"/>
      <w:bookmarkEnd w:id="1784"/>
      <w:bookmarkEnd w:id="1785"/>
      <w:bookmarkEnd w:id="1786"/>
      <w:bookmarkEnd w:id="1787"/>
      <w:bookmarkEnd w:id="1788"/>
      <w:bookmarkEnd w:id="1789"/>
    </w:p>
    <w:p w14:paraId="16BC5BAC" w14:textId="77777777" w:rsidR="00D34C6E" w:rsidRDefault="00D34C6E" w:rsidP="00D34C6E">
      <w:pPr>
        <w:keepNext/>
        <w:keepLines/>
        <w:autoSpaceDE w:val="0"/>
        <w:autoSpaceDN w:val="0"/>
        <w:adjustRightInd w:val="0"/>
        <w:rPr>
          <w:rFonts w:eastAsia="Franklin Gothic Book"/>
        </w:rPr>
      </w:pPr>
      <w:r w:rsidRPr="009B67BF">
        <w:rPr>
          <w:rFonts w:eastAsia="Franklin Gothic Book"/>
        </w:rPr>
        <w:t xml:space="preserve">Participant spillover occurs when, due to program participation, a builder increases the energy efficiency of homes built outside the program (but inside a utility’s service territory) by adopting certain building practices used in participating homes. Participant spillover can be calculated based on participant builder survey questions that ask builders about homes built within the utility service territory but outside the program. Survey questions ask whether the builder increased the energy efficiency standards of </w:t>
      </w:r>
      <w:r>
        <w:rPr>
          <w:rFonts w:eastAsia="Franklin Gothic Book"/>
        </w:rPr>
        <w:t>non-program</w:t>
      </w:r>
      <w:r w:rsidRPr="009B67BF">
        <w:rPr>
          <w:rFonts w:eastAsia="Franklin Gothic Book"/>
        </w:rPr>
        <w:t xml:space="preserve"> homes after participating in the program, and the number of homes </w:t>
      </w:r>
      <w:r>
        <w:rPr>
          <w:rFonts w:eastAsia="Franklin Gothic Book"/>
        </w:rPr>
        <w:t xml:space="preserve">they </w:t>
      </w:r>
      <w:r w:rsidRPr="009B67BF">
        <w:rPr>
          <w:rFonts w:eastAsia="Franklin Gothic Book"/>
        </w:rPr>
        <w:t>applied these increased standard</w:t>
      </w:r>
      <w:r>
        <w:rPr>
          <w:rFonts w:eastAsia="Franklin Gothic Book"/>
        </w:rPr>
        <w:t>s</w:t>
      </w:r>
      <w:r w:rsidRPr="009B67BF">
        <w:rPr>
          <w:rFonts w:eastAsia="Franklin Gothic Book"/>
        </w:rPr>
        <w:t xml:space="preserve"> to</w:t>
      </w:r>
      <w:r>
        <w:rPr>
          <w:rFonts w:eastAsia="Franklin Gothic Book"/>
        </w:rPr>
        <w:t>,</w:t>
      </w:r>
      <w:r w:rsidRPr="009B67BF">
        <w:rPr>
          <w:rFonts w:eastAsia="Franklin Gothic Book"/>
        </w:rPr>
        <w:t xml:space="preserve"> within the utility’s service territory. </w:t>
      </w:r>
      <w:r>
        <w:rPr>
          <w:rFonts w:eastAsia="Franklin Gothic Book"/>
        </w:rPr>
        <w:t>Depending on the program characteristics, spillover should be measured as changes in specific building practices or as installation of specific measures. The text below assumes the program has been targeted at modifying building practices.</w:t>
      </w:r>
    </w:p>
    <w:p w14:paraId="53158297" w14:textId="77777777" w:rsidR="00D34C6E" w:rsidRPr="009B67BF" w:rsidRDefault="00D34C6E" w:rsidP="00D34C6E">
      <w:pPr>
        <w:keepNext/>
        <w:keepLines/>
        <w:autoSpaceDE w:val="0"/>
        <w:autoSpaceDN w:val="0"/>
        <w:adjustRightInd w:val="0"/>
        <w:rPr>
          <w:rFonts w:eastAsia="Franklin Gothic Book"/>
        </w:rPr>
      </w:pPr>
      <w:r w:rsidRPr="009B67BF">
        <w:rPr>
          <w:rFonts w:eastAsia="Franklin Gothic Book"/>
        </w:rPr>
        <w:t>Spillover may be recorded depending on responses to the following questions:</w:t>
      </w:r>
    </w:p>
    <w:p w14:paraId="7B3FC207" w14:textId="77777777" w:rsidR="00D34C6E" w:rsidRPr="009B67BF" w:rsidRDefault="00D34C6E" w:rsidP="00D34C6E">
      <w:pPr>
        <w:pStyle w:val="ListParagraph"/>
        <w:widowControl/>
        <w:numPr>
          <w:ilvl w:val="0"/>
          <w:numId w:val="16"/>
        </w:numPr>
        <w:spacing w:after="60"/>
        <w:ind w:left="720"/>
        <w:contextualSpacing w:val="0"/>
      </w:pPr>
      <w:r w:rsidRPr="009B67BF">
        <w:t xml:space="preserve">How important was your experience in the </w:t>
      </w:r>
      <w:r w:rsidRPr="009B67BF">
        <w:rPr>
          <w:rFonts w:eastAsia="Franklin Gothic Book"/>
        </w:rPr>
        <w:t>&lt;</w:t>
      </w:r>
      <w:r>
        <w:rPr>
          <w:rFonts w:eastAsia="Franklin Gothic Book"/>
        </w:rPr>
        <w:t>PROGRAM ADMINISTRATOR</w:t>
      </w:r>
      <w:r w:rsidRPr="009B67BF">
        <w:rPr>
          <w:rFonts w:eastAsia="Franklin Gothic Book"/>
        </w:rPr>
        <w:t xml:space="preserve">’S&gt; program </w:t>
      </w:r>
      <w:r w:rsidRPr="009B67BF">
        <w:t>in you</w:t>
      </w:r>
      <w:r>
        <w:t>r</w:t>
      </w:r>
      <w:r w:rsidRPr="009B67BF">
        <w:t xml:space="preserve"> incorporat</w:t>
      </w:r>
      <w:r>
        <w:t>ing</w:t>
      </w:r>
      <w:r w:rsidRPr="009B67BF">
        <w:t xml:space="preserve"> this building practice your other homes, using a scale of 0 to 10, where 0 is not at all important and 10 is extremely important?</w:t>
      </w:r>
    </w:p>
    <w:p w14:paraId="58038B51" w14:textId="77777777" w:rsidR="00D34C6E" w:rsidRPr="009B67BF" w:rsidRDefault="00D34C6E" w:rsidP="00D34C6E">
      <w:pPr>
        <w:pStyle w:val="ListParagraph"/>
        <w:widowControl/>
        <w:numPr>
          <w:ilvl w:val="0"/>
          <w:numId w:val="16"/>
        </w:numPr>
        <w:ind w:left="720"/>
        <w:contextualSpacing w:val="0"/>
      </w:pPr>
      <w:r w:rsidRPr="009B67BF">
        <w:t xml:space="preserve">If you had not participated in the </w:t>
      </w:r>
      <w:r w:rsidRPr="009B67BF">
        <w:rPr>
          <w:rFonts w:eastAsia="Franklin Gothic Book"/>
        </w:rPr>
        <w:t>&lt;</w:t>
      </w:r>
      <w:r>
        <w:rPr>
          <w:rFonts w:eastAsia="Franklin Gothic Book"/>
        </w:rPr>
        <w:t>PROGRAM ADMINISTRATOR</w:t>
      </w:r>
      <w:r w:rsidRPr="009B67BF">
        <w:rPr>
          <w:rFonts w:eastAsia="Franklin Gothic Book"/>
        </w:rPr>
        <w:t>’S&gt; program</w:t>
      </w:r>
      <w:r w:rsidRPr="009B67BF">
        <w:t xml:space="preserve">, how likely is it that you would still have incorporated this building practice using a 0 to 10, scale where 0 means you definitely WOULD NOT have implemented this </w:t>
      </w:r>
      <w:r>
        <w:t>practice</w:t>
      </w:r>
      <w:r w:rsidRPr="009B67BF">
        <w:t xml:space="preserve"> and 10 means you definitely WOULD have implemented this </w:t>
      </w:r>
      <w:r>
        <w:t>practice</w:t>
      </w:r>
      <w:r w:rsidRPr="009B67BF">
        <w:t>?</w:t>
      </w:r>
    </w:p>
    <w:p w14:paraId="1B04772C" w14:textId="77777777" w:rsidR="00D34C6E" w:rsidRPr="009B67BF" w:rsidRDefault="00D34C6E" w:rsidP="00D34C6E">
      <w:r w:rsidRPr="009B67BF">
        <w:t xml:space="preserve">Responses to the first question establish the </w:t>
      </w:r>
      <w:r>
        <w:t>Practice</w:t>
      </w:r>
      <w:r w:rsidRPr="009B67BF">
        <w:t xml:space="preserve"> Attribution Score 1, and responses to the second question establish the </w:t>
      </w:r>
      <w:r>
        <w:t>Practice</w:t>
      </w:r>
      <w:r w:rsidRPr="009B67BF">
        <w:t xml:space="preserve"> Attribution Score 2. Spillover may be program-attributable for </w:t>
      </w:r>
      <w:r>
        <w:t>building practices</w:t>
      </w:r>
      <w:r w:rsidRPr="009B67BF">
        <w:t xml:space="preserve"> with self-report data meeting the following condition:</w:t>
      </w:r>
    </w:p>
    <w:p w14:paraId="155C972C" w14:textId="77777777" w:rsidR="00D34C6E" w:rsidRPr="00143C47" w:rsidRDefault="00D34C6E" w:rsidP="00D34C6E">
      <w:pPr>
        <w:jc w:val="center"/>
        <w:rPr>
          <w:i/>
        </w:rPr>
      </w:pPr>
      <w:r w:rsidRPr="00143C47" w:rsidDel="009E475A">
        <w:rPr>
          <w:i/>
        </w:rPr>
        <w:t xml:space="preserve"> </w:t>
      </w:r>
      <w:r w:rsidRPr="00143C47">
        <w:rPr>
          <w:i/>
        </w:rPr>
        <w:t xml:space="preserve">Spillover Score = (Practice Attribution Score 1 + (10 – Practice Attribution Score 2))/2 &gt; </w:t>
      </w:r>
      <w:r>
        <w:rPr>
          <w:i/>
        </w:rPr>
        <w:t>5</w:t>
      </w:r>
      <w:r w:rsidRPr="00143C47">
        <w:rPr>
          <w:i/>
        </w:rPr>
        <w:t>.0</w:t>
      </w:r>
    </w:p>
    <w:p w14:paraId="1C2031B4" w14:textId="77777777" w:rsidR="00D34C6E" w:rsidRPr="009B67BF" w:rsidRDefault="00D34C6E" w:rsidP="00D34C6E">
      <w:r w:rsidRPr="009B67BF">
        <w:t xml:space="preserve">For responses meeting these conditions, an evaluator determines that specific </w:t>
      </w:r>
      <w:r>
        <w:t>building practice</w:t>
      </w:r>
      <w:r w:rsidRPr="009B67BF">
        <w:t xml:space="preserve">s referenced in the question are attributable to the program; otherwise, the evaluator determines that specific </w:t>
      </w:r>
      <w:r>
        <w:t>building practice</w:t>
      </w:r>
      <w:r w:rsidRPr="009B67BF">
        <w:t xml:space="preserve">s referenced in the question are not attributable to the program. The attribution criteria represent a threshold approach, in which energy impacts associated with </w:t>
      </w:r>
      <w:r>
        <w:t>building practice</w:t>
      </w:r>
      <w:r w:rsidRPr="009B67BF">
        <w:t>s program participants implement outside the program are either 100% program-attributable or 0% program-attributable.</w:t>
      </w:r>
    </w:p>
    <w:p w14:paraId="1A1F7B25" w14:textId="77777777" w:rsidR="00D34C6E" w:rsidRPr="009B67BF" w:rsidRDefault="00D34C6E" w:rsidP="00D34C6E">
      <w:r w:rsidRPr="009B67BF">
        <w:t xml:space="preserve">For each </w:t>
      </w:r>
      <w:r>
        <w:t>building practice</w:t>
      </w:r>
      <w:r w:rsidRPr="009B67BF">
        <w:t xml:space="preserve"> discussed, builders will be asked how they know the </w:t>
      </w:r>
      <w:r>
        <w:t>building practice</w:t>
      </w:r>
      <w:r w:rsidRPr="009B67BF">
        <w:t xml:space="preserve"> is more efficient than other options. If the respondent can identify the </w:t>
      </w:r>
      <w:r>
        <w:t>building practice</w:t>
      </w:r>
      <w:r w:rsidRPr="009B67BF">
        <w:t xml:space="preserve"> as ENERGY STAR or name an efficiency level that the evaluator confirms as above the minimum federal standard, or if they identify a technology that the evaluator can confirm is above the minimum federal standard, this counts towards participant spillover.</w:t>
      </w:r>
    </w:p>
    <w:p w14:paraId="44C3E91F" w14:textId="77777777" w:rsidR="00D34C6E" w:rsidRPr="009B67BF" w:rsidRDefault="00D34C6E" w:rsidP="00D34C6E">
      <w:pPr>
        <w:autoSpaceDE w:val="0"/>
        <w:autoSpaceDN w:val="0"/>
        <w:adjustRightInd w:val="0"/>
      </w:pPr>
      <w:r w:rsidRPr="009B67BF">
        <w:t xml:space="preserve">Finally, depending on the </w:t>
      </w:r>
      <w:r>
        <w:t>building practice</w:t>
      </w:r>
      <w:r w:rsidRPr="009B67BF">
        <w:t xml:space="preserve"> cited by the builder, follow-up questions should ask customers to provide reasonable information to allow the evaluator to estimate the amount of savings using </w:t>
      </w:r>
      <w:r>
        <w:t>IL-TRM</w:t>
      </w:r>
      <w:r w:rsidRPr="009B67BF">
        <w:t xml:space="preserve"> protocols, such as quantity of appliances or the location and amount of insulation.</w:t>
      </w:r>
    </w:p>
    <w:p w14:paraId="2AD32A52" w14:textId="77777777" w:rsidR="00D34C6E" w:rsidRDefault="00D34C6E" w:rsidP="00D34C6E">
      <w:pPr>
        <w:autoSpaceDE w:val="0"/>
        <w:autoSpaceDN w:val="0"/>
        <w:adjustRightInd w:val="0"/>
      </w:pPr>
      <w:r w:rsidRPr="009B67BF">
        <w:t xml:space="preserve">To calculate the spillover energy and demand savings for these actions, further questions should be asked to assess the gross savings of the building practice, through the appropriate version of the IL-TRM, if available, and the number of homes to which it applied. To develop the </w:t>
      </w:r>
      <w:r>
        <w:t>S</w:t>
      </w:r>
      <w:r w:rsidRPr="009B67BF">
        <w:t xml:space="preserve">pillover </w:t>
      </w:r>
      <w:r>
        <w:t>R</w:t>
      </w:r>
      <w:r w:rsidRPr="009B67BF">
        <w:t xml:space="preserve">ate, the total energy and demand impacts from the sampled participants who </w:t>
      </w:r>
      <w:r>
        <w:t>implemented efficient building practice</w:t>
      </w:r>
      <w:r w:rsidRPr="009B67BF">
        <w:t xml:space="preserve">s </w:t>
      </w:r>
      <w:r>
        <w:t xml:space="preserve">in other homes </w:t>
      </w:r>
      <w:r w:rsidRPr="009B67BF">
        <w:t>due to participation in the program is summed</w:t>
      </w:r>
      <w:r>
        <w:t>,</w:t>
      </w:r>
      <w:r w:rsidRPr="009B67BF">
        <w:t xml:space="preserve"> and then this sum is divided by the total ex post sample energy and demand impacts</w:t>
      </w:r>
      <w:r>
        <w:t>:</w:t>
      </w:r>
    </w:p>
    <w:p w14:paraId="020B6063" w14:textId="23507981" w:rsidR="00D34C6E" w:rsidRPr="001702D1" w:rsidRDefault="00016B3F" w:rsidP="00D34C6E">
      <m:oMathPara>
        <m:oMath>
          <m:r>
            <w:rPr>
              <w:rFonts w:ascii="Cambria Math" w:hAnsi="Cambria Math"/>
            </w:rPr>
            <m:t xml:space="preserve">Participant Spillover Rate </m:t>
          </m:r>
          <m:d>
            <m:dPr>
              <m:ctrlPr>
                <w:rPr>
                  <w:rFonts w:ascii="Cambria Math" w:hAnsi="Cambria Math"/>
                  <w:i/>
                </w:rPr>
              </m:ctrlPr>
            </m:dPr>
            <m:e>
              <m:r>
                <w:rPr>
                  <w:rFonts w:ascii="Cambria Math" w:hAnsi="Cambria Math"/>
                </w:rPr>
                <m:t>PSO</m:t>
              </m:r>
            </m:e>
          </m:d>
          <m:r>
            <w:rPr>
              <w:rFonts w:ascii="Cambria Math" w:hAnsi="Cambria Math"/>
            </w:rPr>
            <m:t xml:space="preserve">= </m:t>
          </m:r>
          <m:f>
            <m:fPr>
              <m:ctrlPr>
                <w:rPr>
                  <w:rFonts w:ascii="Cambria Math" w:hAnsi="Cambria Math"/>
                  <w:i/>
                </w:rPr>
              </m:ctrlPr>
            </m:fPr>
            <m:num>
              <m:r>
                <w:rPr>
                  <w:rFonts w:ascii="Cambria Math" w:hAnsi="Cambria Math"/>
                </w:rPr>
                <m:t>Sum of Energy or Demand from Additional EE Practices</m:t>
              </m:r>
            </m:num>
            <m:den>
              <m:r>
                <w:rPr>
                  <w:rFonts w:ascii="Cambria Math" w:hAnsi="Cambria Math"/>
                </w:rPr>
                <m:t>Sample Ex Post Gross Energy or Demand Impacts</m:t>
              </m:r>
            </m:den>
          </m:f>
        </m:oMath>
      </m:oMathPara>
    </w:p>
    <w:p w14:paraId="097D6C37" w14:textId="77777777" w:rsidR="00D34C6E" w:rsidRPr="009B67BF" w:rsidRDefault="00D34C6E" w:rsidP="00D34C6E">
      <w:r w:rsidRPr="009B67BF">
        <w:t>The equation used to adjust the</w:t>
      </w:r>
      <w:r>
        <w:t xml:space="preserve"> Core</w:t>
      </w:r>
      <w:r w:rsidRPr="009B67BF">
        <w:t xml:space="preserve"> NTGR based on participant spillover is as follows:</w:t>
      </w:r>
    </w:p>
    <w:p w14:paraId="2BAD40F1" w14:textId="3F128149" w:rsidR="00D34C6E" w:rsidRPr="001702D1" w:rsidRDefault="00016B3F" w:rsidP="00D34C6E">
      <w:pPr>
        <w:jc w:val="center"/>
      </w:pPr>
      <m:oMathPara>
        <m:oMath>
          <m:r>
            <w:rPr>
              <w:rFonts w:ascii="Cambria Math" w:hAnsi="Cambria Math"/>
            </w:rPr>
            <m:t>NTGR=</m:t>
          </m:r>
          <m:d>
            <m:dPr>
              <m:ctrlPr>
                <w:rPr>
                  <w:rFonts w:ascii="Cambria Math" w:hAnsi="Cambria Math"/>
                  <w:i/>
                </w:rPr>
              </m:ctrlPr>
            </m:dPr>
            <m:e>
              <m:r>
                <w:rPr>
                  <w:rFonts w:ascii="Cambria Math" w:hAnsi="Cambria Math"/>
                </w:rPr>
                <m:t>1-FR+PSO</m:t>
              </m:r>
            </m:e>
          </m:d>
        </m:oMath>
      </m:oMathPara>
    </w:p>
    <w:p w14:paraId="30A1288C" w14:textId="77777777" w:rsidR="00D34C6E" w:rsidRPr="009B67BF" w:rsidRDefault="00D34C6E" w:rsidP="001A2AE6">
      <w:pPr>
        <w:pStyle w:val="Heading4"/>
      </w:pPr>
      <w:bookmarkStart w:id="1790" w:name="_Toc442804320"/>
      <w:bookmarkStart w:id="1791" w:name="_Toc442805537"/>
      <w:r>
        <w:t>Sample</w:t>
      </w:r>
      <w:bookmarkEnd w:id="1790"/>
      <w:bookmarkEnd w:id="1791"/>
    </w:p>
    <w:p w14:paraId="319D46A2" w14:textId="77777777" w:rsidR="00D34C6E" w:rsidRPr="009B67BF" w:rsidRDefault="00D34C6E" w:rsidP="00D34C6E">
      <w:pPr>
        <w:rPr>
          <w:rFonts w:eastAsia="Franklin Gothic Book"/>
        </w:rPr>
      </w:pPr>
      <w:r w:rsidRPr="009B67BF">
        <w:rPr>
          <w:rFonts w:eastAsia="Franklin Gothic Book"/>
        </w:rPr>
        <w:t xml:space="preserve">The </w:t>
      </w:r>
      <w:r>
        <w:rPr>
          <w:rFonts w:eastAsia="Franklin Gothic Book"/>
        </w:rPr>
        <w:t xml:space="preserve">sample for a spillover survey should be </w:t>
      </w:r>
      <w:r w:rsidRPr="009B67BF">
        <w:rPr>
          <w:rFonts w:eastAsia="Franklin Gothic Book"/>
        </w:rPr>
        <w:t xml:space="preserve">a random sample of current and up to </w:t>
      </w:r>
      <w:proofErr w:type="gramStart"/>
      <w:r w:rsidRPr="009B67BF">
        <w:rPr>
          <w:rFonts w:eastAsia="Franklin Gothic Book"/>
        </w:rPr>
        <w:t>one year</w:t>
      </w:r>
      <w:proofErr w:type="gramEnd"/>
      <w:r w:rsidRPr="009B67BF">
        <w:rPr>
          <w:rFonts w:eastAsia="Franklin Gothic Book"/>
        </w:rPr>
        <w:t xml:space="preserve"> previous program participants</w:t>
      </w:r>
      <w:r>
        <w:rPr>
          <w:rFonts w:eastAsia="Franklin Gothic Book"/>
        </w:rPr>
        <w:t>.</w:t>
      </w:r>
      <w:r w:rsidRPr="009B67BF">
        <w:rPr>
          <w:rFonts w:eastAsia="Franklin Gothic Book"/>
        </w:rPr>
        <w:t xml:space="preserve"> Regardless of the year of participation, spillover should be measured </w:t>
      </w:r>
      <w:r>
        <w:rPr>
          <w:rFonts w:eastAsia="Franklin Gothic Book"/>
        </w:rPr>
        <w:t xml:space="preserve">within the set of homes that were completed </w:t>
      </w:r>
      <w:r w:rsidRPr="009B67BF">
        <w:rPr>
          <w:rFonts w:eastAsia="Franklin Gothic Book"/>
        </w:rPr>
        <w:t xml:space="preserve">within 12 months </w:t>
      </w:r>
      <w:r>
        <w:rPr>
          <w:rFonts w:eastAsia="Franklin Gothic Book"/>
        </w:rPr>
        <w:t>of the survey date</w:t>
      </w:r>
      <w:r w:rsidRPr="009B67BF">
        <w:rPr>
          <w:rFonts w:eastAsia="Franklin Gothic Book"/>
        </w:rPr>
        <w:t>.</w:t>
      </w:r>
    </w:p>
    <w:p w14:paraId="79AB86C8" w14:textId="77777777" w:rsidR="00D34C6E" w:rsidRDefault="00D34C6E" w:rsidP="0088039F">
      <w:pPr>
        <w:pStyle w:val="Heading3"/>
      </w:pPr>
      <w:bookmarkStart w:id="1792" w:name="_Toc442804321"/>
      <w:bookmarkStart w:id="1793" w:name="_Toc442805538"/>
      <w:bookmarkStart w:id="1794" w:name="_Toc472494729"/>
      <w:bookmarkStart w:id="1795" w:name="_Toc520462927"/>
      <w:bookmarkStart w:id="1796" w:name="_Toc473108071"/>
      <w:bookmarkStart w:id="1797" w:name="_Toc520824181"/>
      <w:bookmarkStart w:id="1798" w:name="_Toc16619964"/>
      <w:bookmarkStart w:id="1799" w:name="_Toc113619819"/>
      <w:r>
        <w:lastRenderedPageBreak/>
        <w:t>Builder Nonparticipant Spillover</w:t>
      </w:r>
      <w:bookmarkEnd w:id="1792"/>
      <w:bookmarkEnd w:id="1793"/>
      <w:bookmarkEnd w:id="1794"/>
      <w:bookmarkEnd w:id="1795"/>
      <w:bookmarkEnd w:id="1796"/>
      <w:bookmarkEnd w:id="1797"/>
      <w:bookmarkEnd w:id="1798"/>
      <w:bookmarkEnd w:id="1799"/>
      <w:r>
        <w:t xml:space="preserve"> </w:t>
      </w:r>
    </w:p>
    <w:p w14:paraId="445EAB9E" w14:textId="77777777" w:rsidR="00D34C6E" w:rsidRPr="00F93C05" w:rsidRDefault="00D34C6E" w:rsidP="00D34C6E">
      <w:pPr>
        <w:rPr>
          <w:rFonts w:eastAsia="Franklin Gothic Book"/>
        </w:rPr>
      </w:pPr>
      <w:r w:rsidRPr="00F93C05">
        <w:rPr>
          <w:rFonts w:eastAsia="Franklin Gothic Book"/>
        </w:rPr>
        <w:t>In addition to participant free ridership and spillover, new construction programs may create NPSO through builders exposed to the program but not actually participating. Rather, they implement some or all of the efficiency measures incorporated through the program in order to compete with builders that are participating.</w:t>
      </w:r>
      <w:r w:rsidRPr="00B31077">
        <w:rPr>
          <w:rFonts w:eastAsia="Franklin Gothic Book"/>
          <w:vertAlign w:val="superscript"/>
        </w:rPr>
        <w:footnoteReference w:id="82"/>
      </w:r>
      <w:r w:rsidRPr="00F93C05">
        <w:rPr>
          <w:rFonts w:eastAsia="Franklin Gothic Book"/>
        </w:rPr>
        <w:t xml:space="preserve"> NPSO caused by builders can be determined by surveying two groups of builders: </w:t>
      </w:r>
    </w:p>
    <w:p w14:paraId="7EEA9F7E" w14:textId="77777777" w:rsidR="00D34C6E" w:rsidRPr="00F93C05" w:rsidRDefault="00D34C6E" w:rsidP="00D34C6E">
      <w:pPr>
        <w:pStyle w:val="ListParagraph"/>
        <w:widowControl/>
        <w:numPr>
          <w:ilvl w:val="0"/>
          <w:numId w:val="31"/>
        </w:numPr>
        <w:spacing w:after="60"/>
        <w:contextualSpacing w:val="0"/>
      </w:pPr>
      <w:r w:rsidRPr="00F93C05">
        <w:t xml:space="preserve">“Drop out” builders, who participated in the program previously but have not participated in the past </w:t>
      </w:r>
      <w:r>
        <w:br/>
      </w:r>
      <w:r w:rsidRPr="00F93C05">
        <w:t xml:space="preserve">12 months. </w:t>
      </w:r>
    </w:p>
    <w:p w14:paraId="09F58F7A" w14:textId="77777777" w:rsidR="00D34C6E" w:rsidRPr="00F93C05" w:rsidRDefault="00D34C6E" w:rsidP="00D34C6E">
      <w:pPr>
        <w:pStyle w:val="ListParagraph"/>
        <w:widowControl/>
        <w:numPr>
          <w:ilvl w:val="0"/>
          <w:numId w:val="31"/>
        </w:numPr>
        <w:contextualSpacing w:val="0"/>
      </w:pPr>
      <w:r w:rsidRPr="00F93C05">
        <w:t xml:space="preserve">True nonparticipating builders that report they were aware of the program or that other builders were taking steps to improve new home efficiency, but had never participated. </w:t>
      </w:r>
    </w:p>
    <w:p w14:paraId="2C8DE19C" w14:textId="77777777" w:rsidR="00D34C6E" w:rsidRPr="002F5FEF" w:rsidRDefault="00D34C6E" w:rsidP="00D34C6E">
      <w:pPr>
        <w:rPr>
          <w:rFonts w:eastAsia="Calibri"/>
        </w:rPr>
      </w:pPr>
      <w:r w:rsidRPr="00F93C05">
        <w:rPr>
          <w:rFonts w:eastAsia="Franklin Gothic Book"/>
        </w:rPr>
        <w:t xml:space="preserve">Surveys ask nonparticipating builders </w:t>
      </w:r>
      <w:r w:rsidRPr="002F5FEF">
        <w:rPr>
          <w:rFonts w:eastAsia="Calibri"/>
        </w:rPr>
        <w:t>if their knowledge of other builders’ increased focus on energy efficiency influenced their building practices and in what manner, to quantify the program’s impact on nonparticipating homes. The survey questions will first identify specific building practices that go beyond the implemented energy code for the specific jurisdiction in which the builder is active. Table 4-6 lists the latest building energy code in place for most areas of Illinois. Evaluators should make efforts to ensure the building code under enforcement for each jurisdiction is used as the baseline when evaluating spillover savings.</w:t>
      </w:r>
    </w:p>
    <w:p w14:paraId="5A14F08B" w14:textId="77777777" w:rsidR="00D34C6E" w:rsidRPr="004F21F7" w:rsidRDefault="00D34C6E" w:rsidP="0021790A">
      <w:pPr>
        <w:pStyle w:val="TableHeading"/>
      </w:pPr>
      <w:bookmarkStart w:id="1800" w:name="_Ref434295496"/>
      <w:bookmarkStart w:id="1801" w:name="_Toc472494775"/>
      <w:bookmarkStart w:id="1802" w:name="_Toc473108162"/>
      <w:bookmarkStart w:id="1803" w:name="_Toc520824293"/>
      <w:bookmarkStart w:id="1804" w:name="_Toc523148265"/>
      <w:bookmarkStart w:id="1805" w:name="_Toc16620026"/>
      <w:bookmarkStart w:id="1806" w:name="_Toc83376857"/>
      <w:r w:rsidRPr="004F21F7">
        <w:t>Table 4</w:t>
      </w:r>
      <w:r w:rsidRPr="004F21F7">
        <w:noBreakHyphen/>
      </w:r>
      <w:bookmarkEnd w:id="1800"/>
      <w:r w:rsidRPr="004F21F7">
        <w:t>8. IECC 2015 Building Energy Code</w:t>
      </w:r>
      <w:bookmarkEnd w:id="1801"/>
      <w:bookmarkEnd w:id="1802"/>
      <w:bookmarkEnd w:id="1803"/>
      <w:bookmarkEnd w:id="1804"/>
      <w:bookmarkEnd w:id="1805"/>
      <w:bookmarkEnd w:id="180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8"/>
        <w:gridCol w:w="4475"/>
      </w:tblGrid>
      <w:tr w:rsidR="00D34C6E" w:rsidRPr="002F5FEF" w14:paraId="6C34464D" w14:textId="77777777" w:rsidTr="002B6C05">
        <w:trPr>
          <w:tblHeader/>
          <w:jc w:val="center"/>
        </w:trPr>
        <w:tc>
          <w:tcPr>
            <w:tcW w:w="0" w:type="auto"/>
            <w:shd w:val="clear" w:color="auto" w:fill="auto"/>
            <w:vAlign w:val="center"/>
          </w:tcPr>
          <w:p w14:paraId="705CDA49" w14:textId="77777777" w:rsidR="00D34C6E" w:rsidRPr="002F5FEF" w:rsidRDefault="00D34C6E" w:rsidP="002B6C05">
            <w:pPr>
              <w:spacing w:after="0"/>
              <w:jc w:val="center"/>
              <w:rPr>
                <w:rFonts w:eastAsia="Calibri"/>
                <w:b/>
              </w:rPr>
            </w:pPr>
            <w:r w:rsidRPr="002F5FEF">
              <w:rPr>
                <w:rFonts w:eastAsia="Calibri"/>
                <w:b/>
              </w:rPr>
              <w:t>Component</w:t>
            </w:r>
          </w:p>
        </w:tc>
        <w:tc>
          <w:tcPr>
            <w:tcW w:w="0" w:type="auto"/>
            <w:shd w:val="clear" w:color="auto" w:fill="auto"/>
            <w:vAlign w:val="center"/>
          </w:tcPr>
          <w:p w14:paraId="352F21E6" w14:textId="77777777" w:rsidR="00D34C6E" w:rsidRPr="002F5FEF" w:rsidRDefault="00D34C6E" w:rsidP="002B6C05">
            <w:pPr>
              <w:spacing w:after="0"/>
              <w:jc w:val="center"/>
              <w:rPr>
                <w:rFonts w:eastAsia="Calibri"/>
                <w:b/>
              </w:rPr>
            </w:pPr>
            <w:r w:rsidRPr="002F5FEF">
              <w:rPr>
                <w:rFonts w:eastAsia="Calibri"/>
                <w:b/>
              </w:rPr>
              <w:t>IECC 201</w:t>
            </w:r>
            <w:r>
              <w:rPr>
                <w:rFonts w:eastAsia="Calibri"/>
                <w:b/>
              </w:rPr>
              <w:t>5</w:t>
            </w:r>
          </w:p>
        </w:tc>
      </w:tr>
      <w:tr w:rsidR="00D34C6E" w:rsidRPr="002F5FEF" w14:paraId="4584956A" w14:textId="77777777" w:rsidTr="002B6C05">
        <w:trPr>
          <w:tblHeader/>
          <w:jc w:val="center"/>
        </w:trPr>
        <w:tc>
          <w:tcPr>
            <w:tcW w:w="0" w:type="auto"/>
            <w:shd w:val="clear" w:color="auto" w:fill="auto"/>
            <w:vAlign w:val="center"/>
          </w:tcPr>
          <w:p w14:paraId="2C79D855" w14:textId="77777777" w:rsidR="00D34C6E" w:rsidRPr="002F5FEF" w:rsidRDefault="00D34C6E" w:rsidP="002B6C05">
            <w:pPr>
              <w:spacing w:after="0"/>
              <w:rPr>
                <w:rFonts w:eastAsia="Calibri"/>
              </w:rPr>
            </w:pPr>
            <w:r w:rsidRPr="002F5FEF">
              <w:rPr>
                <w:rFonts w:eastAsia="Calibri"/>
              </w:rPr>
              <w:t>Thermostat</w:t>
            </w:r>
          </w:p>
        </w:tc>
        <w:tc>
          <w:tcPr>
            <w:tcW w:w="0" w:type="auto"/>
            <w:shd w:val="clear" w:color="auto" w:fill="auto"/>
            <w:vAlign w:val="center"/>
          </w:tcPr>
          <w:p w14:paraId="596CFF22" w14:textId="77777777" w:rsidR="00D34C6E" w:rsidRPr="002F5FEF" w:rsidRDefault="00D34C6E" w:rsidP="002B6C05">
            <w:pPr>
              <w:spacing w:after="0"/>
              <w:jc w:val="left"/>
              <w:rPr>
                <w:rFonts w:eastAsia="Calibri"/>
              </w:rPr>
            </w:pPr>
            <w:r w:rsidRPr="002F5FEF">
              <w:rPr>
                <w:rFonts w:eastAsia="Calibri"/>
              </w:rPr>
              <w:t>Heating 72F</w:t>
            </w:r>
            <w:r>
              <w:rPr>
                <w:rFonts w:eastAsia="Calibri"/>
              </w:rPr>
              <w:t>;</w:t>
            </w:r>
            <w:r w:rsidRPr="002F5FEF">
              <w:rPr>
                <w:rFonts w:eastAsia="Calibri"/>
              </w:rPr>
              <w:t xml:space="preserve"> Cooling</w:t>
            </w:r>
            <w:r>
              <w:rPr>
                <w:rFonts w:eastAsia="Calibri"/>
              </w:rPr>
              <w:t xml:space="preserve"> </w:t>
            </w:r>
            <w:r w:rsidRPr="002F5FEF">
              <w:rPr>
                <w:rFonts w:eastAsia="Calibri"/>
              </w:rPr>
              <w:t>75F Programmable Thermostat</w:t>
            </w:r>
          </w:p>
        </w:tc>
      </w:tr>
      <w:tr w:rsidR="00D34C6E" w:rsidRPr="002F5FEF" w14:paraId="139A5E2B" w14:textId="77777777" w:rsidTr="002B6C05">
        <w:trPr>
          <w:tblHeader/>
          <w:jc w:val="center"/>
        </w:trPr>
        <w:tc>
          <w:tcPr>
            <w:tcW w:w="0" w:type="auto"/>
            <w:shd w:val="clear" w:color="auto" w:fill="auto"/>
            <w:vAlign w:val="center"/>
          </w:tcPr>
          <w:p w14:paraId="0A64EA17" w14:textId="77777777" w:rsidR="00D34C6E" w:rsidRPr="002F5FEF" w:rsidRDefault="00D34C6E" w:rsidP="002B6C05">
            <w:pPr>
              <w:spacing w:after="0"/>
              <w:rPr>
                <w:rFonts w:eastAsia="Calibri"/>
              </w:rPr>
            </w:pPr>
            <w:r w:rsidRPr="002F5FEF">
              <w:rPr>
                <w:rFonts w:eastAsia="Calibri"/>
              </w:rPr>
              <w:t>Ceiling</w:t>
            </w:r>
          </w:p>
        </w:tc>
        <w:tc>
          <w:tcPr>
            <w:tcW w:w="0" w:type="auto"/>
            <w:shd w:val="clear" w:color="auto" w:fill="auto"/>
            <w:vAlign w:val="center"/>
          </w:tcPr>
          <w:p w14:paraId="5C751B04" w14:textId="77777777" w:rsidR="00D34C6E" w:rsidRPr="002F5FEF" w:rsidRDefault="00D34C6E" w:rsidP="002B6C05">
            <w:pPr>
              <w:spacing w:after="0"/>
              <w:rPr>
                <w:rFonts w:eastAsia="Calibri"/>
              </w:rPr>
            </w:pPr>
            <w:r w:rsidRPr="002F5FEF">
              <w:rPr>
                <w:rFonts w:eastAsia="Calibri"/>
              </w:rPr>
              <w:t>U-0.026</w:t>
            </w:r>
          </w:p>
        </w:tc>
      </w:tr>
      <w:tr w:rsidR="00D34C6E" w:rsidRPr="002F5FEF" w14:paraId="2EB0AA7F" w14:textId="77777777" w:rsidTr="002B6C05">
        <w:trPr>
          <w:tblHeader/>
          <w:jc w:val="center"/>
        </w:trPr>
        <w:tc>
          <w:tcPr>
            <w:tcW w:w="0" w:type="auto"/>
            <w:shd w:val="clear" w:color="auto" w:fill="auto"/>
            <w:vAlign w:val="center"/>
          </w:tcPr>
          <w:p w14:paraId="241B58D0" w14:textId="77777777" w:rsidR="00D34C6E" w:rsidRPr="002F5FEF" w:rsidRDefault="00D34C6E" w:rsidP="002B6C05">
            <w:pPr>
              <w:spacing w:after="0"/>
              <w:rPr>
                <w:rFonts w:eastAsia="Calibri"/>
              </w:rPr>
            </w:pPr>
            <w:r w:rsidRPr="002F5FEF">
              <w:rPr>
                <w:rFonts w:eastAsia="Calibri"/>
              </w:rPr>
              <w:t>Walls</w:t>
            </w:r>
          </w:p>
        </w:tc>
        <w:tc>
          <w:tcPr>
            <w:tcW w:w="0" w:type="auto"/>
            <w:shd w:val="clear" w:color="auto" w:fill="auto"/>
            <w:vAlign w:val="center"/>
          </w:tcPr>
          <w:p w14:paraId="482AD816" w14:textId="77777777" w:rsidR="00D34C6E" w:rsidRPr="002F5FEF" w:rsidRDefault="00D34C6E" w:rsidP="002B6C05">
            <w:pPr>
              <w:spacing w:after="0"/>
              <w:rPr>
                <w:rFonts w:eastAsia="Calibri"/>
              </w:rPr>
            </w:pPr>
            <w:r w:rsidRPr="002F5FEF">
              <w:rPr>
                <w:rFonts w:eastAsia="Calibri"/>
              </w:rPr>
              <w:t>U-0.0</w:t>
            </w:r>
            <w:r>
              <w:rPr>
                <w:rFonts w:eastAsia="Calibri"/>
              </w:rPr>
              <w:t>60</w:t>
            </w:r>
          </w:p>
        </w:tc>
      </w:tr>
      <w:tr w:rsidR="00D34C6E" w:rsidRPr="002F5FEF" w14:paraId="7ADEAB06" w14:textId="77777777" w:rsidTr="002B6C05">
        <w:trPr>
          <w:tblHeader/>
          <w:jc w:val="center"/>
        </w:trPr>
        <w:tc>
          <w:tcPr>
            <w:tcW w:w="0" w:type="auto"/>
            <w:shd w:val="clear" w:color="auto" w:fill="auto"/>
            <w:vAlign w:val="center"/>
          </w:tcPr>
          <w:p w14:paraId="4A899032" w14:textId="77777777" w:rsidR="00D34C6E" w:rsidRPr="002F5FEF" w:rsidRDefault="00D34C6E" w:rsidP="002B6C05">
            <w:pPr>
              <w:spacing w:after="0"/>
              <w:rPr>
                <w:rFonts w:eastAsia="Calibri"/>
              </w:rPr>
            </w:pPr>
            <w:r w:rsidRPr="002F5FEF">
              <w:rPr>
                <w:rFonts w:eastAsia="Calibri"/>
              </w:rPr>
              <w:t>Floors</w:t>
            </w:r>
          </w:p>
        </w:tc>
        <w:tc>
          <w:tcPr>
            <w:tcW w:w="0" w:type="auto"/>
            <w:shd w:val="clear" w:color="auto" w:fill="auto"/>
            <w:vAlign w:val="center"/>
          </w:tcPr>
          <w:p w14:paraId="1A6DA1A3" w14:textId="77777777" w:rsidR="00D34C6E" w:rsidRPr="002F5FEF" w:rsidRDefault="00D34C6E" w:rsidP="002B6C05">
            <w:pPr>
              <w:spacing w:after="0"/>
              <w:rPr>
                <w:rFonts w:eastAsia="Calibri"/>
              </w:rPr>
            </w:pPr>
            <w:r w:rsidRPr="002F5FEF">
              <w:rPr>
                <w:rFonts w:eastAsia="Calibri"/>
              </w:rPr>
              <w:t>U-0.033</w:t>
            </w:r>
          </w:p>
        </w:tc>
      </w:tr>
      <w:tr w:rsidR="00D34C6E" w:rsidRPr="002F5FEF" w14:paraId="37AB5C27" w14:textId="77777777" w:rsidTr="002B6C05">
        <w:trPr>
          <w:tblHeader/>
          <w:jc w:val="center"/>
        </w:trPr>
        <w:tc>
          <w:tcPr>
            <w:tcW w:w="0" w:type="auto"/>
            <w:shd w:val="clear" w:color="auto" w:fill="auto"/>
            <w:vAlign w:val="center"/>
          </w:tcPr>
          <w:p w14:paraId="4B5409F4" w14:textId="77777777" w:rsidR="00D34C6E" w:rsidRPr="002F5FEF" w:rsidRDefault="00D34C6E" w:rsidP="002B6C05">
            <w:pPr>
              <w:spacing w:after="0"/>
              <w:rPr>
                <w:rFonts w:eastAsia="Calibri"/>
              </w:rPr>
            </w:pPr>
            <w:r w:rsidRPr="002F5FEF">
              <w:rPr>
                <w:rFonts w:eastAsia="Calibri"/>
              </w:rPr>
              <w:t>Slab</w:t>
            </w:r>
          </w:p>
        </w:tc>
        <w:tc>
          <w:tcPr>
            <w:tcW w:w="0" w:type="auto"/>
            <w:shd w:val="clear" w:color="auto" w:fill="auto"/>
            <w:vAlign w:val="center"/>
          </w:tcPr>
          <w:p w14:paraId="720EAA62" w14:textId="77777777" w:rsidR="00D34C6E" w:rsidRPr="002F5FEF" w:rsidRDefault="00D34C6E" w:rsidP="002B6C05">
            <w:pPr>
              <w:spacing w:after="0"/>
              <w:rPr>
                <w:rFonts w:eastAsia="Calibri"/>
              </w:rPr>
            </w:pPr>
            <w:r w:rsidRPr="002F5FEF">
              <w:rPr>
                <w:rFonts w:eastAsia="Calibri"/>
              </w:rPr>
              <w:t>R-10, 2ft</w:t>
            </w:r>
          </w:p>
        </w:tc>
      </w:tr>
      <w:tr w:rsidR="00D34C6E" w:rsidRPr="002F5FEF" w14:paraId="759FADCD" w14:textId="77777777" w:rsidTr="002B6C05">
        <w:trPr>
          <w:tblHeader/>
          <w:jc w:val="center"/>
        </w:trPr>
        <w:tc>
          <w:tcPr>
            <w:tcW w:w="0" w:type="auto"/>
            <w:shd w:val="clear" w:color="auto" w:fill="auto"/>
            <w:vAlign w:val="center"/>
          </w:tcPr>
          <w:p w14:paraId="43FB0308" w14:textId="77777777" w:rsidR="00D34C6E" w:rsidRPr="002F5FEF" w:rsidRDefault="00D34C6E" w:rsidP="002B6C05">
            <w:pPr>
              <w:spacing w:after="0"/>
              <w:rPr>
                <w:rFonts w:eastAsia="Calibri"/>
              </w:rPr>
            </w:pPr>
            <w:r w:rsidRPr="002F5FEF">
              <w:rPr>
                <w:rFonts w:eastAsia="Calibri"/>
              </w:rPr>
              <w:t>Windows</w:t>
            </w:r>
          </w:p>
        </w:tc>
        <w:tc>
          <w:tcPr>
            <w:tcW w:w="0" w:type="auto"/>
            <w:shd w:val="clear" w:color="auto" w:fill="auto"/>
            <w:vAlign w:val="center"/>
          </w:tcPr>
          <w:p w14:paraId="0FB032F6" w14:textId="77777777" w:rsidR="00D34C6E" w:rsidRPr="002F5FEF" w:rsidRDefault="00D34C6E" w:rsidP="002B6C05">
            <w:pPr>
              <w:spacing w:after="0"/>
              <w:rPr>
                <w:rFonts w:eastAsia="Calibri"/>
              </w:rPr>
            </w:pPr>
            <w:r w:rsidRPr="002F5FEF">
              <w:rPr>
                <w:rFonts w:eastAsia="Calibri"/>
              </w:rPr>
              <w:t>U-0.32</w:t>
            </w:r>
          </w:p>
        </w:tc>
      </w:tr>
      <w:tr w:rsidR="00D34C6E" w:rsidRPr="002F5FEF" w14:paraId="4E6E1E89" w14:textId="77777777" w:rsidTr="002B6C05">
        <w:trPr>
          <w:tblHeader/>
          <w:jc w:val="center"/>
        </w:trPr>
        <w:tc>
          <w:tcPr>
            <w:tcW w:w="0" w:type="auto"/>
            <w:shd w:val="clear" w:color="auto" w:fill="auto"/>
            <w:vAlign w:val="center"/>
          </w:tcPr>
          <w:p w14:paraId="09DB98A6" w14:textId="77777777" w:rsidR="00D34C6E" w:rsidRPr="002F5FEF" w:rsidRDefault="00D34C6E" w:rsidP="002B6C05">
            <w:pPr>
              <w:spacing w:after="0"/>
              <w:rPr>
                <w:rFonts w:eastAsia="Calibri"/>
              </w:rPr>
            </w:pPr>
            <w:r w:rsidRPr="002F5FEF">
              <w:rPr>
                <w:rFonts w:eastAsia="Calibri"/>
              </w:rPr>
              <w:t>Infiltration</w:t>
            </w:r>
          </w:p>
        </w:tc>
        <w:tc>
          <w:tcPr>
            <w:tcW w:w="0" w:type="auto"/>
            <w:shd w:val="clear" w:color="auto" w:fill="auto"/>
            <w:vAlign w:val="center"/>
          </w:tcPr>
          <w:p w14:paraId="487BBF7E" w14:textId="77777777" w:rsidR="00D34C6E" w:rsidRPr="002F5FEF" w:rsidRDefault="00D34C6E" w:rsidP="002B6C05">
            <w:pPr>
              <w:spacing w:after="0"/>
              <w:rPr>
                <w:rFonts w:eastAsia="Calibri"/>
              </w:rPr>
            </w:pPr>
            <w:r w:rsidRPr="002F5FEF">
              <w:rPr>
                <w:rFonts w:eastAsia="Calibri"/>
              </w:rPr>
              <w:t>5ACH50</w:t>
            </w:r>
          </w:p>
        </w:tc>
      </w:tr>
      <w:tr w:rsidR="00D34C6E" w:rsidRPr="002F5FEF" w14:paraId="7A592C76" w14:textId="77777777" w:rsidTr="002B6C05">
        <w:trPr>
          <w:tblHeader/>
          <w:jc w:val="center"/>
        </w:trPr>
        <w:tc>
          <w:tcPr>
            <w:tcW w:w="0" w:type="auto"/>
            <w:shd w:val="clear" w:color="auto" w:fill="auto"/>
            <w:vAlign w:val="center"/>
          </w:tcPr>
          <w:p w14:paraId="71965ED5" w14:textId="77777777" w:rsidR="00D34C6E" w:rsidRPr="002F5FEF" w:rsidRDefault="00D34C6E" w:rsidP="002B6C05">
            <w:pPr>
              <w:spacing w:after="0"/>
              <w:rPr>
                <w:rFonts w:eastAsia="Calibri"/>
              </w:rPr>
            </w:pPr>
            <w:r w:rsidRPr="002F5FEF">
              <w:rPr>
                <w:rFonts w:eastAsia="Calibri"/>
              </w:rPr>
              <w:t>Duct Leakage</w:t>
            </w:r>
          </w:p>
        </w:tc>
        <w:tc>
          <w:tcPr>
            <w:tcW w:w="0" w:type="auto"/>
            <w:shd w:val="clear" w:color="auto" w:fill="auto"/>
            <w:vAlign w:val="center"/>
          </w:tcPr>
          <w:p w14:paraId="30C11541" w14:textId="77777777" w:rsidR="00D34C6E" w:rsidRPr="002F5FEF" w:rsidRDefault="00D34C6E" w:rsidP="002B6C05">
            <w:pPr>
              <w:spacing w:after="0"/>
              <w:rPr>
                <w:rFonts w:eastAsia="Calibri"/>
              </w:rPr>
            </w:pPr>
            <w:r w:rsidRPr="002F5FEF">
              <w:rPr>
                <w:rFonts w:eastAsia="Calibri"/>
              </w:rPr>
              <w:t>4CFM/100CFA</w:t>
            </w:r>
          </w:p>
        </w:tc>
      </w:tr>
      <w:tr w:rsidR="00D34C6E" w:rsidRPr="002F5FEF" w14:paraId="55F5952A" w14:textId="77777777" w:rsidTr="002B6C05">
        <w:trPr>
          <w:tblHeader/>
          <w:jc w:val="center"/>
        </w:trPr>
        <w:tc>
          <w:tcPr>
            <w:tcW w:w="0" w:type="auto"/>
            <w:shd w:val="clear" w:color="auto" w:fill="auto"/>
            <w:vAlign w:val="center"/>
          </w:tcPr>
          <w:p w14:paraId="4A0BA081" w14:textId="77777777" w:rsidR="00D34C6E" w:rsidRPr="002F5FEF" w:rsidRDefault="00D34C6E" w:rsidP="002B6C05">
            <w:pPr>
              <w:spacing w:after="0"/>
              <w:rPr>
                <w:rFonts w:eastAsia="Calibri"/>
              </w:rPr>
            </w:pPr>
            <w:r w:rsidRPr="002F5FEF">
              <w:rPr>
                <w:rFonts w:eastAsia="Calibri"/>
              </w:rPr>
              <w:t>Duct Insulation</w:t>
            </w:r>
          </w:p>
        </w:tc>
        <w:tc>
          <w:tcPr>
            <w:tcW w:w="0" w:type="auto"/>
            <w:shd w:val="clear" w:color="auto" w:fill="auto"/>
            <w:vAlign w:val="center"/>
          </w:tcPr>
          <w:p w14:paraId="3B195599" w14:textId="77777777" w:rsidR="00D34C6E" w:rsidRPr="002F5FEF" w:rsidRDefault="00D34C6E" w:rsidP="002B6C05">
            <w:pPr>
              <w:spacing w:after="0"/>
              <w:rPr>
                <w:rFonts w:eastAsia="Calibri"/>
              </w:rPr>
            </w:pPr>
            <w:r w:rsidRPr="002F5FEF">
              <w:rPr>
                <w:rFonts w:eastAsia="Calibri"/>
              </w:rPr>
              <w:t xml:space="preserve">R-8 Attic </w:t>
            </w:r>
            <w:proofErr w:type="gramStart"/>
            <w:r w:rsidRPr="002F5FEF">
              <w:rPr>
                <w:rFonts w:eastAsia="Calibri"/>
              </w:rPr>
              <w:t>Supply,  R</w:t>
            </w:r>
            <w:proofErr w:type="gramEnd"/>
            <w:r w:rsidRPr="002F5FEF">
              <w:rPr>
                <w:rFonts w:eastAsia="Calibri"/>
              </w:rPr>
              <w:t>-6 Otherwise</w:t>
            </w:r>
          </w:p>
        </w:tc>
      </w:tr>
      <w:tr w:rsidR="00D34C6E" w:rsidRPr="002F5FEF" w14:paraId="00F5619A" w14:textId="77777777" w:rsidTr="002B6C05">
        <w:trPr>
          <w:tblHeader/>
          <w:jc w:val="center"/>
        </w:trPr>
        <w:tc>
          <w:tcPr>
            <w:tcW w:w="0" w:type="auto"/>
            <w:shd w:val="clear" w:color="auto" w:fill="auto"/>
            <w:vAlign w:val="center"/>
          </w:tcPr>
          <w:p w14:paraId="49684A25" w14:textId="77777777" w:rsidR="00D34C6E" w:rsidRPr="002F5FEF" w:rsidRDefault="00D34C6E" w:rsidP="002B6C05">
            <w:pPr>
              <w:spacing w:after="0"/>
              <w:rPr>
                <w:rFonts w:eastAsia="Calibri"/>
              </w:rPr>
            </w:pPr>
            <w:r w:rsidRPr="002F5FEF">
              <w:rPr>
                <w:rFonts w:eastAsia="Calibri"/>
              </w:rPr>
              <w:t>Heat Pump</w:t>
            </w:r>
          </w:p>
        </w:tc>
        <w:tc>
          <w:tcPr>
            <w:tcW w:w="0" w:type="auto"/>
            <w:shd w:val="clear" w:color="auto" w:fill="auto"/>
            <w:vAlign w:val="center"/>
          </w:tcPr>
          <w:p w14:paraId="40F137C5" w14:textId="77777777" w:rsidR="00D34C6E" w:rsidRPr="002F5FEF" w:rsidRDefault="00D34C6E" w:rsidP="002B6C05">
            <w:pPr>
              <w:spacing w:after="0"/>
              <w:rPr>
                <w:rFonts w:eastAsia="Calibri"/>
              </w:rPr>
            </w:pPr>
            <w:r>
              <w:rPr>
                <w:rFonts w:eastAsia="Calibri"/>
              </w:rPr>
              <w:t>8.2</w:t>
            </w:r>
            <w:r w:rsidRPr="002F5FEF">
              <w:rPr>
                <w:rFonts w:eastAsia="Calibri"/>
              </w:rPr>
              <w:t xml:space="preserve"> HSPF</w:t>
            </w:r>
          </w:p>
        </w:tc>
      </w:tr>
      <w:tr w:rsidR="00D34C6E" w:rsidRPr="002F5FEF" w14:paraId="29EF5E90" w14:textId="77777777" w:rsidTr="002B6C05">
        <w:trPr>
          <w:tblHeader/>
          <w:jc w:val="center"/>
        </w:trPr>
        <w:tc>
          <w:tcPr>
            <w:tcW w:w="0" w:type="auto"/>
            <w:shd w:val="clear" w:color="auto" w:fill="auto"/>
            <w:vAlign w:val="center"/>
          </w:tcPr>
          <w:p w14:paraId="60AE0D09" w14:textId="77777777" w:rsidR="00D34C6E" w:rsidRPr="002F5FEF" w:rsidRDefault="00D34C6E" w:rsidP="002B6C05">
            <w:pPr>
              <w:spacing w:after="0"/>
              <w:rPr>
                <w:rFonts w:eastAsia="Calibri"/>
              </w:rPr>
            </w:pPr>
            <w:r w:rsidRPr="002F5FEF">
              <w:rPr>
                <w:rFonts w:eastAsia="Calibri"/>
              </w:rPr>
              <w:t>Furnace</w:t>
            </w:r>
          </w:p>
        </w:tc>
        <w:tc>
          <w:tcPr>
            <w:tcW w:w="0" w:type="auto"/>
            <w:shd w:val="clear" w:color="auto" w:fill="auto"/>
            <w:vAlign w:val="center"/>
          </w:tcPr>
          <w:p w14:paraId="1037060A" w14:textId="77777777" w:rsidR="00D34C6E" w:rsidRPr="002F5FEF" w:rsidRDefault="00D34C6E" w:rsidP="002B6C05">
            <w:pPr>
              <w:spacing w:after="0"/>
              <w:rPr>
                <w:rFonts w:eastAsia="Calibri"/>
              </w:rPr>
            </w:pPr>
            <w:r w:rsidRPr="002F5FEF">
              <w:rPr>
                <w:rFonts w:eastAsia="Calibri"/>
              </w:rPr>
              <w:t>80 AFUE</w:t>
            </w:r>
          </w:p>
        </w:tc>
      </w:tr>
      <w:tr w:rsidR="00D34C6E" w:rsidRPr="002F5FEF" w14:paraId="15A95A42" w14:textId="77777777" w:rsidTr="002B6C05">
        <w:trPr>
          <w:tblHeader/>
          <w:jc w:val="center"/>
        </w:trPr>
        <w:tc>
          <w:tcPr>
            <w:tcW w:w="0" w:type="auto"/>
            <w:shd w:val="clear" w:color="auto" w:fill="auto"/>
            <w:vAlign w:val="center"/>
          </w:tcPr>
          <w:p w14:paraId="5F0B853D" w14:textId="77777777" w:rsidR="00D34C6E" w:rsidRPr="002F5FEF" w:rsidRDefault="00D34C6E" w:rsidP="002B6C05">
            <w:pPr>
              <w:spacing w:after="0"/>
              <w:rPr>
                <w:rFonts w:eastAsia="Calibri"/>
              </w:rPr>
            </w:pPr>
            <w:r w:rsidRPr="002F5FEF">
              <w:rPr>
                <w:rFonts w:eastAsia="Calibri"/>
                <w:b/>
              </w:rPr>
              <w:t>Component</w:t>
            </w:r>
          </w:p>
        </w:tc>
        <w:tc>
          <w:tcPr>
            <w:tcW w:w="0" w:type="auto"/>
            <w:shd w:val="clear" w:color="auto" w:fill="auto"/>
            <w:vAlign w:val="center"/>
          </w:tcPr>
          <w:p w14:paraId="58036793" w14:textId="77777777" w:rsidR="00D34C6E" w:rsidRPr="002F5FEF" w:rsidRDefault="00D34C6E" w:rsidP="002B6C05">
            <w:pPr>
              <w:spacing w:after="0"/>
              <w:rPr>
                <w:rFonts w:eastAsia="Calibri"/>
              </w:rPr>
            </w:pPr>
            <w:r w:rsidRPr="002F5FEF">
              <w:rPr>
                <w:rFonts w:eastAsia="Calibri"/>
                <w:b/>
              </w:rPr>
              <w:t>IECC 201</w:t>
            </w:r>
            <w:r>
              <w:rPr>
                <w:rFonts w:eastAsia="Calibri"/>
                <w:b/>
              </w:rPr>
              <w:t>5</w:t>
            </w:r>
          </w:p>
        </w:tc>
      </w:tr>
      <w:tr w:rsidR="00D34C6E" w:rsidRPr="002F5FEF" w14:paraId="2DE4BEBB" w14:textId="77777777" w:rsidTr="002B6C05">
        <w:trPr>
          <w:tblHeader/>
          <w:jc w:val="center"/>
        </w:trPr>
        <w:tc>
          <w:tcPr>
            <w:tcW w:w="0" w:type="auto"/>
            <w:shd w:val="clear" w:color="auto" w:fill="auto"/>
            <w:vAlign w:val="center"/>
          </w:tcPr>
          <w:p w14:paraId="1CF84004" w14:textId="77777777" w:rsidR="00D34C6E" w:rsidRPr="002F5FEF" w:rsidRDefault="00D34C6E" w:rsidP="002B6C05">
            <w:pPr>
              <w:spacing w:after="0"/>
              <w:rPr>
                <w:rFonts w:eastAsia="Calibri"/>
              </w:rPr>
            </w:pPr>
            <w:r w:rsidRPr="002F5FEF">
              <w:rPr>
                <w:rFonts w:eastAsia="Calibri"/>
              </w:rPr>
              <w:t>Boiler</w:t>
            </w:r>
          </w:p>
        </w:tc>
        <w:tc>
          <w:tcPr>
            <w:tcW w:w="0" w:type="auto"/>
            <w:shd w:val="clear" w:color="auto" w:fill="auto"/>
            <w:vAlign w:val="center"/>
          </w:tcPr>
          <w:p w14:paraId="7ABC891B" w14:textId="77777777" w:rsidR="00D34C6E" w:rsidRPr="002F5FEF" w:rsidRDefault="00D34C6E" w:rsidP="002B6C05">
            <w:pPr>
              <w:spacing w:after="0"/>
              <w:rPr>
                <w:rFonts w:eastAsia="Calibri"/>
              </w:rPr>
            </w:pPr>
            <w:r w:rsidRPr="002F5FEF">
              <w:rPr>
                <w:rFonts w:eastAsia="Calibri"/>
              </w:rPr>
              <w:t>82 AFUE</w:t>
            </w:r>
          </w:p>
        </w:tc>
      </w:tr>
      <w:tr w:rsidR="00D34C6E" w:rsidRPr="002F5FEF" w14:paraId="31F2A113" w14:textId="77777777" w:rsidTr="002B6C05">
        <w:trPr>
          <w:tblHeader/>
          <w:jc w:val="center"/>
        </w:trPr>
        <w:tc>
          <w:tcPr>
            <w:tcW w:w="0" w:type="auto"/>
            <w:shd w:val="clear" w:color="auto" w:fill="auto"/>
            <w:vAlign w:val="center"/>
          </w:tcPr>
          <w:p w14:paraId="3B75D165" w14:textId="77777777" w:rsidR="00D34C6E" w:rsidRPr="002F5FEF" w:rsidRDefault="00D34C6E" w:rsidP="002B6C05">
            <w:pPr>
              <w:spacing w:after="0"/>
              <w:rPr>
                <w:rFonts w:eastAsia="Calibri"/>
              </w:rPr>
            </w:pPr>
            <w:r w:rsidRPr="002F5FEF">
              <w:rPr>
                <w:rFonts w:eastAsia="Calibri"/>
              </w:rPr>
              <w:t>AC</w:t>
            </w:r>
          </w:p>
        </w:tc>
        <w:tc>
          <w:tcPr>
            <w:tcW w:w="0" w:type="auto"/>
            <w:shd w:val="clear" w:color="auto" w:fill="auto"/>
            <w:vAlign w:val="center"/>
          </w:tcPr>
          <w:p w14:paraId="31EED1C8" w14:textId="77777777" w:rsidR="00D34C6E" w:rsidRPr="002F5FEF" w:rsidRDefault="00D34C6E" w:rsidP="002B6C05">
            <w:pPr>
              <w:spacing w:after="0"/>
              <w:rPr>
                <w:rFonts w:eastAsia="Calibri"/>
              </w:rPr>
            </w:pPr>
            <w:r w:rsidRPr="002F5FEF">
              <w:rPr>
                <w:rFonts w:eastAsia="Calibri"/>
              </w:rPr>
              <w:t>13 SEER</w:t>
            </w:r>
          </w:p>
        </w:tc>
      </w:tr>
      <w:tr w:rsidR="00D34C6E" w:rsidRPr="002F5FEF" w14:paraId="042BFEC3" w14:textId="77777777" w:rsidTr="002B6C05">
        <w:trPr>
          <w:tblHeader/>
          <w:jc w:val="center"/>
        </w:trPr>
        <w:tc>
          <w:tcPr>
            <w:tcW w:w="0" w:type="auto"/>
            <w:shd w:val="clear" w:color="auto" w:fill="auto"/>
            <w:vAlign w:val="center"/>
          </w:tcPr>
          <w:p w14:paraId="441A3151" w14:textId="77777777" w:rsidR="00D34C6E" w:rsidRPr="002F5FEF" w:rsidRDefault="00D34C6E" w:rsidP="002B6C05">
            <w:pPr>
              <w:spacing w:after="0"/>
              <w:rPr>
                <w:rFonts w:eastAsia="Calibri"/>
              </w:rPr>
            </w:pPr>
            <w:r w:rsidRPr="002F5FEF">
              <w:rPr>
                <w:rFonts w:eastAsia="Calibri"/>
              </w:rPr>
              <w:t>Lighting</w:t>
            </w:r>
          </w:p>
        </w:tc>
        <w:tc>
          <w:tcPr>
            <w:tcW w:w="0" w:type="auto"/>
            <w:shd w:val="clear" w:color="auto" w:fill="auto"/>
            <w:vAlign w:val="center"/>
          </w:tcPr>
          <w:p w14:paraId="3BE2BAFB" w14:textId="77777777" w:rsidR="00D34C6E" w:rsidRPr="002F5FEF" w:rsidRDefault="00D34C6E" w:rsidP="002B6C05">
            <w:pPr>
              <w:spacing w:after="0"/>
              <w:rPr>
                <w:rFonts w:eastAsia="Calibri"/>
              </w:rPr>
            </w:pPr>
            <w:r w:rsidRPr="002F5FEF">
              <w:rPr>
                <w:rFonts w:eastAsia="Calibri"/>
              </w:rPr>
              <w:t>75% CFL</w:t>
            </w:r>
          </w:p>
        </w:tc>
      </w:tr>
      <w:tr w:rsidR="00D34C6E" w:rsidRPr="002F5FEF" w14:paraId="46312CF0" w14:textId="77777777" w:rsidTr="002B6C05">
        <w:trPr>
          <w:tblHeader/>
          <w:jc w:val="center"/>
        </w:trPr>
        <w:tc>
          <w:tcPr>
            <w:tcW w:w="0" w:type="auto"/>
            <w:shd w:val="clear" w:color="auto" w:fill="auto"/>
            <w:vAlign w:val="center"/>
          </w:tcPr>
          <w:p w14:paraId="26D92E92" w14:textId="77777777" w:rsidR="00D34C6E" w:rsidRPr="002F5FEF" w:rsidRDefault="00D34C6E" w:rsidP="002B6C05">
            <w:pPr>
              <w:spacing w:after="0"/>
              <w:rPr>
                <w:rFonts w:eastAsia="Calibri"/>
              </w:rPr>
            </w:pPr>
            <w:r w:rsidRPr="002F5FEF">
              <w:rPr>
                <w:rFonts w:eastAsia="Calibri"/>
              </w:rPr>
              <w:t>Appliances</w:t>
            </w:r>
          </w:p>
        </w:tc>
        <w:tc>
          <w:tcPr>
            <w:tcW w:w="0" w:type="auto"/>
            <w:shd w:val="clear" w:color="auto" w:fill="auto"/>
            <w:vAlign w:val="center"/>
          </w:tcPr>
          <w:p w14:paraId="74DC6590" w14:textId="77777777" w:rsidR="00D34C6E" w:rsidRPr="002F5FEF" w:rsidRDefault="00D34C6E" w:rsidP="002B6C05">
            <w:pPr>
              <w:spacing w:after="0"/>
              <w:rPr>
                <w:rFonts w:eastAsia="Calibri"/>
              </w:rPr>
            </w:pPr>
            <w:r w:rsidRPr="002F5FEF">
              <w:rPr>
                <w:rFonts w:eastAsia="Calibri"/>
              </w:rPr>
              <w:t>RESNET Default</w:t>
            </w:r>
          </w:p>
        </w:tc>
      </w:tr>
      <w:tr w:rsidR="00D34C6E" w:rsidRPr="002F5FEF" w14:paraId="63BE5E8F" w14:textId="77777777" w:rsidTr="002B6C05">
        <w:trPr>
          <w:tblHeader/>
          <w:jc w:val="center"/>
        </w:trPr>
        <w:tc>
          <w:tcPr>
            <w:tcW w:w="0" w:type="auto"/>
            <w:shd w:val="clear" w:color="auto" w:fill="auto"/>
            <w:vAlign w:val="center"/>
          </w:tcPr>
          <w:p w14:paraId="6795D51E" w14:textId="77777777" w:rsidR="00D34C6E" w:rsidRPr="002F5FEF" w:rsidRDefault="00D34C6E" w:rsidP="002B6C05">
            <w:pPr>
              <w:spacing w:after="0"/>
              <w:rPr>
                <w:rFonts w:eastAsia="Calibri"/>
              </w:rPr>
            </w:pPr>
            <w:r w:rsidRPr="002F5FEF">
              <w:rPr>
                <w:rFonts w:eastAsia="Calibri"/>
              </w:rPr>
              <w:t>Gas Water Heat</w:t>
            </w:r>
            <w:r>
              <w:rPr>
                <w:rFonts w:eastAsia="Calibri"/>
              </w:rPr>
              <w:t>*</w:t>
            </w:r>
          </w:p>
        </w:tc>
        <w:tc>
          <w:tcPr>
            <w:tcW w:w="0" w:type="auto"/>
            <w:shd w:val="clear" w:color="auto" w:fill="auto"/>
            <w:vAlign w:val="center"/>
          </w:tcPr>
          <w:p w14:paraId="7A1DC93F" w14:textId="77777777" w:rsidR="00D34C6E" w:rsidRPr="002F5FEF" w:rsidRDefault="00D34C6E" w:rsidP="002B6C05">
            <w:pPr>
              <w:spacing w:after="0"/>
              <w:rPr>
                <w:rFonts w:eastAsia="Calibri"/>
              </w:rPr>
            </w:pPr>
            <w:r w:rsidRPr="002F5FEF">
              <w:rPr>
                <w:rFonts w:eastAsia="Calibri"/>
              </w:rPr>
              <w:t>0.5</w:t>
            </w:r>
            <w:r>
              <w:rPr>
                <w:rFonts w:eastAsia="Calibri"/>
              </w:rPr>
              <w:t>8</w:t>
            </w:r>
            <w:r w:rsidRPr="002F5FEF">
              <w:rPr>
                <w:rFonts w:eastAsia="Calibri"/>
              </w:rPr>
              <w:t xml:space="preserve"> EF</w:t>
            </w:r>
          </w:p>
        </w:tc>
      </w:tr>
      <w:tr w:rsidR="00D34C6E" w:rsidRPr="002F5FEF" w14:paraId="60C88C45" w14:textId="77777777" w:rsidTr="002B6C05">
        <w:trPr>
          <w:tblHeader/>
          <w:jc w:val="center"/>
        </w:trPr>
        <w:tc>
          <w:tcPr>
            <w:tcW w:w="0" w:type="auto"/>
            <w:shd w:val="clear" w:color="auto" w:fill="auto"/>
            <w:vAlign w:val="center"/>
          </w:tcPr>
          <w:p w14:paraId="193E8AB7" w14:textId="77777777" w:rsidR="00D34C6E" w:rsidRPr="002F5FEF" w:rsidRDefault="00D34C6E" w:rsidP="002B6C05">
            <w:pPr>
              <w:spacing w:after="0"/>
              <w:rPr>
                <w:rFonts w:eastAsia="Calibri"/>
              </w:rPr>
            </w:pPr>
            <w:r w:rsidRPr="002F5FEF">
              <w:rPr>
                <w:rFonts w:eastAsia="Calibri"/>
              </w:rPr>
              <w:t>Electric Water Heat</w:t>
            </w:r>
            <w:r>
              <w:rPr>
                <w:rFonts w:eastAsia="Calibri"/>
              </w:rPr>
              <w:t>*</w:t>
            </w:r>
          </w:p>
        </w:tc>
        <w:tc>
          <w:tcPr>
            <w:tcW w:w="0" w:type="auto"/>
            <w:shd w:val="clear" w:color="auto" w:fill="auto"/>
            <w:vAlign w:val="center"/>
          </w:tcPr>
          <w:p w14:paraId="0F5C3E23" w14:textId="77777777" w:rsidR="00D34C6E" w:rsidRPr="002F5FEF" w:rsidRDefault="00D34C6E" w:rsidP="002B6C05">
            <w:pPr>
              <w:spacing w:after="0"/>
              <w:rPr>
                <w:rFonts w:eastAsia="Calibri"/>
              </w:rPr>
            </w:pPr>
            <w:r w:rsidRPr="002F5FEF">
              <w:rPr>
                <w:rFonts w:eastAsia="Calibri"/>
              </w:rPr>
              <w:t>0.9</w:t>
            </w:r>
            <w:r>
              <w:rPr>
                <w:rFonts w:eastAsia="Calibri"/>
              </w:rPr>
              <w:t>2</w:t>
            </w:r>
            <w:r w:rsidRPr="002F5FEF">
              <w:rPr>
                <w:rFonts w:eastAsia="Calibri"/>
              </w:rPr>
              <w:t xml:space="preserve"> EF</w:t>
            </w:r>
          </w:p>
        </w:tc>
      </w:tr>
    </w:tbl>
    <w:p w14:paraId="08BA1ED1" w14:textId="77777777" w:rsidR="00D34C6E" w:rsidRPr="002F5FEF" w:rsidRDefault="00D34C6E" w:rsidP="00D34C6E">
      <w:pPr>
        <w:pStyle w:val="TableFootnote"/>
        <w:spacing w:after="120"/>
      </w:pPr>
      <w:r>
        <w:t xml:space="preserve">*EF varies based on water heater storage volume and draw pattern; values in table for </w:t>
      </w:r>
      <w:proofErr w:type="gramStart"/>
      <w:r>
        <w:t>40 gallon</w:t>
      </w:r>
      <w:proofErr w:type="gramEnd"/>
      <w:r>
        <w:t xml:space="preserve"> water heater with medium draw pattern.</w:t>
      </w:r>
    </w:p>
    <w:p w14:paraId="673CF30B" w14:textId="77777777" w:rsidR="00D34C6E" w:rsidRPr="002F5FEF" w:rsidRDefault="00D34C6E" w:rsidP="00D34C6E">
      <w:pPr>
        <w:rPr>
          <w:rFonts w:eastAsia="Calibri"/>
        </w:rPr>
      </w:pPr>
      <w:r w:rsidRPr="002F5FEF">
        <w:rPr>
          <w:rFonts w:eastAsia="Calibri"/>
        </w:rPr>
        <w:t>For each component that is more efficient than code, the following additional questions are asked:</w:t>
      </w:r>
    </w:p>
    <w:p w14:paraId="2844D2E6" w14:textId="77777777" w:rsidR="00D34C6E" w:rsidRPr="002F5FEF" w:rsidRDefault="00D34C6E" w:rsidP="00D34C6E">
      <w:pPr>
        <w:pStyle w:val="ListParagraph"/>
        <w:widowControl/>
        <w:numPr>
          <w:ilvl w:val="0"/>
          <w:numId w:val="32"/>
        </w:numPr>
        <w:spacing w:after="60"/>
        <w:contextualSpacing w:val="0"/>
        <w:rPr>
          <w:rFonts w:eastAsia="Calibri"/>
        </w:rPr>
      </w:pPr>
      <w:r w:rsidRPr="002F5FEF">
        <w:rPr>
          <w:rFonts w:eastAsia="Calibri"/>
        </w:rPr>
        <w:t>How many homes did you sell in &lt;period&gt; that incorporated this upgrade?</w:t>
      </w:r>
    </w:p>
    <w:p w14:paraId="735B9C97" w14:textId="77777777" w:rsidR="00D34C6E" w:rsidRPr="002F5FEF" w:rsidRDefault="00D34C6E" w:rsidP="00D34C6E">
      <w:pPr>
        <w:pStyle w:val="ListParagraph"/>
        <w:widowControl/>
        <w:numPr>
          <w:ilvl w:val="0"/>
          <w:numId w:val="32"/>
        </w:numPr>
        <w:contextualSpacing w:val="0"/>
        <w:rPr>
          <w:rFonts w:eastAsia="Calibri"/>
        </w:rPr>
      </w:pPr>
      <w:r w:rsidRPr="002F5FEF">
        <w:rPr>
          <w:rFonts w:eastAsia="Calibri"/>
        </w:rPr>
        <w:t xml:space="preserve">Of these homes, how many would have incorporated this upgrade, had the &lt;program&gt; not existed? </w:t>
      </w:r>
    </w:p>
    <w:p w14:paraId="1C93414C" w14:textId="77777777" w:rsidR="00D34C6E" w:rsidRPr="002F5FEF" w:rsidRDefault="00D34C6E" w:rsidP="00D34C6E">
      <w:pPr>
        <w:rPr>
          <w:rFonts w:eastAsia="Calibri"/>
        </w:rPr>
      </w:pPr>
      <w:r w:rsidRPr="002F5FEF">
        <w:rPr>
          <w:rFonts w:eastAsia="Calibri"/>
        </w:rPr>
        <w:t>Evaluators should ensure that nonparticipant builders receive sufficient time to collect specific data and not rely on “guesses” to respond. Responses should also clarify whether sales counts are specific to the utility service territory in question.</w:t>
      </w:r>
    </w:p>
    <w:p w14:paraId="583CBE93" w14:textId="77777777" w:rsidR="00D34C6E" w:rsidRPr="002F5FEF" w:rsidRDefault="00D34C6E" w:rsidP="00D34C6E">
      <w:pPr>
        <w:rPr>
          <w:rFonts w:eastAsia="Calibri"/>
        </w:rPr>
      </w:pPr>
      <w:r w:rsidRPr="002F5FEF">
        <w:rPr>
          <w:rFonts w:eastAsia="Calibri"/>
        </w:rPr>
        <w:t>The following steps calculate the program’s nonparticipant builder spillover percentage:</w:t>
      </w:r>
    </w:p>
    <w:p w14:paraId="2D67EF8F" w14:textId="77777777" w:rsidR="00D34C6E" w:rsidRPr="002F5FEF" w:rsidRDefault="00D34C6E" w:rsidP="00D34C6E">
      <w:pPr>
        <w:pStyle w:val="ListParagraph"/>
        <w:widowControl/>
        <w:numPr>
          <w:ilvl w:val="0"/>
          <w:numId w:val="33"/>
        </w:numPr>
        <w:spacing w:after="60"/>
        <w:contextualSpacing w:val="0"/>
        <w:rPr>
          <w:rFonts w:eastAsia="Calibri"/>
        </w:rPr>
      </w:pPr>
      <w:r w:rsidRPr="002F5FEF">
        <w:rPr>
          <w:rFonts w:eastAsia="Calibri"/>
        </w:rPr>
        <w:lastRenderedPageBreak/>
        <w:t xml:space="preserve">Compute the difference between the total reported number of efficiency upgrades sold and the total that would have been sold in the program’s absence to obtain the total number of upgrades by type of upgrade for that builder. </w:t>
      </w:r>
    </w:p>
    <w:p w14:paraId="075E18D8" w14:textId="77777777" w:rsidR="00D34C6E" w:rsidRPr="002F5FEF" w:rsidRDefault="00D34C6E" w:rsidP="00D34C6E">
      <w:pPr>
        <w:pStyle w:val="ListParagraph"/>
        <w:widowControl/>
        <w:numPr>
          <w:ilvl w:val="0"/>
          <w:numId w:val="33"/>
        </w:numPr>
        <w:spacing w:after="60"/>
        <w:contextualSpacing w:val="0"/>
        <w:rPr>
          <w:rFonts w:eastAsia="Calibri"/>
        </w:rPr>
      </w:pPr>
      <w:r w:rsidRPr="002F5FEF">
        <w:rPr>
          <w:rFonts w:eastAsia="Calibri"/>
        </w:rPr>
        <w:t xml:space="preserve">Multiply the total net number of upgrades of each type sold by each surveyed builder by the average gross unit savings for each upgrade type. </w:t>
      </w:r>
    </w:p>
    <w:p w14:paraId="3FEBCC6B" w14:textId="77777777" w:rsidR="00D34C6E" w:rsidRPr="002F5FEF" w:rsidRDefault="00D34C6E" w:rsidP="00D34C6E">
      <w:pPr>
        <w:pStyle w:val="ListParagraph"/>
        <w:keepNext/>
        <w:widowControl/>
        <w:numPr>
          <w:ilvl w:val="0"/>
          <w:numId w:val="33"/>
        </w:numPr>
        <w:spacing w:after="60"/>
        <w:contextualSpacing w:val="0"/>
        <w:rPr>
          <w:rFonts w:eastAsia="Calibri"/>
        </w:rPr>
      </w:pPr>
      <w:r w:rsidRPr="002F5FEF">
        <w:rPr>
          <w:rFonts w:eastAsia="Calibri"/>
        </w:rPr>
        <w:t xml:space="preserve">Sum the result for each builder from the previous step, and weight the results by the ratio of the population of non-active builders to the sample to compute the total spillover energy over the program period. </w:t>
      </w:r>
    </w:p>
    <w:p w14:paraId="540DF651" w14:textId="77777777" w:rsidR="00D34C6E" w:rsidRPr="002F5FEF" w:rsidRDefault="00D34C6E" w:rsidP="00D34C6E">
      <w:pPr>
        <w:pStyle w:val="ListParagraph"/>
        <w:widowControl/>
        <w:numPr>
          <w:ilvl w:val="0"/>
          <w:numId w:val="33"/>
        </w:numPr>
        <w:contextualSpacing w:val="0"/>
        <w:rPr>
          <w:rFonts w:eastAsia="Calibri"/>
        </w:rPr>
      </w:pPr>
      <w:r w:rsidRPr="002F5FEF">
        <w:rPr>
          <w:rFonts w:eastAsia="Calibri"/>
        </w:rPr>
        <w:t xml:space="preserve">Divide the spillover energy savings by program gross savings. </w:t>
      </w:r>
    </w:p>
    <w:p w14:paraId="36AF6C46" w14:textId="77777777" w:rsidR="00D34C6E" w:rsidRDefault="00D34C6E" w:rsidP="00D34C6E">
      <w:pPr>
        <w:rPr>
          <w:rFonts w:eastAsia="Calibri"/>
        </w:rPr>
      </w:pPr>
      <w:r w:rsidRPr="002F5FEF">
        <w:rPr>
          <w:rFonts w:eastAsia="Calibri"/>
        </w:rPr>
        <w:t xml:space="preserve">Should a general population survey be implemented for nonparticipant spillover, care should be taken to ensure spillover is not double-counted. </w:t>
      </w:r>
      <w:r>
        <w:rPr>
          <w:rFonts w:eastAsia="Calibri"/>
        </w:rPr>
        <w:br w:type="page"/>
      </w:r>
    </w:p>
    <w:p w14:paraId="02D99406" w14:textId="77777777" w:rsidR="00D34C6E" w:rsidRPr="009B67BF" w:rsidRDefault="00D34C6E" w:rsidP="00D34C6E">
      <w:pPr>
        <w:pStyle w:val="Heading1"/>
        <w:keepLines w:val="0"/>
        <w:widowControl/>
        <w:numPr>
          <w:ilvl w:val="0"/>
          <w:numId w:val="8"/>
        </w:numPr>
        <w:tabs>
          <w:tab w:val="decimal" w:pos="720"/>
        </w:tabs>
        <w:ind w:left="0" w:firstLine="0"/>
        <w:jc w:val="left"/>
      </w:pPr>
      <w:bookmarkStart w:id="1807" w:name="_Toc431527841"/>
      <w:bookmarkStart w:id="1808" w:name="_Toc431527842"/>
      <w:bookmarkStart w:id="1809" w:name="_Toc431527843"/>
      <w:bookmarkStart w:id="1810" w:name="_Toc431527844"/>
      <w:bookmarkStart w:id="1811" w:name="_Toc431527845"/>
      <w:bookmarkStart w:id="1812" w:name="_Toc431527846"/>
      <w:bookmarkStart w:id="1813" w:name="_Toc431527847"/>
      <w:bookmarkStart w:id="1814" w:name="_Toc431527848"/>
      <w:bookmarkStart w:id="1815" w:name="_Toc431527849"/>
      <w:bookmarkStart w:id="1816" w:name="_Toc431527850"/>
      <w:bookmarkStart w:id="1817" w:name="_Toc440282041"/>
      <w:bookmarkStart w:id="1818" w:name="_Toc440282795"/>
      <w:bookmarkStart w:id="1819" w:name="_Toc440375406"/>
      <w:bookmarkStart w:id="1820" w:name="_Toc431526493"/>
      <w:bookmarkStart w:id="1821" w:name="_Ref439690438"/>
      <w:bookmarkStart w:id="1822" w:name="_Ref440541960"/>
      <w:bookmarkStart w:id="1823" w:name="_Ref441759649"/>
      <w:bookmarkStart w:id="1824" w:name="_Toc442804322"/>
      <w:bookmarkStart w:id="1825" w:name="_Toc442805539"/>
      <w:bookmarkStart w:id="1826" w:name="_Toc472494730"/>
      <w:bookmarkStart w:id="1827" w:name="_Toc520462928"/>
      <w:bookmarkStart w:id="1828" w:name="_Toc473108072"/>
      <w:bookmarkStart w:id="1829" w:name="_Toc520824182"/>
      <w:bookmarkStart w:id="1830" w:name="_Toc16619965"/>
      <w:bookmarkStart w:id="1831" w:name="_Toc113619820"/>
      <w:bookmarkEnd w:id="1807"/>
      <w:bookmarkEnd w:id="1808"/>
      <w:bookmarkEnd w:id="1809"/>
      <w:bookmarkEnd w:id="1810"/>
      <w:bookmarkEnd w:id="1811"/>
      <w:bookmarkEnd w:id="1812"/>
      <w:bookmarkEnd w:id="1813"/>
      <w:bookmarkEnd w:id="1814"/>
      <w:bookmarkEnd w:id="1815"/>
      <w:bookmarkEnd w:id="1816"/>
      <w:bookmarkEnd w:id="1817"/>
      <w:bookmarkEnd w:id="1818"/>
      <w:bookmarkEnd w:id="1819"/>
      <w:r w:rsidRPr="009B67BF">
        <w:lastRenderedPageBreak/>
        <w:t xml:space="preserve">Cross-Sector </w:t>
      </w:r>
      <w:bookmarkEnd w:id="1820"/>
      <w:bookmarkEnd w:id="1821"/>
      <w:bookmarkEnd w:id="1822"/>
      <w:r>
        <w:t>Protocols</w:t>
      </w:r>
      <w:bookmarkEnd w:id="1823"/>
      <w:bookmarkEnd w:id="1824"/>
      <w:bookmarkEnd w:id="1825"/>
      <w:bookmarkEnd w:id="1826"/>
      <w:bookmarkEnd w:id="1827"/>
      <w:bookmarkEnd w:id="1828"/>
      <w:bookmarkEnd w:id="1829"/>
      <w:bookmarkEnd w:id="1830"/>
      <w:bookmarkEnd w:id="1831"/>
    </w:p>
    <w:p w14:paraId="70104E71" w14:textId="77777777" w:rsidR="00D34C6E" w:rsidRPr="009B67BF" w:rsidRDefault="00D34C6E" w:rsidP="00D34C6E">
      <w:pPr>
        <w:rPr>
          <w:rFonts w:eastAsia="Calibri"/>
        </w:rPr>
      </w:pPr>
      <w:r w:rsidRPr="009B67BF">
        <w:rPr>
          <w:rFonts w:eastAsia="Calibri"/>
        </w:rPr>
        <w:t xml:space="preserve">The following sections include protocols that may be applicable to programs in the residential as well as in the commercial, industrial, and public sectors. </w:t>
      </w:r>
      <w:r>
        <w:rPr>
          <w:rFonts w:eastAsia="Calibri"/>
        </w:rPr>
        <w:t xml:space="preserve">Table 3-1 Commercial, Industrial, and Public Sector Programs and Table 4-1 Residential and </w:t>
      </w:r>
      <w:proofErr w:type="gramStart"/>
      <w:r>
        <w:rPr>
          <w:rFonts w:eastAsia="Calibri"/>
        </w:rPr>
        <w:t>Low Income</w:t>
      </w:r>
      <w:proofErr w:type="gramEnd"/>
      <w:r>
        <w:rPr>
          <w:rFonts w:eastAsia="Calibri"/>
        </w:rPr>
        <w:t xml:space="preserve"> Programs </w:t>
      </w:r>
      <w:r w:rsidRPr="009B67BF">
        <w:rPr>
          <w:rFonts w:eastAsia="Calibri"/>
        </w:rPr>
        <w:t>present information regarding the applicability of these protocols to specific programs.</w:t>
      </w:r>
    </w:p>
    <w:p w14:paraId="3C9E41F6" w14:textId="77777777" w:rsidR="00D34C6E" w:rsidRDefault="00D34C6E" w:rsidP="00D34C6E">
      <w:pPr>
        <w:pStyle w:val="Heading2"/>
        <w:keepLines w:val="0"/>
        <w:widowControl/>
        <w:numPr>
          <w:ilvl w:val="1"/>
          <w:numId w:val="8"/>
        </w:numPr>
        <w:jc w:val="left"/>
      </w:pPr>
      <w:bookmarkStart w:id="1832" w:name="_Toc520462929"/>
      <w:bookmarkStart w:id="1833" w:name="_Toc520824183"/>
      <w:bookmarkStart w:id="1834" w:name="_Toc16619966"/>
      <w:bookmarkStart w:id="1835" w:name="_Toc113619821"/>
      <w:r>
        <w:t>Combining Participant and Trade Ally Free Ridership Scores</w:t>
      </w:r>
      <w:bookmarkEnd w:id="1832"/>
      <w:bookmarkEnd w:id="1833"/>
      <w:bookmarkEnd w:id="1834"/>
      <w:bookmarkEnd w:id="1835"/>
    </w:p>
    <w:p w14:paraId="1E553CFB" w14:textId="77777777" w:rsidR="00D34C6E" w:rsidRDefault="00D34C6E" w:rsidP="00D34C6E">
      <w:pPr>
        <w:rPr>
          <w:rFonts w:eastAsia="Franklin Gothic Book"/>
        </w:rPr>
      </w:pPr>
      <w:bookmarkStart w:id="1836" w:name="_Hlk520457798"/>
      <w:r w:rsidRPr="00E4096C">
        <w:rPr>
          <w:rFonts w:eastAsia="Franklin Gothic Book"/>
        </w:rPr>
        <w:t>F</w:t>
      </w:r>
      <w:r>
        <w:rPr>
          <w:rFonts w:eastAsia="Franklin Gothic Book"/>
        </w:rPr>
        <w:t xml:space="preserve">or a program where trade allies play a prominent role in delivering the energy efficiency measure and promoting the program, an estimate of free ridership from trade allies can be combined with one from participants to form a combined free ridership value. Elsewhere, the NTG Protocol (see Section 3.1.1.3) discusses using trade ally surveys to adjust </w:t>
      </w:r>
      <w:r w:rsidRPr="00F360EF">
        <w:rPr>
          <w:rFonts w:eastAsia="Franklin Gothic Book"/>
          <w:b/>
        </w:rPr>
        <w:t>project-level</w:t>
      </w:r>
      <w:r>
        <w:rPr>
          <w:rFonts w:eastAsia="Franklin Gothic Book"/>
        </w:rPr>
        <w:t xml:space="preserve"> free ridership scores. This section discusses combining a </w:t>
      </w:r>
      <w:r>
        <w:rPr>
          <w:rFonts w:eastAsia="Franklin Gothic Book"/>
          <w:b/>
        </w:rPr>
        <w:t xml:space="preserve">program-level </w:t>
      </w:r>
      <w:r>
        <w:rPr>
          <w:rFonts w:eastAsia="Franklin Gothic Book"/>
        </w:rPr>
        <w:t xml:space="preserve">free ridership score from trade allies with a program-level free ridership score from participants. </w:t>
      </w:r>
    </w:p>
    <w:p w14:paraId="47112F04" w14:textId="77777777" w:rsidR="00D34C6E" w:rsidRDefault="00D34C6E" w:rsidP="00D34C6E">
      <w:r>
        <w:t>If an evaluation uses this approach, the evaluator’s NTG report should present the conditions that support the argument that the combined value is more likely to be reflective of reality. That argument should consider the following topics:</w:t>
      </w:r>
    </w:p>
    <w:p w14:paraId="79459161" w14:textId="77777777" w:rsidR="00D34C6E" w:rsidRDefault="00D34C6E" w:rsidP="00D34C6E">
      <w:pPr>
        <w:pStyle w:val="ListParagraph"/>
        <w:widowControl/>
        <w:numPr>
          <w:ilvl w:val="0"/>
          <w:numId w:val="34"/>
        </w:numPr>
        <w:spacing w:after="60"/>
        <w:contextualSpacing w:val="0"/>
        <w:rPr>
          <w:rFonts w:eastAsia="Franklin Gothic Book"/>
        </w:rPr>
      </w:pPr>
      <w:r>
        <w:rPr>
          <w:rFonts w:eastAsia="Franklin Gothic Book"/>
          <w:b/>
        </w:rPr>
        <w:t xml:space="preserve">Trade Ally </w:t>
      </w:r>
      <w:r w:rsidRPr="00AB6720">
        <w:rPr>
          <w:rFonts w:eastAsia="Franklin Gothic Book"/>
          <w:b/>
        </w:rPr>
        <w:t xml:space="preserve">Role. </w:t>
      </w:r>
      <w:r>
        <w:rPr>
          <w:rFonts w:eastAsia="Franklin Gothic Book"/>
        </w:rPr>
        <w:t>What role do the trade allies play in the program? How were participating trade allies chosen? How might they differ from nonparticipating trade allies? Why does that support the proposition that their view on free ridership is accurate and reasonably unbiased?</w:t>
      </w:r>
    </w:p>
    <w:p w14:paraId="7CE729C6" w14:textId="77777777" w:rsidR="00D34C6E" w:rsidRDefault="00D34C6E" w:rsidP="00D34C6E">
      <w:pPr>
        <w:pStyle w:val="ListParagraph"/>
        <w:widowControl/>
        <w:numPr>
          <w:ilvl w:val="0"/>
          <w:numId w:val="34"/>
        </w:numPr>
        <w:spacing w:after="60"/>
        <w:contextualSpacing w:val="0"/>
        <w:rPr>
          <w:rFonts w:eastAsia="Franklin Gothic Book"/>
        </w:rPr>
      </w:pPr>
      <w:r w:rsidRPr="00E74335">
        <w:rPr>
          <w:rFonts w:eastAsia="Franklin Gothic Book"/>
          <w:b/>
        </w:rPr>
        <w:t>Participant Role</w:t>
      </w:r>
      <w:r>
        <w:rPr>
          <w:rFonts w:eastAsia="Franklin Gothic Book"/>
        </w:rPr>
        <w:t>. What role do the participants play in deciding which measures are installed and why does that support the proposition that their view on free ridership is accurate and reasonably unbiased?</w:t>
      </w:r>
    </w:p>
    <w:p w14:paraId="4B3A94BA" w14:textId="77777777" w:rsidR="00D34C6E" w:rsidRPr="00AB6720" w:rsidRDefault="00D34C6E" w:rsidP="00D34C6E">
      <w:pPr>
        <w:pStyle w:val="ListParagraph"/>
        <w:widowControl/>
        <w:numPr>
          <w:ilvl w:val="1"/>
          <w:numId w:val="34"/>
        </w:numPr>
        <w:spacing w:after="60"/>
        <w:contextualSpacing w:val="0"/>
        <w:rPr>
          <w:rFonts w:eastAsia="Franklin Gothic Book"/>
        </w:rPr>
      </w:pPr>
      <w:r>
        <w:rPr>
          <w:rFonts w:eastAsia="Franklin Gothic Book"/>
        </w:rPr>
        <w:t xml:space="preserve">For example, the participant’s role in the decision </w:t>
      </w:r>
      <w:r w:rsidRPr="00E74335">
        <w:rPr>
          <w:rFonts w:eastAsia="Franklin Gothic Book"/>
          <w:b/>
        </w:rPr>
        <w:t>may</w:t>
      </w:r>
      <w:r>
        <w:rPr>
          <w:rFonts w:eastAsia="Franklin Gothic Book"/>
        </w:rPr>
        <w:t xml:space="preserve"> be significantly less in some types of programs like new construction or multifamily direct install programs. (The participant free ridership data collection method may already account for this by, for example, treating the building owner as the participant rather than the tenants.)</w:t>
      </w:r>
    </w:p>
    <w:p w14:paraId="216890E5" w14:textId="77777777" w:rsidR="00D34C6E" w:rsidRDefault="00D34C6E" w:rsidP="00D34C6E">
      <w:pPr>
        <w:pStyle w:val="ListParagraph"/>
        <w:widowControl/>
        <w:numPr>
          <w:ilvl w:val="0"/>
          <w:numId w:val="34"/>
        </w:numPr>
        <w:spacing w:after="60"/>
        <w:contextualSpacing w:val="0"/>
        <w:rPr>
          <w:rFonts w:eastAsia="Franklin Gothic Book"/>
        </w:rPr>
      </w:pPr>
      <w:r w:rsidRPr="00AB6720">
        <w:rPr>
          <w:rFonts w:eastAsia="Franklin Gothic Book"/>
          <w:b/>
        </w:rPr>
        <w:t xml:space="preserve">Market </w:t>
      </w:r>
      <w:r>
        <w:rPr>
          <w:rFonts w:eastAsia="Franklin Gothic Book"/>
          <w:b/>
        </w:rPr>
        <w:t>C</w:t>
      </w:r>
      <w:r w:rsidRPr="00AB6720">
        <w:rPr>
          <w:rFonts w:eastAsia="Franklin Gothic Book"/>
          <w:b/>
        </w:rPr>
        <w:t>onditions</w:t>
      </w:r>
      <w:r>
        <w:rPr>
          <w:rFonts w:eastAsia="Franklin Gothic Book"/>
        </w:rPr>
        <w:t>. What conditions exist in the market that support the proposition that either the trade allies’ view or the participants’ view on market behavior may be more accurate?</w:t>
      </w:r>
    </w:p>
    <w:p w14:paraId="438B5531" w14:textId="77777777" w:rsidR="00D34C6E" w:rsidRPr="00AB6720" w:rsidRDefault="00D34C6E" w:rsidP="00D34C6E">
      <w:pPr>
        <w:pStyle w:val="ListParagraph"/>
        <w:widowControl/>
        <w:numPr>
          <w:ilvl w:val="1"/>
          <w:numId w:val="34"/>
        </w:numPr>
        <w:spacing w:after="60"/>
        <w:contextualSpacing w:val="0"/>
        <w:rPr>
          <w:rFonts w:eastAsia="Franklin Gothic Book"/>
        </w:rPr>
      </w:pPr>
      <w:r w:rsidRPr="00AB6720">
        <w:rPr>
          <w:rFonts w:eastAsia="Franklin Gothic Book"/>
        </w:rPr>
        <w:t xml:space="preserve">For example, </w:t>
      </w:r>
      <w:r>
        <w:rPr>
          <w:rFonts w:eastAsia="Franklin Gothic Book"/>
        </w:rPr>
        <w:t>if the market was in its infancy before the program began and as a result participants’ ability to take the energy efficiency action was limited, the trade allies may have a more accurate view on the counterfactual than the participants.</w:t>
      </w:r>
    </w:p>
    <w:p w14:paraId="535014E3" w14:textId="77777777" w:rsidR="00D34C6E" w:rsidRDefault="00D34C6E" w:rsidP="00D34C6E">
      <w:pPr>
        <w:pStyle w:val="ListParagraph"/>
        <w:widowControl/>
        <w:numPr>
          <w:ilvl w:val="0"/>
          <w:numId w:val="34"/>
        </w:numPr>
        <w:spacing w:after="60"/>
        <w:contextualSpacing w:val="0"/>
        <w:rPr>
          <w:rFonts w:eastAsia="Franklin Gothic Book"/>
        </w:rPr>
      </w:pPr>
      <w:r w:rsidRPr="00336E49">
        <w:rPr>
          <w:rFonts w:eastAsia="Franklin Gothic Book"/>
          <w:b/>
        </w:rPr>
        <w:t xml:space="preserve">Bias. </w:t>
      </w:r>
      <w:r>
        <w:rPr>
          <w:rFonts w:eastAsia="Franklin Gothic Book"/>
        </w:rPr>
        <w:t>What are the hypothesized biases of the participants and trade allies? Where do they stem from? What evidence is there that they exist? How well has the data collection approach sought to mitigate that bias?</w:t>
      </w:r>
    </w:p>
    <w:p w14:paraId="423E2B5F" w14:textId="0C70F076" w:rsidR="00D34C6E" w:rsidRDefault="00D34C6E" w:rsidP="00D34C6E">
      <w:pPr>
        <w:pStyle w:val="ListParagraph"/>
        <w:widowControl/>
        <w:numPr>
          <w:ilvl w:val="0"/>
          <w:numId w:val="34"/>
        </w:numPr>
        <w:contextualSpacing w:val="0"/>
        <w:rPr>
          <w:rFonts w:eastAsia="Franklin Gothic Book"/>
        </w:rPr>
      </w:pPr>
      <w:r w:rsidRPr="00FD5F57">
        <w:rPr>
          <w:rFonts w:eastAsia="Franklin Gothic Book"/>
          <w:b/>
        </w:rPr>
        <w:t xml:space="preserve">Offsetting Bias. </w:t>
      </w:r>
      <w:r>
        <w:rPr>
          <w:rFonts w:eastAsia="Franklin Gothic Book"/>
        </w:rPr>
        <w:t xml:space="preserve">Do the hypothesized biases of participants and trade allies offset </w:t>
      </w:r>
      <w:r w:rsidR="00BA3810">
        <w:rPr>
          <w:rFonts w:eastAsia="Franklin Gothic Book"/>
        </w:rPr>
        <w:t>each other,</w:t>
      </w:r>
      <w:r>
        <w:rPr>
          <w:rFonts w:eastAsia="Franklin Gothic Book"/>
        </w:rPr>
        <w:t xml:space="preserve"> or do they move the free ridership value in the same direction?</w:t>
      </w:r>
    </w:p>
    <w:p w14:paraId="6612AC5B" w14:textId="77777777" w:rsidR="00D34C6E" w:rsidRPr="00697304" w:rsidRDefault="00D34C6E" w:rsidP="0088039F">
      <w:pPr>
        <w:pStyle w:val="Heading3"/>
      </w:pPr>
      <w:bookmarkStart w:id="1837" w:name="_Toc518556642"/>
      <w:bookmarkStart w:id="1838" w:name="_Toc520462930"/>
      <w:bookmarkStart w:id="1839" w:name="_Toc520824184"/>
      <w:bookmarkStart w:id="1840" w:name="_Toc16619967"/>
      <w:bookmarkStart w:id="1841" w:name="_Toc113619822"/>
      <w:r w:rsidRPr="00697304">
        <w:t>Trade Ally Free Ridership Calculation</w:t>
      </w:r>
      <w:bookmarkEnd w:id="1837"/>
      <w:bookmarkEnd w:id="1838"/>
      <w:bookmarkEnd w:id="1839"/>
      <w:bookmarkEnd w:id="1840"/>
      <w:bookmarkEnd w:id="1841"/>
    </w:p>
    <w:p w14:paraId="756B1EE2" w14:textId="77777777" w:rsidR="00D34C6E" w:rsidRPr="00E4096C" w:rsidRDefault="00D34C6E" w:rsidP="00D34C6E">
      <w:pPr>
        <w:rPr>
          <w:rFonts w:eastAsia="Franklin Gothic Book"/>
        </w:rPr>
      </w:pPr>
      <w:r>
        <w:rPr>
          <w:rFonts w:eastAsia="Franklin Gothic Book"/>
        </w:rPr>
        <w:t xml:space="preserve">The NTG protocols do not yet contain a standardized approach for measuring free ridership from trade allies. That approach should be developed for future versions of the TRM. In the meantime, if an evaluation team decides to estimate trade ally free ridership, they should collaborate with other Illinois evaluators on the survey design and calculation algorithm. </w:t>
      </w:r>
    </w:p>
    <w:p w14:paraId="298CBFA9" w14:textId="77777777" w:rsidR="00D34C6E" w:rsidRPr="001F410B" w:rsidRDefault="00D34C6E" w:rsidP="0088039F">
      <w:pPr>
        <w:pStyle w:val="Heading3"/>
      </w:pPr>
      <w:bookmarkStart w:id="1842" w:name="_Toc518556643"/>
      <w:bookmarkStart w:id="1843" w:name="_Toc520462931"/>
      <w:bookmarkStart w:id="1844" w:name="_Toc520824185"/>
      <w:bookmarkStart w:id="1845" w:name="_Toc16619968"/>
      <w:bookmarkStart w:id="1846" w:name="_Toc113619823"/>
      <w:r w:rsidRPr="001F410B">
        <w:t>Triangulation</w:t>
      </w:r>
      <w:bookmarkEnd w:id="1842"/>
      <w:bookmarkEnd w:id="1843"/>
      <w:bookmarkEnd w:id="1844"/>
      <w:bookmarkEnd w:id="1845"/>
      <w:bookmarkEnd w:id="1846"/>
    </w:p>
    <w:p w14:paraId="17A17E1B" w14:textId="77777777" w:rsidR="00D34C6E" w:rsidRDefault="00D34C6E" w:rsidP="00D34C6E">
      <w:r>
        <w:t xml:space="preserve">Where appropriate, evaluators should combine participant and trade ally free ridership values by weighting each value in the final result. The weighting of each value should be based on considerations of the likely bias, accuracy, and representativeness of the results. The following presents one approach for determining weights. This is an example only. The evaluator should create an approach appropriate for the program. </w:t>
      </w:r>
    </w:p>
    <w:p w14:paraId="296F7EC4" w14:textId="77777777" w:rsidR="00D34C6E" w:rsidRDefault="00D34C6E" w:rsidP="00D34C6E">
      <w:r>
        <w:rPr>
          <w:b/>
        </w:rPr>
        <w:t xml:space="preserve">Example. </w:t>
      </w:r>
      <w:r>
        <w:t xml:space="preserve">Combined participant and trade ally free ridership </w:t>
      </w:r>
      <w:r w:rsidRPr="00E4096C">
        <w:t>results by rating the analysis methodology and data collected using responses (rated on a scale of 0 to 10) to the following three questions:</w:t>
      </w:r>
    </w:p>
    <w:p w14:paraId="355EFE72" w14:textId="77777777" w:rsidR="00D34C6E" w:rsidRDefault="00D34C6E" w:rsidP="00D34C6E">
      <w:pPr>
        <w:pStyle w:val="ListParagraph"/>
        <w:widowControl/>
        <w:numPr>
          <w:ilvl w:val="0"/>
          <w:numId w:val="65"/>
        </w:numPr>
        <w:spacing w:after="60"/>
        <w:contextualSpacing w:val="0"/>
        <w:rPr>
          <w:rFonts w:eastAsia="Franklin Gothic Book"/>
        </w:rPr>
      </w:pPr>
      <w:r w:rsidRPr="00E4096C">
        <w:rPr>
          <w:rFonts w:eastAsia="Franklin Gothic Book"/>
        </w:rPr>
        <w:lastRenderedPageBreak/>
        <w:t>All things being equal, on a scale of 0 to 10, with 0 being not at all likely and 10 being extremely likely, how likely is the approach to provide a more accurate estimate of free</w:t>
      </w:r>
      <w:r>
        <w:rPr>
          <w:rFonts w:eastAsia="Franklin Gothic Book"/>
        </w:rPr>
        <w:t xml:space="preserve"> </w:t>
      </w:r>
      <w:r w:rsidRPr="00E4096C">
        <w:rPr>
          <w:rFonts w:eastAsia="Franklin Gothic Book"/>
        </w:rPr>
        <w:t>ridership?</w:t>
      </w:r>
    </w:p>
    <w:p w14:paraId="18541BB5" w14:textId="77777777" w:rsidR="00D34C6E" w:rsidRDefault="00D34C6E" w:rsidP="00D34C6E">
      <w:pPr>
        <w:pStyle w:val="ListParagraph"/>
        <w:widowControl/>
        <w:numPr>
          <w:ilvl w:val="0"/>
          <w:numId w:val="65"/>
        </w:numPr>
        <w:spacing w:after="60"/>
        <w:contextualSpacing w:val="0"/>
        <w:rPr>
          <w:rFonts w:eastAsia="Franklin Gothic Book"/>
        </w:rPr>
      </w:pPr>
      <w:r w:rsidRPr="00E4096C">
        <w:rPr>
          <w:rFonts w:eastAsia="Franklin Gothic Book"/>
        </w:rPr>
        <w:t xml:space="preserve">Similarly, on a scale of 0 to 10, with 0 being not at all </w:t>
      </w:r>
      <w:r>
        <w:rPr>
          <w:rFonts w:eastAsia="Franklin Gothic Book"/>
        </w:rPr>
        <w:t>valid</w:t>
      </w:r>
      <w:r w:rsidRPr="00E4096C">
        <w:rPr>
          <w:rFonts w:eastAsia="Franklin Gothic Book"/>
        </w:rPr>
        <w:t xml:space="preserve"> and 10 being extremely </w:t>
      </w:r>
      <w:r>
        <w:rPr>
          <w:rFonts w:eastAsia="Franklin Gothic Book"/>
        </w:rPr>
        <w:t>valid</w:t>
      </w:r>
      <w:r w:rsidRPr="00E4096C">
        <w:rPr>
          <w:rFonts w:eastAsia="Franklin Gothic Book"/>
        </w:rPr>
        <w:t xml:space="preserve">, how valid </w:t>
      </w:r>
      <w:r>
        <w:rPr>
          <w:rFonts w:eastAsia="Franklin Gothic Book"/>
        </w:rPr>
        <w:t xml:space="preserve">and reliable </w:t>
      </w:r>
      <w:r w:rsidRPr="00E4096C">
        <w:rPr>
          <w:rFonts w:eastAsia="Franklin Gothic Book"/>
        </w:rPr>
        <w:t>is the data collected and the analysis performed (i.e.</w:t>
      </w:r>
      <w:r>
        <w:rPr>
          <w:rFonts w:eastAsia="Franklin Gothic Book"/>
        </w:rPr>
        <w:t>,</w:t>
      </w:r>
      <w:r w:rsidRPr="00E4096C">
        <w:rPr>
          <w:rFonts w:eastAsia="Franklin Gothic Book"/>
        </w:rPr>
        <w:t xml:space="preserve"> consider </w:t>
      </w:r>
      <w:r>
        <w:rPr>
          <w:rFonts w:eastAsia="Franklin Gothic Book"/>
        </w:rPr>
        <w:t xml:space="preserve">non-response bias, </w:t>
      </w:r>
      <w:r w:rsidRPr="00E4096C">
        <w:rPr>
          <w:rFonts w:eastAsia="Franklin Gothic Book"/>
        </w:rPr>
        <w:t>missing data</w:t>
      </w:r>
      <w:r>
        <w:rPr>
          <w:rFonts w:eastAsia="Franklin Gothic Book"/>
        </w:rPr>
        <w:t xml:space="preserve"> (e.g., </w:t>
      </w:r>
      <w:r w:rsidRPr="00E4096C">
        <w:rPr>
          <w:rFonts w:eastAsia="Franklin Gothic Book"/>
        </w:rPr>
        <w:t>whether data collected was based on recollection or record keeping</w:t>
      </w:r>
      <w:r>
        <w:rPr>
          <w:rFonts w:eastAsia="Franklin Gothic Book"/>
        </w:rPr>
        <w:t>?)</w:t>
      </w:r>
      <w:r w:rsidRPr="00E4096C">
        <w:rPr>
          <w:rFonts w:eastAsia="Franklin Gothic Book"/>
        </w:rPr>
        <w:t xml:space="preserve"> </w:t>
      </w:r>
    </w:p>
    <w:p w14:paraId="6DB79C62" w14:textId="77777777" w:rsidR="00D34C6E" w:rsidRPr="00E4096C" w:rsidRDefault="00D34C6E" w:rsidP="00D34C6E">
      <w:pPr>
        <w:pStyle w:val="ListParagraph"/>
        <w:widowControl/>
        <w:numPr>
          <w:ilvl w:val="0"/>
          <w:numId w:val="65"/>
        </w:numPr>
        <w:contextualSpacing w:val="0"/>
        <w:rPr>
          <w:rFonts w:eastAsia="Franklin Gothic Book"/>
        </w:rPr>
      </w:pPr>
      <w:r>
        <w:rPr>
          <w:rFonts w:eastAsia="Franklin Gothic Book"/>
        </w:rPr>
        <w:t>O</w:t>
      </w:r>
      <w:r w:rsidRPr="00E4096C">
        <w:rPr>
          <w:rFonts w:eastAsia="Franklin Gothic Book"/>
        </w:rPr>
        <w:t xml:space="preserve">n a scale of 0 to 10, with 0 being not at all </w:t>
      </w:r>
      <w:r>
        <w:rPr>
          <w:rFonts w:eastAsia="Franklin Gothic Book"/>
        </w:rPr>
        <w:t>representative</w:t>
      </w:r>
      <w:r w:rsidRPr="00E4096C">
        <w:rPr>
          <w:rFonts w:eastAsia="Franklin Gothic Book"/>
        </w:rPr>
        <w:t xml:space="preserve"> and 10 being extremely </w:t>
      </w:r>
      <w:r>
        <w:rPr>
          <w:rFonts w:eastAsia="Franklin Gothic Book"/>
        </w:rPr>
        <w:t>representative</w:t>
      </w:r>
      <w:r w:rsidRPr="00E4096C">
        <w:rPr>
          <w:rFonts w:eastAsia="Franklin Gothic Book"/>
        </w:rPr>
        <w:t xml:space="preserve">, </w:t>
      </w:r>
      <w:r>
        <w:rPr>
          <w:rFonts w:eastAsia="Franklin Gothic Book"/>
        </w:rPr>
        <w:t>h</w:t>
      </w:r>
      <w:r w:rsidRPr="00E4096C">
        <w:rPr>
          <w:rFonts w:eastAsia="Franklin Gothic Book"/>
        </w:rPr>
        <w:t xml:space="preserve">ow representative is the sample (accounting for </w:t>
      </w:r>
      <w:r>
        <w:rPr>
          <w:rFonts w:eastAsia="Franklin Gothic Book"/>
        </w:rPr>
        <w:t>sampling error {</w:t>
      </w:r>
      <w:r w:rsidRPr="00E4096C">
        <w:rPr>
          <w:rFonts w:eastAsia="Franklin Gothic Book"/>
        </w:rPr>
        <w:t>confidence and precision</w:t>
      </w:r>
      <w:r>
        <w:rPr>
          <w:rFonts w:eastAsia="Franklin Gothic Book"/>
        </w:rPr>
        <w:t>}</w:t>
      </w:r>
      <w:r w:rsidRPr="00E4096C">
        <w:rPr>
          <w:rFonts w:eastAsia="Franklin Gothic Book"/>
        </w:rPr>
        <w:t xml:space="preserve">, and non-response </w:t>
      </w:r>
      <w:r>
        <w:rPr>
          <w:rFonts w:eastAsia="Franklin Gothic Book"/>
        </w:rPr>
        <w:t>bias, and</w:t>
      </w:r>
      <w:r w:rsidRPr="00E4096C">
        <w:rPr>
          <w:rFonts w:eastAsia="Franklin Gothic Book"/>
        </w:rPr>
        <w:t xml:space="preserve"> any sample frame bias)?</w:t>
      </w:r>
    </w:p>
    <w:p w14:paraId="37F74D32" w14:textId="77777777" w:rsidR="00D34C6E" w:rsidRDefault="00D34C6E" w:rsidP="00D34C6E">
      <w:pPr>
        <w:rPr>
          <w:rFonts w:eastAsia="Franklin Gothic Book"/>
        </w:rPr>
      </w:pPr>
      <w:r w:rsidRPr="00E4096C">
        <w:rPr>
          <w:rFonts w:eastAsia="Franklin Gothic Book"/>
        </w:rPr>
        <w:t xml:space="preserve">The weight for each </w:t>
      </w:r>
      <w:r>
        <w:rPr>
          <w:rFonts w:eastAsia="Franklin Gothic Book"/>
        </w:rPr>
        <w:t>free ridership estimate</w:t>
      </w:r>
      <w:r w:rsidRPr="00E4096C">
        <w:rPr>
          <w:rFonts w:eastAsia="Franklin Gothic Book"/>
        </w:rPr>
        <w:t xml:space="preserve"> is the average score for that </w:t>
      </w:r>
      <w:r>
        <w:rPr>
          <w:rFonts w:eastAsia="Franklin Gothic Book"/>
        </w:rPr>
        <w:t>estimate</w:t>
      </w:r>
      <w:r w:rsidRPr="00E4096C">
        <w:rPr>
          <w:rFonts w:eastAsia="Franklin Gothic Book"/>
        </w:rPr>
        <w:t xml:space="preserve"> divided by the sum of the</w:t>
      </w:r>
      <w:r>
        <w:rPr>
          <w:rFonts w:eastAsia="Franklin Gothic Book"/>
        </w:rPr>
        <w:t xml:space="preserve"> average</w:t>
      </w:r>
      <w:r w:rsidRPr="00E4096C">
        <w:rPr>
          <w:rFonts w:eastAsia="Franklin Gothic Book"/>
        </w:rPr>
        <w:t xml:space="preserve"> scores for </w:t>
      </w:r>
      <w:r>
        <w:rPr>
          <w:rFonts w:eastAsia="Franklin Gothic Book"/>
        </w:rPr>
        <w:t>both estimates</w:t>
      </w:r>
      <w:r w:rsidRPr="00E4096C">
        <w:rPr>
          <w:rFonts w:eastAsia="Franklin Gothic Book"/>
        </w:rPr>
        <w:t>.</w:t>
      </w:r>
    </w:p>
    <w:p w14:paraId="255938BA" w14:textId="77777777" w:rsidR="00D34C6E" w:rsidRDefault="00D34C6E" w:rsidP="00D34C6E">
      <w:pPr>
        <w:rPr>
          <w:rFonts w:eastAsia="Franklin Gothic Book"/>
        </w:rPr>
      </w:pPr>
      <w:r w:rsidRPr="003504D5">
        <w:rPr>
          <w:rFonts w:eastAsia="Franklin Gothic Book"/>
        </w:rPr>
        <w:t>Table 4-5</w:t>
      </w:r>
      <w:r>
        <w:rPr>
          <w:rFonts w:eastAsia="Franklin Gothic Book"/>
        </w:rPr>
        <w:t xml:space="preserve"> provides an </w:t>
      </w:r>
      <w:r w:rsidRPr="00E4096C">
        <w:rPr>
          <w:rFonts w:eastAsia="Franklin Gothic Book"/>
        </w:rPr>
        <w:t>example scoring illustrating the calculated weights.</w:t>
      </w:r>
    </w:p>
    <w:p w14:paraId="6AE20EEF" w14:textId="77777777" w:rsidR="00D34C6E" w:rsidRPr="002B20D1" w:rsidRDefault="00D34C6E" w:rsidP="0021790A">
      <w:pPr>
        <w:pStyle w:val="TableHeading"/>
      </w:pPr>
      <w:bookmarkStart w:id="1847" w:name="_Toc520824294"/>
      <w:bookmarkStart w:id="1848" w:name="_Toc523148266"/>
      <w:bookmarkStart w:id="1849" w:name="_Toc16620027"/>
      <w:bookmarkStart w:id="1850" w:name="_Toc83376858"/>
      <w:r w:rsidRPr="002B20D1">
        <w:t xml:space="preserve">Table </w:t>
      </w:r>
      <w:r>
        <w:t>5-1</w:t>
      </w:r>
      <w:r w:rsidRPr="002B20D1">
        <w:t>. Example Triangulation Weighting Approach</w:t>
      </w:r>
      <w:bookmarkEnd w:id="1847"/>
      <w:bookmarkEnd w:id="1848"/>
      <w:bookmarkEnd w:id="1849"/>
      <w:bookmarkEnd w:id="1850"/>
      <w:r w:rsidRPr="002B20D1">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57"/>
        <w:gridCol w:w="1207"/>
        <w:gridCol w:w="1188"/>
      </w:tblGrid>
      <w:tr w:rsidR="00D34C6E" w:rsidRPr="002F5FEF" w14:paraId="25134B15" w14:textId="77777777" w:rsidTr="002B6C05">
        <w:tc>
          <w:tcPr>
            <w:tcW w:w="0" w:type="auto"/>
            <w:shd w:val="clear" w:color="auto" w:fill="auto"/>
            <w:vAlign w:val="center"/>
          </w:tcPr>
          <w:p w14:paraId="7D63DF15" w14:textId="77777777" w:rsidR="00D34C6E" w:rsidRPr="002F5FEF" w:rsidRDefault="00D34C6E" w:rsidP="002B6C05">
            <w:pPr>
              <w:keepNext/>
              <w:spacing w:after="0"/>
              <w:rPr>
                <w:b/>
              </w:rPr>
            </w:pPr>
            <w:r w:rsidRPr="002F5FEF">
              <w:rPr>
                <w:b/>
              </w:rPr>
              <w:t>NTG Triangulation Data and Analysis</w:t>
            </w:r>
          </w:p>
        </w:tc>
        <w:tc>
          <w:tcPr>
            <w:tcW w:w="0" w:type="auto"/>
            <w:shd w:val="clear" w:color="auto" w:fill="auto"/>
            <w:vAlign w:val="center"/>
          </w:tcPr>
          <w:p w14:paraId="7B7216FF" w14:textId="77777777" w:rsidR="00D34C6E" w:rsidRPr="002F5FEF" w:rsidRDefault="00D34C6E" w:rsidP="002B6C05">
            <w:pPr>
              <w:keepNext/>
              <w:spacing w:after="0"/>
              <w:jc w:val="right"/>
              <w:rPr>
                <w:b/>
              </w:rPr>
            </w:pPr>
            <w:r>
              <w:rPr>
                <w:b/>
              </w:rPr>
              <w:t>Participants</w:t>
            </w:r>
          </w:p>
        </w:tc>
        <w:tc>
          <w:tcPr>
            <w:tcW w:w="0" w:type="auto"/>
            <w:shd w:val="clear" w:color="auto" w:fill="auto"/>
            <w:vAlign w:val="center"/>
          </w:tcPr>
          <w:p w14:paraId="62E923E7" w14:textId="77777777" w:rsidR="00D34C6E" w:rsidRPr="002F5FEF" w:rsidRDefault="00D34C6E" w:rsidP="002B6C05">
            <w:pPr>
              <w:keepNext/>
              <w:spacing w:after="0"/>
              <w:jc w:val="right"/>
              <w:rPr>
                <w:b/>
              </w:rPr>
            </w:pPr>
            <w:r>
              <w:rPr>
                <w:b/>
              </w:rPr>
              <w:t>Trade Allies</w:t>
            </w:r>
          </w:p>
        </w:tc>
      </w:tr>
      <w:tr w:rsidR="00D34C6E" w:rsidRPr="002F5FEF" w14:paraId="4F8E6A6E" w14:textId="77777777" w:rsidTr="002B6C05">
        <w:tc>
          <w:tcPr>
            <w:tcW w:w="0" w:type="auto"/>
            <w:shd w:val="clear" w:color="auto" w:fill="auto"/>
            <w:vAlign w:val="center"/>
          </w:tcPr>
          <w:p w14:paraId="70342943" w14:textId="77777777" w:rsidR="00D34C6E" w:rsidRPr="002F5FEF" w:rsidRDefault="00D34C6E" w:rsidP="002B6C05">
            <w:pPr>
              <w:keepNext/>
              <w:spacing w:after="0"/>
            </w:pPr>
            <w:r w:rsidRPr="002F5FEF">
              <w:t xml:space="preserve">1. How likely is this approach to provide an accurate </w:t>
            </w:r>
            <w:r>
              <w:t>estimate</w:t>
            </w:r>
            <w:r w:rsidRPr="002F5FEF">
              <w:t xml:space="preserve"> of free ridership?</w:t>
            </w:r>
          </w:p>
        </w:tc>
        <w:tc>
          <w:tcPr>
            <w:tcW w:w="0" w:type="auto"/>
            <w:shd w:val="clear" w:color="auto" w:fill="auto"/>
            <w:vAlign w:val="center"/>
          </w:tcPr>
          <w:p w14:paraId="1C1FD7DE" w14:textId="77777777" w:rsidR="00D34C6E" w:rsidRPr="002F5FEF" w:rsidRDefault="00D34C6E" w:rsidP="002B6C05">
            <w:pPr>
              <w:keepNext/>
              <w:spacing w:after="0"/>
              <w:jc w:val="right"/>
            </w:pPr>
            <w:r w:rsidRPr="002F5FEF">
              <w:t>6</w:t>
            </w:r>
          </w:p>
        </w:tc>
        <w:tc>
          <w:tcPr>
            <w:tcW w:w="0" w:type="auto"/>
            <w:shd w:val="clear" w:color="auto" w:fill="auto"/>
            <w:vAlign w:val="center"/>
          </w:tcPr>
          <w:p w14:paraId="0CA9221D" w14:textId="77777777" w:rsidR="00D34C6E" w:rsidRPr="002F5FEF" w:rsidRDefault="00D34C6E" w:rsidP="002B6C05">
            <w:pPr>
              <w:keepNext/>
              <w:spacing w:after="0"/>
              <w:jc w:val="right"/>
            </w:pPr>
            <w:r w:rsidRPr="002F5FEF">
              <w:t>8</w:t>
            </w:r>
          </w:p>
        </w:tc>
      </w:tr>
      <w:tr w:rsidR="00D34C6E" w:rsidRPr="002F5FEF" w14:paraId="6F926EEA" w14:textId="77777777" w:rsidTr="002B6C05">
        <w:tc>
          <w:tcPr>
            <w:tcW w:w="0" w:type="auto"/>
            <w:shd w:val="clear" w:color="auto" w:fill="auto"/>
            <w:vAlign w:val="center"/>
          </w:tcPr>
          <w:p w14:paraId="2595EB22" w14:textId="77777777" w:rsidR="00D34C6E" w:rsidRPr="002F5FEF" w:rsidRDefault="00D34C6E" w:rsidP="002B6C05">
            <w:pPr>
              <w:keepNext/>
              <w:spacing w:after="0"/>
            </w:pPr>
            <w:r w:rsidRPr="002F5FEF">
              <w:t xml:space="preserve">2. How valid is the data collected/analysis? </w:t>
            </w:r>
          </w:p>
        </w:tc>
        <w:tc>
          <w:tcPr>
            <w:tcW w:w="0" w:type="auto"/>
            <w:shd w:val="clear" w:color="auto" w:fill="auto"/>
            <w:vAlign w:val="center"/>
          </w:tcPr>
          <w:p w14:paraId="036A43C8" w14:textId="77777777" w:rsidR="00D34C6E" w:rsidRPr="002F5FEF" w:rsidRDefault="00D34C6E" w:rsidP="002B6C05">
            <w:pPr>
              <w:keepNext/>
              <w:spacing w:after="0"/>
              <w:jc w:val="right"/>
            </w:pPr>
            <w:r w:rsidRPr="002F5FEF">
              <w:t>3</w:t>
            </w:r>
          </w:p>
        </w:tc>
        <w:tc>
          <w:tcPr>
            <w:tcW w:w="0" w:type="auto"/>
            <w:shd w:val="clear" w:color="auto" w:fill="auto"/>
            <w:vAlign w:val="center"/>
          </w:tcPr>
          <w:p w14:paraId="1EB70DA0" w14:textId="77777777" w:rsidR="00D34C6E" w:rsidRPr="002F5FEF" w:rsidRDefault="00D34C6E" w:rsidP="002B6C05">
            <w:pPr>
              <w:keepNext/>
              <w:spacing w:after="0"/>
              <w:jc w:val="right"/>
            </w:pPr>
            <w:r w:rsidRPr="002F5FEF">
              <w:t>5</w:t>
            </w:r>
          </w:p>
        </w:tc>
      </w:tr>
      <w:tr w:rsidR="00D34C6E" w:rsidRPr="002F5FEF" w14:paraId="7C65D445" w14:textId="77777777" w:rsidTr="002B6C05">
        <w:tc>
          <w:tcPr>
            <w:tcW w:w="0" w:type="auto"/>
            <w:shd w:val="clear" w:color="auto" w:fill="auto"/>
            <w:vAlign w:val="center"/>
          </w:tcPr>
          <w:p w14:paraId="5FB60543" w14:textId="77777777" w:rsidR="00D34C6E" w:rsidRPr="002F5FEF" w:rsidRDefault="00D34C6E" w:rsidP="002B6C05">
            <w:pPr>
              <w:keepNext/>
              <w:spacing w:after="0"/>
            </w:pPr>
            <w:r w:rsidRPr="002F5FEF">
              <w:t xml:space="preserve">3. How representative is the sample? </w:t>
            </w:r>
          </w:p>
        </w:tc>
        <w:tc>
          <w:tcPr>
            <w:tcW w:w="0" w:type="auto"/>
            <w:shd w:val="clear" w:color="auto" w:fill="auto"/>
            <w:vAlign w:val="center"/>
          </w:tcPr>
          <w:p w14:paraId="64F4B7B9" w14:textId="77777777" w:rsidR="00D34C6E" w:rsidRPr="002F5FEF" w:rsidRDefault="00D34C6E" w:rsidP="002B6C05">
            <w:pPr>
              <w:keepNext/>
              <w:spacing w:after="0"/>
              <w:jc w:val="right"/>
            </w:pPr>
            <w:r w:rsidRPr="002F5FEF">
              <w:t>8</w:t>
            </w:r>
          </w:p>
        </w:tc>
        <w:tc>
          <w:tcPr>
            <w:tcW w:w="0" w:type="auto"/>
            <w:shd w:val="clear" w:color="auto" w:fill="auto"/>
            <w:vAlign w:val="center"/>
          </w:tcPr>
          <w:p w14:paraId="1B3932FD" w14:textId="77777777" w:rsidR="00D34C6E" w:rsidRPr="002F5FEF" w:rsidRDefault="00D34C6E" w:rsidP="002B6C05">
            <w:pPr>
              <w:keepNext/>
              <w:spacing w:after="0"/>
              <w:jc w:val="right"/>
            </w:pPr>
            <w:r w:rsidRPr="002F5FEF">
              <w:t>10</w:t>
            </w:r>
          </w:p>
        </w:tc>
      </w:tr>
      <w:tr w:rsidR="00D34C6E" w:rsidRPr="002F5FEF" w14:paraId="592272EB" w14:textId="77777777" w:rsidTr="002B6C05">
        <w:tc>
          <w:tcPr>
            <w:tcW w:w="0" w:type="auto"/>
            <w:shd w:val="clear" w:color="auto" w:fill="auto"/>
            <w:vAlign w:val="center"/>
          </w:tcPr>
          <w:p w14:paraId="698D5C64" w14:textId="77777777" w:rsidR="00D34C6E" w:rsidRPr="002F5FEF" w:rsidRDefault="00D34C6E" w:rsidP="002B6C05">
            <w:pPr>
              <w:keepNext/>
              <w:spacing w:after="0"/>
            </w:pPr>
            <w:r w:rsidRPr="002F5FEF">
              <w:t>Average Score</w:t>
            </w:r>
          </w:p>
        </w:tc>
        <w:tc>
          <w:tcPr>
            <w:tcW w:w="0" w:type="auto"/>
            <w:shd w:val="clear" w:color="auto" w:fill="auto"/>
            <w:vAlign w:val="center"/>
          </w:tcPr>
          <w:p w14:paraId="6F1E55F2" w14:textId="77777777" w:rsidR="00D34C6E" w:rsidRPr="002F5FEF" w:rsidRDefault="00D34C6E" w:rsidP="002B6C05">
            <w:pPr>
              <w:keepNext/>
              <w:spacing w:after="0"/>
              <w:jc w:val="right"/>
            </w:pPr>
            <w:r w:rsidRPr="002F5FEF">
              <w:t>5.7</w:t>
            </w:r>
          </w:p>
        </w:tc>
        <w:tc>
          <w:tcPr>
            <w:tcW w:w="0" w:type="auto"/>
            <w:shd w:val="clear" w:color="auto" w:fill="auto"/>
            <w:vAlign w:val="center"/>
          </w:tcPr>
          <w:p w14:paraId="79D41B26" w14:textId="77777777" w:rsidR="00D34C6E" w:rsidRPr="002F5FEF" w:rsidRDefault="00D34C6E" w:rsidP="002B6C05">
            <w:pPr>
              <w:keepNext/>
              <w:spacing w:after="0"/>
              <w:jc w:val="right"/>
            </w:pPr>
            <w:r w:rsidRPr="002F5FEF">
              <w:t>9</w:t>
            </w:r>
          </w:p>
        </w:tc>
      </w:tr>
      <w:tr w:rsidR="00D34C6E" w:rsidRPr="002F5FEF" w14:paraId="3DD5962A" w14:textId="77777777" w:rsidTr="002B6C05">
        <w:tc>
          <w:tcPr>
            <w:tcW w:w="0" w:type="auto"/>
            <w:shd w:val="clear" w:color="auto" w:fill="auto"/>
            <w:vAlign w:val="center"/>
          </w:tcPr>
          <w:p w14:paraId="199F93CA" w14:textId="77777777" w:rsidR="00D34C6E" w:rsidRPr="002F5FEF" w:rsidRDefault="00D34C6E" w:rsidP="002B6C05">
            <w:pPr>
              <w:keepNext/>
              <w:spacing w:after="0"/>
            </w:pPr>
            <w:r w:rsidRPr="002F5FEF">
              <w:t>Sum of Averages</w:t>
            </w:r>
          </w:p>
        </w:tc>
        <w:tc>
          <w:tcPr>
            <w:tcW w:w="0" w:type="auto"/>
            <w:shd w:val="clear" w:color="auto" w:fill="auto"/>
            <w:vAlign w:val="center"/>
          </w:tcPr>
          <w:p w14:paraId="19F56DDF" w14:textId="77777777" w:rsidR="00D34C6E" w:rsidRPr="002F5FEF" w:rsidRDefault="00D34C6E" w:rsidP="002B6C05">
            <w:pPr>
              <w:keepNext/>
              <w:spacing w:after="0"/>
              <w:jc w:val="right"/>
            </w:pPr>
            <w:r w:rsidRPr="002F5FEF">
              <w:t>14.7</w:t>
            </w:r>
          </w:p>
        </w:tc>
        <w:tc>
          <w:tcPr>
            <w:tcW w:w="0" w:type="auto"/>
            <w:shd w:val="clear" w:color="auto" w:fill="auto"/>
            <w:vAlign w:val="center"/>
          </w:tcPr>
          <w:p w14:paraId="7784D468" w14:textId="77777777" w:rsidR="00D34C6E" w:rsidRPr="002F5FEF" w:rsidRDefault="00D34C6E" w:rsidP="002B6C05">
            <w:pPr>
              <w:keepNext/>
              <w:spacing w:after="0"/>
              <w:jc w:val="right"/>
            </w:pPr>
            <w:r w:rsidRPr="002F5FEF">
              <w:t>14.7</w:t>
            </w:r>
          </w:p>
        </w:tc>
      </w:tr>
      <w:tr w:rsidR="00D34C6E" w:rsidRPr="002F5FEF" w14:paraId="182081B1" w14:textId="77777777" w:rsidTr="002B6C05">
        <w:tc>
          <w:tcPr>
            <w:tcW w:w="0" w:type="auto"/>
            <w:shd w:val="clear" w:color="auto" w:fill="auto"/>
            <w:vAlign w:val="center"/>
          </w:tcPr>
          <w:p w14:paraId="45EE90D0" w14:textId="77777777" w:rsidR="00D34C6E" w:rsidRPr="002F5FEF" w:rsidRDefault="00D34C6E" w:rsidP="002B6C05">
            <w:pPr>
              <w:keepNext/>
              <w:spacing w:after="0"/>
            </w:pPr>
            <w:r w:rsidRPr="002F5FEF">
              <w:t>Weight</w:t>
            </w:r>
          </w:p>
        </w:tc>
        <w:tc>
          <w:tcPr>
            <w:tcW w:w="0" w:type="auto"/>
            <w:shd w:val="clear" w:color="auto" w:fill="auto"/>
            <w:vAlign w:val="center"/>
          </w:tcPr>
          <w:p w14:paraId="6C36674F" w14:textId="77777777" w:rsidR="00D34C6E" w:rsidRPr="002F5FEF" w:rsidRDefault="00D34C6E" w:rsidP="002B6C05">
            <w:pPr>
              <w:keepNext/>
              <w:spacing w:after="0"/>
              <w:jc w:val="right"/>
            </w:pPr>
            <w:r w:rsidRPr="002F5FEF">
              <w:t>39%</w:t>
            </w:r>
          </w:p>
        </w:tc>
        <w:tc>
          <w:tcPr>
            <w:tcW w:w="0" w:type="auto"/>
            <w:shd w:val="clear" w:color="auto" w:fill="auto"/>
            <w:vAlign w:val="center"/>
          </w:tcPr>
          <w:p w14:paraId="7E26232D" w14:textId="77777777" w:rsidR="00D34C6E" w:rsidRPr="002F5FEF" w:rsidRDefault="00D34C6E" w:rsidP="002B6C05">
            <w:pPr>
              <w:keepNext/>
              <w:spacing w:after="0"/>
              <w:jc w:val="right"/>
            </w:pPr>
            <w:r w:rsidRPr="002F5FEF">
              <w:t>61%</w:t>
            </w:r>
          </w:p>
        </w:tc>
      </w:tr>
    </w:tbl>
    <w:p w14:paraId="321C1F05" w14:textId="77777777" w:rsidR="00D34C6E" w:rsidRPr="00491DCE" w:rsidRDefault="00D34C6E" w:rsidP="00D34C6E">
      <w:pPr>
        <w:pStyle w:val="Heading2"/>
        <w:keepLines w:val="0"/>
        <w:widowControl/>
        <w:numPr>
          <w:ilvl w:val="1"/>
          <w:numId w:val="8"/>
        </w:numPr>
        <w:jc w:val="left"/>
      </w:pPr>
      <w:bookmarkStart w:id="1851" w:name="_Ref520439763"/>
      <w:bookmarkStart w:id="1852" w:name="_Toc520462932"/>
      <w:bookmarkStart w:id="1853" w:name="_Toc520824186"/>
      <w:bookmarkStart w:id="1854" w:name="_Toc16619969"/>
      <w:bookmarkStart w:id="1855" w:name="_Toc113619824"/>
      <w:bookmarkEnd w:id="1836"/>
      <w:r w:rsidRPr="00491DCE">
        <w:t>Spillover Measured Through Trade Allies</w:t>
      </w:r>
      <w:bookmarkEnd w:id="1851"/>
      <w:bookmarkEnd w:id="1852"/>
      <w:bookmarkEnd w:id="1853"/>
      <w:bookmarkEnd w:id="1854"/>
      <w:bookmarkEnd w:id="1855"/>
    </w:p>
    <w:p w14:paraId="7BDED3BC" w14:textId="77777777" w:rsidR="00D34C6E" w:rsidRDefault="00D34C6E" w:rsidP="00D34C6E">
      <w:bookmarkStart w:id="1856" w:name="_Hlk520439502"/>
      <w:r>
        <w:t>Many energy efficiency programs rely on trade allies to help spread program awareness and promote energy efficiency among their customers. Some programs establish lists of participating trade allies and provide trade allies with training, education, and/or marketing materials. Spillover might occur when a trade ally’s business practices are influenced by a program but at least some of their energy efficient installations do not receive a program incentive.</w:t>
      </w:r>
    </w:p>
    <w:p w14:paraId="2E6DDA18" w14:textId="77777777" w:rsidR="00D34C6E" w:rsidRDefault="00D34C6E" w:rsidP="00D34C6E">
      <w:r>
        <w:t>For the purposes of measuring trade ally spillover, we define trade allies as (1) retailers, contractors or other market actors who work with end-user customers on the selection and installation of energy-using equipment; and (2) distributors who supply equipment to stores and other market actors, rather than to end-user customers. For the purposes of this section, manufacturers are not included in the definition of trade allies.</w:t>
      </w:r>
      <w:r>
        <w:rPr>
          <w:rStyle w:val="FootnoteReference"/>
        </w:rPr>
        <w:footnoteReference w:id="83"/>
      </w:r>
      <w:r>
        <w:t xml:space="preserve"> In addition, we differentiate between the following types of trade allies:</w:t>
      </w:r>
    </w:p>
    <w:p w14:paraId="47549BDE" w14:textId="77777777" w:rsidR="00D34C6E" w:rsidRDefault="00D34C6E" w:rsidP="00D34C6E">
      <w:pPr>
        <w:pStyle w:val="ListParagraph"/>
        <w:widowControl/>
        <w:numPr>
          <w:ilvl w:val="0"/>
          <w:numId w:val="66"/>
        </w:numPr>
        <w:spacing w:after="60"/>
        <w:contextualSpacing w:val="0"/>
      </w:pPr>
      <w:r>
        <w:t>Active Trade Allies</w:t>
      </w:r>
    </w:p>
    <w:p w14:paraId="13EC62A0" w14:textId="0576E5EE" w:rsidR="00D34C6E" w:rsidRDefault="00D34C6E" w:rsidP="00D34C6E">
      <w:pPr>
        <w:pStyle w:val="ListParagraph"/>
        <w:widowControl/>
        <w:numPr>
          <w:ilvl w:val="1"/>
          <w:numId w:val="66"/>
        </w:numPr>
        <w:spacing w:after="60"/>
        <w:contextualSpacing w:val="0"/>
      </w:pPr>
      <w:r>
        <w:t xml:space="preserve">Trade allies who were active in the program during the evaluation period and appear in program tracking databases. The tracking data contains information on the quantity of incented measures associated with these trade allies and their </w:t>
      </w:r>
      <w:r w:rsidR="00261F7B">
        <w:t>savings.</w:t>
      </w:r>
    </w:p>
    <w:p w14:paraId="6E9058D5" w14:textId="77777777" w:rsidR="00D34C6E" w:rsidRDefault="00D34C6E" w:rsidP="00D34C6E">
      <w:pPr>
        <w:pStyle w:val="ListParagraph"/>
        <w:widowControl/>
        <w:numPr>
          <w:ilvl w:val="0"/>
          <w:numId w:val="66"/>
        </w:numPr>
        <w:spacing w:after="60"/>
        <w:contextualSpacing w:val="0"/>
      </w:pPr>
      <w:r>
        <w:t>Inactive Trade Allies</w:t>
      </w:r>
    </w:p>
    <w:p w14:paraId="32ACD2E0" w14:textId="77777777" w:rsidR="00D34C6E" w:rsidRDefault="00D34C6E" w:rsidP="00D34C6E">
      <w:pPr>
        <w:pStyle w:val="ListParagraph"/>
        <w:widowControl/>
        <w:numPr>
          <w:ilvl w:val="1"/>
          <w:numId w:val="66"/>
        </w:numPr>
        <w:spacing w:after="60"/>
        <w:contextualSpacing w:val="0"/>
      </w:pPr>
      <w:r>
        <w:t xml:space="preserve">Trade allies who are on the utility’s trade ally list (and have received at least some utility training or education) but who were not active during the evaluation period and do not appear in program savings tracking databases for the evaluation period; </w:t>
      </w:r>
    </w:p>
    <w:p w14:paraId="2B2299A4" w14:textId="77777777" w:rsidR="00D34C6E" w:rsidRDefault="00D34C6E" w:rsidP="00D34C6E">
      <w:pPr>
        <w:pStyle w:val="ListParagraph"/>
        <w:widowControl/>
        <w:numPr>
          <w:ilvl w:val="1"/>
          <w:numId w:val="66"/>
        </w:numPr>
        <w:spacing w:after="60"/>
        <w:contextualSpacing w:val="0"/>
      </w:pPr>
      <w:r>
        <w:t>Trade allies who were previously active in the program (and may have been on the utility’s trade ally list) but have dropped out; and/or</w:t>
      </w:r>
    </w:p>
    <w:p w14:paraId="696D003E" w14:textId="77777777" w:rsidR="00D34C6E" w:rsidRDefault="00D34C6E" w:rsidP="00D34C6E">
      <w:pPr>
        <w:pStyle w:val="ListParagraph"/>
        <w:widowControl/>
        <w:numPr>
          <w:ilvl w:val="1"/>
          <w:numId w:val="66"/>
        </w:numPr>
        <w:contextualSpacing w:val="0"/>
      </w:pPr>
      <w:r>
        <w:t>Trade allies who have never been active in the program and were never on the utility’s trade ally list.</w:t>
      </w:r>
    </w:p>
    <w:p w14:paraId="15AF384C" w14:textId="77777777" w:rsidR="00D34C6E" w:rsidRDefault="00D34C6E" w:rsidP="00D34C6E">
      <w:r>
        <w:lastRenderedPageBreak/>
        <w:t>When deciding whether to conduct trade ally spillover research, the evaluator should consider the following:</w:t>
      </w:r>
    </w:p>
    <w:p w14:paraId="7E0F730E" w14:textId="63C58DEC" w:rsidR="00D34C6E" w:rsidRDefault="00D34C6E" w:rsidP="00D34C6E">
      <w:pPr>
        <w:pStyle w:val="ListParagraph"/>
        <w:widowControl/>
        <w:numPr>
          <w:ilvl w:val="0"/>
          <w:numId w:val="67"/>
        </w:numPr>
        <w:spacing w:after="60"/>
        <w:contextualSpacing w:val="0"/>
      </w:pPr>
      <w:r w:rsidRPr="00B7773F">
        <w:rPr>
          <w:b/>
        </w:rPr>
        <w:t>Likelihood of trade ally spillover:</w:t>
      </w:r>
      <w:r>
        <w:t xml:space="preserve"> When limited evaluation resources are available, the evaluator should weigh the likelihood of trade ally spillover against the cost of the analysis when prioritizing evaluation efforts. E.g., programs that provide </w:t>
      </w:r>
      <w:r w:rsidR="00BA3810">
        <w:t>incentives,</w:t>
      </w:r>
      <w:r>
        <w:t xml:space="preserve"> but no training or education are less likely to generate spillover than programs that do provide training or education. Similarly, spillover from active trade allies is generally more likely than spillover from inactive trade allies, and spillover from inactive trade allies who have previously been active in the program is generally more likely than spillover from inactive trade allies who have never been active in the program.</w:t>
      </w:r>
    </w:p>
    <w:p w14:paraId="31BDC9D0" w14:textId="5205801F" w:rsidR="00D34C6E" w:rsidRPr="0059202B" w:rsidRDefault="00D34C6E" w:rsidP="00D34C6E">
      <w:pPr>
        <w:pStyle w:val="ListParagraph"/>
        <w:widowControl/>
        <w:numPr>
          <w:ilvl w:val="0"/>
          <w:numId w:val="67"/>
        </w:numPr>
        <w:contextualSpacing w:val="0"/>
      </w:pPr>
      <w:r w:rsidRPr="00B7773F">
        <w:rPr>
          <w:b/>
        </w:rPr>
        <w:t>Potential double-counting of spillover reported by end</w:t>
      </w:r>
      <w:r>
        <w:rPr>
          <w:b/>
        </w:rPr>
        <w:t>-</w:t>
      </w:r>
      <w:r w:rsidRPr="00B7773F">
        <w:rPr>
          <w:b/>
        </w:rPr>
        <w:t>use customers and trade allies:</w:t>
      </w:r>
      <w:r>
        <w:t xml:space="preserve"> Spillover from active trade allies and spillover from inactive trade allies are mutually exclusive, i.e., as long as the populations and samples are correctly defined, there is no danger of double-counting spillover from these two groups (see also discussion in Section </w:t>
      </w:r>
      <w:r>
        <w:fldChar w:fldCharType="begin"/>
      </w:r>
      <w:r>
        <w:instrText xml:space="preserve"> REF _Ref520440075 \n \h  \* MERGEFORMAT </w:instrText>
      </w:r>
      <w:r>
        <w:fldChar w:fldCharType="separate"/>
      </w:r>
      <w:r w:rsidR="00506A44">
        <w:t>2.2</w:t>
      </w:r>
      <w:r>
        <w:fldChar w:fldCharType="end"/>
      </w:r>
      <w:r>
        <w:t>). However, if the evaluator measures spillover through trade allies and end-use customers for the same evaluation period, care needs to be taken to avoid double-counting. Evaluators should clearly document potential double-counting of spillover and the steps taken to avoid it.</w:t>
      </w:r>
    </w:p>
    <w:p w14:paraId="58F3EF6D" w14:textId="77777777" w:rsidR="00D34C6E" w:rsidRDefault="00D34C6E" w:rsidP="00D34C6E">
      <w:r>
        <w:t>The following subsections provide suggested approaches for measuring spillover from active and inactive trade allies</w:t>
      </w:r>
      <w:r w:rsidRPr="00480FEF">
        <w:t>. Different approaches are outlined for these two groups</w:t>
      </w:r>
      <w:r>
        <w:t xml:space="preserve"> because of the different types of data available for each of them. For active trade allies, program tracking data contains information on their program activity (the quantity of incented measures associated with each active trade ally and their savings). This data allows for a more rigorous spillover methodology than can be used for inactive trade allies, for whom this information does not exist.</w:t>
      </w:r>
    </w:p>
    <w:p w14:paraId="213511A6" w14:textId="77777777" w:rsidR="00D34C6E" w:rsidRDefault="00D34C6E" w:rsidP="0088039F">
      <w:pPr>
        <w:pStyle w:val="Heading3"/>
      </w:pPr>
      <w:bookmarkStart w:id="1857" w:name="_Toc520462933"/>
      <w:bookmarkStart w:id="1858" w:name="_Toc520824187"/>
      <w:bookmarkStart w:id="1859" w:name="_Toc16619970"/>
      <w:bookmarkStart w:id="1860" w:name="_Toc113619825"/>
      <w:bookmarkStart w:id="1861" w:name="_Hlk520730379"/>
      <w:r>
        <w:t>Spillover from Active Trade Allies</w:t>
      </w:r>
      <w:bookmarkEnd w:id="1857"/>
      <w:bookmarkEnd w:id="1858"/>
      <w:bookmarkEnd w:id="1859"/>
      <w:bookmarkEnd w:id="1860"/>
      <w:r>
        <w:t xml:space="preserve"> </w:t>
      </w:r>
    </w:p>
    <w:p w14:paraId="0BF2DA1C" w14:textId="77777777" w:rsidR="00D34C6E" w:rsidRDefault="00D34C6E" w:rsidP="00D34C6E">
      <w:bookmarkStart w:id="1862" w:name="_Hlk520378094"/>
      <w:r>
        <w:t>Trade allies that are active in an energy efficiency program are more likely to create spillover than inactive trade allies, as their exposure to any program messaging and training/education is likely to be current and therefore more influential on their business practices. Active trade allies may create spillover if their program participation changes their business practices and leads to the completion of non-incented energy efficient projects that would otherwise not have happened. For example, as a result of program training, a trade ally might feel more comfortable talking about the benefits of energy efficiency and recommend energy efficient solutions more often. If these recommendations result in energy efficient projects, but no incentive is claimed, spillover from inactive trade allies may be present.</w:t>
      </w:r>
    </w:p>
    <w:p w14:paraId="7EA61E9D" w14:textId="77777777" w:rsidR="00D34C6E" w:rsidRDefault="00D34C6E" w:rsidP="00D34C6E">
      <w:r>
        <w:t xml:space="preserve">For active trade allies, the spillover methodology varies slightly for downstream programs and midstream programs. Approaches for both types of </w:t>
      </w:r>
      <w:proofErr w:type="gramStart"/>
      <w:r>
        <w:t>program</w:t>
      </w:r>
      <w:proofErr w:type="gramEnd"/>
      <w:r>
        <w:t xml:space="preserve"> are discussed below.</w:t>
      </w:r>
    </w:p>
    <w:p w14:paraId="45F160F3" w14:textId="77777777" w:rsidR="00D34C6E" w:rsidRDefault="00D34C6E" w:rsidP="001A2AE6">
      <w:pPr>
        <w:pStyle w:val="Heading4"/>
      </w:pPr>
      <w:r>
        <w:t>Downstream Programs</w:t>
      </w:r>
    </w:p>
    <w:p w14:paraId="5821241D" w14:textId="77777777" w:rsidR="00D34C6E" w:rsidRDefault="00D34C6E" w:rsidP="00D34C6E">
      <w:pPr>
        <w:rPr>
          <w:rFonts w:eastAsia="Calibri"/>
        </w:rPr>
      </w:pPr>
      <w:r w:rsidRPr="00137CC1">
        <w:rPr>
          <w:rFonts w:eastAsia="Franklin Gothic Book"/>
        </w:rPr>
        <w:t xml:space="preserve">Surveys </w:t>
      </w:r>
      <w:r>
        <w:rPr>
          <w:rFonts w:eastAsia="Franklin Gothic Book"/>
        </w:rPr>
        <w:t xml:space="preserve">can be used to </w:t>
      </w:r>
      <w:r w:rsidRPr="00137CC1">
        <w:rPr>
          <w:rFonts w:eastAsia="Franklin Gothic Book"/>
        </w:rPr>
        <w:t xml:space="preserve">ask </w:t>
      </w:r>
      <w:r>
        <w:rPr>
          <w:rFonts w:eastAsia="Franklin Gothic Book"/>
        </w:rPr>
        <w:t>active</w:t>
      </w:r>
      <w:r w:rsidRPr="00137CC1">
        <w:rPr>
          <w:rFonts w:eastAsia="Franklin Gothic Book"/>
        </w:rPr>
        <w:t xml:space="preserve"> trade allies </w:t>
      </w:r>
      <w:r w:rsidRPr="002F5FEF">
        <w:rPr>
          <w:rFonts w:eastAsia="Calibri"/>
        </w:rPr>
        <w:t xml:space="preserve">if the program influenced their sales of high-efficiency equipment to </w:t>
      </w:r>
      <w:r>
        <w:rPr>
          <w:rFonts w:eastAsia="Calibri"/>
        </w:rPr>
        <w:t xml:space="preserve">participating or </w:t>
      </w:r>
      <w:r w:rsidRPr="002F5FEF">
        <w:rPr>
          <w:rFonts w:eastAsia="Calibri"/>
        </w:rPr>
        <w:t>nonparticipating customers and to quantify the program’s impact on their high-efficiency sales.</w:t>
      </w:r>
      <w:r>
        <w:rPr>
          <w:rFonts w:eastAsia="Calibri"/>
        </w:rPr>
        <w:t xml:space="preserve"> To assess if a sampled trade ally created spillover, the following screening criteria are recommended (the order of these may be adjusted by the evaluator):</w:t>
      </w:r>
    </w:p>
    <w:p w14:paraId="0A736493" w14:textId="77777777" w:rsidR="00D34C6E" w:rsidRDefault="00D34C6E" w:rsidP="00D34C6E">
      <w:pPr>
        <w:pStyle w:val="ListParagraph"/>
        <w:numPr>
          <w:ilvl w:val="0"/>
          <w:numId w:val="68"/>
        </w:numPr>
        <w:spacing w:after="60"/>
        <w:contextualSpacing w:val="0"/>
      </w:pPr>
      <w:r>
        <w:t xml:space="preserve">The percentage of the trade ally’s installations/sales that are high efficiency and/or the total volume of high efficiency installations/sales increased since the trade ally became exposed to the program. </w:t>
      </w:r>
    </w:p>
    <w:p w14:paraId="07E60E6F" w14:textId="77777777" w:rsidR="00D34C6E" w:rsidRDefault="00D34C6E" w:rsidP="00D34C6E">
      <w:pPr>
        <w:pStyle w:val="ListParagraph"/>
        <w:numPr>
          <w:ilvl w:val="0"/>
          <w:numId w:val="68"/>
        </w:numPr>
        <w:spacing w:after="60"/>
        <w:contextualSpacing w:val="0"/>
      </w:pPr>
      <w:r>
        <w:t>The trade ally rated the program as important to at least one of these (as described above) high efficiency installation increases.</w:t>
      </w:r>
    </w:p>
    <w:p w14:paraId="1FC46030" w14:textId="77777777" w:rsidR="00D34C6E" w:rsidRDefault="00D34C6E" w:rsidP="00D34C6E">
      <w:pPr>
        <w:pStyle w:val="ListParagraph"/>
        <w:numPr>
          <w:ilvl w:val="0"/>
          <w:numId w:val="68"/>
        </w:numPr>
        <w:spacing w:after="60"/>
        <w:contextualSpacing w:val="0"/>
      </w:pPr>
      <w:r>
        <w:t>The trade ally installed/sold at least some high efficiency equipment or products during the evaluation period that did not receive an incentive.</w:t>
      </w:r>
    </w:p>
    <w:p w14:paraId="4BAADD31" w14:textId="77777777" w:rsidR="00D34C6E" w:rsidRDefault="00D34C6E" w:rsidP="00D34C6E">
      <w:pPr>
        <w:pStyle w:val="ListParagraph"/>
        <w:numPr>
          <w:ilvl w:val="0"/>
          <w:numId w:val="68"/>
        </w:numPr>
        <w:spacing w:after="60"/>
        <w:contextualSpacing w:val="0"/>
      </w:pPr>
      <w:r>
        <w:t>The trade ally’s recommendation was influential in the customers’ choice of high efficiency equipment/product over standard efficiency equipment/product in instances where the equipment did not receive a program incentive.</w:t>
      </w:r>
    </w:p>
    <w:p w14:paraId="74F46CC6" w14:textId="77777777" w:rsidR="00D34C6E" w:rsidRDefault="00D34C6E" w:rsidP="00D34C6E">
      <w:pPr>
        <w:pStyle w:val="ListParagraph"/>
        <w:numPr>
          <w:ilvl w:val="0"/>
          <w:numId w:val="68"/>
        </w:numPr>
        <w:contextualSpacing w:val="0"/>
      </w:pPr>
      <w:r>
        <w:t>The open-ended response about why customers with eligible projects do not receive an incentive supported that the non-incented high efficiency installations can be considered spillover.</w:t>
      </w:r>
    </w:p>
    <w:p w14:paraId="5FFDEF2C" w14:textId="77777777" w:rsidR="00D34C6E" w:rsidRDefault="00D34C6E" w:rsidP="00D34C6E">
      <w:r>
        <w:lastRenderedPageBreak/>
        <w:t>Sampled trade allies who do not pass one of the above screening criteria do not qualify for spillover and may be skipped out of the rest of the spillover module.</w:t>
      </w:r>
    </w:p>
    <w:p w14:paraId="2BCD65F1" w14:textId="77777777" w:rsidR="00D34C6E" w:rsidRDefault="00D34C6E" w:rsidP="00D34C6E">
      <w:r>
        <w:t xml:space="preserve">To quantify spillover for each sampled trade ally, the survey collects information on the </w:t>
      </w:r>
      <w:r w:rsidRPr="00C61BDC">
        <w:t>percentage</w:t>
      </w:r>
      <w:r>
        <w:t xml:space="preserve"> of the trade ally’s total equipment installations/sales (in terms of projects or measures) that was (1) standard efficiency, (2) h</w:t>
      </w:r>
      <w:r w:rsidRPr="00DF64D8">
        <w:t xml:space="preserve">igh </w:t>
      </w:r>
      <w:r>
        <w:t xml:space="preserve">efficiency </w:t>
      </w:r>
      <w:r w:rsidRPr="00DF64D8">
        <w:t xml:space="preserve">that </w:t>
      </w:r>
      <w:r>
        <w:t xml:space="preserve">DID receive </w:t>
      </w:r>
      <w:r w:rsidRPr="00DF64D8">
        <w:t>a</w:t>
      </w:r>
      <w:r>
        <w:t xml:space="preserve"> program</w:t>
      </w:r>
      <w:r w:rsidRPr="00DF64D8">
        <w:t xml:space="preserve"> incentive</w:t>
      </w:r>
      <w:r>
        <w:t>, and (3)</w:t>
      </w:r>
      <w:r w:rsidRPr="00C003A9">
        <w:t xml:space="preserve"> </w:t>
      </w:r>
      <w:r>
        <w:t>h</w:t>
      </w:r>
      <w:r w:rsidRPr="00DF64D8">
        <w:t xml:space="preserve">igh </w:t>
      </w:r>
      <w:r>
        <w:t xml:space="preserve">efficiency </w:t>
      </w:r>
      <w:r w:rsidRPr="00DF64D8">
        <w:t xml:space="preserve">that </w:t>
      </w:r>
      <w:r>
        <w:t xml:space="preserve">DID NOT receive </w:t>
      </w:r>
      <w:r w:rsidRPr="00DF64D8">
        <w:t>a</w:t>
      </w:r>
      <w:r>
        <w:t xml:space="preserve"> program</w:t>
      </w:r>
      <w:r w:rsidRPr="00DF64D8">
        <w:t xml:space="preserve"> incentive</w:t>
      </w:r>
      <w:r>
        <w:t>. Based on these responses, the share of a trade ally’s high efficiency installations/sales that received an incentive can be calculated as follows:</w:t>
      </w:r>
    </w:p>
    <w:tbl>
      <w:tblPr>
        <w:tblW w:w="8227" w:type="dxa"/>
        <w:jc w:val="center"/>
        <w:tblCellMar>
          <w:left w:w="0" w:type="dxa"/>
          <w:right w:w="0" w:type="dxa"/>
        </w:tblCellMar>
        <w:tblLook w:val="04A0" w:firstRow="1" w:lastRow="0" w:firstColumn="1" w:lastColumn="0" w:noHBand="0" w:noVBand="1"/>
      </w:tblPr>
      <w:tblGrid>
        <w:gridCol w:w="1710"/>
        <w:gridCol w:w="1080"/>
        <w:gridCol w:w="5437"/>
      </w:tblGrid>
      <w:tr w:rsidR="00D34C6E" w14:paraId="372E540F" w14:textId="77777777" w:rsidTr="002B6C05">
        <w:trPr>
          <w:trHeight w:val="368"/>
          <w:jc w:val="center"/>
        </w:trPr>
        <w:tc>
          <w:tcPr>
            <w:tcW w:w="1710" w:type="dxa"/>
            <w:vMerge w:val="restart"/>
            <w:tcBorders>
              <w:top w:val="nil"/>
              <w:left w:val="nil"/>
              <w:right w:val="nil"/>
            </w:tcBorders>
            <w:vAlign w:val="center"/>
          </w:tcPr>
          <w:p w14:paraId="01CCAB2B" w14:textId="77777777" w:rsidR="00D34C6E" w:rsidRDefault="00D34C6E" w:rsidP="002B6C05">
            <w:pPr>
              <w:pStyle w:val="ListParagraph"/>
              <w:spacing w:before="100" w:beforeAutospacing="1"/>
              <w:ind w:left="0"/>
              <w:jc w:val="center"/>
              <w:rPr>
                <w:i/>
                <w:iCs/>
              </w:rPr>
            </w:pPr>
            <w:r>
              <w:rPr>
                <w:i/>
              </w:rPr>
              <w:t xml:space="preserve">% </w:t>
            </w:r>
            <w:proofErr w:type="gramStart"/>
            <w:r>
              <w:rPr>
                <w:i/>
              </w:rPr>
              <w:t>of</w:t>
            </w:r>
            <w:proofErr w:type="gramEnd"/>
            <w:r>
              <w:rPr>
                <w:i/>
              </w:rPr>
              <w:t xml:space="preserve"> TA’s High Efficiency</w:t>
            </w:r>
            <w:r w:rsidRPr="00EA67FA">
              <w:rPr>
                <w:i/>
              </w:rPr>
              <w:t xml:space="preserve"> </w:t>
            </w:r>
            <w:r>
              <w:rPr>
                <w:i/>
              </w:rPr>
              <w:t>E</w:t>
            </w:r>
            <w:r w:rsidRPr="00EA67FA">
              <w:rPr>
                <w:i/>
              </w:rPr>
              <w:t xml:space="preserve">quipment </w:t>
            </w:r>
            <w:r>
              <w:rPr>
                <w:i/>
              </w:rPr>
              <w:t>that Received</w:t>
            </w:r>
            <w:r w:rsidRPr="00EA67FA">
              <w:rPr>
                <w:i/>
              </w:rPr>
              <w:t xml:space="preserve"> </w:t>
            </w:r>
            <w:r>
              <w:rPr>
                <w:i/>
              </w:rPr>
              <w:t>Incentive</w:t>
            </w:r>
          </w:p>
        </w:tc>
        <w:tc>
          <w:tcPr>
            <w:tcW w:w="1080" w:type="dxa"/>
            <w:vMerge w:val="restart"/>
            <w:tcBorders>
              <w:top w:val="nil"/>
              <w:left w:val="nil"/>
              <w:right w:val="nil"/>
            </w:tcBorders>
            <w:vAlign w:val="center"/>
          </w:tcPr>
          <w:p w14:paraId="23CF3138" w14:textId="77777777" w:rsidR="00D34C6E" w:rsidRDefault="00D34C6E" w:rsidP="002B6C05">
            <w:pPr>
              <w:pStyle w:val="ListParagraph"/>
              <w:spacing w:before="100" w:beforeAutospacing="1"/>
              <w:ind w:left="0"/>
              <w:jc w:val="center"/>
              <w:rPr>
                <w:i/>
                <w:iCs/>
              </w:rPr>
            </w:pPr>
            <w:r>
              <w:rPr>
                <w:i/>
                <w:iCs/>
              </w:rPr>
              <w:t>=</w:t>
            </w:r>
          </w:p>
        </w:tc>
        <w:tc>
          <w:tcPr>
            <w:tcW w:w="5437" w:type="dxa"/>
            <w:tcBorders>
              <w:top w:val="nil"/>
              <w:left w:val="nil"/>
              <w:bottom w:val="single" w:sz="8" w:space="0" w:color="auto"/>
              <w:right w:val="nil"/>
            </w:tcBorders>
            <w:tcMar>
              <w:top w:w="0" w:type="dxa"/>
              <w:left w:w="108" w:type="dxa"/>
              <w:bottom w:w="0" w:type="dxa"/>
              <w:right w:w="108" w:type="dxa"/>
            </w:tcMar>
            <w:vAlign w:val="center"/>
            <w:hideMark/>
          </w:tcPr>
          <w:p w14:paraId="5E9FE558" w14:textId="77777777" w:rsidR="00D34C6E" w:rsidRDefault="00D34C6E" w:rsidP="002B6C05">
            <w:pPr>
              <w:pStyle w:val="ListParagraph"/>
              <w:spacing w:before="100" w:beforeAutospacing="1"/>
              <w:ind w:left="0"/>
              <w:jc w:val="center"/>
              <w:rPr>
                <w:rFonts w:ascii="Palatino Linotype" w:hAnsi="Palatino Linotype"/>
                <w:i/>
                <w:iCs/>
              </w:rPr>
            </w:pPr>
            <w:r>
              <w:rPr>
                <w:i/>
                <w:iCs/>
              </w:rPr>
              <w:t>% High efficiency that DID receive a program incentive (2)</w:t>
            </w:r>
          </w:p>
        </w:tc>
      </w:tr>
      <w:tr w:rsidR="00D34C6E" w14:paraId="3CA87E1D" w14:textId="77777777" w:rsidTr="002B6C05">
        <w:trPr>
          <w:trHeight w:val="289"/>
          <w:jc w:val="center"/>
        </w:trPr>
        <w:tc>
          <w:tcPr>
            <w:tcW w:w="1710" w:type="dxa"/>
            <w:vMerge/>
          </w:tcPr>
          <w:p w14:paraId="075B9D4B" w14:textId="77777777" w:rsidR="00D34C6E" w:rsidRDefault="00D34C6E" w:rsidP="002B6C05">
            <w:pPr>
              <w:pStyle w:val="ListParagraph"/>
              <w:ind w:left="0"/>
              <w:jc w:val="center"/>
              <w:rPr>
                <w:i/>
                <w:iCs/>
              </w:rPr>
            </w:pPr>
          </w:p>
        </w:tc>
        <w:tc>
          <w:tcPr>
            <w:tcW w:w="1080" w:type="dxa"/>
            <w:vMerge/>
          </w:tcPr>
          <w:p w14:paraId="60ADF18E" w14:textId="77777777" w:rsidR="00D34C6E" w:rsidRDefault="00D34C6E" w:rsidP="002B6C05">
            <w:pPr>
              <w:pStyle w:val="ListParagraph"/>
              <w:ind w:left="0"/>
              <w:jc w:val="center"/>
              <w:rPr>
                <w:i/>
                <w:iCs/>
              </w:rPr>
            </w:pPr>
          </w:p>
        </w:tc>
        <w:tc>
          <w:tcPr>
            <w:tcW w:w="5437" w:type="dxa"/>
            <w:tcMar>
              <w:top w:w="0" w:type="dxa"/>
              <w:left w:w="108" w:type="dxa"/>
              <w:bottom w:w="0" w:type="dxa"/>
              <w:right w:w="108" w:type="dxa"/>
            </w:tcMar>
            <w:vAlign w:val="center"/>
            <w:hideMark/>
          </w:tcPr>
          <w:p w14:paraId="0C18ADFB" w14:textId="77777777" w:rsidR="00D34C6E" w:rsidRDefault="00D34C6E" w:rsidP="002B6C05">
            <w:pPr>
              <w:pStyle w:val="ListParagraph"/>
              <w:ind w:left="0"/>
              <w:jc w:val="center"/>
              <w:rPr>
                <w:i/>
                <w:iCs/>
              </w:rPr>
            </w:pPr>
            <w:r>
              <w:rPr>
                <w:i/>
                <w:iCs/>
              </w:rPr>
              <w:t xml:space="preserve">% High efficiency that DID receive a program incentive (2) + </w:t>
            </w:r>
          </w:p>
          <w:p w14:paraId="29D71E0C" w14:textId="77777777" w:rsidR="00D34C6E" w:rsidRDefault="00D34C6E" w:rsidP="002B6C05">
            <w:pPr>
              <w:pStyle w:val="ListParagraph"/>
              <w:ind w:left="0"/>
              <w:jc w:val="center"/>
              <w:rPr>
                <w:rFonts w:ascii="Arial" w:hAnsi="Arial"/>
                <w:i/>
                <w:iCs/>
              </w:rPr>
            </w:pPr>
            <w:r>
              <w:rPr>
                <w:i/>
                <w:iCs/>
              </w:rPr>
              <w:t>% High efficiency that did NOT receive a program incentive (3)</w:t>
            </w:r>
          </w:p>
        </w:tc>
      </w:tr>
    </w:tbl>
    <w:p w14:paraId="26FAEA84" w14:textId="77777777" w:rsidR="00D34C6E" w:rsidRPr="00C61BDC" w:rsidRDefault="00D34C6E" w:rsidP="00D34C6E">
      <w:r>
        <w:t>With this data, and the trade ally’s savings from the program tracking database, the following equation is used to calculate the savings of high efficiency equipment that did not receive an incentive:</w:t>
      </w:r>
    </w:p>
    <w:tbl>
      <w:tblPr>
        <w:tblStyle w:val="TableGrid"/>
        <w:tblW w:w="0" w:type="auto"/>
        <w:tblInd w:w="-5" w:type="dxa"/>
        <w:tblLook w:val="04A0" w:firstRow="1" w:lastRow="0" w:firstColumn="1" w:lastColumn="0" w:noHBand="0" w:noVBand="1"/>
      </w:tblPr>
      <w:tblGrid>
        <w:gridCol w:w="2094"/>
        <w:gridCol w:w="354"/>
        <w:gridCol w:w="3271"/>
        <w:gridCol w:w="423"/>
        <w:gridCol w:w="1619"/>
        <w:gridCol w:w="354"/>
        <w:gridCol w:w="1250"/>
      </w:tblGrid>
      <w:tr w:rsidR="00D34C6E" w14:paraId="6AA17695" w14:textId="77777777" w:rsidTr="002B6C05">
        <w:trPr>
          <w:trHeight w:val="369"/>
        </w:trPr>
        <w:tc>
          <w:tcPr>
            <w:tcW w:w="2250" w:type="dxa"/>
            <w:vMerge w:val="restart"/>
            <w:tcBorders>
              <w:top w:val="nil"/>
              <w:left w:val="nil"/>
              <w:bottom w:val="nil"/>
              <w:right w:val="nil"/>
            </w:tcBorders>
            <w:vAlign w:val="center"/>
          </w:tcPr>
          <w:p w14:paraId="0303847A" w14:textId="77777777" w:rsidR="00D34C6E" w:rsidRPr="00580303" w:rsidRDefault="00D34C6E" w:rsidP="002B6C05">
            <w:pPr>
              <w:keepNext/>
              <w:keepLines/>
              <w:tabs>
                <w:tab w:val="left" w:pos="3967"/>
              </w:tabs>
              <w:ind w:left="-18" w:firstLine="18"/>
              <w:jc w:val="center"/>
              <w:rPr>
                <w:i/>
              </w:rPr>
            </w:pPr>
            <w:r w:rsidRPr="00580303">
              <w:rPr>
                <w:i/>
              </w:rPr>
              <w:t xml:space="preserve">Savings of </w:t>
            </w:r>
            <w:r>
              <w:rPr>
                <w:i/>
              </w:rPr>
              <w:t>Non-I</w:t>
            </w:r>
            <w:r w:rsidRPr="00580303">
              <w:rPr>
                <w:i/>
              </w:rPr>
              <w:t>ncented High Efficiency Equipment</w:t>
            </w:r>
          </w:p>
        </w:tc>
        <w:tc>
          <w:tcPr>
            <w:tcW w:w="360" w:type="dxa"/>
            <w:vMerge w:val="restart"/>
            <w:tcBorders>
              <w:top w:val="nil"/>
              <w:left w:val="nil"/>
              <w:bottom w:val="nil"/>
              <w:right w:val="nil"/>
            </w:tcBorders>
            <w:vAlign w:val="center"/>
          </w:tcPr>
          <w:p w14:paraId="38FDEA7A" w14:textId="77777777" w:rsidR="00D34C6E" w:rsidRDefault="00D34C6E" w:rsidP="002B6C05">
            <w:pPr>
              <w:keepNext/>
              <w:keepLines/>
              <w:tabs>
                <w:tab w:val="left" w:pos="3967"/>
              </w:tabs>
              <w:jc w:val="center"/>
              <w:rPr>
                <w:i/>
              </w:rPr>
            </w:pPr>
            <w:r>
              <w:t>=</w:t>
            </w:r>
          </w:p>
        </w:tc>
        <w:tc>
          <w:tcPr>
            <w:tcW w:w="3605" w:type="dxa"/>
            <w:tcBorders>
              <w:top w:val="nil"/>
              <w:left w:val="nil"/>
              <w:bottom w:val="single" w:sz="4" w:space="0" w:color="auto"/>
              <w:right w:val="nil"/>
            </w:tcBorders>
          </w:tcPr>
          <w:p w14:paraId="00191FF8" w14:textId="77777777" w:rsidR="00D34C6E" w:rsidRDefault="00D34C6E" w:rsidP="002B6C05">
            <w:pPr>
              <w:keepNext/>
              <w:keepLines/>
              <w:tabs>
                <w:tab w:val="left" w:pos="3967"/>
              </w:tabs>
              <w:jc w:val="center"/>
              <w:rPr>
                <w:i/>
              </w:rPr>
            </w:pPr>
            <w:r w:rsidRPr="00093CBB">
              <w:rPr>
                <w:i/>
              </w:rPr>
              <w:t>Savings from Program Database</w:t>
            </w:r>
          </w:p>
        </w:tc>
        <w:tc>
          <w:tcPr>
            <w:tcW w:w="445" w:type="dxa"/>
            <w:vMerge w:val="restart"/>
            <w:tcBorders>
              <w:top w:val="nil"/>
              <w:left w:val="nil"/>
              <w:bottom w:val="nil"/>
              <w:right w:val="nil"/>
            </w:tcBorders>
            <w:vAlign w:val="center"/>
          </w:tcPr>
          <w:p w14:paraId="5EEC28CF" w14:textId="77777777" w:rsidR="00D34C6E" w:rsidRPr="00847E85" w:rsidRDefault="00D34C6E" w:rsidP="002B6C05">
            <w:pPr>
              <w:keepNext/>
              <w:keepLines/>
              <w:tabs>
                <w:tab w:val="left" w:pos="3967"/>
              </w:tabs>
              <w:jc w:val="right"/>
              <w:rPr>
                <w:i/>
              </w:rPr>
            </w:pPr>
            <w:r>
              <w:rPr>
                <w:i/>
              </w:rPr>
              <w:t>-</w:t>
            </w:r>
          </w:p>
        </w:tc>
        <w:tc>
          <w:tcPr>
            <w:tcW w:w="1715" w:type="dxa"/>
            <w:vMerge w:val="restart"/>
            <w:tcBorders>
              <w:top w:val="nil"/>
              <w:left w:val="nil"/>
              <w:bottom w:val="nil"/>
              <w:right w:val="nil"/>
            </w:tcBorders>
            <w:vAlign w:val="center"/>
          </w:tcPr>
          <w:p w14:paraId="24E6847D" w14:textId="77777777" w:rsidR="00D34C6E" w:rsidRDefault="00D34C6E" w:rsidP="002B6C05">
            <w:pPr>
              <w:keepNext/>
              <w:keepLines/>
              <w:tabs>
                <w:tab w:val="left" w:pos="3967"/>
              </w:tabs>
              <w:jc w:val="center"/>
              <w:rPr>
                <w:i/>
              </w:rPr>
            </w:pPr>
            <w:r w:rsidRPr="00093CBB">
              <w:rPr>
                <w:i/>
              </w:rPr>
              <w:t>Savings from Program Database</w:t>
            </w:r>
          </w:p>
        </w:tc>
        <w:tc>
          <w:tcPr>
            <w:tcW w:w="360" w:type="dxa"/>
            <w:vMerge w:val="restart"/>
            <w:tcBorders>
              <w:top w:val="nil"/>
              <w:left w:val="nil"/>
              <w:bottom w:val="nil"/>
              <w:right w:val="nil"/>
            </w:tcBorders>
            <w:vAlign w:val="center"/>
          </w:tcPr>
          <w:p w14:paraId="3A75771E" w14:textId="77777777" w:rsidR="00D34C6E" w:rsidRDefault="00D34C6E" w:rsidP="002B6C05">
            <w:pPr>
              <w:keepNext/>
              <w:keepLines/>
              <w:tabs>
                <w:tab w:val="left" w:pos="3967"/>
              </w:tabs>
              <w:jc w:val="center"/>
              <w:rPr>
                <w:i/>
              </w:rPr>
            </w:pPr>
            <w:r>
              <w:rPr>
                <w:i/>
              </w:rPr>
              <w:t>*</w:t>
            </w:r>
          </w:p>
        </w:tc>
        <w:tc>
          <w:tcPr>
            <w:tcW w:w="1265" w:type="dxa"/>
            <w:vMerge w:val="restart"/>
            <w:tcBorders>
              <w:top w:val="nil"/>
              <w:left w:val="nil"/>
              <w:bottom w:val="nil"/>
              <w:right w:val="nil"/>
            </w:tcBorders>
            <w:vAlign w:val="center"/>
          </w:tcPr>
          <w:p w14:paraId="47678D38" w14:textId="77777777" w:rsidR="00D34C6E" w:rsidRDefault="00D34C6E" w:rsidP="002B6C05">
            <w:pPr>
              <w:keepNext/>
              <w:keepLines/>
              <w:tabs>
                <w:tab w:val="left" w:pos="3967"/>
              </w:tabs>
              <w:jc w:val="center"/>
              <w:rPr>
                <w:i/>
              </w:rPr>
            </w:pPr>
            <w:r w:rsidRPr="0001048E">
              <w:rPr>
                <w:i/>
              </w:rPr>
              <w:t>Size Adjustment</w:t>
            </w:r>
          </w:p>
        </w:tc>
      </w:tr>
      <w:tr w:rsidR="00D34C6E" w14:paraId="1796329A" w14:textId="77777777" w:rsidTr="002B6C05">
        <w:trPr>
          <w:trHeight w:val="961"/>
        </w:trPr>
        <w:tc>
          <w:tcPr>
            <w:tcW w:w="2250" w:type="dxa"/>
            <w:vMerge/>
            <w:tcBorders>
              <w:top w:val="nil"/>
              <w:left w:val="nil"/>
              <w:bottom w:val="nil"/>
              <w:right w:val="nil"/>
            </w:tcBorders>
          </w:tcPr>
          <w:p w14:paraId="4F4F18C8" w14:textId="77777777" w:rsidR="00D34C6E" w:rsidRPr="00EA67FA" w:rsidRDefault="00D34C6E" w:rsidP="002B6C05">
            <w:pPr>
              <w:keepNext/>
              <w:keepLines/>
              <w:jc w:val="center"/>
              <w:rPr>
                <w:i/>
              </w:rPr>
            </w:pPr>
          </w:p>
        </w:tc>
        <w:tc>
          <w:tcPr>
            <w:tcW w:w="360" w:type="dxa"/>
            <w:vMerge/>
            <w:tcBorders>
              <w:top w:val="nil"/>
              <w:left w:val="nil"/>
              <w:bottom w:val="nil"/>
              <w:right w:val="nil"/>
            </w:tcBorders>
          </w:tcPr>
          <w:p w14:paraId="287684A7" w14:textId="77777777" w:rsidR="00D34C6E" w:rsidRPr="00EA67FA" w:rsidRDefault="00D34C6E" w:rsidP="002B6C05">
            <w:pPr>
              <w:keepNext/>
              <w:keepLines/>
              <w:jc w:val="center"/>
              <w:rPr>
                <w:i/>
              </w:rPr>
            </w:pPr>
          </w:p>
        </w:tc>
        <w:tc>
          <w:tcPr>
            <w:tcW w:w="3605" w:type="dxa"/>
            <w:tcBorders>
              <w:left w:val="nil"/>
              <w:bottom w:val="nil"/>
              <w:right w:val="nil"/>
            </w:tcBorders>
            <w:vAlign w:val="center"/>
          </w:tcPr>
          <w:p w14:paraId="65CBC5E5" w14:textId="77777777" w:rsidR="00D34C6E" w:rsidRPr="00093CBB" w:rsidRDefault="00D34C6E" w:rsidP="002B6C05">
            <w:pPr>
              <w:keepNext/>
              <w:keepLines/>
              <w:jc w:val="center"/>
              <w:rPr>
                <w:i/>
              </w:rPr>
            </w:pPr>
            <w:r>
              <w:rPr>
                <w:i/>
              </w:rPr>
              <w:t xml:space="preserve">% </w:t>
            </w:r>
            <w:proofErr w:type="gramStart"/>
            <w:r>
              <w:rPr>
                <w:i/>
              </w:rPr>
              <w:t>of</w:t>
            </w:r>
            <w:proofErr w:type="gramEnd"/>
            <w:r>
              <w:rPr>
                <w:i/>
              </w:rPr>
              <w:t xml:space="preserve"> TA’s High Efficiency</w:t>
            </w:r>
            <w:r w:rsidRPr="00EA67FA">
              <w:rPr>
                <w:i/>
              </w:rPr>
              <w:t xml:space="preserve"> </w:t>
            </w:r>
            <w:r>
              <w:rPr>
                <w:i/>
              </w:rPr>
              <w:t>E</w:t>
            </w:r>
            <w:r w:rsidRPr="00EA67FA">
              <w:rPr>
                <w:i/>
              </w:rPr>
              <w:t xml:space="preserve">quipment </w:t>
            </w:r>
            <w:r>
              <w:rPr>
                <w:i/>
              </w:rPr>
              <w:t>that Received</w:t>
            </w:r>
            <w:r w:rsidRPr="00EA67FA">
              <w:rPr>
                <w:i/>
              </w:rPr>
              <w:t xml:space="preserve"> </w:t>
            </w:r>
            <w:r>
              <w:rPr>
                <w:i/>
              </w:rPr>
              <w:t>Incentive</w:t>
            </w:r>
          </w:p>
        </w:tc>
        <w:tc>
          <w:tcPr>
            <w:tcW w:w="445" w:type="dxa"/>
            <w:vMerge/>
            <w:tcBorders>
              <w:top w:val="nil"/>
              <w:left w:val="nil"/>
              <w:bottom w:val="nil"/>
              <w:right w:val="nil"/>
            </w:tcBorders>
          </w:tcPr>
          <w:p w14:paraId="5573CA1E" w14:textId="77777777" w:rsidR="00D34C6E" w:rsidRPr="00093CBB" w:rsidRDefault="00D34C6E" w:rsidP="002B6C05">
            <w:pPr>
              <w:keepNext/>
              <w:keepLines/>
              <w:jc w:val="center"/>
              <w:rPr>
                <w:i/>
              </w:rPr>
            </w:pPr>
          </w:p>
        </w:tc>
        <w:tc>
          <w:tcPr>
            <w:tcW w:w="1715" w:type="dxa"/>
            <w:vMerge/>
            <w:tcBorders>
              <w:top w:val="nil"/>
              <w:left w:val="nil"/>
              <w:bottom w:val="nil"/>
              <w:right w:val="nil"/>
            </w:tcBorders>
          </w:tcPr>
          <w:p w14:paraId="561DB844" w14:textId="77777777" w:rsidR="00D34C6E" w:rsidRPr="00093CBB" w:rsidRDefault="00D34C6E" w:rsidP="002B6C05">
            <w:pPr>
              <w:keepNext/>
              <w:keepLines/>
              <w:jc w:val="center"/>
              <w:rPr>
                <w:i/>
              </w:rPr>
            </w:pPr>
          </w:p>
        </w:tc>
        <w:tc>
          <w:tcPr>
            <w:tcW w:w="360" w:type="dxa"/>
            <w:vMerge/>
            <w:tcBorders>
              <w:top w:val="nil"/>
              <w:left w:val="nil"/>
              <w:bottom w:val="nil"/>
              <w:right w:val="nil"/>
            </w:tcBorders>
          </w:tcPr>
          <w:p w14:paraId="4D32DA99" w14:textId="77777777" w:rsidR="00D34C6E" w:rsidRPr="00093CBB" w:rsidRDefault="00D34C6E" w:rsidP="002B6C05">
            <w:pPr>
              <w:keepNext/>
              <w:keepLines/>
              <w:jc w:val="center"/>
              <w:rPr>
                <w:i/>
              </w:rPr>
            </w:pPr>
          </w:p>
        </w:tc>
        <w:tc>
          <w:tcPr>
            <w:tcW w:w="1265" w:type="dxa"/>
            <w:vMerge/>
            <w:tcBorders>
              <w:top w:val="nil"/>
              <w:left w:val="nil"/>
              <w:bottom w:val="nil"/>
              <w:right w:val="nil"/>
            </w:tcBorders>
          </w:tcPr>
          <w:p w14:paraId="32F90DE1" w14:textId="77777777" w:rsidR="00D34C6E" w:rsidRPr="00093CBB" w:rsidRDefault="00D34C6E" w:rsidP="002B6C05">
            <w:pPr>
              <w:keepNext/>
              <w:keepLines/>
              <w:jc w:val="center"/>
              <w:rPr>
                <w:i/>
              </w:rPr>
            </w:pPr>
          </w:p>
        </w:tc>
      </w:tr>
    </w:tbl>
    <w:p w14:paraId="78200AD2" w14:textId="77777777" w:rsidR="00D34C6E" w:rsidRDefault="00D34C6E" w:rsidP="00D34C6E">
      <w:r>
        <w:t>The last term in the above equation is a size adjustment that accounts for the possibility that savings from non-incented projects/measures might be different from incented ones. Information on the relative size of incented versus non-incented projects/measures is also collected in the survey.</w:t>
      </w:r>
    </w:p>
    <w:p w14:paraId="004C0212" w14:textId="77777777" w:rsidR="00D34C6E" w:rsidRDefault="00D34C6E" w:rsidP="00D34C6E">
      <w:r>
        <w:t>Using this approach, s</w:t>
      </w:r>
      <w:r w:rsidRPr="00B423A2">
        <w:t xml:space="preserve">pillover savings </w:t>
      </w:r>
      <w:r>
        <w:t>a</w:t>
      </w:r>
      <w:r w:rsidRPr="00B423A2">
        <w:t xml:space="preserve">re considered to be equal to the savings of non-incented, high efficiency </w:t>
      </w:r>
      <w:r>
        <w:t>equipment/products</w:t>
      </w:r>
      <w:r w:rsidRPr="00B423A2">
        <w:t xml:space="preserve">, as calculated in </w:t>
      </w:r>
      <w:r>
        <w:t>the equation above</w:t>
      </w:r>
      <w:r w:rsidRPr="00B423A2">
        <w:t xml:space="preserve">. To compute the program spillover percentage </w:t>
      </w:r>
      <w:r>
        <w:t>for active trade allies, the following steps are used:</w:t>
      </w:r>
    </w:p>
    <w:p w14:paraId="7EF80FAD" w14:textId="77777777" w:rsidR="00D34C6E" w:rsidRDefault="00D34C6E" w:rsidP="00D34C6E">
      <w:pPr>
        <w:pStyle w:val="ListParagraph"/>
        <w:numPr>
          <w:ilvl w:val="0"/>
          <w:numId w:val="69"/>
        </w:numPr>
        <w:spacing w:after="60"/>
        <w:contextualSpacing w:val="0"/>
      </w:pPr>
      <w:r w:rsidRPr="00B423A2">
        <w:rPr>
          <w:b/>
        </w:rPr>
        <w:t xml:space="preserve">Develop the spillover ratio for </w:t>
      </w:r>
      <w:r>
        <w:rPr>
          <w:b/>
        </w:rPr>
        <w:t>sampled trade allies</w:t>
      </w:r>
      <w:r w:rsidRPr="00B423A2">
        <w:rPr>
          <w:b/>
        </w:rPr>
        <w:t xml:space="preserve"> </w:t>
      </w:r>
      <w:r w:rsidRPr="00B423A2">
        <w:t xml:space="preserve">by </w:t>
      </w:r>
      <w:r>
        <w:t>s</w:t>
      </w:r>
      <w:r w:rsidRPr="002F5FEF">
        <w:rPr>
          <w:rFonts w:eastAsia="Calibri"/>
        </w:rPr>
        <w:t>um</w:t>
      </w:r>
      <w:r>
        <w:rPr>
          <w:rFonts w:eastAsia="Calibri"/>
        </w:rPr>
        <w:t>ming</w:t>
      </w:r>
      <w:r w:rsidRPr="002F5FEF">
        <w:rPr>
          <w:rFonts w:eastAsia="Calibri"/>
        </w:rPr>
        <w:t xml:space="preserve"> the</w:t>
      </w:r>
      <w:r>
        <w:rPr>
          <w:rFonts w:eastAsia="Calibri"/>
        </w:rPr>
        <w:t>ir</w:t>
      </w:r>
      <w:r w:rsidRPr="002F5FEF">
        <w:rPr>
          <w:rFonts w:eastAsia="Calibri"/>
        </w:rPr>
        <w:t xml:space="preserve"> </w:t>
      </w:r>
      <w:r>
        <w:rPr>
          <w:rFonts w:eastAsia="Calibri"/>
        </w:rPr>
        <w:t>spillover savings</w:t>
      </w:r>
      <w:r w:rsidRPr="002F5FEF">
        <w:rPr>
          <w:rFonts w:eastAsia="Calibri"/>
        </w:rPr>
        <w:t xml:space="preserve"> </w:t>
      </w:r>
      <w:r>
        <w:rPr>
          <w:rFonts w:eastAsia="Calibri"/>
        </w:rPr>
        <w:t xml:space="preserve">and </w:t>
      </w:r>
      <w:r w:rsidRPr="00B423A2">
        <w:t xml:space="preserve">dividing </w:t>
      </w:r>
      <w:r>
        <w:t xml:space="preserve">this total </w:t>
      </w:r>
      <w:r w:rsidRPr="00B423A2">
        <w:t xml:space="preserve">by </w:t>
      </w:r>
      <w:r>
        <w:t xml:space="preserve">the program-tracked </w:t>
      </w:r>
      <w:r w:rsidRPr="00B423A2">
        <w:t>savings</w:t>
      </w:r>
      <w:r>
        <w:t xml:space="preserve"> associated with the sampled trade allies.</w:t>
      </w:r>
      <w:r w:rsidRPr="00B423A2">
        <w:t xml:space="preserve"> </w:t>
      </w:r>
    </w:p>
    <w:p w14:paraId="0D7E6753" w14:textId="77777777" w:rsidR="00D34C6E" w:rsidRDefault="00D34C6E" w:rsidP="00D34C6E">
      <w:pPr>
        <w:pStyle w:val="ListParagraph"/>
        <w:numPr>
          <w:ilvl w:val="0"/>
          <w:numId w:val="69"/>
        </w:numPr>
        <w:spacing w:after="60"/>
        <w:contextualSpacing w:val="0"/>
      </w:pPr>
      <w:r w:rsidRPr="00B423A2">
        <w:rPr>
          <w:b/>
        </w:rPr>
        <w:t xml:space="preserve">Develop spillover savings for the population of active </w:t>
      </w:r>
      <w:r>
        <w:rPr>
          <w:b/>
        </w:rPr>
        <w:t>trade allies</w:t>
      </w:r>
      <w:r>
        <w:t xml:space="preserve"> by applying the</w:t>
      </w:r>
      <w:r w:rsidRPr="00B423A2">
        <w:t xml:space="preserve"> spillover ratio </w:t>
      </w:r>
      <w:r>
        <w:t xml:space="preserve">from Step 1 </w:t>
      </w:r>
      <w:r w:rsidRPr="00B423A2">
        <w:t xml:space="preserve">to all program savings associated with a </w:t>
      </w:r>
      <w:r>
        <w:t>trade ally</w:t>
      </w:r>
      <w:r w:rsidRPr="00B423A2">
        <w:t xml:space="preserve"> (whether a survey respondent or not).</w:t>
      </w:r>
    </w:p>
    <w:p w14:paraId="454E863C" w14:textId="77777777" w:rsidR="00D34C6E" w:rsidRDefault="00D34C6E" w:rsidP="00D34C6E">
      <w:pPr>
        <w:pStyle w:val="ListParagraph"/>
        <w:numPr>
          <w:ilvl w:val="0"/>
          <w:numId w:val="69"/>
        </w:numPr>
        <w:contextualSpacing w:val="0"/>
      </w:pPr>
      <w:r w:rsidRPr="00A1287B">
        <w:rPr>
          <w:b/>
        </w:rPr>
        <w:t xml:space="preserve">Develop the overall spillover ratio for active </w:t>
      </w:r>
      <w:r>
        <w:rPr>
          <w:b/>
        </w:rPr>
        <w:t xml:space="preserve">trade allies </w:t>
      </w:r>
      <w:r w:rsidRPr="00B423A2">
        <w:t xml:space="preserve">by dividing the </w:t>
      </w:r>
      <w:r>
        <w:t>trade ally</w:t>
      </w:r>
      <w:r w:rsidRPr="00B423A2">
        <w:t xml:space="preserve"> spillover estimate </w:t>
      </w:r>
      <w:r>
        <w:t>from Step 2</w:t>
      </w:r>
      <w:r w:rsidRPr="00B423A2">
        <w:t xml:space="preserve"> by total </w:t>
      </w:r>
      <w:r>
        <w:t xml:space="preserve">program </w:t>
      </w:r>
      <w:r w:rsidRPr="00B423A2">
        <w:t>savings (</w:t>
      </w:r>
      <w:r>
        <w:t>whether associated with a trade ally or not</w:t>
      </w:r>
      <w:r w:rsidRPr="00B423A2">
        <w:t>).</w:t>
      </w:r>
    </w:p>
    <w:bookmarkEnd w:id="1861"/>
    <w:p w14:paraId="708096A4" w14:textId="77777777" w:rsidR="00D34C6E" w:rsidRDefault="00D34C6E" w:rsidP="001A2AE6">
      <w:pPr>
        <w:pStyle w:val="Heading4"/>
      </w:pPr>
      <w:r>
        <w:t>Midstream Programs</w:t>
      </w:r>
    </w:p>
    <w:p w14:paraId="10201288" w14:textId="77777777" w:rsidR="00D34C6E" w:rsidRDefault="00D34C6E" w:rsidP="00D34C6E">
      <w:pPr>
        <w:rPr>
          <w:rFonts w:eastAsia="Calibri"/>
        </w:rPr>
      </w:pPr>
      <w:r>
        <w:rPr>
          <w:rFonts w:eastAsia="Franklin Gothic Book"/>
        </w:rPr>
        <w:t>Similar to downstream programs, s</w:t>
      </w:r>
      <w:r w:rsidRPr="00137CC1">
        <w:rPr>
          <w:rFonts w:eastAsia="Franklin Gothic Book"/>
        </w:rPr>
        <w:t xml:space="preserve">urveys </w:t>
      </w:r>
      <w:r>
        <w:rPr>
          <w:rFonts w:eastAsia="Franklin Gothic Book"/>
        </w:rPr>
        <w:t xml:space="preserve">can be used to </w:t>
      </w:r>
      <w:r w:rsidRPr="00137CC1">
        <w:rPr>
          <w:rFonts w:eastAsia="Franklin Gothic Book"/>
        </w:rPr>
        <w:t xml:space="preserve">ask </w:t>
      </w:r>
      <w:r>
        <w:rPr>
          <w:rFonts w:eastAsia="Franklin Gothic Book"/>
        </w:rPr>
        <w:t>active</w:t>
      </w:r>
      <w:r w:rsidRPr="00137CC1">
        <w:rPr>
          <w:rFonts w:eastAsia="Franklin Gothic Book"/>
        </w:rPr>
        <w:t xml:space="preserve"> trade allies </w:t>
      </w:r>
      <w:r>
        <w:rPr>
          <w:rFonts w:eastAsia="Franklin Gothic Book"/>
        </w:rPr>
        <w:t xml:space="preserve">in midstream programs </w:t>
      </w:r>
      <w:r w:rsidRPr="002F5FEF">
        <w:rPr>
          <w:rFonts w:eastAsia="Calibri"/>
        </w:rPr>
        <w:t xml:space="preserve">if the program influenced their sales of high-efficiency equipment to </w:t>
      </w:r>
      <w:r>
        <w:rPr>
          <w:rFonts w:eastAsia="Calibri"/>
        </w:rPr>
        <w:t xml:space="preserve">participating or </w:t>
      </w:r>
      <w:r w:rsidRPr="002F5FEF">
        <w:rPr>
          <w:rFonts w:eastAsia="Calibri"/>
        </w:rPr>
        <w:t>nonparticipating customers and to quantify the program’s impact on their high-efficiency sales.</w:t>
      </w:r>
      <w:r>
        <w:rPr>
          <w:rFonts w:eastAsia="Calibri"/>
        </w:rPr>
        <w:t xml:space="preserve"> To assess if a sampled midstream trade ally created spillover, the following screening criteria are recommended (the order of these may be adjusted by the evaluator):</w:t>
      </w:r>
    </w:p>
    <w:p w14:paraId="3973B61C" w14:textId="77777777" w:rsidR="00D34C6E" w:rsidRDefault="00D34C6E" w:rsidP="00D34C6E">
      <w:pPr>
        <w:pStyle w:val="ListParagraph"/>
        <w:numPr>
          <w:ilvl w:val="0"/>
          <w:numId w:val="73"/>
        </w:numPr>
      </w:pPr>
      <w:r>
        <w:t xml:space="preserve">The percentage of the trade ally’s sales that are high efficiency and/or the total volume of high efficiency sales increased since the trade ally became exposed to the program. </w:t>
      </w:r>
    </w:p>
    <w:p w14:paraId="271E2DAF" w14:textId="77777777" w:rsidR="00D34C6E" w:rsidRDefault="00D34C6E" w:rsidP="00D34C6E">
      <w:pPr>
        <w:pStyle w:val="ListParagraph"/>
        <w:numPr>
          <w:ilvl w:val="0"/>
          <w:numId w:val="73"/>
        </w:numPr>
      </w:pPr>
      <w:r>
        <w:t>The trade ally sold at least some high efficiency equipment or products during the evaluation period that did not receive an incentive.</w:t>
      </w:r>
    </w:p>
    <w:p w14:paraId="4BCB606D" w14:textId="77777777" w:rsidR="00D34C6E" w:rsidRDefault="00D34C6E" w:rsidP="00D34C6E">
      <w:pPr>
        <w:pStyle w:val="ListParagraph"/>
        <w:numPr>
          <w:ilvl w:val="0"/>
          <w:numId w:val="73"/>
        </w:numPr>
      </w:pPr>
      <w:r>
        <w:t>The trade ally’s recommendation, marketing, or equipment/product stocking or placement was influential in the customers’ choice of high efficiency equipment/product over standard efficiency equipment/product in instances where the equipment did not receive a program incentive.</w:t>
      </w:r>
    </w:p>
    <w:p w14:paraId="543F04DF" w14:textId="77777777" w:rsidR="00D34C6E" w:rsidRDefault="00D34C6E" w:rsidP="00D34C6E">
      <w:r>
        <w:t>Sampled trade allies who do not pass one of the above screening criteria do not qualify for spillover and may be skipped out of the rest of the spillover module.</w:t>
      </w:r>
    </w:p>
    <w:p w14:paraId="10AABF99" w14:textId="77777777" w:rsidR="00D34C6E" w:rsidRDefault="00D34C6E" w:rsidP="00D34C6E">
      <w:r>
        <w:t>To quantify spillover for each sampled midstream trade ally,</w:t>
      </w:r>
      <w:r w:rsidRPr="00B43BE5">
        <w:t xml:space="preserve"> </w:t>
      </w:r>
      <w:r>
        <w:t xml:space="preserve">the survey collects information on the </w:t>
      </w:r>
      <w:r w:rsidRPr="00C61BDC">
        <w:t>percentage</w:t>
      </w:r>
      <w:r>
        <w:t xml:space="preserve"> of the trade ally’s total equipment sales (in terms of projects or measures) that was (1) standard efficiency, (2) h</w:t>
      </w:r>
      <w:r w:rsidRPr="00DF64D8">
        <w:t xml:space="preserve">igh </w:t>
      </w:r>
      <w:r>
        <w:t xml:space="preserve">efficiency </w:t>
      </w:r>
      <w:r w:rsidRPr="00DF64D8">
        <w:t xml:space="preserve">that </w:t>
      </w:r>
      <w:r>
        <w:t xml:space="preserve">DID receive </w:t>
      </w:r>
      <w:r w:rsidRPr="00DF64D8">
        <w:t>a</w:t>
      </w:r>
      <w:r>
        <w:t xml:space="preserve"> program</w:t>
      </w:r>
      <w:r w:rsidRPr="00DF64D8">
        <w:t xml:space="preserve"> incentive</w:t>
      </w:r>
      <w:r>
        <w:t>, and (3)</w:t>
      </w:r>
      <w:r w:rsidRPr="00C003A9">
        <w:t xml:space="preserve"> </w:t>
      </w:r>
      <w:r>
        <w:t>h</w:t>
      </w:r>
      <w:r w:rsidRPr="00DF64D8">
        <w:t xml:space="preserve">igh </w:t>
      </w:r>
      <w:r>
        <w:t xml:space="preserve">efficiency </w:t>
      </w:r>
      <w:r w:rsidRPr="00DF64D8">
        <w:t xml:space="preserve">that </w:t>
      </w:r>
      <w:r>
        <w:t xml:space="preserve">DID NOT receive </w:t>
      </w:r>
      <w:r w:rsidRPr="00DF64D8">
        <w:t>a</w:t>
      </w:r>
      <w:r>
        <w:t xml:space="preserve"> program</w:t>
      </w:r>
      <w:r w:rsidRPr="00DF64D8">
        <w:t xml:space="preserve"> incentive</w:t>
      </w:r>
      <w:r>
        <w:t xml:space="preserve">. </w:t>
      </w:r>
      <w:r>
        <w:lastRenderedPageBreak/>
        <w:t>Based on these responses, the share of a trade ally’s high efficiency sales that received an incentive can be calculated as follows:</w:t>
      </w:r>
    </w:p>
    <w:tbl>
      <w:tblPr>
        <w:tblW w:w="8227" w:type="dxa"/>
        <w:jc w:val="center"/>
        <w:tblCellMar>
          <w:left w:w="0" w:type="dxa"/>
          <w:right w:w="0" w:type="dxa"/>
        </w:tblCellMar>
        <w:tblLook w:val="04A0" w:firstRow="1" w:lastRow="0" w:firstColumn="1" w:lastColumn="0" w:noHBand="0" w:noVBand="1"/>
      </w:tblPr>
      <w:tblGrid>
        <w:gridCol w:w="1710"/>
        <w:gridCol w:w="1080"/>
        <w:gridCol w:w="5437"/>
      </w:tblGrid>
      <w:tr w:rsidR="00D34C6E" w14:paraId="38E0B159" w14:textId="77777777" w:rsidTr="002B6C05">
        <w:trPr>
          <w:trHeight w:val="368"/>
          <w:jc w:val="center"/>
        </w:trPr>
        <w:tc>
          <w:tcPr>
            <w:tcW w:w="1710" w:type="dxa"/>
            <w:vMerge w:val="restart"/>
            <w:tcBorders>
              <w:top w:val="nil"/>
              <w:left w:val="nil"/>
              <w:right w:val="nil"/>
            </w:tcBorders>
            <w:vAlign w:val="center"/>
          </w:tcPr>
          <w:p w14:paraId="0185093B" w14:textId="77777777" w:rsidR="00D34C6E" w:rsidRDefault="00D34C6E" w:rsidP="002B6C05">
            <w:pPr>
              <w:pStyle w:val="ListParagraph"/>
              <w:spacing w:before="100" w:beforeAutospacing="1"/>
              <w:ind w:left="0"/>
              <w:jc w:val="center"/>
              <w:rPr>
                <w:i/>
                <w:iCs/>
              </w:rPr>
            </w:pPr>
            <w:r>
              <w:rPr>
                <w:i/>
              </w:rPr>
              <w:t xml:space="preserve">% </w:t>
            </w:r>
            <w:proofErr w:type="gramStart"/>
            <w:r>
              <w:rPr>
                <w:i/>
              </w:rPr>
              <w:t>of</w:t>
            </w:r>
            <w:proofErr w:type="gramEnd"/>
            <w:r>
              <w:rPr>
                <w:i/>
              </w:rPr>
              <w:t xml:space="preserve"> TA’s High Efficiency</w:t>
            </w:r>
            <w:r w:rsidRPr="00EA67FA">
              <w:rPr>
                <w:i/>
              </w:rPr>
              <w:t xml:space="preserve"> </w:t>
            </w:r>
            <w:r>
              <w:rPr>
                <w:i/>
              </w:rPr>
              <w:t>Sales</w:t>
            </w:r>
            <w:r w:rsidRPr="00EA67FA">
              <w:rPr>
                <w:i/>
              </w:rPr>
              <w:t xml:space="preserve"> </w:t>
            </w:r>
            <w:r>
              <w:rPr>
                <w:i/>
              </w:rPr>
              <w:t>that Received</w:t>
            </w:r>
            <w:r w:rsidRPr="00EA67FA">
              <w:rPr>
                <w:i/>
              </w:rPr>
              <w:t xml:space="preserve"> </w:t>
            </w:r>
            <w:r>
              <w:rPr>
                <w:i/>
              </w:rPr>
              <w:t>Incentive</w:t>
            </w:r>
          </w:p>
        </w:tc>
        <w:tc>
          <w:tcPr>
            <w:tcW w:w="1080" w:type="dxa"/>
            <w:vMerge w:val="restart"/>
            <w:tcBorders>
              <w:top w:val="nil"/>
              <w:left w:val="nil"/>
              <w:right w:val="nil"/>
            </w:tcBorders>
            <w:vAlign w:val="center"/>
          </w:tcPr>
          <w:p w14:paraId="67BFDC32" w14:textId="77777777" w:rsidR="00D34C6E" w:rsidRDefault="00D34C6E" w:rsidP="002B6C05">
            <w:pPr>
              <w:pStyle w:val="ListParagraph"/>
              <w:spacing w:before="100" w:beforeAutospacing="1"/>
              <w:ind w:left="0"/>
              <w:jc w:val="center"/>
              <w:rPr>
                <w:i/>
                <w:iCs/>
              </w:rPr>
            </w:pPr>
            <w:r>
              <w:rPr>
                <w:i/>
                <w:iCs/>
              </w:rPr>
              <w:t>=</w:t>
            </w:r>
          </w:p>
        </w:tc>
        <w:tc>
          <w:tcPr>
            <w:tcW w:w="5437" w:type="dxa"/>
            <w:tcBorders>
              <w:top w:val="nil"/>
              <w:left w:val="nil"/>
              <w:bottom w:val="single" w:sz="8" w:space="0" w:color="auto"/>
              <w:right w:val="nil"/>
            </w:tcBorders>
            <w:tcMar>
              <w:top w:w="0" w:type="dxa"/>
              <w:left w:w="108" w:type="dxa"/>
              <w:bottom w:w="0" w:type="dxa"/>
              <w:right w:w="108" w:type="dxa"/>
            </w:tcMar>
            <w:vAlign w:val="center"/>
            <w:hideMark/>
          </w:tcPr>
          <w:p w14:paraId="466F5A1C" w14:textId="77777777" w:rsidR="00D34C6E" w:rsidRDefault="00D34C6E" w:rsidP="002B6C05">
            <w:pPr>
              <w:pStyle w:val="ListParagraph"/>
              <w:spacing w:before="100" w:beforeAutospacing="1"/>
              <w:ind w:left="0"/>
              <w:jc w:val="center"/>
              <w:rPr>
                <w:rFonts w:ascii="Palatino Linotype" w:hAnsi="Palatino Linotype"/>
                <w:i/>
                <w:iCs/>
              </w:rPr>
            </w:pPr>
            <w:r>
              <w:rPr>
                <w:i/>
                <w:iCs/>
              </w:rPr>
              <w:t>% High efficiency that DID receive a program incentive</w:t>
            </w:r>
          </w:p>
        </w:tc>
      </w:tr>
      <w:tr w:rsidR="00D34C6E" w14:paraId="2E80C677" w14:textId="77777777" w:rsidTr="002B6C05">
        <w:trPr>
          <w:trHeight w:val="289"/>
          <w:jc w:val="center"/>
        </w:trPr>
        <w:tc>
          <w:tcPr>
            <w:tcW w:w="1710" w:type="dxa"/>
            <w:vMerge/>
          </w:tcPr>
          <w:p w14:paraId="1F00809F" w14:textId="77777777" w:rsidR="00D34C6E" w:rsidRDefault="00D34C6E" w:rsidP="002B6C05">
            <w:pPr>
              <w:pStyle w:val="ListParagraph"/>
              <w:ind w:left="0"/>
              <w:jc w:val="center"/>
              <w:rPr>
                <w:i/>
                <w:iCs/>
              </w:rPr>
            </w:pPr>
          </w:p>
        </w:tc>
        <w:tc>
          <w:tcPr>
            <w:tcW w:w="1080" w:type="dxa"/>
            <w:vMerge/>
          </w:tcPr>
          <w:p w14:paraId="71530CB4" w14:textId="77777777" w:rsidR="00D34C6E" w:rsidRDefault="00D34C6E" w:rsidP="002B6C05">
            <w:pPr>
              <w:pStyle w:val="ListParagraph"/>
              <w:ind w:left="0"/>
              <w:jc w:val="center"/>
              <w:rPr>
                <w:i/>
                <w:iCs/>
              </w:rPr>
            </w:pPr>
          </w:p>
        </w:tc>
        <w:tc>
          <w:tcPr>
            <w:tcW w:w="5437" w:type="dxa"/>
            <w:tcMar>
              <w:top w:w="0" w:type="dxa"/>
              <w:left w:w="108" w:type="dxa"/>
              <w:bottom w:w="0" w:type="dxa"/>
              <w:right w:w="108" w:type="dxa"/>
            </w:tcMar>
            <w:vAlign w:val="center"/>
            <w:hideMark/>
          </w:tcPr>
          <w:p w14:paraId="1A1B5765" w14:textId="77777777" w:rsidR="00D34C6E" w:rsidRDefault="00D34C6E" w:rsidP="002B6C05">
            <w:pPr>
              <w:pStyle w:val="ListParagraph"/>
              <w:ind w:left="0"/>
              <w:jc w:val="center"/>
              <w:rPr>
                <w:i/>
                <w:iCs/>
              </w:rPr>
            </w:pPr>
            <w:r>
              <w:rPr>
                <w:i/>
                <w:iCs/>
              </w:rPr>
              <w:t xml:space="preserve">% High efficiency that DID receive a program incentive + </w:t>
            </w:r>
          </w:p>
          <w:p w14:paraId="25F476DD" w14:textId="77777777" w:rsidR="00D34C6E" w:rsidRDefault="00D34C6E" w:rsidP="002B6C05">
            <w:pPr>
              <w:pStyle w:val="ListParagraph"/>
              <w:ind w:left="0"/>
              <w:jc w:val="center"/>
              <w:rPr>
                <w:rFonts w:ascii="Arial" w:hAnsi="Arial"/>
                <w:i/>
                <w:iCs/>
              </w:rPr>
            </w:pPr>
            <w:r>
              <w:rPr>
                <w:i/>
                <w:iCs/>
              </w:rPr>
              <w:t>% High efficiency that did NOT receive a program incentive</w:t>
            </w:r>
          </w:p>
        </w:tc>
      </w:tr>
    </w:tbl>
    <w:p w14:paraId="02CE7FD7" w14:textId="27BEC877" w:rsidR="00D34C6E" w:rsidRPr="0034241A" w:rsidRDefault="00D34C6E" w:rsidP="00D34C6E">
      <w:pPr>
        <w:jc w:val="left"/>
      </w:pPr>
      <w:r>
        <w:t>Through additional survey questions,</w:t>
      </w:r>
      <w:r>
        <w:rPr>
          <w:rStyle w:val="FootnoteReference"/>
        </w:rPr>
        <w:footnoteReference w:id="84"/>
      </w:r>
      <w:r>
        <w:t xml:space="preserve"> the evaluator should develop an attribution percentage, i.e., the proportion of non-incented high efficiency projects or measures that are attributable to the program. With this data, and the trade ally’s savings from the program tracking database, the following equation is used to calculate the trade ally’s spillover savings:</w:t>
      </w:r>
    </w:p>
    <w:tbl>
      <w:tblPr>
        <w:tblStyle w:val="TableGrid"/>
        <w:tblW w:w="5097" w:type="pct"/>
        <w:tblLayout w:type="fixed"/>
        <w:tblCellMar>
          <w:left w:w="115" w:type="dxa"/>
          <w:right w:w="115" w:type="dxa"/>
        </w:tblCellMar>
        <w:tblLook w:val="04A0" w:firstRow="1" w:lastRow="0" w:firstColumn="1" w:lastColumn="0" w:noHBand="0" w:noVBand="1"/>
      </w:tblPr>
      <w:tblGrid>
        <w:gridCol w:w="1170"/>
        <w:gridCol w:w="330"/>
        <w:gridCol w:w="2987"/>
        <w:gridCol w:w="330"/>
        <w:gridCol w:w="1393"/>
        <w:gridCol w:w="521"/>
        <w:gridCol w:w="1221"/>
        <w:gridCol w:w="332"/>
        <w:gridCol w:w="1258"/>
      </w:tblGrid>
      <w:tr w:rsidR="00D34C6E" w14:paraId="0BF882AC" w14:textId="77777777" w:rsidTr="002B6C05">
        <w:tc>
          <w:tcPr>
            <w:tcW w:w="613" w:type="pct"/>
            <w:vMerge w:val="restart"/>
            <w:tcBorders>
              <w:top w:val="nil"/>
              <w:left w:val="nil"/>
              <w:bottom w:val="nil"/>
              <w:right w:val="nil"/>
            </w:tcBorders>
            <w:vAlign w:val="center"/>
          </w:tcPr>
          <w:p w14:paraId="5175D8D9" w14:textId="77777777" w:rsidR="00D34C6E" w:rsidRPr="00580303" w:rsidRDefault="00D34C6E" w:rsidP="002B6C05">
            <w:pPr>
              <w:keepNext/>
              <w:keepLines/>
              <w:tabs>
                <w:tab w:val="left" w:pos="3967"/>
              </w:tabs>
              <w:ind w:left="-18" w:firstLine="18"/>
              <w:jc w:val="center"/>
              <w:rPr>
                <w:i/>
              </w:rPr>
            </w:pPr>
            <w:r>
              <w:rPr>
                <w:i/>
              </w:rPr>
              <w:t>Spillover Savings</w:t>
            </w:r>
          </w:p>
        </w:tc>
        <w:tc>
          <w:tcPr>
            <w:tcW w:w="173" w:type="pct"/>
            <w:vMerge w:val="restart"/>
            <w:tcBorders>
              <w:top w:val="nil"/>
              <w:left w:val="nil"/>
              <w:bottom w:val="nil"/>
              <w:right w:val="nil"/>
            </w:tcBorders>
            <w:vAlign w:val="center"/>
          </w:tcPr>
          <w:p w14:paraId="310CEFD9" w14:textId="77777777" w:rsidR="00D34C6E" w:rsidRDefault="00D34C6E" w:rsidP="002B6C05">
            <w:pPr>
              <w:keepNext/>
              <w:keepLines/>
              <w:tabs>
                <w:tab w:val="left" w:pos="3967"/>
              </w:tabs>
              <w:jc w:val="center"/>
              <w:rPr>
                <w:i/>
              </w:rPr>
            </w:pPr>
            <w:r>
              <w:t>=</w:t>
            </w:r>
          </w:p>
        </w:tc>
        <w:tc>
          <w:tcPr>
            <w:tcW w:w="1565" w:type="pct"/>
            <w:tcBorders>
              <w:top w:val="nil"/>
              <w:left w:val="nil"/>
              <w:bottom w:val="single" w:sz="4" w:space="0" w:color="auto"/>
              <w:right w:val="nil"/>
            </w:tcBorders>
          </w:tcPr>
          <w:p w14:paraId="585A2AB4" w14:textId="77777777" w:rsidR="00D34C6E" w:rsidRDefault="00D34C6E" w:rsidP="002B6C05">
            <w:pPr>
              <w:keepNext/>
              <w:keepLines/>
              <w:tabs>
                <w:tab w:val="left" w:pos="3967"/>
              </w:tabs>
              <w:jc w:val="center"/>
              <w:rPr>
                <w:i/>
              </w:rPr>
            </w:pPr>
            <w:r w:rsidRPr="00093CBB">
              <w:rPr>
                <w:i/>
              </w:rPr>
              <w:t>Savings from Program Database</w:t>
            </w:r>
          </w:p>
        </w:tc>
        <w:tc>
          <w:tcPr>
            <w:tcW w:w="173" w:type="pct"/>
            <w:vMerge w:val="restart"/>
            <w:tcBorders>
              <w:top w:val="nil"/>
              <w:left w:val="nil"/>
              <w:right w:val="nil"/>
            </w:tcBorders>
            <w:vAlign w:val="center"/>
          </w:tcPr>
          <w:p w14:paraId="16251130" w14:textId="2E9A2CE8" w:rsidR="00D34C6E" w:rsidRDefault="00D34C6E" w:rsidP="002B6C05">
            <w:pPr>
              <w:keepNext/>
              <w:keepLines/>
              <w:tabs>
                <w:tab w:val="left" w:pos="3967"/>
              </w:tabs>
              <w:jc w:val="center"/>
              <w:rPr>
                <w:i/>
              </w:rPr>
            </w:pPr>
            <w:r>
              <w:rPr>
                <w:i/>
              </w:rPr>
              <w:t>--</w:t>
            </w:r>
          </w:p>
        </w:tc>
        <w:tc>
          <w:tcPr>
            <w:tcW w:w="730" w:type="pct"/>
            <w:vMerge w:val="restart"/>
            <w:tcBorders>
              <w:top w:val="nil"/>
              <w:left w:val="nil"/>
              <w:right w:val="nil"/>
            </w:tcBorders>
            <w:vAlign w:val="center"/>
          </w:tcPr>
          <w:p w14:paraId="27111117" w14:textId="2FEB15F2" w:rsidR="00D34C6E" w:rsidRDefault="00D34C6E" w:rsidP="002B6C05">
            <w:pPr>
              <w:keepNext/>
              <w:keepLines/>
              <w:tabs>
                <w:tab w:val="left" w:pos="3967"/>
              </w:tabs>
              <w:jc w:val="center"/>
              <w:rPr>
                <w:i/>
              </w:rPr>
            </w:pPr>
            <w:r w:rsidRPr="00093CBB">
              <w:rPr>
                <w:i/>
              </w:rPr>
              <w:t>Savings from Program Database</w:t>
            </w:r>
          </w:p>
        </w:tc>
        <w:tc>
          <w:tcPr>
            <w:tcW w:w="273" w:type="pct"/>
            <w:vMerge w:val="restart"/>
            <w:tcBorders>
              <w:top w:val="nil"/>
              <w:left w:val="nil"/>
              <w:right w:val="nil"/>
            </w:tcBorders>
            <w:vAlign w:val="center"/>
          </w:tcPr>
          <w:p w14:paraId="54C9711A" w14:textId="6BB99BEB" w:rsidR="00D34C6E" w:rsidRDefault="00D34C6E" w:rsidP="002B6C05">
            <w:pPr>
              <w:keepNext/>
              <w:keepLines/>
              <w:tabs>
                <w:tab w:val="left" w:pos="3967"/>
              </w:tabs>
              <w:jc w:val="center"/>
              <w:rPr>
                <w:i/>
              </w:rPr>
            </w:pPr>
          </w:p>
        </w:tc>
        <w:tc>
          <w:tcPr>
            <w:tcW w:w="640" w:type="pct"/>
            <w:vMerge w:val="restart"/>
            <w:tcBorders>
              <w:top w:val="nil"/>
              <w:left w:val="nil"/>
              <w:right w:val="nil"/>
            </w:tcBorders>
            <w:vAlign w:val="center"/>
          </w:tcPr>
          <w:p w14:paraId="4F04D2CD" w14:textId="4A9F7155" w:rsidR="00D34C6E" w:rsidRPr="00093CBB" w:rsidRDefault="00D34C6E" w:rsidP="002B6C05">
            <w:pPr>
              <w:keepNext/>
              <w:keepLines/>
              <w:tabs>
                <w:tab w:val="left" w:pos="3967"/>
              </w:tabs>
              <w:jc w:val="center"/>
              <w:rPr>
                <w:i/>
              </w:rPr>
            </w:pPr>
          </w:p>
        </w:tc>
        <w:tc>
          <w:tcPr>
            <w:tcW w:w="174" w:type="pct"/>
            <w:vMerge w:val="restart"/>
            <w:tcBorders>
              <w:top w:val="nil"/>
              <w:left w:val="nil"/>
              <w:bottom w:val="nil"/>
              <w:right w:val="nil"/>
            </w:tcBorders>
            <w:vAlign w:val="center"/>
          </w:tcPr>
          <w:p w14:paraId="0717F2F2" w14:textId="77777777" w:rsidR="00D34C6E" w:rsidRDefault="00D34C6E" w:rsidP="002B6C05">
            <w:pPr>
              <w:keepNext/>
              <w:keepLines/>
              <w:tabs>
                <w:tab w:val="left" w:pos="3967"/>
              </w:tabs>
              <w:jc w:val="center"/>
              <w:rPr>
                <w:i/>
              </w:rPr>
            </w:pPr>
            <w:r>
              <w:rPr>
                <w:i/>
              </w:rPr>
              <w:t>*</w:t>
            </w:r>
          </w:p>
        </w:tc>
        <w:tc>
          <w:tcPr>
            <w:tcW w:w="659" w:type="pct"/>
            <w:vMerge w:val="restart"/>
            <w:tcBorders>
              <w:top w:val="nil"/>
              <w:left w:val="nil"/>
              <w:bottom w:val="nil"/>
              <w:right w:val="nil"/>
            </w:tcBorders>
            <w:vAlign w:val="center"/>
          </w:tcPr>
          <w:p w14:paraId="3CCFD3AE" w14:textId="68B5A281" w:rsidR="00D34C6E" w:rsidRDefault="00D34C6E" w:rsidP="002B6C05">
            <w:pPr>
              <w:keepNext/>
              <w:keepLines/>
              <w:tabs>
                <w:tab w:val="left" w:pos="3967"/>
              </w:tabs>
              <w:jc w:val="center"/>
              <w:rPr>
                <w:i/>
              </w:rPr>
            </w:pPr>
            <w:r w:rsidRPr="0001048E">
              <w:rPr>
                <w:i/>
              </w:rPr>
              <w:t>Size Adjustment</w:t>
            </w:r>
            <w:r>
              <w:rPr>
                <w:i/>
              </w:rPr>
              <w:t xml:space="preserve"> </w:t>
            </w:r>
            <w:r w:rsidRPr="001B07DD">
              <w:rPr>
                <w:i/>
              </w:rPr>
              <w:t>(if applicable)</w:t>
            </w:r>
          </w:p>
        </w:tc>
      </w:tr>
      <w:tr w:rsidR="00D34C6E" w14:paraId="2EB5F4A7" w14:textId="77777777" w:rsidTr="002B6C05">
        <w:trPr>
          <w:trHeight w:val="665"/>
        </w:trPr>
        <w:tc>
          <w:tcPr>
            <w:tcW w:w="613" w:type="pct"/>
            <w:vMerge/>
            <w:tcBorders>
              <w:top w:val="nil"/>
              <w:left w:val="nil"/>
              <w:bottom w:val="nil"/>
              <w:right w:val="nil"/>
            </w:tcBorders>
          </w:tcPr>
          <w:p w14:paraId="57B9A666" w14:textId="77777777" w:rsidR="00D34C6E" w:rsidRPr="00EA67FA" w:rsidRDefault="00D34C6E" w:rsidP="002B6C05">
            <w:pPr>
              <w:keepNext/>
              <w:keepLines/>
              <w:jc w:val="center"/>
              <w:rPr>
                <w:i/>
              </w:rPr>
            </w:pPr>
          </w:p>
        </w:tc>
        <w:tc>
          <w:tcPr>
            <w:tcW w:w="173" w:type="pct"/>
            <w:vMerge/>
            <w:tcBorders>
              <w:top w:val="nil"/>
              <w:left w:val="nil"/>
              <w:bottom w:val="nil"/>
              <w:right w:val="nil"/>
            </w:tcBorders>
          </w:tcPr>
          <w:p w14:paraId="08316D73" w14:textId="77777777" w:rsidR="00D34C6E" w:rsidRPr="00EA67FA" w:rsidRDefault="00D34C6E" w:rsidP="002B6C05">
            <w:pPr>
              <w:keepNext/>
              <w:keepLines/>
              <w:jc w:val="center"/>
              <w:rPr>
                <w:i/>
              </w:rPr>
            </w:pPr>
          </w:p>
        </w:tc>
        <w:tc>
          <w:tcPr>
            <w:tcW w:w="1565" w:type="pct"/>
            <w:tcBorders>
              <w:left w:val="nil"/>
              <w:bottom w:val="nil"/>
              <w:right w:val="nil"/>
            </w:tcBorders>
            <w:vAlign w:val="center"/>
          </w:tcPr>
          <w:p w14:paraId="6B4098CF" w14:textId="77777777" w:rsidR="00D34C6E" w:rsidRPr="00093CBB" w:rsidRDefault="00D34C6E" w:rsidP="002B6C05">
            <w:pPr>
              <w:keepNext/>
              <w:keepLines/>
              <w:jc w:val="center"/>
              <w:rPr>
                <w:i/>
              </w:rPr>
            </w:pPr>
            <w:r>
              <w:rPr>
                <w:i/>
              </w:rPr>
              <w:t xml:space="preserve">% </w:t>
            </w:r>
            <w:proofErr w:type="gramStart"/>
            <w:r>
              <w:rPr>
                <w:i/>
              </w:rPr>
              <w:t>of</w:t>
            </w:r>
            <w:proofErr w:type="gramEnd"/>
            <w:r>
              <w:rPr>
                <w:i/>
              </w:rPr>
              <w:t xml:space="preserve"> TA’s High Efficiency</w:t>
            </w:r>
            <w:r w:rsidRPr="00EA67FA">
              <w:rPr>
                <w:i/>
              </w:rPr>
              <w:t xml:space="preserve"> </w:t>
            </w:r>
            <w:r>
              <w:rPr>
                <w:i/>
              </w:rPr>
              <w:t>Sales</w:t>
            </w:r>
            <w:r w:rsidRPr="00EA67FA">
              <w:rPr>
                <w:i/>
              </w:rPr>
              <w:t xml:space="preserve"> </w:t>
            </w:r>
            <w:r>
              <w:rPr>
                <w:i/>
              </w:rPr>
              <w:t>that Received</w:t>
            </w:r>
            <w:r w:rsidRPr="00EA67FA">
              <w:rPr>
                <w:i/>
              </w:rPr>
              <w:t xml:space="preserve"> </w:t>
            </w:r>
            <w:r>
              <w:rPr>
                <w:i/>
              </w:rPr>
              <w:t>Incentive</w:t>
            </w:r>
          </w:p>
        </w:tc>
        <w:tc>
          <w:tcPr>
            <w:tcW w:w="173" w:type="pct"/>
            <w:vMerge/>
            <w:tcBorders>
              <w:left w:val="nil"/>
              <w:bottom w:val="nil"/>
              <w:right w:val="nil"/>
            </w:tcBorders>
          </w:tcPr>
          <w:p w14:paraId="28333AB5" w14:textId="77777777" w:rsidR="00D34C6E" w:rsidRPr="00093CBB" w:rsidRDefault="00D34C6E" w:rsidP="002B6C05">
            <w:pPr>
              <w:keepNext/>
              <w:keepLines/>
              <w:jc w:val="center"/>
              <w:rPr>
                <w:i/>
              </w:rPr>
            </w:pPr>
          </w:p>
        </w:tc>
        <w:tc>
          <w:tcPr>
            <w:tcW w:w="730" w:type="pct"/>
            <w:vMerge/>
            <w:tcBorders>
              <w:left w:val="nil"/>
              <w:bottom w:val="nil"/>
              <w:right w:val="nil"/>
            </w:tcBorders>
          </w:tcPr>
          <w:p w14:paraId="505FEED2" w14:textId="77777777" w:rsidR="00D34C6E" w:rsidRPr="00093CBB" w:rsidRDefault="00D34C6E" w:rsidP="002B6C05">
            <w:pPr>
              <w:keepNext/>
              <w:keepLines/>
              <w:jc w:val="center"/>
              <w:rPr>
                <w:i/>
              </w:rPr>
            </w:pPr>
          </w:p>
        </w:tc>
        <w:tc>
          <w:tcPr>
            <w:tcW w:w="273" w:type="pct"/>
            <w:vMerge/>
            <w:tcBorders>
              <w:left w:val="nil"/>
              <w:bottom w:val="nil"/>
              <w:right w:val="nil"/>
            </w:tcBorders>
            <w:vAlign w:val="center"/>
          </w:tcPr>
          <w:p w14:paraId="0B59C98E" w14:textId="77777777" w:rsidR="00D34C6E" w:rsidRPr="00093CBB" w:rsidRDefault="00D34C6E" w:rsidP="002B6C05">
            <w:pPr>
              <w:keepNext/>
              <w:keepLines/>
              <w:jc w:val="center"/>
              <w:rPr>
                <w:i/>
              </w:rPr>
            </w:pPr>
          </w:p>
        </w:tc>
        <w:tc>
          <w:tcPr>
            <w:tcW w:w="640" w:type="pct"/>
            <w:vMerge/>
            <w:tcBorders>
              <w:left w:val="nil"/>
              <w:bottom w:val="nil"/>
              <w:right w:val="nil"/>
            </w:tcBorders>
          </w:tcPr>
          <w:p w14:paraId="0E960935" w14:textId="77777777" w:rsidR="00D34C6E" w:rsidRPr="00093CBB" w:rsidRDefault="00D34C6E" w:rsidP="002B6C05">
            <w:pPr>
              <w:keepNext/>
              <w:keepLines/>
              <w:jc w:val="center"/>
              <w:rPr>
                <w:i/>
              </w:rPr>
            </w:pPr>
          </w:p>
        </w:tc>
        <w:tc>
          <w:tcPr>
            <w:tcW w:w="174" w:type="pct"/>
            <w:vMerge/>
            <w:tcBorders>
              <w:top w:val="nil"/>
              <w:left w:val="nil"/>
              <w:bottom w:val="nil"/>
              <w:right w:val="nil"/>
            </w:tcBorders>
          </w:tcPr>
          <w:p w14:paraId="2CEBE7B5" w14:textId="77777777" w:rsidR="00D34C6E" w:rsidRPr="00093CBB" w:rsidRDefault="00D34C6E" w:rsidP="002B6C05">
            <w:pPr>
              <w:keepNext/>
              <w:keepLines/>
              <w:jc w:val="center"/>
              <w:rPr>
                <w:i/>
              </w:rPr>
            </w:pPr>
          </w:p>
        </w:tc>
        <w:tc>
          <w:tcPr>
            <w:tcW w:w="659" w:type="pct"/>
            <w:vMerge/>
            <w:tcBorders>
              <w:top w:val="nil"/>
              <w:left w:val="nil"/>
              <w:bottom w:val="nil"/>
              <w:right w:val="nil"/>
            </w:tcBorders>
          </w:tcPr>
          <w:p w14:paraId="7124E018" w14:textId="77777777" w:rsidR="00D34C6E" w:rsidRPr="00093CBB" w:rsidRDefault="00D34C6E" w:rsidP="002B6C05">
            <w:pPr>
              <w:keepNext/>
              <w:keepLines/>
              <w:jc w:val="center"/>
              <w:rPr>
                <w:i/>
              </w:rPr>
            </w:pPr>
          </w:p>
        </w:tc>
      </w:tr>
    </w:tbl>
    <w:p w14:paraId="15776EEE" w14:textId="77777777" w:rsidR="00D34C6E" w:rsidRDefault="00D34C6E" w:rsidP="00D34C6E">
      <w:r>
        <w:t>The last term in the above equation is a size adjustment that accounts for the possibility that savings from non-incented projects/measures might be different from incented ones. Information on the relative size of average energy savings of incented versus non-incented projects/measures is also collected in the survey if the evaluator expects a potential difference in relative size.</w:t>
      </w:r>
    </w:p>
    <w:p w14:paraId="21E76625" w14:textId="77777777" w:rsidR="00D34C6E" w:rsidRDefault="00D34C6E" w:rsidP="00D34C6E">
      <w:r w:rsidRPr="00B423A2">
        <w:t xml:space="preserve">To compute the program spillover percentage </w:t>
      </w:r>
      <w:r>
        <w:t>for active midstream trade allies, the following steps are used:</w:t>
      </w:r>
    </w:p>
    <w:p w14:paraId="4546706F" w14:textId="77777777" w:rsidR="00D34C6E" w:rsidRDefault="00D34C6E" w:rsidP="00D34C6E">
      <w:pPr>
        <w:pStyle w:val="ListParagraph"/>
        <w:numPr>
          <w:ilvl w:val="0"/>
          <w:numId w:val="74"/>
        </w:numPr>
        <w:spacing w:after="60"/>
        <w:contextualSpacing w:val="0"/>
      </w:pPr>
      <w:r w:rsidRPr="00B423A2">
        <w:rPr>
          <w:b/>
        </w:rPr>
        <w:t xml:space="preserve">Develop the spillover ratio for </w:t>
      </w:r>
      <w:r>
        <w:rPr>
          <w:b/>
        </w:rPr>
        <w:t>sampled trade allies</w:t>
      </w:r>
      <w:r w:rsidRPr="00B423A2">
        <w:rPr>
          <w:b/>
        </w:rPr>
        <w:t xml:space="preserve"> </w:t>
      </w:r>
      <w:r w:rsidRPr="00B423A2">
        <w:t xml:space="preserve">by </w:t>
      </w:r>
      <w:r>
        <w:t>s</w:t>
      </w:r>
      <w:r w:rsidRPr="002F5FEF">
        <w:rPr>
          <w:rFonts w:eastAsia="Calibri"/>
        </w:rPr>
        <w:t>um</w:t>
      </w:r>
      <w:r>
        <w:rPr>
          <w:rFonts w:eastAsia="Calibri"/>
        </w:rPr>
        <w:t>ming</w:t>
      </w:r>
      <w:r w:rsidRPr="002F5FEF">
        <w:rPr>
          <w:rFonts w:eastAsia="Calibri"/>
        </w:rPr>
        <w:t xml:space="preserve"> the</w:t>
      </w:r>
      <w:r>
        <w:rPr>
          <w:rFonts w:eastAsia="Calibri"/>
        </w:rPr>
        <w:t>ir</w:t>
      </w:r>
      <w:r w:rsidRPr="002F5FEF">
        <w:rPr>
          <w:rFonts w:eastAsia="Calibri"/>
        </w:rPr>
        <w:t xml:space="preserve"> </w:t>
      </w:r>
      <w:r>
        <w:rPr>
          <w:rFonts w:eastAsia="Calibri"/>
        </w:rPr>
        <w:t>spillover savings</w:t>
      </w:r>
      <w:r w:rsidRPr="002F5FEF">
        <w:rPr>
          <w:rFonts w:eastAsia="Calibri"/>
        </w:rPr>
        <w:t xml:space="preserve"> </w:t>
      </w:r>
      <w:r>
        <w:rPr>
          <w:rFonts w:eastAsia="Calibri"/>
        </w:rPr>
        <w:t xml:space="preserve">and </w:t>
      </w:r>
      <w:r w:rsidRPr="00B423A2">
        <w:t xml:space="preserve">dividing </w:t>
      </w:r>
      <w:r>
        <w:t xml:space="preserve">this total </w:t>
      </w:r>
      <w:r w:rsidRPr="00B423A2">
        <w:t xml:space="preserve">by </w:t>
      </w:r>
      <w:r>
        <w:t xml:space="preserve">the program-tracked </w:t>
      </w:r>
      <w:r w:rsidRPr="00B423A2">
        <w:t>savings</w:t>
      </w:r>
      <w:r>
        <w:t xml:space="preserve"> associated with the sampled trade allies.</w:t>
      </w:r>
      <w:r w:rsidRPr="00B423A2">
        <w:t xml:space="preserve"> </w:t>
      </w:r>
    </w:p>
    <w:p w14:paraId="3A5427BE" w14:textId="77777777" w:rsidR="00D34C6E" w:rsidRDefault="00D34C6E" w:rsidP="00D34C6E">
      <w:pPr>
        <w:pStyle w:val="ListParagraph"/>
        <w:numPr>
          <w:ilvl w:val="0"/>
          <w:numId w:val="74"/>
        </w:numPr>
        <w:spacing w:after="60"/>
        <w:contextualSpacing w:val="0"/>
      </w:pPr>
      <w:r w:rsidRPr="00B43BE5">
        <w:rPr>
          <w:b/>
        </w:rPr>
        <w:t>Develop spillover savings for the population of active trade allies</w:t>
      </w:r>
      <w:r>
        <w:t xml:space="preserve"> by applying the</w:t>
      </w:r>
      <w:r w:rsidRPr="00B423A2">
        <w:t xml:space="preserve"> spillover ratio </w:t>
      </w:r>
      <w:r>
        <w:t xml:space="preserve">from Step 1 </w:t>
      </w:r>
      <w:r w:rsidRPr="00B423A2">
        <w:t xml:space="preserve">to all program savings associated with a </w:t>
      </w:r>
      <w:r>
        <w:t>trade ally</w:t>
      </w:r>
      <w:r w:rsidRPr="00B423A2">
        <w:t xml:space="preserve"> (whether a survey respondent or not).</w:t>
      </w:r>
    </w:p>
    <w:p w14:paraId="4985808F" w14:textId="77777777" w:rsidR="00D34C6E" w:rsidRPr="00887DA4" w:rsidRDefault="00D34C6E" w:rsidP="00D34C6E">
      <w:pPr>
        <w:pStyle w:val="ListParagraph"/>
        <w:numPr>
          <w:ilvl w:val="0"/>
          <w:numId w:val="74"/>
        </w:numPr>
        <w:contextualSpacing w:val="0"/>
      </w:pPr>
      <w:r w:rsidRPr="00B43BE5">
        <w:rPr>
          <w:b/>
        </w:rPr>
        <w:t xml:space="preserve">Develop the overall spillover ratio for active trade allies </w:t>
      </w:r>
      <w:r w:rsidRPr="00B423A2">
        <w:t xml:space="preserve">by dividing the </w:t>
      </w:r>
      <w:r>
        <w:t>trade ally</w:t>
      </w:r>
      <w:r w:rsidRPr="00B423A2">
        <w:t xml:space="preserve"> spillover estimate </w:t>
      </w:r>
      <w:r>
        <w:t>from Step 2</w:t>
      </w:r>
      <w:r w:rsidRPr="00B423A2">
        <w:t xml:space="preserve"> by total </w:t>
      </w:r>
      <w:r>
        <w:t xml:space="preserve">program </w:t>
      </w:r>
      <w:r w:rsidRPr="00B423A2">
        <w:t>savings (</w:t>
      </w:r>
      <w:r>
        <w:t>whether associated with a trade ally or not</w:t>
      </w:r>
      <w:r w:rsidRPr="00B423A2">
        <w:t>).</w:t>
      </w:r>
    </w:p>
    <w:p w14:paraId="21A1D44E" w14:textId="77777777" w:rsidR="00D34C6E" w:rsidRDefault="00D34C6E" w:rsidP="0088039F">
      <w:pPr>
        <w:pStyle w:val="Heading3"/>
      </w:pPr>
      <w:bookmarkStart w:id="1863" w:name="_Toc520462934"/>
      <w:bookmarkStart w:id="1864" w:name="_Toc520824188"/>
      <w:bookmarkStart w:id="1865" w:name="_Toc16619971"/>
      <w:bookmarkStart w:id="1866" w:name="_Toc113619826"/>
      <w:bookmarkEnd w:id="1862"/>
      <w:r>
        <w:t>Spillover from Inactive Trade Allies</w:t>
      </w:r>
      <w:bookmarkEnd w:id="1863"/>
      <w:bookmarkEnd w:id="1864"/>
      <w:bookmarkEnd w:id="1865"/>
      <w:bookmarkEnd w:id="1866"/>
    </w:p>
    <w:p w14:paraId="585A6C75" w14:textId="77777777" w:rsidR="00D34C6E" w:rsidRDefault="00D34C6E" w:rsidP="00D34C6E">
      <w:pPr>
        <w:rPr>
          <w:rFonts w:eastAsia="Franklin Gothic Book"/>
        </w:rPr>
      </w:pPr>
      <w:r>
        <w:rPr>
          <w:rFonts w:eastAsia="Franklin Gothic Book"/>
        </w:rPr>
        <w:t>Inactive t</w:t>
      </w:r>
      <w:r w:rsidRPr="00137CC1">
        <w:rPr>
          <w:rFonts w:eastAsia="Franklin Gothic Book"/>
        </w:rPr>
        <w:t xml:space="preserve">rade allies </w:t>
      </w:r>
      <w:r>
        <w:rPr>
          <w:rFonts w:eastAsia="Franklin Gothic Book"/>
        </w:rPr>
        <w:t xml:space="preserve">may create spillover if they are </w:t>
      </w:r>
      <w:r w:rsidRPr="00137CC1">
        <w:rPr>
          <w:rFonts w:eastAsia="Franklin Gothic Book"/>
        </w:rPr>
        <w:t xml:space="preserve">exposed to the program but </w:t>
      </w:r>
      <w:r>
        <w:rPr>
          <w:rFonts w:eastAsia="Franklin Gothic Book"/>
        </w:rPr>
        <w:t xml:space="preserve">do </w:t>
      </w:r>
      <w:r w:rsidRPr="00137CC1">
        <w:rPr>
          <w:rFonts w:eastAsia="Franklin Gothic Book"/>
        </w:rPr>
        <w:t xml:space="preserve">not </w:t>
      </w:r>
      <w:r>
        <w:rPr>
          <w:rFonts w:eastAsia="Franklin Gothic Book"/>
        </w:rPr>
        <w:t xml:space="preserve">directly </w:t>
      </w:r>
      <w:r w:rsidRPr="00137CC1">
        <w:rPr>
          <w:rFonts w:eastAsia="Franklin Gothic Book"/>
        </w:rPr>
        <w:t>facilitat</w:t>
      </w:r>
      <w:r>
        <w:rPr>
          <w:rFonts w:eastAsia="Franklin Gothic Book"/>
        </w:rPr>
        <w:t>e</w:t>
      </w:r>
      <w:r w:rsidRPr="00137CC1">
        <w:rPr>
          <w:rFonts w:eastAsia="Franklin Gothic Book"/>
        </w:rPr>
        <w:t xml:space="preserve"> program </w:t>
      </w:r>
      <w:r>
        <w:rPr>
          <w:rFonts w:eastAsia="Franklin Gothic Book"/>
        </w:rPr>
        <w:t>participation, i.e., they did not complete any projects through the program during the evaluation period</w:t>
      </w:r>
      <w:r w:rsidRPr="00137CC1">
        <w:rPr>
          <w:rFonts w:eastAsia="Franklin Gothic Book"/>
        </w:rPr>
        <w:t xml:space="preserve">. Rather, they promote and stock higher-efficiency equipment due to the </w:t>
      </w:r>
      <w:r>
        <w:rPr>
          <w:rFonts w:eastAsia="Franklin Gothic Book"/>
        </w:rPr>
        <w:t xml:space="preserve">influence of the </w:t>
      </w:r>
      <w:r w:rsidRPr="00137CC1">
        <w:rPr>
          <w:rFonts w:eastAsia="Franklin Gothic Book"/>
        </w:rPr>
        <w:t>program</w:t>
      </w:r>
      <w:r>
        <w:rPr>
          <w:rFonts w:eastAsia="Franklin Gothic Book"/>
        </w:rPr>
        <w:t xml:space="preserve"> on the market</w:t>
      </w:r>
      <w:r w:rsidRPr="00137CC1">
        <w:rPr>
          <w:rFonts w:eastAsia="Franklin Gothic Book"/>
        </w:rPr>
        <w:t xml:space="preserve">. </w:t>
      </w:r>
    </w:p>
    <w:p w14:paraId="1FFFA038" w14:textId="77777777" w:rsidR="00D34C6E" w:rsidRPr="002F5FEF" w:rsidRDefault="00D34C6E" w:rsidP="00D34C6E">
      <w:pPr>
        <w:rPr>
          <w:rFonts w:eastAsia="Calibri"/>
        </w:rPr>
      </w:pPr>
      <w:r w:rsidRPr="00137CC1">
        <w:rPr>
          <w:rFonts w:eastAsia="Franklin Gothic Book"/>
        </w:rPr>
        <w:t xml:space="preserve">Surveys </w:t>
      </w:r>
      <w:r>
        <w:rPr>
          <w:rFonts w:eastAsia="Franklin Gothic Book"/>
        </w:rPr>
        <w:t xml:space="preserve">can be used to </w:t>
      </w:r>
      <w:r w:rsidRPr="00137CC1">
        <w:rPr>
          <w:rFonts w:eastAsia="Franklin Gothic Book"/>
        </w:rPr>
        <w:t xml:space="preserve">ask </w:t>
      </w:r>
      <w:r>
        <w:rPr>
          <w:rFonts w:eastAsia="Franklin Gothic Book"/>
        </w:rPr>
        <w:t>inactive</w:t>
      </w:r>
      <w:r w:rsidRPr="00137CC1">
        <w:rPr>
          <w:rFonts w:eastAsia="Franklin Gothic Book"/>
        </w:rPr>
        <w:t xml:space="preserve"> trade allies </w:t>
      </w:r>
      <w:r w:rsidRPr="002F5FEF">
        <w:rPr>
          <w:rFonts w:eastAsia="Calibri"/>
        </w:rPr>
        <w:t xml:space="preserve">if the program influenced their sales of high-efficiency equipment to </w:t>
      </w:r>
      <w:r>
        <w:rPr>
          <w:rFonts w:eastAsia="Calibri"/>
        </w:rPr>
        <w:t xml:space="preserve">participating or </w:t>
      </w:r>
      <w:r w:rsidRPr="002F5FEF">
        <w:rPr>
          <w:rFonts w:eastAsia="Calibri"/>
        </w:rPr>
        <w:t>nonparticipating customers and to quantify the program’s impact on their high-efficiency sales. The general questions take the following form:</w:t>
      </w:r>
    </w:p>
    <w:p w14:paraId="2CB24469" w14:textId="77777777" w:rsidR="00D34C6E" w:rsidRPr="002F5FEF" w:rsidRDefault="00D34C6E" w:rsidP="00D34C6E">
      <w:pPr>
        <w:pStyle w:val="ListParagraph"/>
        <w:widowControl/>
        <w:numPr>
          <w:ilvl w:val="0"/>
          <w:numId w:val="27"/>
        </w:numPr>
        <w:spacing w:after="60"/>
        <w:contextualSpacing w:val="0"/>
        <w:rPr>
          <w:rFonts w:eastAsia="Calibri"/>
        </w:rPr>
      </w:pPr>
      <w:r w:rsidRPr="002F5FEF">
        <w:rPr>
          <w:rFonts w:eastAsia="Calibri"/>
        </w:rPr>
        <w:t xml:space="preserve">Q.1: How many &lt;measures&gt; did you sell in </w:t>
      </w:r>
      <w:r>
        <w:rPr>
          <w:rFonts w:eastAsia="Calibri"/>
        </w:rPr>
        <w:t xml:space="preserve">&lt;utility&gt;’s service territory in </w:t>
      </w:r>
      <w:r w:rsidRPr="002F5FEF">
        <w:rPr>
          <w:rFonts w:eastAsia="Calibri"/>
        </w:rPr>
        <w:t>&lt;period&gt;?</w:t>
      </w:r>
    </w:p>
    <w:p w14:paraId="4DF72F3C" w14:textId="77777777" w:rsidR="00D34C6E" w:rsidRPr="002F5FEF" w:rsidRDefault="00D34C6E" w:rsidP="00D34C6E">
      <w:pPr>
        <w:pStyle w:val="ListParagraph"/>
        <w:widowControl/>
        <w:numPr>
          <w:ilvl w:val="0"/>
          <w:numId w:val="27"/>
        </w:numPr>
        <w:spacing w:after="60"/>
        <w:contextualSpacing w:val="0"/>
        <w:rPr>
          <w:rFonts w:eastAsia="Calibri"/>
        </w:rPr>
      </w:pPr>
      <w:r w:rsidRPr="002F5FEF">
        <w:rPr>
          <w:rFonts w:eastAsia="Calibri"/>
        </w:rPr>
        <w:t>Q.2: How many of them were &lt;efficiency level&gt; or higher?</w:t>
      </w:r>
    </w:p>
    <w:p w14:paraId="1EDBE864" w14:textId="77777777" w:rsidR="00D34C6E" w:rsidRPr="002F5FEF" w:rsidRDefault="00D34C6E" w:rsidP="00D34C6E">
      <w:pPr>
        <w:pStyle w:val="ListParagraph"/>
        <w:widowControl/>
        <w:numPr>
          <w:ilvl w:val="0"/>
          <w:numId w:val="27"/>
        </w:numPr>
        <w:contextualSpacing w:val="0"/>
        <w:rPr>
          <w:rFonts w:eastAsia="Calibri"/>
        </w:rPr>
      </w:pPr>
      <w:r w:rsidRPr="002F5FEF">
        <w:rPr>
          <w:rFonts w:eastAsia="Calibri"/>
        </w:rPr>
        <w:t>Q.3: Had the &lt;program&gt; not existed, how many &lt;measures&gt; of &lt;efficiency level&gt; or higher do you think you would have sold</w:t>
      </w:r>
      <w:r>
        <w:rPr>
          <w:rFonts w:eastAsia="Calibri"/>
        </w:rPr>
        <w:t xml:space="preserve"> </w:t>
      </w:r>
      <w:r w:rsidRPr="002F5FEF">
        <w:rPr>
          <w:rFonts w:eastAsia="Calibri"/>
        </w:rPr>
        <w:t xml:space="preserve">in </w:t>
      </w:r>
      <w:r>
        <w:rPr>
          <w:rFonts w:eastAsia="Calibri"/>
        </w:rPr>
        <w:t>&lt;utility&gt;’s service territory</w:t>
      </w:r>
      <w:r w:rsidRPr="002F5FEF">
        <w:rPr>
          <w:rFonts w:eastAsia="Calibri"/>
        </w:rPr>
        <w:t>?</w:t>
      </w:r>
    </w:p>
    <w:p w14:paraId="756F04C3" w14:textId="77777777" w:rsidR="00D34C6E" w:rsidRPr="002F5FEF" w:rsidRDefault="00D34C6E" w:rsidP="00D34C6E">
      <w:pPr>
        <w:rPr>
          <w:rFonts w:eastAsia="Calibri"/>
        </w:rPr>
      </w:pPr>
      <w:r w:rsidRPr="002F5FEF">
        <w:rPr>
          <w:rFonts w:eastAsia="Calibri"/>
        </w:rPr>
        <w:t xml:space="preserve">Evaluators should </w:t>
      </w:r>
      <w:r>
        <w:rPr>
          <w:rFonts w:eastAsia="Calibri"/>
        </w:rPr>
        <w:t xml:space="preserve">attempt to allow </w:t>
      </w:r>
      <w:r w:rsidRPr="002F5FEF">
        <w:rPr>
          <w:rFonts w:eastAsia="Calibri"/>
        </w:rPr>
        <w:t>trade allies sufficient time to collect specific data</w:t>
      </w:r>
      <w:r>
        <w:rPr>
          <w:rFonts w:eastAsia="Calibri"/>
        </w:rPr>
        <w:t xml:space="preserve"> (e.g., by sending information ahead of the interview or conducting additional follow-up; this might require providing incentives as inactive trade allies tend to be hard-to-reach)</w:t>
      </w:r>
      <w:r w:rsidRPr="002F5FEF">
        <w:rPr>
          <w:rFonts w:eastAsia="Calibri"/>
        </w:rPr>
        <w:t xml:space="preserve"> and not rely on “guesses” to respond. Additional questions should be included to document how the program influenced sales of additional </w:t>
      </w:r>
      <w:r>
        <w:rPr>
          <w:rFonts w:eastAsia="Calibri"/>
        </w:rPr>
        <w:t xml:space="preserve">energy efficient </w:t>
      </w:r>
      <w:r w:rsidRPr="002F5FEF">
        <w:rPr>
          <w:rFonts w:eastAsia="Calibri"/>
        </w:rPr>
        <w:t>measures</w:t>
      </w:r>
      <w:r>
        <w:rPr>
          <w:rFonts w:eastAsia="Calibri"/>
        </w:rPr>
        <w:t xml:space="preserve"> and why these measures did not receive an incentive</w:t>
      </w:r>
      <w:r w:rsidRPr="002F5FEF">
        <w:rPr>
          <w:rFonts w:eastAsia="Calibri"/>
        </w:rPr>
        <w:t xml:space="preserve">. </w:t>
      </w:r>
    </w:p>
    <w:p w14:paraId="3F16B523" w14:textId="77777777" w:rsidR="00D34C6E" w:rsidRDefault="00D34C6E" w:rsidP="00D34C6E">
      <w:pPr>
        <w:rPr>
          <w:rFonts w:eastAsia="Calibri"/>
        </w:rPr>
      </w:pPr>
      <w:r>
        <w:rPr>
          <w:rFonts w:eastAsia="Calibri"/>
        </w:rPr>
        <w:lastRenderedPageBreak/>
        <w:t>For programs that offer a number of different measures, the evaluator should select and ask about a small number of measures or measure groups that are most likely to generate spillover, e.g., the program’s highest impact measures. The selection of trade allies to include in this research will depend on the measures selected, e.g., if the highest impact measures are lighting measures, the population of trade allies from which to sample should be lighting contractors.</w:t>
      </w:r>
    </w:p>
    <w:p w14:paraId="652FC2C6" w14:textId="77777777" w:rsidR="00D34C6E" w:rsidRPr="002F5FEF" w:rsidRDefault="00D34C6E" w:rsidP="00D34C6E">
      <w:pPr>
        <w:rPr>
          <w:rFonts w:eastAsia="Calibri"/>
        </w:rPr>
      </w:pPr>
      <w:r w:rsidRPr="002F5FEF">
        <w:rPr>
          <w:rFonts w:eastAsia="Calibri"/>
        </w:rPr>
        <w:t xml:space="preserve">The following steps </w:t>
      </w:r>
      <w:r>
        <w:rPr>
          <w:rFonts w:eastAsia="Calibri"/>
        </w:rPr>
        <w:t xml:space="preserve">are used to </w:t>
      </w:r>
      <w:r w:rsidRPr="002F5FEF">
        <w:rPr>
          <w:rFonts w:eastAsia="Calibri"/>
        </w:rPr>
        <w:t xml:space="preserve">calculate the spillover </w:t>
      </w:r>
      <w:r>
        <w:rPr>
          <w:rFonts w:eastAsia="Calibri"/>
        </w:rPr>
        <w:t>percentage</w:t>
      </w:r>
      <w:r w:rsidRPr="00F21859">
        <w:rPr>
          <w:rFonts w:eastAsia="Calibri"/>
        </w:rPr>
        <w:t xml:space="preserve"> </w:t>
      </w:r>
      <w:r>
        <w:rPr>
          <w:rFonts w:eastAsia="Calibri"/>
        </w:rPr>
        <w:t xml:space="preserve">for inactive </w:t>
      </w:r>
      <w:r w:rsidRPr="002F5FEF">
        <w:rPr>
          <w:rFonts w:eastAsia="Calibri"/>
        </w:rPr>
        <w:t>trade all</w:t>
      </w:r>
      <w:r>
        <w:rPr>
          <w:rFonts w:eastAsia="Calibri"/>
        </w:rPr>
        <w:t>ies</w:t>
      </w:r>
      <w:r w:rsidRPr="002F5FEF">
        <w:rPr>
          <w:rFonts w:eastAsia="Calibri"/>
        </w:rPr>
        <w:t>:</w:t>
      </w:r>
    </w:p>
    <w:p w14:paraId="74501592" w14:textId="77777777" w:rsidR="00D34C6E" w:rsidRPr="002F5FEF" w:rsidRDefault="00D34C6E" w:rsidP="00D34C6E">
      <w:pPr>
        <w:pStyle w:val="ListParagraph"/>
        <w:widowControl/>
        <w:numPr>
          <w:ilvl w:val="0"/>
          <w:numId w:val="30"/>
        </w:numPr>
        <w:spacing w:after="60"/>
        <w:contextualSpacing w:val="0"/>
        <w:rPr>
          <w:rFonts w:eastAsia="Calibri"/>
        </w:rPr>
      </w:pPr>
      <w:r>
        <w:rPr>
          <w:rFonts w:eastAsia="Calibri"/>
          <w:b/>
        </w:rPr>
        <w:t>Develop</w:t>
      </w:r>
      <w:r w:rsidRPr="009F6B9F">
        <w:rPr>
          <w:rFonts w:eastAsia="Calibri"/>
          <w:b/>
        </w:rPr>
        <w:t xml:space="preserve"> the total number of spillover units for </w:t>
      </w:r>
      <w:r>
        <w:rPr>
          <w:rFonts w:eastAsia="Calibri"/>
          <w:b/>
        </w:rPr>
        <w:t>each</w:t>
      </w:r>
      <w:r w:rsidRPr="009F6B9F">
        <w:rPr>
          <w:rFonts w:eastAsia="Calibri"/>
          <w:b/>
        </w:rPr>
        <w:t xml:space="preserve"> trade ally</w:t>
      </w:r>
      <w:r w:rsidRPr="002F5FEF">
        <w:rPr>
          <w:rFonts w:eastAsia="Calibri"/>
        </w:rPr>
        <w:t xml:space="preserve"> </w:t>
      </w:r>
      <w:r>
        <w:rPr>
          <w:rFonts w:eastAsia="Calibri"/>
        </w:rPr>
        <w:t>by c</w:t>
      </w:r>
      <w:r w:rsidRPr="002F5FEF">
        <w:rPr>
          <w:rFonts w:eastAsia="Calibri"/>
        </w:rPr>
        <w:t>omput</w:t>
      </w:r>
      <w:r>
        <w:rPr>
          <w:rFonts w:eastAsia="Calibri"/>
        </w:rPr>
        <w:t>ing</w:t>
      </w:r>
      <w:r w:rsidRPr="002F5FEF">
        <w:rPr>
          <w:rFonts w:eastAsia="Calibri"/>
        </w:rPr>
        <w:t xml:space="preserve"> the difference between the total reported number of high-efficiency units sold and the </w:t>
      </w:r>
      <w:r>
        <w:rPr>
          <w:rFonts w:eastAsia="Calibri"/>
        </w:rPr>
        <w:t>number</w:t>
      </w:r>
      <w:r w:rsidRPr="002F5FEF">
        <w:rPr>
          <w:rFonts w:eastAsia="Calibri"/>
        </w:rPr>
        <w:t xml:space="preserve"> that would have been sold in the program’s absence</w:t>
      </w:r>
      <w:r>
        <w:rPr>
          <w:rFonts w:eastAsia="Calibri"/>
        </w:rPr>
        <w:t>, for each measure type</w:t>
      </w:r>
      <w:r w:rsidRPr="002F5FEF">
        <w:rPr>
          <w:rFonts w:eastAsia="Calibri"/>
        </w:rPr>
        <w:t>.</w:t>
      </w:r>
    </w:p>
    <w:p w14:paraId="3F58749B" w14:textId="77777777" w:rsidR="00D34C6E" w:rsidRPr="002F5FEF" w:rsidRDefault="00D34C6E" w:rsidP="00D34C6E">
      <w:pPr>
        <w:pStyle w:val="ListParagraph"/>
        <w:widowControl/>
        <w:numPr>
          <w:ilvl w:val="0"/>
          <w:numId w:val="30"/>
        </w:numPr>
        <w:spacing w:after="60"/>
        <w:contextualSpacing w:val="0"/>
        <w:rPr>
          <w:rFonts w:eastAsia="Calibri"/>
        </w:rPr>
      </w:pPr>
      <w:r>
        <w:rPr>
          <w:rFonts w:eastAsia="Calibri"/>
          <w:b/>
        </w:rPr>
        <w:t>Develop</w:t>
      </w:r>
      <w:r w:rsidRPr="009F6B9F">
        <w:rPr>
          <w:rFonts w:eastAsia="Calibri"/>
          <w:b/>
        </w:rPr>
        <w:t xml:space="preserve"> the total spillover savings for each trade ally</w:t>
      </w:r>
      <w:r>
        <w:rPr>
          <w:rFonts w:eastAsia="Calibri"/>
        </w:rPr>
        <w:t xml:space="preserve"> by m</w:t>
      </w:r>
      <w:r w:rsidRPr="002F5FEF">
        <w:rPr>
          <w:rFonts w:eastAsia="Calibri"/>
        </w:rPr>
        <w:t>ultiply</w:t>
      </w:r>
      <w:r>
        <w:rPr>
          <w:rFonts w:eastAsia="Calibri"/>
        </w:rPr>
        <w:t>ing</w:t>
      </w:r>
      <w:r w:rsidRPr="002F5FEF">
        <w:rPr>
          <w:rFonts w:eastAsia="Calibri"/>
        </w:rPr>
        <w:t xml:space="preserve"> the </w:t>
      </w:r>
      <w:r>
        <w:rPr>
          <w:rFonts w:eastAsia="Calibri"/>
        </w:rPr>
        <w:t xml:space="preserve">trade ally’s </w:t>
      </w:r>
      <w:r w:rsidRPr="002F5FEF">
        <w:rPr>
          <w:rFonts w:eastAsia="Calibri"/>
        </w:rPr>
        <w:t xml:space="preserve">total number of spillover units </w:t>
      </w:r>
      <w:r>
        <w:rPr>
          <w:rFonts w:eastAsia="Calibri"/>
        </w:rPr>
        <w:t xml:space="preserve">(from Step 1) </w:t>
      </w:r>
      <w:r w:rsidRPr="002F5FEF">
        <w:rPr>
          <w:rFonts w:eastAsia="Calibri"/>
        </w:rPr>
        <w:t>by the average gross unit savings</w:t>
      </w:r>
      <w:r>
        <w:rPr>
          <w:rFonts w:eastAsia="Calibri"/>
        </w:rPr>
        <w:t>,</w:t>
      </w:r>
      <w:r w:rsidRPr="002F5FEF">
        <w:rPr>
          <w:rFonts w:eastAsia="Calibri"/>
        </w:rPr>
        <w:t xml:space="preserve"> for each measure type.</w:t>
      </w:r>
    </w:p>
    <w:p w14:paraId="3F7E2DCF" w14:textId="77777777" w:rsidR="00D34C6E" w:rsidRPr="002F5FEF" w:rsidRDefault="00D34C6E" w:rsidP="00D34C6E">
      <w:pPr>
        <w:pStyle w:val="ListParagraph"/>
        <w:widowControl/>
        <w:numPr>
          <w:ilvl w:val="0"/>
          <w:numId w:val="30"/>
        </w:numPr>
        <w:spacing w:after="60"/>
        <w:contextualSpacing w:val="0"/>
        <w:rPr>
          <w:rFonts w:eastAsia="Calibri"/>
        </w:rPr>
      </w:pPr>
      <w:r>
        <w:rPr>
          <w:rFonts w:eastAsia="Calibri"/>
          <w:b/>
        </w:rPr>
        <w:t>C</w:t>
      </w:r>
      <w:r w:rsidRPr="009F6B9F">
        <w:rPr>
          <w:rFonts w:eastAsia="Calibri"/>
          <w:b/>
        </w:rPr>
        <w:t xml:space="preserve">ompute the total spillover </w:t>
      </w:r>
      <w:r>
        <w:rPr>
          <w:rFonts w:eastAsia="Calibri"/>
          <w:b/>
        </w:rPr>
        <w:t>savings</w:t>
      </w:r>
      <w:r w:rsidRPr="009F6B9F">
        <w:rPr>
          <w:rFonts w:eastAsia="Calibri"/>
          <w:b/>
        </w:rPr>
        <w:t xml:space="preserve"> </w:t>
      </w:r>
      <w:r>
        <w:rPr>
          <w:rFonts w:eastAsia="Calibri"/>
          <w:b/>
        </w:rPr>
        <w:t>for</w:t>
      </w:r>
      <w:r w:rsidRPr="009F6B9F">
        <w:rPr>
          <w:rFonts w:eastAsia="Calibri"/>
          <w:b/>
        </w:rPr>
        <w:t xml:space="preserve"> the program period</w:t>
      </w:r>
      <w:r w:rsidRPr="002F5FEF">
        <w:rPr>
          <w:rFonts w:eastAsia="Calibri"/>
        </w:rPr>
        <w:t xml:space="preserve"> </w:t>
      </w:r>
      <w:r>
        <w:rPr>
          <w:rFonts w:eastAsia="Calibri"/>
        </w:rPr>
        <w:t>by s</w:t>
      </w:r>
      <w:r w:rsidRPr="002F5FEF">
        <w:rPr>
          <w:rFonts w:eastAsia="Calibri"/>
        </w:rPr>
        <w:t>um</w:t>
      </w:r>
      <w:r>
        <w:rPr>
          <w:rFonts w:eastAsia="Calibri"/>
        </w:rPr>
        <w:t>ming</w:t>
      </w:r>
      <w:r w:rsidRPr="002F5FEF">
        <w:rPr>
          <w:rFonts w:eastAsia="Calibri"/>
        </w:rPr>
        <w:t xml:space="preserve"> the </w:t>
      </w:r>
      <w:r>
        <w:rPr>
          <w:rFonts w:eastAsia="Calibri"/>
        </w:rPr>
        <w:t>spillover savings</w:t>
      </w:r>
      <w:r w:rsidRPr="002F5FEF">
        <w:rPr>
          <w:rFonts w:eastAsia="Calibri"/>
        </w:rPr>
        <w:t xml:space="preserve"> f</w:t>
      </w:r>
      <w:r>
        <w:rPr>
          <w:rFonts w:eastAsia="Calibri"/>
        </w:rPr>
        <w:t>rom</w:t>
      </w:r>
      <w:r w:rsidRPr="002F5FEF">
        <w:rPr>
          <w:rFonts w:eastAsia="Calibri"/>
        </w:rPr>
        <w:t xml:space="preserve"> </w:t>
      </w:r>
      <w:r>
        <w:rPr>
          <w:rFonts w:eastAsia="Calibri"/>
        </w:rPr>
        <w:t>all sampled</w:t>
      </w:r>
      <w:r w:rsidRPr="002F5FEF">
        <w:rPr>
          <w:rFonts w:eastAsia="Calibri"/>
        </w:rPr>
        <w:t xml:space="preserve"> </w:t>
      </w:r>
      <w:r>
        <w:rPr>
          <w:rFonts w:eastAsia="Calibri"/>
        </w:rPr>
        <w:t>trade allies</w:t>
      </w:r>
      <w:r w:rsidRPr="002F5FEF">
        <w:rPr>
          <w:rFonts w:eastAsia="Calibri"/>
        </w:rPr>
        <w:t xml:space="preserve"> </w:t>
      </w:r>
      <w:r>
        <w:rPr>
          <w:rFonts w:eastAsia="Calibri"/>
        </w:rPr>
        <w:t>(</w:t>
      </w:r>
      <w:r w:rsidRPr="002F5FEF">
        <w:rPr>
          <w:rFonts w:eastAsia="Calibri"/>
        </w:rPr>
        <w:t xml:space="preserve">from </w:t>
      </w:r>
      <w:r>
        <w:rPr>
          <w:rFonts w:eastAsia="Calibri"/>
        </w:rPr>
        <w:t>Step 2)</w:t>
      </w:r>
      <w:r w:rsidRPr="002F5FEF">
        <w:rPr>
          <w:rFonts w:eastAsia="Calibri"/>
        </w:rPr>
        <w:t xml:space="preserve"> and </w:t>
      </w:r>
      <w:r>
        <w:rPr>
          <w:rFonts w:eastAsia="Calibri"/>
        </w:rPr>
        <w:t>multiplying</w:t>
      </w:r>
      <w:r w:rsidRPr="002F5FEF">
        <w:rPr>
          <w:rFonts w:eastAsia="Calibri"/>
        </w:rPr>
        <w:t xml:space="preserve"> </w:t>
      </w:r>
      <w:r>
        <w:rPr>
          <w:rFonts w:eastAsia="Calibri"/>
        </w:rPr>
        <w:t>this sum</w:t>
      </w:r>
      <w:r w:rsidRPr="002F5FEF">
        <w:rPr>
          <w:rFonts w:eastAsia="Calibri"/>
        </w:rPr>
        <w:t xml:space="preserve"> by the ratio of the population of </w:t>
      </w:r>
      <w:r>
        <w:rPr>
          <w:rFonts w:eastAsia="Calibri"/>
        </w:rPr>
        <w:t xml:space="preserve">inactive </w:t>
      </w:r>
      <w:r w:rsidRPr="002F5FEF">
        <w:rPr>
          <w:rFonts w:eastAsia="Calibri"/>
        </w:rPr>
        <w:t>trade allies to the sample</w:t>
      </w:r>
      <w:r>
        <w:rPr>
          <w:rFonts w:eastAsia="Calibri"/>
        </w:rPr>
        <w:t>, for each end-use</w:t>
      </w:r>
      <w:r w:rsidRPr="002F5FEF">
        <w:rPr>
          <w:rFonts w:eastAsia="Calibri"/>
        </w:rPr>
        <w:t>.</w:t>
      </w:r>
    </w:p>
    <w:p w14:paraId="66B02D52" w14:textId="77777777" w:rsidR="00D34C6E" w:rsidRPr="002F5FEF" w:rsidRDefault="00D34C6E" w:rsidP="00D34C6E">
      <w:pPr>
        <w:pStyle w:val="ListParagraph"/>
        <w:widowControl/>
        <w:numPr>
          <w:ilvl w:val="0"/>
          <w:numId w:val="30"/>
        </w:numPr>
        <w:contextualSpacing w:val="0"/>
        <w:rPr>
          <w:rFonts w:eastAsia="Calibri"/>
        </w:rPr>
      </w:pPr>
      <w:r>
        <w:rPr>
          <w:rFonts w:eastAsia="Calibri"/>
          <w:b/>
        </w:rPr>
        <w:t>C</w:t>
      </w:r>
      <w:r w:rsidRPr="009F6B9F">
        <w:rPr>
          <w:rFonts w:eastAsia="Calibri"/>
          <w:b/>
        </w:rPr>
        <w:t xml:space="preserve">ompute the </w:t>
      </w:r>
      <w:r>
        <w:rPr>
          <w:rFonts w:eastAsia="Calibri"/>
          <w:b/>
        </w:rPr>
        <w:t xml:space="preserve">program </w:t>
      </w:r>
      <w:r w:rsidRPr="009F6B9F">
        <w:rPr>
          <w:rFonts w:eastAsia="Calibri"/>
          <w:b/>
        </w:rPr>
        <w:t>spillover percentage</w:t>
      </w:r>
      <w:r>
        <w:rPr>
          <w:rFonts w:eastAsia="Calibri"/>
        </w:rPr>
        <w:t xml:space="preserve"> by summing the spillover savings for all end-uses (from Step 3) and d</w:t>
      </w:r>
      <w:r w:rsidRPr="002F5FEF">
        <w:rPr>
          <w:rFonts w:eastAsia="Calibri"/>
        </w:rPr>
        <w:t>ivid</w:t>
      </w:r>
      <w:r>
        <w:rPr>
          <w:rFonts w:eastAsia="Calibri"/>
        </w:rPr>
        <w:t>ing</w:t>
      </w:r>
      <w:r w:rsidRPr="002F5FEF">
        <w:rPr>
          <w:rFonts w:eastAsia="Calibri"/>
        </w:rPr>
        <w:t xml:space="preserve"> </w:t>
      </w:r>
      <w:r>
        <w:rPr>
          <w:rFonts w:eastAsia="Calibri"/>
        </w:rPr>
        <w:t xml:space="preserve">this sum </w:t>
      </w:r>
      <w:r w:rsidRPr="002F5FEF">
        <w:rPr>
          <w:rFonts w:eastAsia="Calibri"/>
        </w:rPr>
        <w:t>by program gross savings.</w:t>
      </w:r>
    </w:p>
    <w:p w14:paraId="0FC79BCD" w14:textId="77777777" w:rsidR="00D34C6E" w:rsidRPr="00137CC1" w:rsidRDefault="00D34C6E" w:rsidP="00D34C6E">
      <w:pPr>
        <w:rPr>
          <w:rFonts w:eastAsia="Franklin Gothic Book"/>
        </w:rPr>
      </w:pPr>
      <w:r>
        <w:rPr>
          <w:rFonts w:eastAsia="Franklin Gothic Book"/>
        </w:rPr>
        <w:t xml:space="preserve">It should be noted that the methodology for inactive trade allies requires the evaluator to quantify the number of trade allies in the population. Depending on which types of inactive trade allies are targeted by the research, determining the size of the population may be challenging and may lead to uncertainty in the results. When targeting trade allies that are on the utility’s trade ally list (but are not active) or those who have been active in the past but have dropped out, program records allow for accurate estimation of the population size. However, when targeting trade allies that have never been active in the program </w:t>
      </w:r>
      <w:r>
        <w:t>and were never on the utility’s trade ally list, secondary market data is required to develop estimates of population size. The evaluator should carefully document the target population for any inactive trade ally research, data sources used to quantify the population size, and any uncertainty associated with their estimates.</w:t>
      </w:r>
      <w:bookmarkEnd w:id="1856"/>
    </w:p>
    <w:p w14:paraId="77B0C85C" w14:textId="77777777" w:rsidR="00D34C6E" w:rsidRDefault="00D34C6E" w:rsidP="00D34C6E">
      <w:pPr>
        <w:pStyle w:val="Heading2"/>
        <w:keepLines w:val="0"/>
        <w:widowControl/>
        <w:numPr>
          <w:ilvl w:val="1"/>
          <w:numId w:val="8"/>
        </w:numPr>
        <w:jc w:val="left"/>
      </w:pPr>
      <w:bookmarkStart w:id="1867" w:name="_Ref442305047"/>
      <w:bookmarkStart w:id="1868" w:name="_Ref442305055"/>
      <w:bookmarkStart w:id="1869" w:name="_Toc442804323"/>
      <w:bookmarkStart w:id="1870" w:name="_Toc442805540"/>
      <w:bookmarkStart w:id="1871" w:name="_Toc472494731"/>
      <w:bookmarkStart w:id="1872" w:name="_Ref512944380"/>
      <w:bookmarkStart w:id="1873" w:name="_Toc520462935"/>
      <w:bookmarkStart w:id="1874" w:name="_Toc520824189"/>
      <w:bookmarkStart w:id="1875" w:name="_Toc16619972"/>
      <w:bookmarkStart w:id="1876" w:name="_Toc113619827"/>
      <w:r w:rsidRPr="001F2C04">
        <w:t>Consumption Data Analysis Protocol</w:t>
      </w:r>
      <w:bookmarkEnd w:id="1867"/>
      <w:bookmarkEnd w:id="1868"/>
      <w:bookmarkEnd w:id="1869"/>
      <w:bookmarkEnd w:id="1870"/>
      <w:bookmarkEnd w:id="1871"/>
      <w:bookmarkEnd w:id="1872"/>
      <w:bookmarkEnd w:id="1873"/>
      <w:bookmarkEnd w:id="1874"/>
      <w:bookmarkEnd w:id="1875"/>
      <w:bookmarkEnd w:id="1876"/>
    </w:p>
    <w:p w14:paraId="540356CD" w14:textId="77777777" w:rsidR="00D34C6E" w:rsidRPr="00D30017" w:rsidRDefault="00D34C6E" w:rsidP="00D34C6E">
      <w:r w:rsidRPr="00D30017">
        <w:t>This protocol refers to impact analyses that use consumption data from customer’s monthly bills (commonly referred to as billing analysis) or AMI meter reads</w:t>
      </w:r>
      <w:r w:rsidRPr="00D30017">
        <w:rPr>
          <w:vertAlign w:val="superscript"/>
        </w:rPr>
        <w:footnoteReference w:id="85"/>
      </w:r>
      <w:r w:rsidRPr="00D30017">
        <w:t xml:space="preserve"> to estimate program energy savings. This protocol discusses different consumption data methods and where they fall on the NTG spectrum with respect to participant spillover, nonparticipant spillover, and free ridership; this has implications for whether a NTGR needs to be applied after the consumption data analysis estimate is obtained in order to achieve an estimate of net savings. Decisions of whether to apply a NTGR after conducting a consumption data analysis should be made by the evaluator on a case-by-case basis taking into account the guidelines of this protocol for when these methods are net, gross, or somewhere in between.</w:t>
      </w:r>
      <w:r w:rsidRPr="00D30017">
        <w:rPr>
          <w:rFonts w:ascii="Arial" w:hAnsi="Arial" w:cs="Arial"/>
          <w:vertAlign w:val="superscript"/>
        </w:rPr>
        <w:footnoteReference w:id="86"/>
      </w:r>
      <w:r w:rsidRPr="00D30017">
        <w:t xml:space="preserve"> The remainder of this section discusses NTG for various consumption data analysis methods and then goes through some details of the various analysis methods.  </w:t>
      </w:r>
    </w:p>
    <w:p w14:paraId="1F25C72C" w14:textId="77777777" w:rsidR="00D34C6E" w:rsidRPr="00D30017" w:rsidRDefault="00D34C6E" w:rsidP="00D34C6E">
      <w:pPr>
        <w:rPr>
          <w:rFonts w:eastAsia="Calibri"/>
        </w:rPr>
      </w:pPr>
      <w:r w:rsidRPr="00D30017">
        <w:rPr>
          <w:rFonts w:eastAsia="Calibri"/>
        </w:rPr>
        <w:t xml:space="preserve">In general, consumption data analysis methods split into two approaches. </w:t>
      </w:r>
      <w:r w:rsidRPr="00D30017">
        <w:t xml:space="preserve">One approach is to use a comparison group in a randomized control treatment (RCT) design, a random encouragement design (RED) or a quasi-experimental design. These comparison group approaches can, under the right circumstances, be used to directly estimate net savings eliminating the need for a NTGR adjustment. A second approach is to estimate savings without a comparison group (for example, using a pre/post regression model for program participants). Approaches without a comparison group produce gross savings and must be adjusted by a NTGR to achieve net savings. </w:t>
      </w:r>
    </w:p>
    <w:p w14:paraId="0756AE84" w14:textId="77777777" w:rsidR="00D34C6E" w:rsidRPr="00D30017" w:rsidRDefault="00D34C6E" w:rsidP="00D34C6E">
      <w:r w:rsidRPr="00D30017">
        <w:lastRenderedPageBreak/>
        <w:t>In consumption data analysis, energy consumption of the treatment and control groups can be appropriately compared through a regression analysis, using time-series observations on the usage of individual customers in the treatment and comparison groups during the pre- and post-treatment periods. Due to the combined time-series/cross-section structure of such data sets, panel regression techniques can be used.</w:t>
      </w:r>
      <w:r w:rsidRPr="00D30017">
        <w:rPr>
          <w:vertAlign w:val="superscript"/>
        </w:rPr>
        <w:footnoteReference w:id="87"/>
      </w:r>
    </w:p>
    <w:p w14:paraId="2371B507" w14:textId="77777777" w:rsidR="00D34C6E" w:rsidRPr="00D30017" w:rsidRDefault="00D34C6E" w:rsidP="00D34C6E">
      <w:r w:rsidRPr="00D30017">
        <w:t>In general, consumption data analysis methods are best suited to the following situations:</w:t>
      </w:r>
    </w:p>
    <w:p w14:paraId="5C3A946C" w14:textId="77777777" w:rsidR="00D34C6E" w:rsidRPr="00D30017" w:rsidRDefault="00D34C6E" w:rsidP="00D34C6E">
      <w:pPr>
        <w:numPr>
          <w:ilvl w:val="0"/>
          <w:numId w:val="63"/>
        </w:numPr>
        <w:spacing w:after="60"/>
      </w:pPr>
      <w:r w:rsidRPr="00D30017">
        <w:t xml:space="preserve">When the expected net savings per participant (i.e., </w:t>
      </w:r>
      <w:r w:rsidRPr="00D30017">
        <w:rPr>
          <w:rFonts w:eastAsia="Calibri"/>
        </w:rPr>
        <w:t>the</w:t>
      </w:r>
      <w:r w:rsidRPr="00D30017">
        <w:t xml:space="preserve"> effect size) are large or when large </w:t>
      </w:r>
      <w:r w:rsidRPr="00D30017">
        <w:rPr>
          <w:rFonts w:eastAsia="Calibri"/>
        </w:rPr>
        <w:t>participant/</w:t>
      </w:r>
      <w:r w:rsidRPr="00D30017">
        <w:t>nonparticipant sample sizes are possible.</w:t>
      </w:r>
    </w:p>
    <w:p w14:paraId="4E5CECFE" w14:textId="030B2C99" w:rsidR="00D34C6E" w:rsidRPr="00D30017" w:rsidRDefault="00D34C6E" w:rsidP="00D34C6E">
      <w:pPr>
        <w:numPr>
          <w:ilvl w:val="0"/>
          <w:numId w:val="63"/>
        </w:numPr>
        <w:spacing w:after="60"/>
      </w:pPr>
      <w:r w:rsidRPr="00D30017">
        <w:rPr>
          <w:rFonts w:eastAsia="Calibri"/>
        </w:rPr>
        <w:t>When the program can be designed</w:t>
      </w:r>
      <w:r w:rsidRPr="00D30017">
        <w:t xml:space="preserve"> using a randomized controlled trial (see Section </w:t>
      </w:r>
      <w:r w:rsidRPr="00D30017">
        <w:fldChar w:fldCharType="begin"/>
      </w:r>
      <w:r w:rsidRPr="00D30017">
        <w:instrText xml:space="preserve"> REF _Ref519521075 \n \h </w:instrText>
      </w:r>
      <w:r w:rsidRPr="00D30017">
        <w:fldChar w:fldCharType="separate"/>
      </w:r>
      <w:r w:rsidR="00506A44">
        <w:t>5.3.5</w:t>
      </w:r>
      <w:r w:rsidRPr="00D30017">
        <w:fldChar w:fldCharType="end"/>
      </w:r>
      <w:r w:rsidRPr="00D30017">
        <w:rPr>
          <w:rFonts w:eastAsia="Calibri"/>
        </w:rPr>
        <w:t>).</w:t>
      </w:r>
    </w:p>
    <w:p w14:paraId="5DFCAC7B" w14:textId="77777777" w:rsidR="00D34C6E" w:rsidRPr="00D30017" w:rsidRDefault="00D34C6E" w:rsidP="00D34C6E">
      <w:pPr>
        <w:numPr>
          <w:ilvl w:val="0"/>
          <w:numId w:val="63"/>
        </w:numPr>
        <w:spacing w:after="60"/>
      </w:pPr>
      <w:r w:rsidRPr="00D30017">
        <w:rPr>
          <w:rFonts w:eastAsia="Calibri"/>
        </w:rPr>
        <w:t>Programs</w:t>
      </w:r>
      <w:r w:rsidRPr="00D30017">
        <w:t xml:space="preserve"> where nonparticipant spillover is expected to be trivial within the comparison group.</w:t>
      </w:r>
    </w:p>
    <w:p w14:paraId="4171CD37" w14:textId="77777777" w:rsidR="00D34C6E" w:rsidRPr="00DE0FFC" w:rsidRDefault="00D34C6E" w:rsidP="00D34C6E">
      <w:pPr>
        <w:numPr>
          <w:ilvl w:val="0"/>
          <w:numId w:val="63"/>
        </w:numPr>
      </w:pPr>
      <w:r w:rsidRPr="00D30017">
        <w:rPr>
          <w:rFonts w:eastAsia="Calibri"/>
        </w:rPr>
        <w:t>Cases where self</w:t>
      </w:r>
      <w:r w:rsidRPr="00D30017">
        <w:t>-selection bias can be effectively controlled</w:t>
      </w:r>
      <w:r w:rsidRPr="00D30017">
        <w:rPr>
          <w:rFonts w:eastAsia="Calibri"/>
        </w:rPr>
        <w:t xml:space="preserve"> for.</w:t>
      </w:r>
    </w:p>
    <w:p w14:paraId="45DA8B5A" w14:textId="77777777" w:rsidR="00D34C6E" w:rsidRPr="00D30017" w:rsidRDefault="00D34C6E" w:rsidP="0088039F">
      <w:pPr>
        <w:pStyle w:val="Heading3"/>
      </w:pPr>
      <w:bookmarkStart w:id="1877" w:name="_Ref518046968"/>
      <w:bookmarkStart w:id="1878" w:name="_Toc113619828"/>
      <w:r w:rsidRPr="0088039F">
        <w:t>Consumption</w:t>
      </w:r>
      <w:r w:rsidRPr="00D30017">
        <w:t xml:space="preserve"> Data Analysis and NTG</w:t>
      </w:r>
      <w:bookmarkEnd w:id="1877"/>
      <w:bookmarkEnd w:id="1878"/>
    </w:p>
    <w:p w14:paraId="6C20C366" w14:textId="77777777" w:rsidR="00D34C6E" w:rsidRPr="00D30017" w:rsidRDefault="00D34C6E" w:rsidP="00D34C6E">
      <w:pPr>
        <w:rPr>
          <w:rFonts w:eastAsia="Franklin Gothic Book"/>
        </w:rPr>
      </w:pPr>
      <w:r w:rsidRPr="00D30017">
        <w:rPr>
          <w:rFonts w:eastAsia="Franklin Gothic Book"/>
        </w:rPr>
        <w:t>Different consumption data analysis methods produce different savings estimates in terms of the NTG spectrum, as summarized in</w:t>
      </w:r>
      <w:r>
        <w:rPr>
          <w:rFonts w:eastAsia="Franklin Gothic Book"/>
        </w:rPr>
        <w:t xml:space="preserve"> </w:t>
      </w:r>
      <w:r>
        <w:rPr>
          <w:rFonts w:eastAsia="Franklin Gothic Book" w:cstheme="minorHAnsi"/>
        </w:rPr>
        <w:t>Table 5 – 3</w:t>
      </w:r>
      <w:r w:rsidRPr="00F71B6F">
        <w:rPr>
          <w:rFonts w:eastAsia="Franklin Gothic Book" w:cstheme="minorHAnsi"/>
        </w:rPr>
        <w:t>.</w:t>
      </w:r>
      <w:r w:rsidRPr="00D30017">
        <w:rPr>
          <w:rFonts w:eastAsia="Franklin Gothic Book"/>
        </w:rPr>
        <w:t xml:space="preserve"> These methods will always yield gross savings with respect to nonparticipant spillover and net savings with respect to participant spillover. However, the savings estimates may be net, gross, or somewhere in between with respect to free ridership, depending on the evaluation technique. </w:t>
      </w:r>
    </w:p>
    <w:p w14:paraId="3FF519BD" w14:textId="77777777" w:rsidR="00D34C6E" w:rsidRPr="005B157F" w:rsidRDefault="00D34C6E" w:rsidP="0021790A">
      <w:pPr>
        <w:pStyle w:val="TableHeading"/>
      </w:pPr>
      <w:bookmarkStart w:id="1879" w:name="_Ref522178645"/>
      <w:bookmarkStart w:id="1880" w:name="_Toc523148257"/>
      <w:bookmarkStart w:id="1881" w:name="_Toc16620028"/>
      <w:bookmarkStart w:id="1882" w:name="_Toc83376859"/>
      <w:r w:rsidRPr="005B157F">
        <w:t>Tab</w:t>
      </w:r>
      <w:bookmarkEnd w:id="1879"/>
      <w:r>
        <w:t>le 5-3</w:t>
      </w:r>
      <w:r w:rsidRPr="005B157F">
        <w:t>. NTG Summary for Consumption Data Analysis</w:t>
      </w:r>
      <w:bookmarkEnd w:id="1880"/>
      <w:bookmarkEnd w:id="1881"/>
      <w:bookmarkEnd w:id="1882"/>
    </w:p>
    <w:tbl>
      <w:tblPr>
        <w:tblW w:w="9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775"/>
        <w:gridCol w:w="1530"/>
        <w:gridCol w:w="1800"/>
        <w:gridCol w:w="1895"/>
      </w:tblGrid>
      <w:tr w:rsidR="00D34C6E" w:rsidRPr="002B20D1" w14:paraId="2B168D3F" w14:textId="77777777" w:rsidTr="002B6C05">
        <w:trPr>
          <w:trHeight w:val="20"/>
          <w:jc w:val="center"/>
        </w:trPr>
        <w:tc>
          <w:tcPr>
            <w:tcW w:w="3775" w:type="dxa"/>
            <w:shd w:val="clear" w:color="auto" w:fill="auto"/>
            <w:tcMar>
              <w:top w:w="72" w:type="dxa"/>
              <w:left w:w="144" w:type="dxa"/>
              <w:bottom w:w="72" w:type="dxa"/>
              <w:right w:w="144" w:type="dxa"/>
            </w:tcMar>
            <w:vAlign w:val="center"/>
            <w:hideMark/>
          </w:tcPr>
          <w:p w14:paraId="38E940E7" w14:textId="77777777" w:rsidR="00D34C6E" w:rsidRPr="002B20D1" w:rsidRDefault="00D34C6E" w:rsidP="002B6C05">
            <w:pPr>
              <w:spacing w:after="0"/>
            </w:pPr>
            <w:bookmarkStart w:id="1883" w:name="_Hlk523144624"/>
            <w:r w:rsidRPr="002B20D1">
              <w:rPr>
                <w:b/>
                <w:kern w:val="24"/>
              </w:rPr>
              <w:t>Consumption Data Analysis Method</w:t>
            </w:r>
          </w:p>
        </w:tc>
        <w:tc>
          <w:tcPr>
            <w:tcW w:w="1530" w:type="dxa"/>
            <w:shd w:val="clear" w:color="auto" w:fill="auto"/>
            <w:tcMar>
              <w:top w:w="72" w:type="dxa"/>
              <w:left w:w="144" w:type="dxa"/>
              <w:bottom w:w="72" w:type="dxa"/>
              <w:right w:w="144" w:type="dxa"/>
            </w:tcMar>
            <w:vAlign w:val="center"/>
            <w:hideMark/>
          </w:tcPr>
          <w:p w14:paraId="676B9E34" w14:textId="77777777" w:rsidR="00D34C6E" w:rsidRPr="002B20D1" w:rsidRDefault="00D34C6E" w:rsidP="002B6C05">
            <w:pPr>
              <w:spacing w:after="0"/>
              <w:jc w:val="center"/>
            </w:pPr>
            <w:r w:rsidRPr="002B20D1">
              <w:rPr>
                <w:b/>
                <w:kern w:val="24"/>
              </w:rPr>
              <w:t>Free Ridership</w:t>
            </w:r>
          </w:p>
        </w:tc>
        <w:tc>
          <w:tcPr>
            <w:tcW w:w="1800" w:type="dxa"/>
            <w:shd w:val="clear" w:color="auto" w:fill="auto"/>
            <w:tcMar>
              <w:top w:w="72" w:type="dxa"/>
              <w:left w:w="144" w:type="dxa"/>
              <w:bottom w:w="72" w:type="dxa"/>
              <w:right w:w="144" w:type="dxa"/>
            </w:tcMar>
            <w:vAlign w:val="center"/>
            <w:hideMark/>
          </w:tcPr>
          <w:p w14:paraId="26A12B40" w14:textId="77777777" w:rsidR="00D34C6E" w:rsidRPr="002B20D1" w:rsidRDefault="00D34C6E" w:rsidP="002B6C05">
            <w:pPr>
              <w:spacing w:after="0"/>
              <w:jc w:val="center"/>
            </w:pPr>
            <w:r w:rsidRPr="002B20D1">
              <w:rPr>
                <w:b/>
                <w:kern w:val="24"/>
              </w:rPr>
              <w:t>Participant Spillover*</w:t>
            </w:r>
          </w:p>
        </w:tc>
        <w:tc>
          <w:tcPr>
            <w:tcW w:w="1895" w:type="dxa"/>
            <w:shd w:val="clear" w:color="auto" w:fill="auto"/>
            <w:tcMar>
              <w:top w:w="72" w:type="dxa"/>
              <w:left w:w="144" w:type="dxa"/>
              <w:bottom w:w="72" w:type="dxa"/>
              <w:right w:w="144" w:type="dxa"/>
            </w:tcMar>
            <w:vAlign w:val="center"/>
            <w:hideMark/>
          </w:tcPr>
          <w:p w14:paraId="1005017B" w14:textId="77777777" w:rsidR="00D34C6E" w:rsidRPr="002B20D1" w:rsidRDefault="00D34C6E" w:rsidP="002B6C05">
            <w:pPr>
              <w:spacing w:after="0"/>
              <w:jc w:val="center"/>
            </w:pPr>
            <w:r w:rsidRPr="002B20D1">
              <w:rPr>
                <w:b/>
                <w:kern w:val="24"/>
              </w:rPr>
              <w:t>Nonparticipant Spillover**</w:t>
            </w:r>
          </w:p>
        </w:tc>
      </w:tr>
      <w:tr w:rsidR="00D34C6E" w:rsidRPr="002B20D1" w14:paraId="4888EC5F" w14:textId="77777777" w:rsidTr="002B6C05">
        <w:trPr>
          <w:trHeight w:val="20"/>
          <w:jc w:val="center"/>
        </w:trPr>
        <w:tc>
          <w:tcPr>
            <w:tcW w:w="3775" w:type="dxa"/>
            <w:shd w:val="clear" w:color="auto" w:fill="auto"/>
            <w:tcMar>
              <w:top w:w="72" w:type="dxa"/>
              <w:left w:w="144" w:type="dxa"/>
              <w:bottom w:w="72" w:type="dxa"/>
              <w:right w:w="144" w:type="dxa"/>
            </w:tcMar>
            <w:vAlign w:val="center"/>
            <w:hideMark/>
          </w:tcPr>
          <w:p w14:paraId="1B358141" w14:textId="77777777" w:rsidR="00D34C6E" w:rsidRPr="002B20D1" w:rsidRDefault="00D34C6E" w:rsidP="002B6C05">
            <w:pPr>
              <w:spacing w:after="0"/>
            </w:pPr>
            <w:r w:rsidRPr="002B20D1">
              <w:rPr>
                <w:kern w:val="24"/>
              </w:rPr>
              <w:t>Randomized Controlled Trial (RCT)</w:t>
            </w:r>
          </w:p>
        </w:tc>
        <w:tc>
          <w:tcPr>
            <w:tcW w:w="1530" w:type="dxa"/>
            <w:shd w:val="clear" w:color="auto" w:fill="auto"/>
            <w:tcMar>
              <w:top w:w="72" w:type="dxa"/>
              <w:left w:w="144" w:type="dxa"/>
              <w:bottom w:w="72" w:type="dxa"/>
              <w:right w:w="144" w:type="dxa"/>
            </w:tcMar>
            <w:vAlign w:val="center"/>
            <w:hideMark/>
          </w:tcPr>
          <w:p w14:paraId="6EAC6C82" w14:textId="3C8A8D3E" w:rsidR="00D34C6E" w:rsidRPr="002B20D1" w:rsidRDefault="00D34C6E" w:rsidP="002B6C05">
            <w:pPr>
              <w:spacing w:after="0"/>
              <w:jc w:val="center"/>
            </w:pPr>
            <w:r w:rsidRPr="002B20D1">
              <w:rPr>
                <w:rFonts w:ascii="Wingdings" w:eastAsia="Wingdings" w:hAnsi="Wingdings" w:cs="Wingdings"/>
                <w:kern w:val="24"/>
              </w:rPr>
              <w:t></w:t>
            </w:r>
          </w:p>
        </w:tc>
        <w:tc>
          <w:tcPr>
            <w:tcW w:w="1800" w:type="dxa"/>
            <w:shd w:val="clear" w:color="auto" w:fill="auto"/>
            <w:tcMar>
              <w:top w:w="72" w:type="dxa"/>
              <w:left w:w="144" w:type="dxa"/>
              <w:bottom w:w="72" w:type="dxa"/>
              <w:right w:w="144" w:type="dxa"/>
            </w:tcMar>
            <w:vAlign w:val="center"/>
            <w:hideMark/>
          </w:tcPr>
          <w:p w14:paraId="67CBA585" w14:textId="2A595D10" w:rsidR="00D34C6E" w:rsidRPr="002B20D1" w:rsidRDefault="00D34C6E" w:rsidP="002B6C05">
            <w:pPr>
              <w:spacing w:after="0"/>
              <w:jc w:val="center"/>
            </w:pPr>
            <w:r w:rsidRPr="002B20D1">
              <w:rPr>
                <w:rFonts w:ascii="Wingdings" w:eastAsia="Wingdings" w:hAnsi="Wingdings" w:cs="Wingdings"/>
                <w:kern w:val="24"/>
              </w:rPr>
              <w:t></w:t>
            </w:r>
          </w:p>
        </w:tc>
        <w:tc>
          <w:tcPr>
            <w:tcW w:w="1895" w:type="dxa"/>
            <w:shd w:val="clear" w:color="auto" w:fill="auto"/>
            <w:tcMar>
              <w:top w:w="72" w:type="dxa"/>
              <w:left w:w="144" w:type="dxa"/>
              <w:bottom w:w="72" w:type="dxa"/>
              <w:right w:w="144" w:type="dxa"/>
            </w:tcMar>
            <w:vAlign w:val="center"/>
            <w:hideMark/>
          </w:tcPr>
          <w:p w14:paraId="0A99C78C" w14:textId="77777777" w:rsidR="00D34C6E" w:rsidRPr="002B20D1" w:rsidRDefault="00D34C6E" w:rsidP="002B6C05">
            <w:pPr>
              <w:spacing w:after="0"/>
              <w:jc w:val="center"/>
            </w:pPr>
            <w:r w:rsidRPr="002B20D1">
              <w:rPr>
                <w:szCs w:val="20"/>
              </w:rPr>
              <w:t>§</w:t>
            </w:r>
          </w:p>
        </w:tc>
      </w:tr>
      <w:tr w:rsidR="00D34C6E" w:rsidRPr="002B20D1" w14:paraId="7C9EBACE" w14:textId="77777777" w:rsidTr="002B6C05">
        <w:trPr>
          <w:trHeight w:val="20"/>
          <w:jc w:val="center"/>
        </w:trPr>
        <w:tc>
          <w:tcPr>
            <w:tcW w:w="3775" w:type="dxa"/>
            <w:shd w:val="clear" w:color="auto" w:fill="F2F2F2" w:themeFill="background1" w:themeFillShade="F2"/>
            <w:tcMar>
              <w:top w:w="72" w:type="dxa"/>
              <w:left w:w="144" w:type="dxa"/>
              <w:bottom w:w="72" w:type="dxa"/>
              <w:right w:w="144" w:type="dxa"/>
            </w:tcMar>
            <w:vAlign w:val="center"/>
            <w:hideMark/>
          </w:tcPr>
          <w:p w14:paraId="47E0E04A" w14:textId="77777777" w:rsidR="00D34C6E" w:rsidRPr="002B20D1" w:rsidRDefault="00D34C6E" w:rsidP="002B6C05">
            <w:pPr>
              <w:spacing w:after="0"/>
            </w:pPr>
            <w:r w:rsidRPr="002B20D1">
              <w:rPr>
                <w:kern w:val="24"/>
              </w:rPr>
              <w:t>Random Encouragement Design</w:t>
            </w:r>
          </w:p>
        </w:tc>
        <w:tc>
          <w:tcPr>
            <w:tcW w:w="1530" w:type="dxa"/>
            <w:shd w:val="clear" w:color="auto" w:fill="F2F2F2" w:themeFill="background1" w:themeFillShade="F2"/>
            <w:vAlign w:val="center"/>
          </w:tcPr>
          <w:p w14:paraId="19094051" w14:textId="77777777" w:rsidR="00D34C6E" w:rsidRPr="002B20D1" w:rsidRDefault="00D34C6E" w:rsidP="002B6C05">
            <w:pPr>
              <w:spacing w:after="0"/>
            </w:pPr>
          </w:p>
        </w:tc>
        <w:tc>
          <w:tcPr>
            <w:tcW w:w="1800" w:type="dxa"/>
            <w:shd w:val="clear" w:color="auto" w:fill="F2F2F2" w:themeFill="background1" w:themeFillShade="F2"/>
            <w:vAlign w:val="center"/>
          </w:tcPr>
          <w:p w14:paraId="12F51734" w14:textId="77777777" w:rsidR="00D34C6E" w:rsidRPr="002B20D1" w:rsidRDefault="00D34C6E" w:rsidP="002B6C05">
            <w:pPr>
              <w:spacing w:after="0"/>
            </w:pPr>
          </w:p>
        </w:tc>
        <w:tc>
          <w:tcPr>
            <w:tcW w:w="1895" w:type="dxa"/>
            <w:shd w:val="clear" w:color="auto" w:fill="F2F2F2" w:themeFill="background1" w:themeFillShade="F2"/>
            <w:vAlign w:val="center"/>
          </w:tcPr>
          <w:p w14:paraId="5F87ED12" w14:textId="77777777" w:rsidR="00D34C6E" w:rsidRPr="002B20D1" w:rsidRDefault="00D34C6E" w:rsidP="002B6C05">
            <w:pPr>
              <w:spacing w:after="0"/>
            </w:pPr>
          </w:p>
        </w:tc>
      </w:tr>
      <w:tr w:rsidR="00D34C6E" w:rsidRPr="002B20D1" w14:paraId="172174F1" w14:textId="77777777" w:rsidTr="002B6C05">
        <w:trPr>
          <w:trHeight w:val="20"/>
          <w:jc w:val="center"/>
        </w:trPr>
        <w:tc>
          <w:tcPr>
            <w:tcW w:w="3775" w:type="dxa"/>
            <w:shd w:val="clear" w:color="auto" w:fill="auto"/>
            <w:tcMar>
              <w:top w:w="72" w:type="dxa"/>
              <w:left w:w="144" w:type="dxa"/>
              <w:bottom w:w="72" w:type="dxa"/>
              <w:right w:w="144" w:type="dxa"/>
            </w:tcMar>
            <w:vAlign w:val="center"/>
            <w:hideMark/>
          </w:tcPr>
          <w:p w14:paraId="707166EC" w14:textId="77777777" w:rsidR="00D34C6E" w:rsidRPr="002B20D1" w:rsidRDefault="00D34C6E" w:rsidP="002B6C05">
            <w:pPr>
              <w:spacing w:after="0"/>
            </w:pPr>
            <w:r>
              <w:rPr>
                <w:kern w:val="24"/>
              </w:rPr>
              <w:t xml:space="preserve">     </w:t>
            </w:r>
            <w:r w:rsidRPr="002B20D1">
              <w:rPr>
                <w:kern w:val="24"/>
              </w:rPr>
              <w:t>No Instrumental Variable (IV)</w:t>
            </w:r>
          </w:p>
        </w:tc>
        <w:tc>
          <w:tcPr>
            <w:tcW w:w="1530" w:type="dxa"/>
            <w:shd w:val="clear" w:color="auto" w:fill="auto"/>
            <w:tcMar>
              <w:top w:w="72" w:type="dxa"/>
              <w:left w:w="144" w:type="dxa"/>
              <w:bottom w:w="72" w:type="dxa"/>
              <w:right w:w="144" w:type="dxa"/>
            </w:tcMar>
            <w:vAlign w:val="center"/>
            <w:hideMark/>
          </w:tcPr>
          <w:p w14:paraId="49864FC3" w14:textId="77777777" w:rsidR="00D34C6E" w:rsidRPr="002B20D1" w:rsidRDefault="00D34C6E" w:rsidP="002B6C05">
            <w:pPr>
              <w:spacing w:after="0"/>
              <w:jc w:val="center"/>
            </w:pPr>
            <w:r w:rsidRPr="002B20D1">
              <w:rPr>
                <w:kern w:val="24"/>
              </w:rPr>
              <w:t>†</w:t>
            </w:r>
          </w:p>
        </w:tc>
        <w:tc>
          <w:tcPr>
            <w:tcW w:w="1800" w:type="dxa"/>
            <w:shd w:val="clear" w:color="auto" w:fill="auto"/>
            <w:tcMar>
              <w:top w:w="72" w:type="dxa"/>
              <w:left w:w="144" w:type="dxa"/>
              <w:bottom w:w="72" w:type="dxa"/>
              <w:right w:w="144" w:type="dxa"/>
            </w:tcMar>
            <w:vAlign w:val="center"/>
            <w:hideMark/>
          </w:tcPr>
          <w:p w14:paraId="40AED890" w14:textId="41540AF9" w:rsidR="00D34C6E" w:rsidRPr="002B20D1" w:rsidRDefault="00D34C6E" w:rsidP="002B6C05">
            <w:pPr>
              <w:spacing w:after="0"/>
              <w:jc w:val="center"/>
            </w:pPr>
            <w:r w:rsidRPr="002B20D1">
              <w:rPr>
                <w:rFonts w:ascii="Wingdings" w:eastAsia="Wingdings" w:hAnsi="Wingdings" w:cs="Wingdings"/>
                <w:kern w:val="24"/>
              </w:rPr>
              <w:t></w:t>
            </w:r>
          </w:p>
        </w:tc>
        <w:tc>
          <w:tcPr>
            <w:tcW w:w="1895" w:type="dxa"/>
            <w:shd w:val="clear" w:color="auto" w:fill="auto"/>
            <w:tcMar>
              <w:top w:w="72" w:type="dxa"/>
              <w:left w:w="144" w:type="dxa"/>
              <w:bottom w:w="72" w:type="dxa"/>
              <w:right w:w="144" w:type="dxa"/>
            </w:tcMar>
            <w:vAlign w:val="center"/>
            <w:hideMark/>
          </w:tcPr>
          <w:p w14:paraId="0EB6D54C" w14:textId="77777777" w:rsidR="00D34C6E" w:rsidRPr="002B20D1" w:rsidRDefault="00D34C6E" w:rsidP="002B6C05">
            <w:pPr>
              <w:spacing w:after="0"/>
              <w:jc w:val="center"/>
            </w:pPr>
            <w:r w:rsidRPr="002B20D1">
              <w:rPr>
                <w:szCs w:val="20"/>
              </w:rPr>
              <w:t>§</w:t>
            </w:r>
          </w:p>
        </w:tc>
      </w:tr>
      <w:tr w:rsidR="00D34C6E" w:rsidRPr="002B20D1" w14:paraId="1DFBB932" w14:textId="77777777" w:rsidTr="002B6C05">
        <w:trPr>
          <w:trHeight w:val="20"/>
          <w:jc w:val="center"/>
        </w:trPr>
        <w:tc>
          <w:tcPr>
            <w:tcW w:w="3775" w:type="dxa"/>
            <w:shd w:val="clear" w:color="auto" w:fill="auto"/>
            <w:tcMar>
              <w:top w:w="72" w:type="dxa"/>
              <w:left w:w="144" w:type="dxa"/>
              <w:bottom w:w="72" w:type="dxa"/>
              <w:right w:w="144" w:type="dxa"/>
            </w:tcMar>
            <w:vAlign w:val="center"/>
            <w:hideMark/>
          </w:tcPr>
          <w:p w14:paraId="798FFB18" w14:textId="77777777" w:rsidR="00D34C6E" w:rsidRPr="002B20D1" w:rsidRDefault="00D34C6E" w:rsidP="002B6C05">
            <w:pPr>
              <w:spacing w:after="0"/>
            </w:pPr>
            <w:r>
              <w:rPr>
                <w:kern w:val="24"/>
              </w:rPr>
              <w:t xml:space="preserve">     </w:t>
            </w:r>
            <w:r w:rsidRPr="002B20D1">
              <w:rPr>
                <w:kern w:val="24"/>
              </w:rPr>
              <w:t>IV</w:t>
            </w:r>
          </w:p>
        </w:tc>
        <w:tc>
          <w:tcPr>
            <w:tcW w:w="1530" w:type="dxa"/>
            <w:shd w:val="clear" w:color="auto" w:fill="auto"/>
            <w:tcMar>
              <w:top w:w="72" w:type="dxa"/>
              <w:left w:w="144" w:type="dxa"/>
              <w:bottom w:w="72" w:type="dxa"/>
              <w:right w:w="144" w:type="dxa"/>
            </w:tcMar>
            <w:vAlign w:val="center"/>
            <w:hideMark/>
          </w:tcPr>
          <w:p w14:paraId="23A0B4BE" w14:textId="77777777" w:rsidR="00D34C6E" w:rsidRPr="002B20D1" w:rsidRDefault="00D34C6E" w:rsidP="002B6C05">
            <w:pPr>
              <w:spacing w:after="0"/>
              <w:jc w:val="center"/>
            </w:pPr>
            <w:r w:rsidRPr="002B20D1">
              <w:rPr>
                <w:kern w:val="24"/>
              </w:rPr>
              <w:t>†</w:t>
            </w:r>
          </w:p>
        </w:tc>
        <w:tc>
          <w:tcPr>
            <w:tcW w:w="1800" w:type="dxa"/>
            <w:shd w:val="clear" w:color="auto" w:fill="auto"/>
            <w:tcMar>
              <w:top w:w="72" w:type="dxa"/>
              <w:left w:w="144" w:type="dxa"/>
              <w:bottom w:w="72" w:type="dxa"/>
              <w:right w:w="144" w:type="dxa"/>
            </w:tcMar>
            <w:vAlign w:val="center"/>
            <w:hideMark/>
          </w:tcPr>
          <w:p w14:paraId="67429B96" w14:textId="5035DC54" w:rsidR="00D34C6E" w:rsidRPr="002B20D1" w:rsidRDefault="00D34C6E" w:rsidP="002B6C05">
            <w:pPr>
              <w:spacing w:after="0"/>
              <w:jc w:val="center"/>
            </w:pPr>
            <w:r w:rsidRPr="002B20D1">
              <w:rPr>
                <w:rFonts w:ascii="Wingdings" w:eastAsia="Wingdings" w:hAnsi="Wingdings" w:cs="Wingdings"/>
                <w:kern w:val="24"/>
              </w:rPr>
              <w:t></w:t>
            </w:r>
          </w:p>
        </w:tc>
        <w:tc>
          <w:tcPr>
            <w:tcW w:w="1895" w:type="dxa"/>
            <w:shd w:val="clear" w:color="auto" w:fill="auto"/>
            <w:tcMar>
              <w:top w:w="72" w:type="dxa"/>
              <w:left w:w="144" w:type="dxa"/>
              <w:bottom w:w="72" w:type="dxa"/>
              <w:right w:w="144" w:type="dxa"/>
            </w:tcMar>
            <w:vAlign w:val="center"/>
            <w:hideMark/>
          </w:tcPr>
          <w:p w14:paraId="0157BD09" w14:textId="77777777" w:rsidR="00D34C6E" w:rsidRPr="002B20D1" w:rsidRDefault="00D34C6E" w:rsidP="002B6C05">
            <w:pPr>
              <w:spacing w:after="0"/>
              <w:jc w:val="center"/>
            </w:pPr>
            <w:r w:rsidRPr="002B20D1">
              <w:rPr>
                <w:szCs w:val="20"/>
              </w:rPr>
              <w:t>§</w:t>
            </w:r>
          </w:p>
        </w:tc>
      </w:tr>
      <w:tr w:rsidR="00D34C6E" w:rsidRPr="002B20D1" w14:paraId="7372CCAB" w14:textId="77777777" w:rsidTr="002B6C05">
        <w:trPr>
          <w:trHeight w:val="20"/>
          <w:jc w:val="center"/>
        </w:trPr>
        <w:tc>
          <w:tcPr>
            <w:tcW w:w="3775" w:type="dxa"/>
            <w:shd w:val="clear" w:color="auto" w:fill="auto"/>
            <w:tcMar>
              <w:top w:w="72" w:type="dxa"/>
              <w:left w:w="144" w:type="dxa"/>
              <w:bottom w:w="72" w:type="dxa"/>
              <w:right w:w="144" w:type="dxa"/>
            </w:tcMar>
            <w:vAlign w:val="center"/>
            <w:hideMark/>
          </w:tcPr>
          <w:p w14:paraId="5CFC6C1C" w14:textId="77777777" w:rsidR="00D34C6E" w:rsidRPr="002B20D1" w:rsidRDefault="00D34C6E" w:rsidP="002B6C05">
            <w:pPr>
              <w:spacing w:after="0"/>
            </w:pPr>
            <w:r>
              <w:rPr>
                <w:kern w:val="24"/>
              </w:rPr>
              <w:t xml:space="preserve">     </w:t>
            </w:r>
            <w:r w:rsidRPr="002B20D1">
              <w:rPr>
                <w:kern w:val="24"/>
              </w:rPr>
              <w:t>IV w/ Inverse Mills Ratio (IMR)</w:t>
            </w:r>
          </w:p>
        </w:tc>
        <w:tc>
          <w:tcPr>
            <w:tcW w:w="1530" w:type="dxa"/>
            <w:shd w:val="clear" w:color="auto" w:fill="auto"/>
            <w:tcMar>
              <w:top w:w="72" w:type="dxa"/>
              <w:left w:w="144" w:type="dxa"/>
              <w:bottom w:w="72" w:type="dxa"/>
              <w:right w:w="144" w:type="dxa"/>
            </w:tcMar>
            <w:vAlign w:val="center"/>
            <w:hideMark/>
          </w:tcPr>
          <w:p w14:paraId="5ACC554F" w14:textId="77777777" w:rsidR="00D34C6E" w:rsidRPr="002B20D1" w:rsidRDefault="00D34C6E" w:rsidP="002B6C05">
            <w:pPr>
              <w:spacing w:after="0"/>
              <w:jc w:val="center"/>
            </w:pPr>
            <w:r w:rsidRPr="002B20D1">
              <w:rPr>
                <w:kern w:val="24"/>
                <w:szCs w:val="20"/>
              </w:rPr>
              <w:t>†***</w:t>
            </w:r>
          </w:p>
        </w:tc>
        <w:tc>
          <w:tcPr>
            <w:tcW w:w="1800" w:type="dxa"/>
            <w:shd w:val="clear" w:color="auto" w:fill="auto"/>
            <w:tcMar>
              <w:top w:w="72" w:type="dxa"/>
              <w:left w:w="144" w:type="dxa"/>
              <w:bottom w:w="72" w:type="dxa"/>
              <w:right w:w="144" w:type="dxa"/>
            </w:tcMar>
            <w:vAlign w:val="center"/>
            <w:hideMark/>
          </w:tcPr>
          <w:p w14:paraId="6BF1A5D7" w14:textId="3D52759B" w:rsidR="00D34C6E" w:rsidRPr="002B20D1" w:rsidRDefault="00D34C6E" w:rsidP="002B6C05">
            <w:pPr>
              <w:spacing w:after="0"/>
              <w:jc w:val="center"/>
            </w:pPr>
            <w:r w:rsidRPr="002B20D1">
              <w:rPr>
                <w:rFonts w:ascii="Wingdings" w:eastAsia="Wingdings" w:hAnsi="Wingdings" w:cs="Wingdings"/>
                <w:kern w:val="24"/>
              </w:rPr>
              <w:t></w:t>
            </w:r>
          </w:p>
        </w:tc>
        <w:tc>
          <w:tcPr>
            <w:tcW w:w="1895" w:type="dxa"/>
            <w:shd w:val="clear" w:color="auto" w:fill="auto"/>
            <w:tcMar>
              <w:top w:w="72" w:type="dxa"/>
              <w:left w:w="144" w:type="dxa"/>
              <w:bottom w:w="72" w:type="dxa"/>
              <w:right w:w="144" w:type="dxa"/>
            </w:tcMar>
            <w:vAlign w:val="center"/>
            <w:hideMark/>
          </w:tcPr>
          <w:p w14:paraId="307429C2" w14:textId="77777777" w:rsidR="00D34C6E" w:rsidRPr="002B20D1" w:rsidRDefault="00D34C6E" w:rsidP="002B6C05">
            <w:pPr>
              <w:spacing w:after="0"/>
              <w:jc w:val="center"/>
            </w:pPr>
            <w:r w:rsidRPr="002B20D1">
              <w:rPr>
                <w:szCs w:val="20"/>
              </w:rPr>
              <w:t>§</w:t>
            </w:r>
          </w:p>
        </w:tc>
      </w:tr>
      <w:tr w:rsidR="00D34C6E" w:rsidRPr="002B20D1" w14:paraId="5DA904CB" w14:textId="77777777" w:rsidTr="002B6C05">
        <w:trPr>
          <w:trHeight w:val="20"/>
          <w:jc w:val="center"/>
        </w:trPr>
        <w:tc>
          <w:tcPr>
            <w:tcW w:w="3775" w:type="dxa"/>
            <w:shd w:val="clear" w:color="auto" w:fill="F2F2F2" w:themeFill="background1" w:themeFillShade="F2"/>
            <w:tcMar>
              <w:top w:w="72" w:type="dxa"/>
              <w:left w:w="144" w:type="dxa"/>
              <w:bottom w:w="72" w:type="dxa"/>
              <w:right w:w="144" w:type="dxa"/>
            </w:tcMar>
            <w:vAlign w:val="center"/>
            <w:hideMark/>
          </w:tcPr>
          <w:p w14:paraId="1622AA1E" w14:textId="77777777" w:rsidR="00D34C6E" w:rsidRPr="002B20D1" w:rsidRDefault="00D34C6E" w:rsidP="002B6C05">
            <w:pPr>
              <w:spacing w:after="0"/>
            </w:pPr>
            <w:r w:rsidRPr="002B20D1">
              <w:rPr>
                <w:kern w:val="24"/>
              </w:rPr>
              <w:t>Quasi-Experimental Design (QED</w:t>
            </w:r>
            <w:r w:rsidRPr="002B20D1">
              <w:rPr>
                <w:rFonts w:eastAsiaTheme="minorEastAsia"/>
                <w:kern w:val="24"/>
                <w:szCs w:val="20"/>
              </w:rPr>
              <w:t>)</w:t>
            </w:r>
            <w:r w:rsidRPr="002B20D1" w:rsidDel="00421D73">
              <w:rPr>
                <w:rFonts w:ascii="Arial" w:eastAsiaTheme="minorEastAsia" w:hAnsi="Arial"/>
                <w:kern w:val="24"/>
                <w:szCs w:val="20"/>
              </w:rPr>
              <w:t xml:space="preserve"> </w:t>
            </w:r>
            <w:r w:rsidRPr="002B20D1">
              <w:rPr>
                <w:rFonts w:eastAsiaTheme="minorEastAsia"/>
                <w:kern w:val="24"/>
                <w:szCs w:val="20"/>
              </w:rPr>
              <w:t>****</w:t>
            </w:r>
            <w:r w:rsidRPr="002B20D1" w:rsidDel="003167E6">
              <w:rPr>
                <w:rFonts w:ascii="Arial" w:eastAsiaTheme="minorEastAsia" w:hAnsi="Arial" w:cs="Arial"/>
                <w:kern w:val="24"/>
                <w:szCs w:val="20"/>
              </w:rPr>
              <w:t xml:space="preserve"> </w:t>
            </w:r>
          </w:p>
        </w:tc>
        <w:tc>
          <w:tcPr>
            <w:tcW w:w="1530" w:type="dxa"/>
            <w:shd w:val="clear" w:color="auto" w:fill="F2F2F2" w:themeFill="background1" w:themeFillShade="F2"/>
            <w:vAlign w:val="center"/>
          </w:tcPr>
          <w:p w14:paraId="4AE50D40" w14:textId="77777777" w:rsidR="00D34C6E" w:rsidRPr="002B20D1" w:rsidRDefault="00D34C6E" w:rsidP="002B6C05">
            <w:pPr>
              <w:spacing w:after="0"/>
            </w:pPr>
          </w:p>
        </w:tc>
        <w:tc>
          <w:tcPr>
            <w:tcW w:w="1800" w:type="dxa"/>
            <w:shd w:val="clear" w:color="auto" w:fill="F2F2F2" w:themeFill="background1" w:themeFillShade="F2"/>
            <w:vAlign w:val="center"/>
          </w:tcPr>
          <w:p w14:paraId="503A2D9C" w14:textId="77777777" w:rsidR="00D34C6E" w:rsidRPr="002B20D1" w:rsidRDefault="00D34C6E" w:rsidP="002B6C05">
            <w:pPr>
              <w:spacing w:after="0"/>
            </w:pPr>
          </w:p>
        </w:tc>
        <w:tc>
          <w:tcPr>
            <w:tcW w:w="1895" w:type="dxa"/>
            <w:shd w:val="clear" w:color="auto" w:fill="F2F2F2" w:themeFill="background1" w:themeFillShade="F2"/>
            <w:vAlign w:val="center"/>
          </w:tcPr>
          <w:p w14:paraId="62F49FF2" w14:textId="77777777" w:rsidR="00D34C6E" w:rsidRPr="002B20D1" w:rsidRDefault="00D34C6E" w:rsidP="002B6C05">
            <w:pPr>
              <w:spacing w:after="0"/>
              <w:jc w:val="center"/>
            </w:pPr>
          </w:p>
        </w:tc>
      </w:tr>
      <w:tr w:rsidR="00D34C6E" w:rsidRPr="002B20D1" w14:paraId="641379AD" w14:textId="77777777" w:rsidTr="002B6C05">
        <w:trPr>
          <w:trHeight w:val="20"/>
          <w:jc w:val="center"/>
        </w:trPr>
        <w:tc>
          <w:tcPr>
            <w:tcW w:w="3775" w:type="dxa"/>
            <w:shd w:val="clear" w:color="auto" w:fill="F2F2F2" w:themeFill="background1" w:themeFillShade="F2"/>
            <w:tcMar>
              <w:top w:w="72" w:type="dxa"/>
              <w:left w:w="144" w:type="dxa"/>
              <w:bottom w:w="72" w:type="dxa"/>
              <w:right w:w="144" w:type="dxa"/>
            </w:tcMar>
            <w:vAlign w:val="center"/>
            <w:hideMark/>
          </w:tcPr>
          <w:p w14:paraId="3829BF95" w14:textId="77777777" w:rsidR="00D34C6E" w:rsidRPr="002B20D1" w:rsidRDefault="00D34C6E" w:rsidP="002B6C05">
            <w:pPr>
              <w:spacing w:after="0"/>
            </w:pPr>
            <w:r>
              <w:rPr>
                <w:kern w:val="24"/>
              </w:rPr>
              <w:t xml:space="preserve">     </w:t>
            </w:r>
            <w:r w:rsidRPr="002B20D1">
              <w:rPr>
                <w:kern w:val="24"/>
              </w:rPr>
              <w:t>Matching</w:t>
            </w:r>
          </w:p>
        </w:tc>
        <w:tc>
          <w:tcPr>
            <w:tcW w:w="1530" w:type="dxa"/>
            <w:shd w:val="clear" w:color="auto" w:fill="F2F2F2" w:themeFill="background1" w:themeFillShade="F2"/>
            <w:vAlign w:val="center"/>
          </w:tcPr>
          <w:p w14:paraId="34A776D2" w14:textId="77777777" w:rsidR="00D34C6E" w:rsidRPr="002B20D1" w:rsidRDefault="00D34C6E" w:rsidP="002B6C05">
            <w:pPr>
              <w:spacing w:after="0"/>
              <w:ind w:left="720"/>
            </w:pPr>
          </w:p>
        </w:tc>
        <w:tc>
          <w:tcPr>
            <w:tcW w:w="1800" w:type="dxa"/>
            <w:shd w:val="clear" w:color="auto" w:fill="F2F2F2" w:themeFill="background1" w:themeFillShade="F2"/>
            <w:vAlign w:val="center"/>
          </w:tcPr>
          <w:p w14:paraId="178618E7" w14:textId="77777777" w:rsidR="00D34C6E" w:rsidRPr="002B20D1" w:rsidRDefault="00D34C6E" w:rsidP="002B6C05">
            <w:pPr>
              <w:spacing w:after="0"/>
              <w:ind w:left="720"/>
            </w:pPr>
          </w:p>
        </w:tc>
        <w:tc>
          <w:tcPr>
            <w:tcW w:w="1895" w:type="dxa"/>
            <w:shd w:val="clear" w:color="auto" w:fill="F2F2F2" w:themeFill="background1" w:themeFillShade="F2"/>
            <w:vAlign w:val="center"/>
          </w:tcPr>
          <w:p w14:paraId="0E761BC1" w14:textId="77777777" w:rsidR="00D34C6E" w:rsidRPr="002B20D1" w:rsidRDefault="00D34C6E" w:rsidP="002B6C05">
            <w:pPr>
              <w:spacing w:after="0"/>
              <w:ind w:left="720"/>
              <w:jc w:val="center"/>
            </w:pPr>
          </w:p>
        </w:tc>
      </w:tr>
      <w:tr w:rsidR="00D34C6E" w:rsidRPr="002B20D1" w14:paraId="2550E8F4" w14:textId="77777777" w:rsidTr="002B6C05">
        <w:trPr>
          <w:trHeight w:val="20"/>
          <w:jc w:val="center"/>
        </w:trPr>
        <w:tc>
          <w:tcPr>
            <w:tcW w:w="3775" w:type="dxa"/>
            <w:shd w:val="clear" w:color="auto" w:fill="auto"/>
            <w:tcMar>
              <w:top w:w="72" w:type="dxa"/>
              <w:left w:w="144" w:type="dxa"/>
              <w:bottom w:w="72" w:type="dxa"/>
              <w:right w:w="144" w:type="dxa"/>
            </w:tcMar>
            <w:vAlign w:val="center"/>
            <w:hideMark/>
          </w:tcPr>
          <w:p w14:paraId="5A2FD563" w14:textId="77777777" w:rsidR="00D34C6E" w:rsidRPr="002B20D1" w:rsidRDefault="00D34C6E" w:rsidP="002B6C05">
            <w:pPr>
              <w:spacing w:after="0"/>
            </w:pPr>
            <w:r>
              <w:rPr>
                <w:kern w:val="24"/>
              </w:rPr>
              <w:t xml:space="preserve">          </w:t>
            </w:r>
            <w:r w:rsidRPr="002B20D1">
              <w:rPr>
                <w:kern w:val="24"/>
              </w:rPr>
              <w:t>To Nonparticipants</w:t>
            </w:r>
          </w:p>
        </w:tc>
        <w:tc>
          <w:tcPr>
            <w:tcW w:w="1530" w:type="dxa"/>
            <w:shd w:val="clear" w:color="auto" w:fill="auto"/>
            <w:tcMar>
              <w:top w:w="72" w:type="dxa"/>
              <w:left w:w="144" w:type="dxa"/>
              <w:bottom w:w="72" w:type="dxa"/>
              <w:right w:w="144" w:type="dxa"/>
            </w:tcMar>
            <w:vAlign w:val="center"/>
            <w:hideMark/>
          </w:tcPr>
          <w:p w14:paraId="781A143F" w14:textId="77777777" w:rsidR="00D34C6E" w:rsidRPr="002B20D1" w:rsidRDefault="00D34C6E" w:rsidP="002B6C05">
            <w:pPr>
              <w:spacing w:after="0"/>
              <w:jc w:val="center"/>
            </w:pPr>
            <w:r w:rsidRPr="002B20D1">
              <w:rPr>
                <w:kern w:val="24"/>
                <w:szCs w:val="20"/>
              </w:rPr>
              <w:t>†*****</w:t>
            </w:r>
          </w:p>
        </w:tc>
        <w:tc>
          <w:tcPr>
            <w:tcW w:w="1800" w:type="dxa"/>
            <w:shd w:val="clear" w:color="auto" w:fill="auto"/>
            <w:tcMar>
              <w:top w:w="72" w:type="dxa"/>
              <w:left w:w="144" w:type="dxa"/>
              <w:bottom w:w="72" w:type="dxa"/>
              <w:right w:w="144" w:type="dxa"/>
            </w:tcMar>
            <w:vAlign w:val="center"/>
            <w:hideMark/>
          </w:tcPr>
          <w:p w14:paraId="1B87BA90" w14:textId="1F769526" w:rsidR="00D34C6E" w:rsidRPr="002B20D1" w:rsidRDefault="00D34C6E" w:rsidP="002B6C05">
            <w:pPr>
              <w:spacing w:after="0"/>
              <w:jc w:val="center"/>
            </w:pPr>
            <w:r w:rsidRPr="002B20D1">
              <w:rPr>
                <w:rFonts w:ascii="Wingdings" w:eastAsia="Wingdings" w:hAnsi="Wingdings" w:cs="Wingdings"/>
                <w:kern w:val="24"/>
              </w:rPr>
              <w:t></w:t>
            </w:r>
          </w:p>
        </w:tc>
        <w:tc>
          <w:tcPr>
            <w:tcW w:w="1895" w:type="dxa"/>
            <w:shd w:val="clear" w:color="auto" w:fill="auto"/>
            <w:tcMar>
              <w:top w:w="72" w:type="dxa"/>
              <w:left w:w="144" w:type="dxa"/>
              <w:bottom w:w="72" w:type="dxa"/>
              <w:right w:w="144" w:type="dxa"/>
            </w:tcMar>
            <w:vAlign w:val="center"/>
            <w:hideMark/>
          </w:tcPr>
          <w:p w14:paraId="410CDB96" w14:textId="77777777" w:rsidR="00D34C6E" w:rsidRPr="002B20D1" w:rsidRDefault="00D34C6E" w:rsidP="002B6C05">
            <w:pPr>
              <w:spacing w:after="0"/>
              <w:jc w:val="center"/>
            </w:pPr>
            <w:r w:rsidRPr="002B20D1">
              <w:rPr>
                <w:szCs w:val="20"/>
              </w:rPr>
              <w:t>§</w:t>
            </w:r>
          </w:p>
        </w:tc>
      </w:tr>
      <w:tr w:rsidR="00D34C6E" w:rsidRPr="002B20D1" w14:paraId="1EEF508D" w14:textId="77777777" w:rsidTr="002B6C05">
        <w:trPr>
          <w:trHeight w:val="20"/>
          <w:jc w:val="center"/>
        </w:trPr>
        <w:tc>
          <w:tcPr>
            <w:tcW w:w="3775" w:type="dxa"/>
            <w:shd w:val="clear" w:color="auto" w:fill="auto"/>
            <w:tcMar>
              <w:top w:w="72" w:type="dxa"/>
              <w:left w:w="144" w:type="dxa"/>
              <w:bottom w:w="72" w:type="dxa"/>
              <w:right w:w="144" w:type="dxa"/>
            </w:tcMar>
            <w:vAlign w:val="center"/>
            <w:hideMark/>
          </w:tcPr>
          <w:p w14:paraId="2C059BDA" w14:textId="77777777" w:rsidR="00D34C6E" w:rsidRPr="002B20D1" w:rsidRDefault="00D34C6E" w:rsidP="002B6C05">
            <w:pPr>
              <w:spacing w:after="0"/>
            </w:pPr>
            <w:r>
              <w:rPr>
                <w:kern w:val="24"/>
              </w:rPr>
              <w:t xml:space="preserve">          </w:t>
            </w:r>
            <w:r w:rsidRPr="002B20D1">
              <w:rPr>
                <w:kern w:val="24"/>
              </w:rPr>
              <w:t>To Prior or Future Participants</w:t>
            </w:r>
          </w:p>
        </w:tc>
        <w:tc>
          <w:tcPr>
            <w:tcW w:w="1530" w:type="dxa"/>
            <w:shd w:val="clear" w:color="auto" w:fill="auto"/>
            <w:tcMar>
              <w:top w:w="72" w:type="dxa"/>
              <w:left w:w="144" w:type="dxa"/>
              <w:bottom w:w="72" w:type="dxa"/>
              <w:right w:w="144" w:type="dxa"/>
            </w:tcMar>
            <w:vAlign w:val="center"/>
            <w:hideMark/>
          </w:tcPr>
          <w:p w14:paraId="6E38D169" w14:textId="77777777" w:rsidR="00D34C6E" w:rsidRPr="002B20D1" w:rsidRDefault="00D34C6E" w:rsidP="002B6C05">
            <w:pPr>
              <w:spacing w:after="0"/>
              <w:jc w:val="center"/>
            </w:pPr>
            <w:r w:rsidRPr="002B20D1">
              <w:rPr>
                <w:szCs w:val="20"/>
              </w:rPr>
              <w:t>§</w:t>
            </w:r>
          </w:p>
        </w:tc>
        <w:tc>
          <w:tcPr>
            <w:tcW w:w="1800" w:type="dxa"/>
            <w:shd w:val="clear" w:color="auto" w:fill="auto"/>
            <w:tcMar>
              <w:top w:w="72" w:type="dxa"/>
              <w:left w:w="144" w:type="dxa"/>
              <w:bottom w:w="72" w:type="dxa"/>
              <w:right w:w="144" w:type="dxa"/>
            </w:tcMar>
            <w:vAlign w:val="center"/>
            <w:hideMark/>
          </w:tcPr>
          <w:p w14:paraId="14C69379" w14:textId="2344A47B" w:rsidR="00D34C6E" w:rsidRPr="002B20D1" w:rsidRDefault="00D34C6E" w:rsidP="002B6C05">
            <w:pPr>
              <w:spacing w:after="0"/>
              <w:jc w:val="center"/>
            </w:pPr>
            <w:r w:rsidRPr="002B20D1">
              <w:rPr>
                <w:rFonts w:ascii="Wingdings" w:eastAsia="Wingdings" w:hAnsi="Wingdings" w:cs="Wingdings"/>
                <w:kern w:val="24"/>
              </w:rPr>
              <w:t></w:t>
            </w:r>
          </w:p>
        </w:tc>
        <w:tc>
          <w:tcPr>
            <w:tcW w:w="1895" w:type="dxa"/>
            <w:shd w:val="clear" w:color="auto" w:fill="auto"/>
            <w:tcMar>
              <w:top w:w="72" w:type="dxa"/>
              <w:left w:w="144" w:type="dxa"/>
              <w:bottom w:w="72" w:type="dxa"/>
              <w:right w:w="144" w:type="dxa"/>
            </w:tcMar>
            <w:vAlign w:val="center"/>
            <w:hideMark/>
          </w:tcPr>
          <w:p w14:paraId="211432D8" w14:textId="77777777" w:rsidR="00D34C6E" w:rsidRPr="002B20D1" w:rsidRDefault="00D34C6E" w:rsidP="002B6C05">
            <w:pPr>
              <w:spacing w:after="0"/>
              <w:jc w:val="center"/>
            </w:pPr>
            <w:r w:rsidRPr="002B20D1">
              <w:rPr>
                <w:szCs w:val="20"/>
              </w:rPr>
              <w:t>§</w:t>
            </w:r>
          </w:p>
        </w:tc>
      </w:tr>
      <w:tr w:rsidR="00D34C6E" w:rsidRPr="002B20D1" w14:paraId="27320B51" w14:textId="77777777" w:rsidTr="002B6C05">
        <w:trPr>
          <w:trHeight w:val="20"/>
          <w:jc w:val="center"/>
        </w:trPr>
        <w:tc>
          <w:tcPr>
            <w:tcW w:w="3775" w:type="dxa"/>
            <w:shd w:val="clear" w:color="auto" w:fill="auto"/>
            <w:tcMar>
              <w:top w:w="72" w:type="dxa"/>
              <w:left w:w="144" w:type="dxa"/>
              <w:bottom w:w="72" w:type="dxa"/>
              <w:right w:w="144" w:type="dxa"/>
            </w:tcMar>
            <w:vAlign w:val="center"/>
            <w:hideMark/>
          </w:tcPr>
          <w:p w14:paraId="5DF20105" w14:textId="77777777" w:rsidR="00D34C6E" w:rsidRPr="002B20D1" w:rsidRDefault="00D34C6E" w:rsidP="002B6C05">
            <w:pPr>
              <w:spacing w:after="0"/>
            </w:pPr>
            <w:r>
              <w:rPr>
                <w:kern w:val="24"/>
              </w:rPr>
              <w:t xml:space="preserve">          </w:t>
            </w:r>
            <w:r w:rsidRPr="002B20D1">
              <w:rPr>
                <w:kern w:val="24"/>
              </w:rPr>
              <w:t>Regression Discontinuity (RD)</w:t>
            </w:r>
          </w:p>
        </w:tc>
        <w:tc>
          <w:tcPr>
            <w:tcW w:w="1530" w:type="dxa"/>
            <w:shd w:val="clear" w:color="auto" w:fill="auto"/>
            <w:tcMar>
              <w:top w:w="72" w:type="dxa"/>
              <w:left w:w="144" w:type="dxa"/>
              <w:bottom w:w="72" w:type="dxa"/>
              <w:right w:w="144" w:type="dxa"/>
            </w:tcMar>
            <w:vAlign w:val="center"/>
            <w:hideMark/>
          </w:tcPr>
          <w:p w14:paraId="281E07D1" w14:textId="1B66B5B6" w:rsidR="00D34C6E" w:rsidRPr="002B20D1" w:rsidRDefault="00D34C6E" w:rsidP="002B6C05">
            <w:pPr>
              <w:spacing w:after="0"/>
              <w:jc w:val="center"/>
            </w:pPr>
            <w:r w:rsidRPr="002B20D1">
              <w:rPr>
                <w:rFonts w:ascii="Wingdings" w:eastAsia="Wingdings" w:hAnsi="Wingdings" w:cs="Wingdings"/>
                <w:kern w:val="24"/>
              </w:rPr>
              <w:t></w:t>
            </w:r>
          </w:p>
        </w:tc>
        <w:tc>
          <w:tcPr>
            <w:tcW w:w="1800" w:type="dxa"/>
            <w:shd w:val="clear" w:color="auto" w:fill="auto"/>
            <w:tcMar>
              <w:top w:w="72" w:type="dxa"/>
              <w:left w:w="144" w:type="dxa"/>
              <w:bottom w:w="72" w:type="dxa"/>
              <w:right w:w="144" w:type="dxa"/>
            </w:tcMar>
            <w:vAlign w:val="center"/>
            <w:hideMark/>
          </w:tcPr>
          <w:p w14:paraId="231E9F17" w14:textId="4E55D557" w:rsidR="00D34C6E" w:rsidRPr="002B20D1" w:rsidRDefault="00D34C6E" w:rsidP="002B6C05">
            <w:pPr>
              <w:spacing w:after="0"/>
              <w:jc w:val="center"/>
            </w:pPr>
            <w:r w:rsidRPr="002B20D1">
              <w:rPr>
                <w:rFonts w:ascii="Wingdings" w:eastAsia="Wingdings" w:hAnsi="Wingdings" w:cs="Wingdings"/>
                <w:kern w:val="24"/>
              </w:rPr>
              <w:t></w:t>
            </w:r>
          </w:p>
        </w:tc>
        <w:tc>
          <w:tcPr>
            <w:tcW w:w="1895" w:type="dxa"/>
            <w:shd w:val="clear" w:color="auto" w:fill="auto"/>
            <w:tcMar>
              <w:top w:w="72" w:type="dxa"/>
              <w:left w:w="144" w:type="dxa"/>
              <w:bottom w:w="72" w:type="dxa"/>
              <w:right w:w="144" w:type="dxa"/>
            </w:tcMar>
            <w:vAlign w:val="center"/>
            <w:hideMark/>
          </w:tcPr>
          <w:p w14:paraId="68C9F7BD" w14:textId="77777777" w:rsidR="00D34C6E" w:rsidRPr="002B20D1" w:rsidRDefault="00D34C6E" w:rsidP="002B6C05">
            <w:pPr>
              <w:spacing w:after="0"/>
              <w:jc w:val="center"/>
            </w:pPr>
            <w:r w:rsidRPr="002B20D1">
              <w:rPr>
                <w:szCs w:val="20"/>
              </w:rPr>
              <w:t>§</w:t>
            </w:r>
          </w:p>
        </w:tc>
      </w:tr>
      <w:tr w:rsidR="00D34C6E" w:rsidRPr="002B20D1" w14:paraId="548233C8" w14:textId="77777777" w:rsidTr="002B6C05">
        <w:trPr>
          <w:trHeight w:val="62"/>
          <w:jc w:val="center"/>
        </w:trPr>
        <w:tc>
          <w:tcPr>
            <w:tcW w:w="3775" w:type="dxa"/>
            <w:shd w:val="clear" w:color="auto" w:fill="auto"/>
            <w:tcMar>
              <w:top w:w="72" w:type="dxa"/>
              <w:left w:w="144" w:type="dxa"/>
              <w:bottom w:w="72" w:type="dxa"/>
              <w:right w:w="144" w:type="dxa"/>
            </w:tcMar>
            <w:vAlign w:val="center"/>
            <w:hideMark/>
          </w:tcPr>
          <w:p w14:paraId="45E8ED5B" w14:textId="77777777" w:rsidR="00D34C6E" w:rsidRPr="002B20D1" w:rsidRDefault="00D34C6E" w:rsidP="002B6C05">
            <w:pPr>
              <w:spacing w:after="0"/>
            </w:pPr>
            <w:r>
              <w:rPr>
                <w:kern w:val="24"/>
              </w:rPr>
              <w:t xml:space="preserve">          </w:t>
            </w:r>
            <w:r w:rsidRPr="002B20D1">
              <w:rPr>
                <w:kern w:val="24"/>
              </w:rPr>
              <w:t>Variation-in-Adoption (VIA)</w:t>
            </w:r>
          </w:p>
        </w:tc>
        <w:tc>
          <w:tcPr>
            <w:tcW w:w="1530" w:type="dxa"/>
            <w:shd w:val="clear" w:color="auto" w:fill="auto"/>
            <w:tcMar>
              <w:top w:w="72" w:type="dxa"/>
              <w:left w:w="144" w:type="dxa"/>
              <w:bottom w:w="72" w:type="dxa"/>
              <w:right w:w="144" w:type="dxa"/>
            </w:tcMar>
            <w:vAlign w:val="center"/>
            <w:hideMark/>
          </w:tcPr>
          <w:p w14:paraId="13E6881D" w14:textId="77777777" w:rsidR="00D34C6E" w:rsidRPr="002B20D1" w:rsidRDefault="00D34C6E" w:rsidP="002B6C05">
            <w:pPr>
              <w:spacing w:after="0"/>
              <w:jc w:val="center"/>
            </w:pPr>
            <w:r w:rsidRPr="002B20D1">
              <w:rPr>
                <w:szCs w:val="20"/>
              </w:rPr>
              <w:t>§</w:t>
            </w:r>
          </w:p>
        </w:tc>
        <w:tc>
          <w:tcPr>
            <w:tcW w:w="1800" w:type="dxa"/>
            <w:shd w:val="clear" w:color="auto" w:fill="auto"/>
            <w:tcMar>
              <w:top w:w="72" w:type="dxa"/>
              <w:left w:w="144" w:type="dxa"/>
              <w:bottom w:w="72" w:type="dxa"/>
              <w:right w:w="144" w:type="dxa"/>
            </w:tcMar>
            <w:vAlign w:val="center"/>
            <w:hideMark/>
          </w:tcPr>
          <w:p w14:paraId="0E008207" w14:textId="4DE65CB9" w:rsidR="00D34C6E" w:rsidRPr="002B20D1" w:rsidRDefault="00D34C6E" w:rsidP="002B6C05">
            <w:pPr>
              <w:spacing w:after="0"/>
              <w:jc w:val="center"/>
            </w:pPr>
            <w:r w:rsidRPr="002B20D1">
              <w:rPr>
                <w:rFonts w:ascii="Wingdings" w:eastAsia="Wingdings" w:hAnsi="Wingdings" w:cs="Wingdings"/>
                <w:kern w:val="24"/>
              </w:rPr>
              <w:t></w:t>
            </w:r>
          </w:p>
        </w:tc>
        <w:tc>
          <w:tcPr>
            <w:tcW w:w="1895" w:type="dxa"/>
            <w:shd w:val="clear" w:color="auto" w:fill="auto"/>
            <w:tcMar>
              <w:top w:w="72" w:type="dxa"/>
              <w:left w:w="144" w:type="dxa"/>
              <w:bottom w:w="72" w:type="dxa"/>
              <w:right w:w="144" w:type="dxa"/>
            </w:tcMar>
            <w:vAlign w:val="center"/>
            <w:hideMark/>
          </w:tcPr>
          <w:p w14:paraId="4488F094" w14:textId="77777777" w:rsidR="00D34C6E" w:rsidRPr="002B20D1" w:rsidRDefault="00D34C6E" w:rsidP="002B6C05">
            <w:pPr>
              <w:spacing w:after="0"/>
              <w:jc w:val="center"/>
            </w:pPr>
            <w:r w:rsidRPr="002B20D1">
              <w:rPr>
                <w:szCs w:val="20"/>
              </w:rPr>
              <w:t>§</w:t>
            </w:r>
          </w:p>
        </w:tc>
      </w:tr>
      <w:tr w:rsidR="00D34C6E" w:rsidRPr="002B20D1" w14:paraId="74B9EF45" w14:textId="77777777" w:rsidTr="002B6C05">
        <w:trPr>
          <w:trHeight w:val="20"/>
          <w:jc w:val="center"/>
        </w:trPr>
        <w:tc>
          <w:tcPr>
            <w:tcW w:w="3775" w:type="dxa"/>
            <w:shd w:val="clear" w:color="auto" w:fill="auto"/>
            <w:tcMar>
              <w:top w:w="72" w:type="dxa"/>
              <w:left w:w="144" w:type="dxa"/>
              <w:bottom w:w="72" w:type="dxa"/>
              <w:right w:w="144" w:type="dxa"/>
            </w:tcMar>
            <w:vAlign w:val="center"/>
            <w:hideMark/>
          </w:tcPr>
          <w:p w14:paraId="22096D94" w14:textId="77777777" w:rsidR="00D34C6E" w:rsidRPr="002B20D1" w:rsidRDefault="00D34C6E" w:rsidP="002B6C05">
            <w:pPr>
              <w:spacing w:after="0"/>
            </w:pPr>
            <w:r w:rsidRPr="002B20D1">
              <w:rPr>
                <w:kern w:val="24"/>
              </w:rPr>
              <w:t xml:space="preserve">Without a Comparison Group </w:t>
            </w:r>
          </w:p>
        </w:tc>
        <w:tc>
          <w:tcPr>
            <w:tcW w:w="1530" w:type="dxa"/>
            <w:shd w:val="clear" w:color="auto" w:fill="auto"/>
            <w:tcMar>
              <w:top w:w="72" w:type="dxa"/>
              <w:left w:w="144" w:type="dxa"/>
              <w:bottom w:w="72" w:type="dxa"/>
              <w:right w:w="144" w:type="dxa"/>
            </w:tcMar>
            <w:vAlign w:val="center"/>
            <w:hideMark/>
          </w:tcPr>
          <w:p w14:paraId="5EBD8C26" w14:textId="77777777" w:rsidR="00D34C6E" w:rsidRPr="002B20D1" w:rsidRDefault="00D34C6E" w:rsidP="002B6C05">
            <w:pPr>
              <w:spacing w:after="0"/>
              <w:jc w:val="center"/>
            </w:pPr>
            <w:r w:rsidRPr="002B20D1">
              <w:rPr>
                <w:szCs w:val="20"/>
              </w:rPr>
              <w:t>§</w:t>
            </w:r>
          </w:p>
        </w:tc>
        <w:tc>
          <w:tcPr>
            <w:tcW w:w="1800" w:type="dxa"/>
            <w:shd w:val="clear" w:color="auto" w:fill="auto"/>
            <w:tcMar>
              <w:top w:w="72" w:type="dxa"/>
              <w:left w:w="144" w:type="dxa"/>
              <w:bottom w:w="72" w:type="dxa"/>
              <w:right w:w="144" w:type="dxa"/>
            </w:tcMar>
            <w:vAlign w:val="center"/>
            <w:hideMark/>
          </w:tcPr>
          <w:p w14:paraId="28B66F4A" w14:textId="197FF130" w:rsidR="00D34C6E" w:rsidRPr="002B20D1" w:rsidRDefault="00D34C6E" w:rsidP="002B6C05">
            <w:pPr>
              <w:spacing w:after="0"/>
              <w:jc w:val="center"/>
            </w:pPr>
            <w:r w:rsidRPr="002B20D1">
              <w:rPr>
                <w:rFonts w:ascii="Wingdings" w:eastAsia="Wingdings" w:hAnsi="Wingdings" w:cs="Wingdings"/>
                <w:kern w:val="24"/>
              </w:rPr>
              <w:t></w:t>
            </w:r>
          </w:p>
        </w:tc>
        <w:tc>
          <w:tcPr>
            <w:tcW w:w="1895" w:type="dxa"/>
            <w:shd w:val="clear" w:color="auto" w:fill="auto"/>
            <w:tcMar>
              <w:top w:w="72" w:type="dxa"/>
              <w:left w:w="144" w:type="dxa"/>
              <w:bottom w:w="72" w:type="dxa"/>
              <w:right w:w="144" w:type="dxa"/>
            </w:tcMar>
            <w:vAlign w:val="center"/>
            <w:hideMark/>
          </w:tcPr>
          <w:p w14:paraId="79D8296B" w14:textId="77777777" w:rsidR="00D34C6E" w:rsidRPr="002B20D1" w:rsidRDefault="00D34C6E" w:rsidP="002B6C05">
            <w:pPr>
              <w:spacing w:after="0"/>
              <w:jc w:val="center"/>
            </w:pPr>
            <w:r w:rsidRPr="002B20D1">
              <w:rPr>
                <w:szCs w:val="20"/>
              </w:rPr>
              <w:t>§</w:t>
            </w:r>
          </w:p>
        </w:tc>
      </w:tr>
      <w:tr w:rsidR="00D34C6E" w:rsidRPr="002B20D1" w14:paraId="3782F606" w14:textId="77777777" w:rsidTr="002B6C05">
        <w:trPr>
          <w:trHeight w:val="20"/>
          <w:jc w:val="center"/>
        </w:trPr>
        <w:tc>
          <w:tcPr>
            <w:tcW w:w="9000" w:type="dxa"/>
            <w:gridSpan w:val="4"/>
            <w:shd w:val="clear" w:color="auto" w:fill="auto"/>
            <w:tcMar>
              <w:top w:w="72" w:type="dxa"/>
              <w:left w:w="144" w:type="dxa"/>
              <w:bottom w:w="72" w:type="dxa"/>
              <w:right w:w="144" w:type="dxa"/>
            </w:tcMar>
            <w:vAlign w:val="center"/>
          </w:tcPr>
          <w:p w14:paraId="1C1D1E95" w14:textId="77777777" w:rsidR="00D34C6E" w:rsidRPr="005B157F" w:rsidRDefault="00D34C6E" w:rsidP="002B6C05">
            <w:pPr>
              <w:spacing w:after="0"/>
              <w:rPr>
                <w:rFonts w:eastAsia="Franklin Gothic Book"/>
                <w:sz w:val="16"/>
              </w:rPr>
            </w:pPr>
            <w:r w:rsidRPr="005B157F">
              <w:rPr>
                <w:rFonts w:eastAsia="Franklin Gothic Book"/>
                <w:sz w:val="16"/>
              </w:rPr>
              <w:t>§ Indicates not accounted for (gross)</w:t>
            </w:r>
          </w:p>
          <w:p w14:paraId="242AFEFD" w14:textId="77777777" w:rsidR="00D34C6E" w:rsidRPr="005B157F" w:rsidRDefault="00D34C6E" w:rsidP="002B6C05">
            <w:pPr>
              <w:spacing w:after="0"/>
              <w:rPr>
                <w:rFonts w:eastAsia="Franklin Gothic Book"/>
                <w:sz w:val="16"/>
              </w:rPr>
            </w:pPr>
            <w:r w:rsidRPr="005B157F">
              <w:rPr>
                <w:rFonts w:ascii="Wingdings" w:eastAsia="Wingdings" w:hAnsi="Wingdings" w:cs="Wingdings"/>
                <w:sz w:val="16"/>
              </w:rPr>
              <w:t></w:t>
            </w:r>
            <w:r w:rsidRPr="005B157F">
              <w:rPr>
                <w:rFonts w:eastAsia="Franklin Gothic Book"/>
                <w:sz w:val="16"/>
              </w:rPr>
              <w:t xml:space="preserve"> Indicates fully accounted for (net)</w:t>
            </w:r>
          </w:p>
          <w:p w14:paraId="208506FB" w14:textId="77777777" w:rsidR="00D34C6E" w:rsidRPr="005B157F" w:rsidRDefault="00D34C6E" w:rsidP="002B6C05">
            <w:pPr>
              <w:spacing w:after="0"/>
              <w:rPr>
                <w:rFonts w:eastAsia="Franklin Gothic Book"/>
                <w:sz w:val="16"/>
              </w:rPr>
            </w:pPr>
            <w:r w:rsidRPr="005B157F">
              <w:rPr>
                <w:rFonts w:eastAsia="Franklin Gothic Book"/>
                <w:sz w:val="16"/>
              </w:rPr>
              <w:t>† Indicates partially accounted for (between net and gross)</w:t>
            </w:r>
          </w:p>
          <w:p w14:paraId="2A698135" w14:textId="77777777" w:rsidR="00D34C6E" w:rsidRPr="005B157F" w:rsidRDefault="00D34C6E" w:rsidP="002B6C05">
            <w:pPr>
              <w:spacing w:after="0"/>
              <w:rPr>
                <w:rFonts w:eastAsia="Franklin Gothic Book"/>
                <w:sz w:val="16"/>
              </w:rPr>
            </w:pPr>
            <w:r w:rsidRPr="005B157F">
              <w:rPr>
                <w:rFonts w:eastAsia="Franklin Gothic Book"/>
                <w:sz w:val="16"/>
              </w:rPr>
              <w:t>* Participant spillover within the analysis timeframe in the same building and fuel type is captured. Other sources of participant spillover may not be captured. See the subsection on participant spillover below for details.</w:t>
            </w:r>
          </w:p>
          <w:p w14:paraId="2C8EA6AC" w14:textId="77777777" w:rsidR="00D34C6E" w:rsidRPr="005B157F" w:rsidRDefault="00D34C6E" w:rsidP="002B6C05">
            <w:pPr>
              <w:spacing w:after="0"/>
              <w:rPr>
                <w:rFonts w:eastAsia="Franklin Gothic Book"/>
                <w:sz w:val="16"/>
              </w:rPr>
            </w:pPr>
            <w:r w:rsidRPr="005B157F">
              <w:rPr>
                <w:rFonts w:eastAsia="Franklin Gothic Book"/>
                <w:sz w:val="16"/>
              </w:rPr>
              <w:t>** Nonparticipant spillover is not captured as a positive in consumption data analysis and may actually reduce the estimate of savings if it occurs within the comparison group. See the subsection on nonparticipant spillover below for details.</w:t>
            </w:r>
          </w:p>
          <w:p w14:paraId="779CD4D8" w14:textId="77777777" w:rsidR="00D34C6E" w:rsidRPr="005B157F" w:rsidRDefault="00D34C6E" w:rsidP="002B6C05">
            <w:pPr>
              <w:spacing w:after="0"/>
              <w:rPr>
                <w:rFonts w:eastAsia="Franklin Gothic Book"/>
                <w:sz w:val="16"/>
              </w:rPr>
            </w:pPr>
            <w:r w:rsidRPr="005B157F">
              <w:rPr>
                <w:rFonts w:eastAsia="Franklin Gothic Book"/>
                <w:sz w:val="16"/>
              </w:rPr>
              <w:lastRenderedPageBreak/>
              <w:t>***This method has been tested in simulation but needs further use in practice.</w:t>
            </w:r>
          </w:p>
          <w:p w14:paraId="569E63CB" w14:textId="77777777" w:rsidR="00D34C6E" w:rsidRPr="005B157F" w:rsidRDefault="00D34C6E" w:rsidP="002B6C05">
            <w:pPr>
              <w:spacing w:after="0"/>
              <w:rPr>
                <w:rFonts w:eastAsia="Franklin Gothic Book"/>
                <w:sz w:val="16"/>
              </w:rPr>
            </w:pPr>
            <w:r w:rsidRPr="005B157F">
              <w:rPr>
                <w:rFonts w:eastAsia="Franklin Gothic Book"/>
                <w:sz w:val="16"/>
              </w:rPr>
              <w:t xml:space="preserve">**** Note that this is a non-exhaustive list of QED evaluation techniques. </w:t>
            </w:r>
          </w:p>
          <w:p w14:paraId="1567505E" w14:textId="392ACE7C" w:rsidR="00D34C6E" w:rsidRPr="00B252CF" w:rsidRDefault="00D34C6E" w:rsidP="002B6C05">
            <w:pPr>
              <w:spacing w:after="0"/>
              <w:rPr>
                <w:rFonts w:eastAsia="Franklin Gothic Book"/>
              </w:rPr>
            </w:pPr>
            <w:r w:rsidRPr="005B157F">
              <w:rPr>
                <w:rFonts w:eastAsia="Franklin Gothic Book"/>
                <w:sz w:val="16"/>
              </w:rPr>
              <w:t xml:space="preserve">***** As noted in first few paragraphs of Section </w:t>
            </w:r>
            <w:r w:rsidRPr="005B157F">
              <w:rPr>
                <w:rFonts w:eastAsia="Franklin Gothic Book"/>
                <w:sz w:val="16"/>
              </w:rPr>
              <w:fldChar w:fldCharType="begin"/>
            </w:r>
            <w:r w:rsidRPr="005B157F">
              <w:rPr>
                <w:rFonts w:eastAsia="Franklin Gothic Book"/>
                <w:sz w:val="16"/>
              </w:rPr>
              <w:instrText xml:space="preserve"> REF _Ref442305047 \n \h  \* MERGEFORMAT </w:instrText>
            </w:r>
            <w:r w:rsidRPr="005B157F">
              <w:rPr>
                <w:rFonts w:eastAsia="Franklin Gothic Book"/>
                <w:sz w:val="16"/>
              </w:rPr>
            </w:r>
            <w:r w:rsidRPr="005B157F">
              <w:rPr>
                <w:rFonts w:eastAsia="Franklin Gothic Book"/>
                <w:sz w:val="16"/>
              </w:rPr>
              <w:fldChar w:fldCharType="separate"/>
            </w:r>
            <w:r w:rsidR="00506A44">
              <w:rPr>
                <w:rFonts w:eastAsia="Franklin Gothic Book"/>
                <w:sz w:val="16"/>
              </w:rPr>
              <w:t>5.3</w:t>
            </w:r>
            <w:r w:rsidRPr="005B157F">
              <w:rPr>
                <w:rFonts w:eastAsia="Franklin Gothic Book"/>
                <w:sz w:val="16"/>
              </w:rPr>
              <w:fldChar w:fldCharType="end"/>
            </w:r>
            <w:r w:rsidRPr="005B157F">
              <w:rPr>
                <w:rFonts w:eastAsia="Franklin Gothic Book"/>
                <w:sz w:val="16"/>
              </w:rPr>
              <w:t>, these comparison group approaches can, under the right circumstances, be used to produce an of estimate net savings, eliminating the need for a NTGR adjustment (see Goldberg et al., 2017).</w:t>
            </w:r>
          </w:p>
        </w:tc>
      </w:tr>
    </w:tbl>
    <w:bookmarkEnd w:id="1883"/>
    <w:p w14:paraId="36250FC9" w14:textId="77777777" w:rsidR="00D34C6E" w:rsidRPr="00D30017" w:rsidRDefault="00D34C6E" w:rsidP="00D34C6E">
      <w:pPr>
        <w:rPr>
          <w:rFonts w:eastAsia="Franklin Gothic Book"/>
        </w:rPr>
      </w:pPr>
      <w:r w:rsidRPr="00D30017">
        <w:rPr>
          <w:rFonts w:eastAsia="Franklin Gothic Book"/>
        </w:rPr>
        <w:lastRenderedPageBreak/>
        <w:t xml:space="preserve">When consumption data analysis methods are being used to update the TRM, the update should explicitly state how a NTGR should be applied to the given measure or program in the future. The language used should consider different program delivery mechanisms (which often have different NTG values) and how stable the NTG value is likely to be over time (thus allowing for consideration of how frequently it should be updated). </w:t>
      </w:r>
    </w:p>
    <w:p w14:paraId="46DB500F" w14:textId="77777777" w:rsidR="00D34C6E" w:rsidRPr="006168A5" w:rsidRDefault="00D34C6E" w:rsidP="0088039F">
      <w:pPr>
        <w:pStyle w:val="Heading3"/>
      </w:pPr>
      <w:bookmarkStart w:id="1884" w:name="_Toc16619973"/>
      <w:bookmarkStart w:id="1885" w:name="_Toc113619829"/>
      <w:r w:rsidRPr="006168A5">
        <w:t>Nonparticipant Spillover</w:t>
      </w:r>
      <w:bookmarkEnd w:id="1884"/>
      <w:bookmarkEnd w:id="1885"/>
    </w:p>
    <w:p w14:paraId="669B3892" w14:textId="77777777" w:rsidR="00D34C6E" w:rsidRPr="00D30017" w:rsidRDefault="00D34C6E" w:rsidP="00D34C6E">
      <w:pPr>
        <w:rPr>
          <w:rFonts w:eastAsia="Franklin Gothic Book"/>
        </w:rPr>
      </w:pPr>
      <w:r w:rsidRPr="00D30017">
        <w:rPr>
          <w:rFonts w:eastAsia="Franklin Gothic Book"/>
        </w:rPr>
        <w:t xml:space="preserve">Nonparticipant spillover is never captured by consumption data analysis, making these savings estimates gross with respect to nonparticipant spillover (i.e., nonparticipant spillover is not accounted for by the estimate directly from the consumption data analysis without further adjustment). To the extent that nonparticipant spillover occurs in the comparison group being used for evaluation, the effect of the program may be underestimated as the difference between the participant group and the comparison group is decreased by the amount of nonparticipant spillover. If nonparticipant spillover is expected to be large (based on the best research available or given the program’s logic model) and occur within the evaluation comparison group, that may be a reason to use other methods for evaluating savings. If a billing analysis is done in these cases, a traditional nonparticipant spillover analysis (using techniques like nonparticipant surveys or interviews) should be used to help quantify this effect (these analyses are discussed in various subsections of Chapter 4 of this protocol). Within the comparison group, it can also be difficult to distinguish the effects of nonparticipant spillover, free ridership, and market transformation as all of these effects increase uptake of a measure without going through the program among the nonparticipant group.  </w:t>
      </w:r>
    </w:p>
    <w:p w14:paraId="6BD6332B" w14:textId="77777777" w:rsidR="00D34C6E" w:rsidRPr="00D30017" w:rsidRDefault="00D34C6E" w:rsidP="00D34C6E">
      <w:pPr>
        <w:rPr>
          <w:rFonts w:eastAsia="Franklin Gothic Book"/>
        </w:rPr>
      </w:pPr>
      <w:r w:rsidRPr="00D30017">
        <w:rPr>
          <w:rFonts w:eastAsia="Franklin Gothic Book"/>
        </w:rPr>
        <w:t xml:space="preserve">In cases where nonparticipant spillover is not expected to occur in the comparison group but may occur in the broader population (for example, if we go from a pilot evaluation where measures were restricted among the comparison group to a full program deployment), adjustments for nonparticipant spillover (or justification for why there is no nonparticipant spillover) should be made as appropriate on a program-by-program basis. </w:t>
      </w:r>
    </w:p>
    <w:p w14:paraId="1375FBAC" w14:textId="77777777" w:rsidR="00D34C6E" w:rsidRPr="006168A5" w:rsidRDefault="00D34C6E" w:rsidP="0088039F">
      <w:pPr>
        <w:pStyle w:val="Heading3"/>
      </w:pPr>
      <w:bookmarkStart w:id="1886" w:name="_Toc16619974"/>
      <w:bookmarkStart w:id="1887" w:name="_Toc113619830"/>
      <w:r w:rsidRPr="0088039F">
        <w:t>Participant</w:t>
      </w:r>
      <w:r w:rsidRPr="006168A5">
        <w:t xml:space="preserve"> Spillover</w:t>
      </w:r>
      <w:bookmarkEnd w:id="1886"/>
      <w:bookmarkEnd w:id="1887"/>
    </w:p>
    <w:p w14:paraId="3044C37C" w14:textId="77777777" w:rsidR="00D34C6E" w:rsidRPr="00D30017" w:rsidRDefault="00D34C6E" w:rsidP="00D34C6E">
      <w:pPr>
        <w:rPr>
          <w:rFonts w:eastAsia="Franklin Gothic Book"/>
        </w:rPr>
      </w:pPr>
      <w:r w:rsidRPr="00D30017">
        <w:rPr>
          <w:rFonts w:eastAsia="Franklin Gothic Book"/>
        </w:rPr>
        <w:t xml:space="preserve">Participant spillover is captured by consumption data analysis, making these savings estimates net with respect to participant spillover (i.e., participant spillover is accounted for by the estimate directly from the consumption data analysis without further adjustment). This occurs because consumption data analysis measures all changes in participant usage (captured by the utility billing system or AMI meter reads) regardless of whether the changes are related to the program. A few caveats apply: </w:t>
      </w:r>
    </w:p>
    <w:p w14:paraId="590C4942" w14:textId="77777777" w:rsidR="00D34C6E" w:rsidRPr="00D30017" w:rsidRDefault="00D34C6E" w:rsidP="00D34C6E">
      <w:pPr>
        <w:numPr>
          <w:ilvl w:val="0"/>
          <w:numId w:val="71"/>
        </w:numPr>
        <w:spacing w:after="60"/>
        <w:rPr>
          <w:rFonts w:eastAsia="Franklin Gothic Book"/>
        </w:rPr>
      </w:pPr>
      <w:r w:rsidRPr="00D30017">
        <w:rPr>
          <w:rFonts w:eastAsia="Franklin Gothic Book"/>
        </w:rPr>
        <w:t xml:space="preserve">Consumption data analysis does not capture participant spillover that occurs outside the home or business being analyzed. For example, spillover at a participant’s vacation home or spillover at other facilities owned by the same firm.  </w:t>
      </w:r>
    </w:p>
    <w:p w14:paraId="47634151" w14:textId="77777777" w:rsidR="00D34C6E" w:rsidRPr="00D30017" w:rsidRDefault="00D34C6E" w:rsidP="00D34C6E">
      <w:pPr>
        <w:numPr>
          <w:ilvl w:val="0"/>
          <w:numId w:val="71"/>
        </w:numPr>
        <w:spacing w:after="60"/>
        <w:rPr>
          <w:rFonts w:eastAsia="Franklin Gothic Book"/>
        </w:rPr>
      </w:pPr>
      <w:r w:rsidRPr="00D30017">
        <w:rPr>
          <w:rFonts w:eastAsia="Franklin Gothic Book"/>
        </w:rPr>
        <w:t>Consumption data analysis does not capture participant spillover that occurs in a different fuel type. For example, if the analysis is done on electric data but there is participant spillover into natural gas.</w:t>
      </w:r>
    </w:p>
    <w:p w14:paraId="45CDA02F" w14:textId="77777777" w:rsidR="00D34C6E" w:rsidRPr="00D30017" w:rsidRDefault="00D34C6E" w:rsidP="00D34C6E">
      <w:pPr>
        <w:numPr>
          <w:ilvl w:val="0"/>
          <w:numId w:val="71"/>
        </w:numPr>
        <w:rPr>
          <w:rFonts w:eastAsia="Franklin Gothic Book"/>
        </w:rPr>
      </w:pPr>
      <w:r w:rsidRPr="00D30017">
        <w:rPr>
          <w:rFonts w:eastAsia="Franklin Gothic Book"/>
        </w:rPr>
        <w:t>Consumption data analysis does not capture participant spillover that occurs outside the analysis period (typically a one-year period).</w:t>
      </w:r>
    </w:p>
    <w:p w14:paraId="7C870A28" w14:textId="77777777" w:rsidR="00D34C6E" w:rsidRPr="00D30017" w:rsidRDefault="00D34C6E" w:rsidP="00D34C6E">
      <w:pPr>
        <w:rPr>
          <w:rFonts w:eastAsia="Franklin Gothic Book"/>
        </w:rPr>
      </w:pPr>
      <w:r w:rsidRPr="00D30017">
        <w:rPr>
          <w:rFonts w:eastAsia="Franklin Gothic Book"/>
        </w:rPr>
        <w:t>If these sources of participant spillover that are not captured are expected to be large (based on the best research available or given the program’s logic model), adjustments or additional analysis to capture these types of participant spillover may be required.</w:t>
      </w:r>
    </w:p>
    <w:p w14:paraId="639D8DA0" w14:textId="77777777" w:rsidR="00D34C6E" w:rsidRPr="00D30017" w:rsidRDefault="00D34C6E" w:rsidP="0088039F">
      <w:pPr>
        <w:pStyle w:val="Heading3"/>
      </w:pPr>
      <w:bookmarkStart w:id="1888" w:name="_Toc16619975"/>
      <w:bookmarkStart w:id="1889" w:name="_Toc113619831"/>
      <w:r w:rsidRPr="00D30017">
        <w:t>Free Ridership</w:t>
      </w:r>
      <w:bookmarkEnd w:id="1888"/>
      <w:bookmarkEnd w:id="1889"/>
    </w:p>
    <w:p w14:paraId="2E4F1EF3" w14:textId="3ADAD2CE" w:rsidR="00D34C6E" w:rsidRPr="00D30017" w:rsidRDefault="00D34C6E" w:rsidP="00D34C6E">
      <w:pPr>
        <w:rPr>
          <w:rFonts w:eastAsia="Franklin Gothic Book"/>
        </w:rPr>
      </w:pPr>
      <w:r w:rsidRPr="00D30017">
        <w:rPr>
          <w:rFonts w:eastAsia="Franklin Gothic Book"/>
        </w:rPr>
        <w:t xml:space="preserve">With respect to free ridership, consumption data analysis can produce savings estimates that are net, gross, or somewhere in between (i.e., free ridership can be fully, not at all, or partially accounted for by the estimate directly from the consumption data analysis without further adjustment). Where they fall depends on whether the comparison group accounts for (or nets outs) free ridership in the estimation. For a summary of where each method </w:t>
      </w:r>
      <w:r w:rsidRPr="006A609A">
        <w:rPr>
          <w:rFonts w:eastAsia="Franklin Gothic Book"/>
        </w:rPr>
        <w:t>falls see</w:t>
      </w:r>
      <w:r w:rsidR="002C20D6">
        <w:rPr>
          <w:rFonts w:eastAsia="Franklin Gothic Book"/>
        </w:rPr>
        <w:t xml:space="preserve"> </w:t>
      </w:r>
      <w:r w:rsidR="00BF5F86">
        <w:rPr>
          <w:rFonts w:eastAsia="Franklin Gothic Book"/>
        </w:rPr>
        <w:t>Table 5-3</w:t>
      </w:r>
      <w:r w:rsidRPr="00D30017">
        <w:rPr>
          <w:rFonts w:eastAsia="Franklin Gothic Book"/>
        </w:rPr>
        <w:t xml:space="preserve"> above. </w:t>
      </w:r>
    </w:p>
    <w:p w14:paraId="2C63125E" w14:textId="77777777" w:rsidR="00D34C6E" w:rsidRPr="00D30017" w:rsidRDefault="00D34C6E" w:rsidP="00D34C6E">
      <w:pPr>
        <w:rPr>
          <w:rFonts w:eastAsia="Franklin Gothic Book"/>
        </w:rPr>
      </w:pPr>
      <w:r w:rsidRPr="00D30017">
        <w:rPr>
          <w:rFonts w:eastAsia="Franklin Gothic Book"/>
        </w:rPr>
        <w:lastRenderedPageBreak/>
        <w:t>Methods that yield gross savings estimates with respect to free ridership have no comparison group or have a comparison group that is made up of other (prior or future) participants. In these cases, a free ridership adjustment (or justification of why there is no free ridership) is necessary. These methods include:</w:t>
      </w:r>
    </w:p>
    <w:p w14:paraId="6FC45B90" w14:textId="77777777" w:rsidR="00D34C6E" w:rsidRPr="00D30017" w:rsidRDefault="00D34C6E" w:rsidP="00D34C6E">
      <w:pPr>
        <w:numPr>
          <w:ilvl w:val="0"/>
          <w:numId w:val="60"/>
        </w:numPr>
        <w:spacing w:after="60"/>
        <w:rPr>
          <w:rFonts w:eastAsia="Franklin Gothic Book"/>
        </w:rPr>
      </w:pPr>
      <w:r w:rsidRPr="00D30017">
        <w:rPr>
          <w:rFonts w:eastAsia="Franklin Gothic Book"/>
        </w:rPr>
        <w:t>Matching to older or newer participants</w:t>
      </w:r>
      <w:r w:rsidRPr="00D30017">
        <w:rPr>
          <w:rFonts w:ascii="Arial" w:eastAsia="Franklin Gothic Book" w:hAnsi="Arial" w:cs="Arial"/>
          <w:vertAlign w:val="superscript"/>
        </w:rPr>
        <w:footnoteReference w:id="88"/>
      </w:r>
    </w:p>
    <w:p w14:paraId="5AF9A516" w14:textId="77777777" w:rsidR="00D34C6E" w:rsidRPr="00D30017" w:rsidRDefault="00D34C6E" w:rsidP="00D34C6E">
      <w:pPr>
        <w:numPr>
          <w:ilvl w:val="0"/>
          <w:numId w:val="60"/>
        </w:numPr>
        <w:spacing w:after="60"/>
        <w:rPr>
          <w:rFonts w:eastAsia="Franklin Gothic Book"/>
        </w:rPr>
      </w:pPr>
      <w:r w:rsidRPr="00D30017">
        <w:rPr>
          <w:rFonts w:eastAsia="Franklin Gothic Book"/>
        </w:rPr>
        <w:t>Variation-in-adoption (VIA)</w:t>
      </w:r>
      <w:r w:rsidRPr="00D30017">
        <w:rPr>
          <w:rFonts w:ascii="Arial" w:eastAsia="Franklin Gothic Book" w:hAnsi="Arial"/>
          <w:vertAlign w:val="superscript"/>
        </w:rPr>
        <w:footnoteReference w:id="89"/>
      </w:r>
    </w:p>
    <w:p w14:paraId="363F2DE9" w14:textId="77777777" w:rsidR="00D34C6E" w:rsidRPr="00D30017" w:rsidRDefault="00D34C6E" w:rsidP="00D34C6E">
      <w:pPr>
        <w:numPr>
          <w:ilvl w:val="0"/>
          <w:numId w:val="60"/>
        </w:numPr>
        <w:rPr>
          <w:rFonts w:eastAsia="Franklin Gothic Book"/>
        </w:rPr>
      </w:pPr>
      <w:r w:rsidRPr="00D30017">
        <w:rPr>
          <w:rFonts w:eastAsia="Franklin Gothic Book"/>
        </w:rPr>
        <w:t>Any method without a comparison group</w:t>
      </w:r>
    </w:p>
    <w:p w14:paraId="30D11338" w14:textId="77777777" w:rsidR="00D34C6E" w:rsidRPr="00D30017" w:rsidRDefault="00D34C6E" w:rsidP="00D34C6E">
      <w:pPr>
        <w:rPr>
          <w:rFonts w:eastAsia="Franklin Gothic Book"/>
        </w:rPr>
      </w:pPr>
      <w:r w:rsidRPr="00D30017">
        <w:rPr>
          <w:rFonts w:eastAsia="Franklin Gothic Book"/>
        </w:rPr>
        <w:t>Methods that yield net savings estimates with respect to free ridership have a nonparticipant comparison group that has the same level of free ridership as the participants. In these cases, the comparison group is engaging in energy efficiency activities at the same rate as the participant group would have without the program. This nets out the free ridership and means no free ridership adjustment is necessary. These methods include:</w:t>
      </w:r>
    </w:p>
    <w:p w14:paraId="5FDB216F" w14:textId="77777777" w:rsidR="00D34C6E" w:rsidRPr="00D30017" w:rsidRDefault="00D34C6E" w:rsidP="00D34C6E">
      <w:pPr>
        <w:numPr>
          <w:ilvl w:val="0"/>
          <w:numId w:val="61"/>
        </w:numPr>
        <w:spacing w:after="60"/>
        <w:rPr>
          <w:rFonts w:eastAsia="Franklin Gothic Book"/>
        </w:rPr>
      </w:pPr>
      <w:r w:rsidRPr="00D30017">
        <w:rPr>
          <w:rFonts w:eastAsia="Franklin Gothic Book"/>
        </w:rPr>
        <w:t>Randomized controlled trial (RCT)</w:t>
      </w:r>
    </w:p>
    <w:p w14:paraId="749E9436" w14:textId="77777777" w:rsidR="00D34C6E" w:rsidRPr="00D30017" w:rsidRDefault="00D34C6E" w:rsidP="00D34C6E">
      <w:pPr>
        <w:numPr>
          <w:ilvl w:val="0"/>
          <w:numId w:val="61"/>
        </w:numPr>
        <w:spacing w:after="60"/>
        <w:rPr>
          <w:rFonts w:eastAsia="Franklin Gothic Book"/>
        </w:rPr>
      </w:pPr>
      <w:r w:rsidRPr="00D30017">
        <w:rPr>
          <w:rFonts w:eastAsia="Franklin Gothic Book"/>
        </w:rPr>
        <w:t>Regression discontinuity (RD)</w:t>
      </w:r>
    </w:p>
    <w:p w14:paraId="02A8C33F" w14:textId="77777777" w:rsidR="00D34C6E" w:rsidRPr="00D30017" w:rsidRDefault="00D34C6E" w:rsidP="00D34C6E">
      <w:pPr>
        <w:numPr>
          <w:ilvl w:val="0"/>
          <w:numId w:val="61"/>
        </w:numPr>
        <w:spacing w:after="60"/>
        <w:rPr>
          <w:rFonts w:eastAsia="Franklin Gothic Book"/>
        </w:rPr>
      </w:pPr>
      <w:r w:rsidRPr="00D30017">
        <w:rPr>
          <w:rFonts w:eastAsia="Franklin Gothic Book"/>
        </w:rPr>
        <w:t>Random encouragement design (RED) under at least one of the following conditions:</w:t>
      </w:r>
    </w:p>
    <w:p w14:paraId="1F570375" w14:textId="77777777" w:rsidR="00D34C6E" w:rsidRPr="00D30017" w:rsidRDefault="00D34C6E" w:rsidP="00D34C6E">
      <w:pPr>
        <w:numPr>
          <w:ilvl w:val="1"/>
          <w:numId w:val="61"/>
        </w:numPr>
        <w:spacing w:after="60"/>
        <w:rPr>
          <w:rFonts w:eastAsia="Franklin Gothic Book"/>
        </w:rPr>
      </w:pPr>
      <w:r w:rsidRPr="00D30017">
        <w:rPr>
          <w:rFonts w:eastAsia="Franklin Gothic Book"/>
        </w:rPr>
        <w:t xml:space="preserve">Analysis is done using instrumental variables with an inverse </w:t>
      </w:r>
      <w:proofErr w:type="gramStart"/>
      <w:r w:rsidRPr="00D30017">
        <w:rPr>
          <w:rFonts w:eastAsia="Franklin Gothic Book"/>
        </w:rPr>
        <w:t>mills</w:t>
      </w:r>
      <w:proofErr w:type="gramEnd"/>
      <w:r w:rsidRPr="00D30017">
        <w:rPr>
          <w:rFonts w:eastAsia="Franklin Gothic Book"/>
        </w:rPr>
        <w:t xml:space="preserve"> ratio</w:t>
      </w:r>
      <w:r w:rsidRPr="00D30017">
        <w:rPr>
          <w:rFonts w:ascii="Arial" w:eastAsia="Franklin Gothic Book" w:hAnsi="Arial" w:cs="Arial"/>
          <w:vertAlign w:val="superscript"/>
        </w:rPr>
        <w:footnoteReference w:id="90"/>
      </w:r>
    </w:p>
    <w:p w14:paraId="682C627D" w14:textId="4871A0ED" w:rsidR="00D34C6E" w:rsidRPr="00D30017" w:rsidRDefault="00D34C6E" w:rsidP="00D34C6E">
      <w:pPr>
        <w:numPr>
          <w:ilvl w:val="1"/>
          <w:numId w:val="61"/>
        </w:numPr>
        <w:spacing w:after="60"/>
        <w:rPr>
          <w:rFonts w:eastAsia="Franklin Gothic Book"/>
        </w:rPr>
      </w:pPr>
      <w:r w:rsidRPr="00D30017">
        <w:rPr>
          <w:rFonts w:eastAsia="Franklin Gothic Book"/>
        </w:rPr>
        <w:t>Designs where only the encouraged group can join the program (and as such the participants who join the program include only compliers and not always takers</w:t>
      </w:r>
      <w:r w:rsidRPr="00D30017">
        <w:rPr>
          <w:rFonts w:ascii="Arial" w:eastAsia="Franklin Gothic Book" w:hAnsi="Arial" w:cs="Arial"/>
          <w:vertAlign w:val="superscript"/>
        </w:rPr>
        <w:footnoteReference w:id="91"/>
      </w:r>
      <w:r w:rsidRPr="00D30017">
        <w:rPr>
          <w:rFonts w:eastAsia="Franklin Gothic Book"/>
        </w:rPr>
        <w:t>)</w:t>
      </w:r>
    </w:p>
    <w:p w14:paraId="09CB5517" w14:textId="77777777" w:rsidR="00D34C6E" w:rsidRPr="00D30017" w:rsidRDefault="00D34C6E" w:rsidP="00D34C6E">
      <w:pPr>
        <w:numPr>
          <w:ilvl w:val="1"/>
          <w:numId w:val="61"/>
        </w:numPr>
        <w:spacing w:after="60"/>
        <w:rPr>
          <w:rFonts w:eastAsia="Franklin Gothic Book"/>
        </w:rPr>
      </w:pPr>
      <w:r w:rsidRPr="00D30017">
        <w:rPr>
          <w:rFonts w:eastAsia="Franklin Gothic Book"/>
        </w:rPr>
        <w:t>There is no relationship between how much energy a customer will save by participating and their inclination to participate</w:t>
      </w:r>
    </w:p>
    <w:p w14:paraId="588C1A9C" w14:textId="77777777" w:rsidR="00D34C6E" w:rsidRPr="00D30017" w:rsidRDefault="00D34C6E" w:rsidP="00D34C6E">
      <w:pPr>
        <w:rPr>
          <w:rFonts w:eastAsia="Franklin Gothic Book"/>
        </w:rPr>
      </w:pPr>
      <w:r w:rsidRPr="00D30017">
        <w:rPr>
          <w:rFonts w:eastAsia="Franklin Gothic Book"/>
        </w:rPr>
        <w:t>Methods where there is a nonparticipant comparison group that is expected to have a different level of naturally occurring adoption than the participant group can result in savings estimates that fall somewhere between net and gross with respect to free ridership. For example, a group of participants would be expected to be comprised of more natural adopters than a group of nonparticipants who never joined the program. These methods include:</w:t>
      </w:r>
    </w:p>
    <w:p w14:paraId="11E5C8E9" w14:textId="77777777" w:rsidR="00D34C6E" w:rsidRPr="00D30017" w:rsidRDefault="00D34C6E" w:rsidP="00D34C6E">
      <w:pPr>
        <w:numPr>
          <w:ilvl w:val="0"/>
          <w:numId w:val="62"/>
        </w:numPr>
        <w:spacing w:after="60"/>
        <w:ind w:left="763"/>
        <w:rPr>
          <w:rFonts w:eastAsia="Franklin Gothic Book"/>
        </w:rPr>
      </w:pPr>
      <w:r w:rsidRPr="00D30017">
        <w:rPr>
          <w:rFonts w:eastAsia="Franklin Gothic Book"/>
        </w:rPr>
        <w:t>RED (in situations not covered by the previous list showing when RED is net)</w:t>
      </w:r>
    </w:p>
    <w:p w14:paraId="37595E3F" w14:textId="77777777" w:rsidR="00D34C6E" w:rsidRPr="00D30017" w:rsidRDefault="00D34C6E" w:rsidP="00D34C6E">
      <w:pPr>
        <w:numPr>
          <w:ilvl w:val="0"/>
          <w:numId w:val="62"/>
        </w:numPr>
        <w:ind w:left="763"/>
        <w:rPr>
          <w:rFonts w:eastAsia="Franklin Gothic Book"/>
        </w:rPr>
      </w:pPr>
      <w:r w:rsidRPr="00D30017">
        <w:rPr>
          <w:rFonts w:eastAsia="Franklin Gothic Book"/>
        </w:rPr>
        <w:t>Matching to nonparticipants</w:t>
      </w:r>
    </w:p>
    <w:p w14:paraId="7A817B4A" w14:textId="77777777" w:rsidR="00D34C6E" w:rsidRPr="00D30017" w:rsidRDefault="00D34C6E" w:rsidP="00D34C6E">
      <w:pPr>
        <w:rPr>
          <w:rFonts w:eastAsia="Franklin Gothic Book"/>
        </w:rPr>
      </w:pPr>
      <w:r w:rsidRPr="00D30017">
        <w:rPr>
          <w:rFonts w:eastAsia="Franklin Gothic Book"/>
        </w:rPr>
        <w:t>In these cases, it is up to the evaluator to decide whether an estimate is most appropriately considered net or gross on an analysis-by-analysis basis. Some guidelines include:</w:t>
      </w:r>
    </w:p>
    <w:p w14:paraId="5463AF02" w14:textId="77777777" w:rsidR="00D34C6E" w:rsidRPr="00D30017" w:rsidRDefault="00D34C6E" w:rsidP="00D34C6E">
      <w:pPr>
        <w:numPr>
          <w:ilvl w:val="0"/>
          <w:numId w:val="64"/>
        </w:numPr>
        <w:spacing w:after="60"/>
        <w:ind w:left="821"/>
        <w:rPr>
          <w:rFonts w:eastAsia="Franklin Gothic Book"/>
        </w:rPr>
      </w:pPr>
      <w:r w:rsidRPr="00D30017">
        <w:rPr>
          <w:rFonts w:eastAsia="Franklin Gothic Book"/>
        </w:rPr>
        <w:t>Measures where instant upstream rebates exist for a large portion of the market are likely gross as there should be very few customers who got the measure in the nonparticipant group</w:t>
      </w:r>
    </w:p>
    <w:p w14:paraId="0F3DB393" w14:textId="77777777" w:rsidR="00D34C6E" w:rsidRPr="00D30017" w:rsidRDefault="00D34C6E" w:rsidP="00D34C6E">
      <w:pPr>
        <w:numPr>
          <w:ilvl w:val="0"/>
          <w:numId w:val="64"/>
        </w:numPr>
        <w:ind w:left="821"/>
        <w:rPr>
          <w:rFonts w:eastAsia="Franklin Gothic Book"/>
        </w:rPr>
      </w:pPr>
      <w:r w:rsidRPr="00D30017">
        <w:rPr>
          <w:rFonts w:eastAsia="Franklin Gothic Book"/>
        </w:rPr>
        <w:t>Measures for income qualified customers are typically considered net as these customers are unlikely to install the measures without the incentive of the program</w:t>
      </w:r>
    </w:p>
    <w:p w14:paraId="4D1ECBB1" w14:textId="77777777" w:rsidR="00D34C6E" w:rsidRPr="00D30017" w:rsidRDefault="00D34C6E" w:rsidP="00D34C6E">
      <w:pPr>
        <w:rPr>
          <w:rFonts w:eastAsia="Franklin Gothic Book"/>
        </w:rPr>
      </w:pPr>
      <w:r w:rsidRPr="00D30017">
        <w:rPr>
          <w:rFonts w:eastAsia="Franklin Gothic Book"/>
        </w:rPr>
        <w:t xml:space="preserve">In some cases, evaluators may be able to implement techniques when using a nonparticipant comparison group such that the savings are sufficiently close to net and do not require further net to gross adjustment. One example of these techniques is the IV-IMR method proposed in Goldberg et. al. (2017). The UMP Chapter 21 (Violette and Rathbun, 2017) also has some discussion of getting net savings estimates using these approaches, although UMP Chapter 8 (Agnew and Goldberg 2017) should be reviewed in conjunction as it is more specific to consumption data methods. However, these techniques often require customer characteristic data that is not readily available to </w:t>
      </w:r>
      <w:r w:rsidRPr="00D30017">
        <w:rPr>
          <w:rFonts w:eastAsia="Franklin Gothic Book"/>
        </w:rPr>
        <w:lastRenderedPageBreak/>
        <w:t>evaluators and some of them needed to be further tested beyond theoretical simulations.</w:t>
      </w:r>
    </w:p>
    <w:p w14:paraId="31793578" w14:textId="77777777" w:rsidR="00D34C6E" w:rsidRPr="00D30017" w:rsidRDefault="00D34C6E" w:rsidP="0018546C">
      <w:pPr>
        <w:pStyle w:val="Heading3"/>
      </w:pPr>
      <w:bookmarkStart w:id="1890" w:name="_Ref519521075"/>
      <w:bookmarkStart w:id="1891" w:name="_Toc16619976"/>
      <w:bookmarkStart w:id="1892" w:name="_Toc113619832"/>
      <w:r w:rsidRPr="0018546C">
        <w:t>Consumption</w:t>
      </w:r>
      <w:r w:rsidRPr="00D30017">
        <w:t xml:space="preserve"> Data Analysis Designs with a Comparison Group</w:t>
      </w:r>
      <w:bookmarkEnd w:id="1890"/>
      <w:bookmarkEnd w:id="1891"/>
      <w:bookmarkEnd w:id="1892"/>
    </w:p>
    <w:p w14:paraId="12051337" w14:textId="4E29AF70" w:rsidR="00D34C6E" w:rsidRPr="00D30017" w:rsidRDefault="00D34C6E" w:rsidP="00D34C6E">
      <w:r w:rsidRPr="00D30017">
        <w:t xml:space="preserve">This section discusses descriptions of and considerations for estimating savings via consumption data analysis designs with a comparison group. Although the ideas of net and gross savings are touched upon, the full discussion on whether each of these methods produce net or gross savings and under what circumstances is in Section </w:t>
      </w:r>
      <w:r w:rsidRPr="00D30017">
        <w:fldChar w:fldCharType="begin"/>
      </w:r>
      <w:r w:rsidRPr="00D30017">
        <w:instrText xml:space="preserve"> REF _Ref518046968 \n \h </w:instrText>
      </w:r>
      <w:r w:rsidRPr="00D30017">
        <w:fldChar w:fldCharType="separate"/>
      </w:r>
      <w:r w:rsidR="00506A44">
        <w:t>5.3.1</w:t>
      </w:r>
      <w:r w:rsidRPr="00D30017">
        <w:fldChar w:fldCharType="end"/>
      </w:r>
      <w:r w:rsidRPr="00D30017">
        <w:t xml:space="preserve">.  </w:t>
      </w:r>
    </w:p>
    <w:p w14:paraId="67BED78E" w14:textId="77777777" w:rsidR="00D34C6E" w:rsidRPr="005F2D93" w:rsidRDefault="00D34C6E" w:rsidP="00A2308D">
      <w:pPr>
        <w:pStyle w:val="Heading4"/>
      </w:pPr>
      <w:bookmarkStart w:id="1893" w:name="_Toc512409086"/>
      <w:bookmarkStart w:id="1894" w:name="_Toc442804324"/>
      <w:bookmarkStart w:id="1895" w:name="_Toc442805541"/>
      <w:bookmarkStart w:id="1896" w:name="_Toc472494732"/>
      <w:bookmarkStart w:id="1897" w:name="_Toc473108074"/>
      <w:bookmarkStart w:id="1898" w:name="_Toc16619977"/>
      <w:r w:rsidRPr="0018546C">
        <w:t>Randomized</w:t>
      </w:r>
      <w:r w:rsidRPr="005F2D93">
        <w:t xml:space="preserve"> Controlled Trials</w:t>
      </w:r>
      <w:bookmarkEnd w:id="1893"/>
      <w:bookmarkEnd w:id="1894"/>
      <w:bookmarkEnd w:id="1895"/>
      <w:bookmarkEnd w:id="1896"/>
      <w:bookmarkEnd w:id="1897"/>
      <w:bookmarkEnd w:id="1898"/>
    </w:p>
    <w:p w14:paraId="1F6053BB" w14:textId="77777777" w:rsidR="00D34C6E" w:rsidRPr="00D30017" w:rsidRDefault="00D34C6E" w:rsidP="00D34C6E">
      <w:pPr>
        <w:rPr>
          <w:rFonts w:eastAsia="Calibri"/>
        </w:rPr>
      </w:pPr>
      <w:r w:rsidRPr="00D30017">
        <w:rPr>
          <w:rFonts w:eastAsia="Calibri"/>
        </w:rPr>
        <w:t>In a randomized controlled trial (RCT) design, evaluators (and sometimes implementation contractors) randomly assign sampled members of a population of interest to a treatment group or a control group. Among the benefits offered by an RCT—when properly applied—is that it produces net savings estimates by netting out free ridership.</w:t>
      </w:r>
      <w:r w:rsidRPr="00D30017">
        <w:rPr>
          <w:rFonts w:ascii="Arial" w:eastAsia="Calibri" w:hAnsi="Arial" w:cs="Arial"/>
          <w:vertAlign w:val="superscript"/>
        </w:rPr>
        <w:footnoteReference w:id="92"/>
      </w:r>
      <w:r w:rsidRPr="00D30017">
        <w:rPr>
          <w:rFonts w:eastAsia="Calibri"/>
        </w:rPr>
        <w:t xml:space="preserve"> The evaluation of a program must be designed and implemented this way from the outset; it is not possible for an evaluation team to apply RCT evaluation techniques after the program has been implemented if random assignment to treatment and control groups was not done before program launch.  While such designs are rarely possible outside of Home Energy Report programs, one should not overlook the possibility of such designs in evaluating new pilot programs.  </w:t>
      </w:r>
    </w:p>
    <w:p w14:paraId="4D78EB0C" w14:textId="77777777" w:rsidR="00D34C6E" w:rsidRPr="00D30017" w:rsidRDefault="00D34C6E" w:rsidP="00D34C6E">
      <w:pPr>
        <w:rPr>
          <w:rFonts w:eastAsia="Calibri"/>
        </w:rPr>
      </w:pPr>
      <w:r w:rsidRPr="00D30017">
        <w:rPr>
          <w:rFonts w:eastAsia="Calibri"/>
        </w:rPr>
        <w:t>For some programs, evaluators must take a second step to ensure savings are not being double-counted, either counting savings being claimed by other programs or savings already credited to earlier program efforts (often called “legacy uplift”). Only net increases in participation in other programs should be considered in this uplift adjustment; changes to total savings do not need to be made based on decreases in participation in other programs.</w:t>
      </w:r>
    </w:p>
    <w:p w14:paraId="32DE1B74" w14:textId="77777777" w:rsidR="00D34C6E" w:rsidRPr="00D30017" w:rsidRDefault="00D34C6E" w:rsidP="00A2308D">
      <w:pPr>
        <w:pStyle w:val="Heading4"/>
      </w:pPr>
      <w:bookmarkStart w:id="1899" w:name="_Toc16619978"/>
      <w:bookmarkStart w:id="1900" w:name="_Toc442804325"/>
      <w:bookmarkStart w:id="1901" w:name="_Toc442805542"/>
      <w:bookmarkStart w:id="1902" w:name="_Toc472494733"/>
      <w:bookmarkStart w:id="1903" w:name="_Toc473108075"/>
      <w:bookmarkStart w:id="1904" w:name="_Toc512409087"/>
      <w:r w:rsidRPr="00D30017">
        <w:t xml:space="preserve">Random </w:t>
      </w:r>
      <w:r w:rsidRPr="0018546C">
        <w:t>Encouragement</w:t>
      </w:r>
      <w:r w:rsidRPr="00D30017">
        <w:t xml:space="preserve"> Designs</w:t>
      </w:r>
      <w:bookmarkEnd w:id="1899"/>
    </w:p>
    <w:p w14:paraId="0DD000CB" w14:textId="77777777" w:rsidR="00D34C6E" w:rsidRPr="00D30017" w:rsidRDefault="00D34C6E" w:rsidP="00D34C6E">
      <w:r w:rsidRPr="00D30017">
        <w:t>In a random encouragement design (RED), eligible customers are randomly assigned between an encouraged group (who receives incremental encouragement to join the program</w:t>
      </w:r>
      <w:r w:rsidRPr="00D30017">
        <w:rPr>
          <w:rFonts w:ascii="Arial" w:hAnsi="Arial" w:cs="Arial"/>
          <w:vertAlign w:val="superscript"/>
        </w:rPr>
        <w:footnoteReference w:id="93"/>
      </w:r>
      <w:r w:rsidRPr="00D30017">
        <w:t>) and a non-encouraged, or control, group (who does not receive the encouragement). Members of either group can join the program, but the encouraged group is expected to do so at a higher rate.</w:t>
      </w:r>
      <w:r w:rsidRPr="00D30017">
        <w:rPr>
          <w:rFonts w:ascii="Arial" w:hAnsi="Arial" w:cs="Arial"/>
          <w:vertAlign w:val="superscript"/>
        </w:rPr>
        <w:footnoteReference w:id="94"/>
      </w:r>
      <w:r w:rsidRPr="00D30017">
        <w:t xml:space="preserve"> If the encouragement is not effective at driving the encouraged group into the program at a higher rate than the non-encouraged group then the evaluation design breaks down and other (likely quasi-experimental) methods will be needed to estimate program savings.</w:t>
      </w:r>
    </w:p>
    <w:p w14:paraId="7FBB2271" w14:textId="77777777" w:rsidR="00D34C6E" w:rsidRPr="00D30017" w:rsidRDefault="00D34C6E" w:rsidP="00D34C6E">
      <w:r w:rsidRPr="00D30017">
        <w:t>In an RED, both the encouraged and non-encouraged group are made up of the following:</w:t>
      </w:r>
    </w:p>
    <w:p w14:paraId="492539D1" w14:textId="77777777" w:rsidR="00D34C6E" w:rsidRPr="00D30017" w:rsidRDefault="00D34C6E" w:rsidP="00D34C6E">
      <w:pPr>
        <w:numPr>
          <w:ilvl w:val="0"/>
          <w:numId w:val="59"/>
        </w:numPr>
        <w:spacing w:after="60"/>
        <w:ind w:left="763"/>
      </w:pPr>
      <w:r w:rsidRPr="00D30017">
        <w:t>Always takers – customers who will join the program with or without the encouragement</w:t>
      </w:r>
    </w:p>
    <w:p w14:paraId="3427EF01" w14:textId="77777777" w:rsidR="00D34C6E" w:rsidRPr="00D30017" w:rsidRDefault="00D34C6E" w:rsidP="00D34C6E">
      <w:pPr>
        <w:numPr>
          <w:ilvl w:val="0"/>
          <w:numId w:val="59"/>
        </w:numPr>
        <w:spacing w:after="60"/>
        <w:ind w:left="763"/>
      </w:pPr>
      <w:r w:rsidRPr="00D30017">
        <w:t>Compliers – customers who only join the program if they receive the encouragement</w:t>
      </w:r>
    </w:p>
    <w:p w14:paraId="7B08B84D" w14:textId="77777777" w:rsidR="00D34C6E" w:rsidRPr="00D30017" w:rsidRDefault="00D34C6E" w:rsidP="00D34C6E">
      <w:pPr>
        <w:numPr>
          <w:ilvl w:val="0"/>
          <w:numId w:val="59"/>
        </w:numPr>
        <w:ind w:left="763"/>
      </w:pPr>
      <w:r w:rsidRPr="00D30017">
        <w:t>Never takers – customers who will never join the program, regardless of whether they receive the encouragement</w:t>
      </w:r>
    </w:p>
    <w:p w14:paraId="189351FE" w14:textId="77777777" w:rsidR="00D34C6E" w:rsidRPr="00D30017" w:rsidRDefault="00D34C6E" w:rsidP="00D34C6E">
      <w:r w:rsidRPr="00D30017">
        <w:t>In the non-encouraged group, the always takers can be distinguished from the compliers and never takers (they’re the portion of the non-encouraged group who joins the program), but the compliers and never takers cannot be distinguished from one another (they’re both observed not to join the program). In the encouraged group, the never takers can be distinguished from the always takers and compliers (they’re the portion of the encouraged group who does not join the program), but the always takers and compliers cannot be distinguished from one another (they’re both observed to join the program).</w:t>
      </w:r>
    </w:p>
    <w:p w14:paraId="66BD4607" w14:textId="77777777" w:rsidR="00D34C6E" w:rsidRPr="00D30017" w:rsidRDefault="00D34C6E" w:rsidP="00D34C6E">
      <w:r w:rsidRPr="00D30017">
        <w:t xml:space="preserve">Like RCTs, REDs are a form of experimental design. An RED is known to give an unbiased estimate of net savings </w:t>
      </w:r>
      <w:r w:rsidRPr="00D30017">
        <w:lastRenderedPageBreak/>
        <w:t>(with respect to free ridership) for the compliers. Applying this savings to the always takers group requires some explanation of why it is likely to be accurate. Additionally, the RED design provides the average net savings per participant for those who participate because of the encouragement but otherwise would not (compliers). This is not necessarily the same as the net savings for the original program without extra encouragement. In particular, we would expect free-ridership to be lower among those who need extra encouragement. Thus, the RED might be expected to overstate net savings for the original program if free-ridership is present but would still provide useful information.</w:t>
      </w:r>
      <w:r w:rsidRPr="00D30017">
        <w:rPr>
          <w:b/>
        </w:rPr>
        <w:t xml:space="preserve"> </w:t>
      </w:r>
    </w:p>
    <w:p w14:paraId="063462B2" w14:textId="77777777" w:rsidR="00D34C6E" w:rsidRPr="00D30017" w:rsidRDefault="00D34C6E" w:rsidP="00D34C6E">
      <w:r w:rsidRPr="00D30017">
        <w:t>There are several methods for evaluating REDs using panel data including methods using instrumental variables (IVs) and the inverse mills ratio (IMR).</w:t>
      </w:r>
      <w:r w:rsidRPr="00D30017">
        <w:rPr>
          <w:rFonts w:ascii="Arial" w:hAnsi="Arial" w:cs="Arial"/>
          <w:vertAlign w:val="superscript"/>
        </w:rPr>
        <w:footnoteReference w:id="95"/>
      </w:r>
    </w:p>
    <w:p w14:paraId="22BB0C93" w14:textId="77777777" w:rsidR="00D34C6E" w:rsidRPr="005F2D93" w:rsidRDefault="00D34C6E" w:rsidP="00A2308D">
      <w:pPr>
        <w:pStyle w:val="Heading4"/>
      </w:pPr>
      <w:bookmarkStart w:id="1905" w:name="_Toc16619979"/>
      <w:r w:rsidRPr="00D30017">
        <w:t>Quasi-</w:t>
      </w:r>
      <w:r w:rsidRPr="0018546C">
        <w:t>Experimental</w:t>
      </w:r>
      <w:r w:rsidRPr="005F2D93">
        <w:t xml:space="preserve"> Designs</w:t>
      </w:r>
      <w:bookmarkEnd w:id="1900"/>
      <w:bookmarkEnd w:id="1901"/>
      <w:bookmarkEnd w:id="1902"/>
      <w:bookmarkEnd w:id="1903"/>
      <w:bookmarkEnd w:id="1904"/>
      <w:bookmarkEnd w:id="1905"/>
    </w:p>
    <w:p w14:paraId="7CDE28EF" w14:textId="132013B9" w:rsidR="00D34C6E" w:rsidRPr="00D30017" w:rsidRDefault="00D34C6E" w:rsidP="00D34C6E">
      <w:pPr>
        <w:rPr>
          <w:rFonts w:eastAsia="Calibri"/>
        </w:rPr>
      </w:pPr>
      <w:r w:rsidRPr="00D30017" w:rsidDel="00E43C15">
        <w:rPr>
          <w:rFonts w:eastAsia="Calibri"/>
        </w:rPr>
        <w:t>Where</w:t>
      </w:r>
      <w:r w:rsidRPr="00D30017">
        <w:rPr>
          <w:rFonts w:eastAsia="Calibri"/>
        </w:rPr>
        <w:t xml:space="preserve"> randomized assignments prove infeasible, quasi-experimental design (QED) evaluation methods can be substituted (although experimental designs are typically preferable when possible). Depending on the exact QED implemented, the savings may be net, gross, or somewhere in between with respect to the different pieces of a NTG adjustment (participant spillover, nonparticipant spillover, and free ridership). The specifics of net versus gross estimation are covered in Section </w:t>
      </w:r>
      <w:r w:rsidRPr="00D30017">
        <w:rPr>
          <w:rFonts w:eastAsia="Calibri"/>
        </w:rPr>
        <w:fldChar w:fldCharType="begin"/>
      </w:r>
      <w:r w:rsidRPr="00D30017">
        <w:rPr>
          <w:rFonts w:eastAsia="Calibri"/>
        </w:rPr>
        <w:instrText xml:space="preserve"> REF _Ref518046968 \n \h </w:instrText>
      </w:r>
      <w:r w:rsidRPr="00D30017">
        <w:rPr>
          <w:rFonts w:eastAsia="Calibri"/>
        </w:rPr>
      </w:r>
      <w:r w:rsidRPr="00D30017">
        <w:rPr>
          <w:rFonts w:eastAsia="Calibri"/>
        </w:rPr>
        <w:fldChar w:fldCharType="separate"/>
      </w:r>
      <w:r w:rsidR="00506A44">
        <w:rPr>
          <w:rFonts w:eastAsia="Calibri"/>
        </w:rPr>
        <w:t>5.3.1</w:t>
      </w:r>
      <w:r w:rsidRPr="00D30017">
        <w:rPr>
          <w:rFonts w:eastAsia="Calibri"/>
        </w:rPr>
        <w:fldChar w:fldCharType="end"/>
      </w:r>
      <w:r w:rsidRPr="00D30017">
        <w:rPr>
          <w:rFonts w:eastAsia="Calibri"/>
        </w:rPr>
        <w:t xml:space="preserve">, this subsection does not rehash this issue but rather describes estimation for a subset of QED methods.   </w:t>
      </w:r>
    </w:p>
    <w:p w14:paraId="71D5483D" w14:textId="77777777" w:rsidR="00D34C6E" w:rsidRPr="00D30017" w:rsidRDefault="00D34C6E" w:rsidP="00D34C6E">
      <w:pPr>
        <w:rPr>
          <w:rFonts w:eastAsia="Calibri"/>
        </w:rPr>
      </w:pPr>
      <w:r w:rsidRPr="00D30017">
        <w:rPr>
          <w:rFonts w:eastAsia="Calibri"/>
        </w:rPr>
        <w:t>Three quasi-experimental approaches are commonly used to evaluate behavior-based energy efficiency programs that cannot be constructed as experiments:</w:t>
      </w:r>
      <w:r w:rsidRPr="00D30017">
        <w:rPr>
          <w:rFonts w:ascii="Arial" w:eastAsia="Calibri" w:hAnsi="Arial" w:cs="Arial"/>
          <w:vertAlign w:val="superscript"/>
        </w:rPr>
        <w:footnoteReference w:id="96"/>
      </w:r>
    </w:p>
    <w:p w14:paraId="1E415043" w14:textId="77777777" w:rsidR="00D34C6E" w:rsidRPr="00D30017" w:rsidRDefault="00D34C6E" w:rsidP="00D34C6E">
      <w:pPr>
        <w:widowControl/>
        <w:numPr>
          <w:ilvl w:val="0"/>
          <w:numId w:val="15"/>
        </w:numPr>
        <w:spacing w:after="60"/>
        <w:jc w:val="left"/>
        <w:rPr>
          <w:rFonts w:eastAsia="Calibri"/>
        </w:rPr>
      </w:pPr>
      <w:r w:rsidRPr="00D30017">
        <w:rPr>
          <w:rFonts w:eastAsia="Calibri"/>
        </w:rPr>
        <w:t>Regression discontinuity (RD)</w:t>
      </w:r>
    </w:p>
    <w:p w14:paraId="4AB0D6CF" w14:textId="4A37873A" w:rsidR="00D34C6E" w:rsidRPr="00D30017" w:rsidRDefault="00D34C6E" w:rsidP="00D34C6E">
      <w:pPr>
        <w:widowControl/>
        <w:numPr>
          <w:ilvl w:val="0"/>
          <w:numId w:val="15"/>
        </w:numPr>
        <w:spacing w:after="60"/>
        <w:jc w:val="left"/>
        <w:rPr>
          <w:rFonts w:eastAsia="Calibri"/>
        </w:rPr>
      </w:pPr>
      <w:r w:rsidRPr="00D30017">
        <w:rPr>
          <w:rFonts w:eastAsia="Calibri"/>
        </w:rPr>
        <w:t>Variation-in-adoption (VIA)</w:t>
      </w:r>
      <w:r w:rsidRPr="00D30017">
        <w:rPr>
          <w:rFonts w:ascii="Arial" w:eastAsia="Franklin Gothic Book" w:hAnsi="Arial"/>
          <w:vertAlign w:val="superscript"/>
        </w:rPr>
        <w:footnoteReference w:id="97"/>
      </w:r>
    </w:p>
    <w:p w14:paraId="7D2D8D13" w14:textId="77777777" w:rsidR="00D34C6E" w:rsidRPr="00D30017" w:rsidRDefault="00D34C6E" w:rsidP="00D34C6E">
      <w:pPr>
        <w:widowControl/>
        <w:numPr>
          <w:ilvl w:val="0"/>
          <w:numId w:val="15"/>
        </w:numPr>
        <w:jc w:val="left"/>
        <w:rPr>
          <w:rFonts w:eastAsia="Calibri"/>
        </w:rPr>
      </w:pPr>
      <w:r w:rsidRPr="00D30017">
        <w:rPr>
          <w:rFonts w:eastAsia="Calibri"/>
        </w:rPr>
        <w:t>Matched controls (MC)</w:t>
      </w:r>
    </w:p>
    <w:p w14:paraId="578A15DA" w14:textId="77777777" w:rsidR="00D34C6E" w:rsidRPr="00D30017" w:rsidRDefault="00D34C6E" w:rsidP="00D34C6E">
      <w:pPr>
        <w:rPr>
          <w:rFonts w:eastAsia="Calibri"/>
        </w:rPr>
      </w:pPr>
      <w:r w:rsidRPr="00D30017">
        <w:rPr>
          <w:rFonts w:eastAsia="Calibri"/>
        </w:rPr>
        <w:t xml:space="preserve">All three rely on a nonrandom comparison group.  </w:t>
      </w:r>
    </w:p>
    <w:p w14:paraId="67752116" w14:textId="77777777" w:rsidR="00D34C6E" w:rsidRPr="00D30017" w:rsidRDefault="00D34C6E" w:rsidP="00D34C6E">
      <w:pPr>
        <w:rPr>
          <w:rFonts w:eastAsia="Calibri"/>
        </w:rPr>
      </w:pPr>
      <w:r w:rsidRPr="00D30017">
        <w:rPr>
          <w:rFonts w:eastAsia="Calibri"/>
          <w:b/>
        </w:rPr>
        <w:t xml:space="preserve">Regression Discontinuity. </w:t>
      </w:r>
      <w:r w:rsidRPr="00D30017">
        <w:rPr>
          <w:rFonts w:eastAsia="Calibri"/>
        </w:rPr>
        <w:t xml:space="preserve">RD requires basing a program’s eligibility on a continuous variable (e.g., </w:t>
      </w:r>
      <w:proofErr w:type="gramStart"/>
      <w:r w:rsidRPr="00D30017">
        <w:rPr>
          <w:rFonts w:eastAsia="Calibri"/>
        </w:rPr>
        <w:t>customers’</w:t>
      </w:r>
      <w:proofErr w:type="gramEnd"/>
      <w:r w:rsidRPr="00D30017">
        <w:rPr>
          <w:rFonts w:eastAsia="Calibri"/>
        </w:rPr>
        <w:t xml:space="preserve"> adjusted gross income falling below a cutoff value for them to qualify for the program). When this is true, the RD method assumes customers just beyond the cutoff likely will be very similar, on average, to those just inside of it. The method compares changes in energy usage for a group just outside of the eligible range to that of a group of participants just on the other side of the eligibility cutoff. The RD approach, however, is susceptible to an important weakness: misspecification of the regression functional form.</w:t>
      </w:r>
      <w:r w:rsidRPr="00D30017">
        <w:rPr>
          <w:rFonts w:eastAsia="Calibri"/>
          <w:vertAlign w:val="superscript"/>
        </w:rPr>
        <w:footnoteReference w:id="98"/>
      </w:r>
    </w:p>
    <w:p w14:paraId="1383417B" w14:textId="77777777" w:rsidR="00D34C6E" w:rsidRPr="00D30017" w:rsidRDefault="00D34C6E" w:rsidP="00D34C6E">
      <w:pPr>
        <w:rPr>
          <w:rFonts w:eastAsia="Calibri"/>
        </w:rPr>
      </w:pPr>
      <w:r w:rsidRPr="00D30017">
        <w:rPr>
          <w:rFonts w:eastAsia="Calibri"/>
          <w:b/>
        </w:rPr>
        <w:t xml:space="preserve">Variation-in-Adoption. </w:t>
      </w:r>
      <w:r w:rsidRPr="00D30017">
        <w:rPr>
          <w:rFonts w:eastAsia="Calibri"/>
        </w:rPr>
        <w:t>The VIA model applies only to program participants.</w:t>
      </w:r>
      <w:r w:rsidRPr="00D30017">
        <w:rPr>
          <w:rFonts w:eastAsia="Calibri"/>
          <w:vertAlign w:val="superscript"/>
        </w:rPr>
        <w:footnoteReference w:id="99"/>
      </w:r>
      <w:r w:rsidRPr="00D30017">
        <w:rPr>
          <w:rFonts w:eastAsia="Calibri"/>
        </w:rPr>
        <w:t xml:space="preserve"> For this method, customers must sign </w:t>
      </w:r>
      <w:r w:rsidRPr="00D30017">
        <w:rPr>
          <w:rFonts w:eastAsia="Calibri"/>
        </w:rPr>
        <w:lastRenderedPageBreak/>
        <w:t>up for the program on a rolling basis. VIA takes advantage of its enrollees’ differential timing to compare energy usage of customers opting in to that of customers not yet opting in (but doing so later). The method relies on an assumption that, in any given month, customers that soon opt in have similar characteristics to those who have enrolled, both in observable and unobservable characteristics. For this assumption to prove valid, customers must decide to opt into the program at different times for essentially random reasons (e.g., influenced only by marketing exposure and program awareness).</w:t>
      </w:r>
      <w:r w:rsidRPr="00D30017">
        <w:rPr>
          <w:rFonts w:eastAsia="Calibri"/>
          <w:vertAlign w:val="superscript"/>
        </w:rPr>
        <w:footnoteReference w:id="100"/>
      </w:r>
      <w:r w:rsidRPr="00D30017">
        <w:rPr>
          <w:rFonts w:eastAsia="Calibri"/>
        </w:rPr>
        <w:t xml:space="preserve"> In particular, the decision to opt in should not relate to observable or unobservable household characteristics.</w:t>
      </w:r>
      <w:r w:rsidRPr="00D30017">
        <w:rPr>
          <w:rFonts w:eastAsia="Calibri"/>
          <w:vertAlign w:val="superscript"/>
        </w:rPr>
        <w:footnoteReference w:id="101"/>
      </w:r>
    </w:p>
    <w:p w14:paraId="2D73C228" w14:textId="77777777" w:rsidR="00D34C6E" w:rsidRPr="00D30017" w:rsidRDefault="00D34C6E" w:rsidP="00D34C6E">
      <w:pPr>
        <w:rPr>
          <w:rFonts w:eastAsia="Calibri"/>
        </w:rPr>
      </w:pPr>
      <w:r w:rsidRPr="00D30017">
        <w:rPr>
          <w:rFonts w:eastAsia="Calibri"/>
          <w:b/>
        </w:rPr>
        <w:t xml:space="preserve">Matched Controls. </w:t>
      </w:r>
      <w:r w:rsidRPr="00D30017">
        <w:rPr>
          <w:rFonts w:eastAsia="Calibri"/>
        </w:rPr>
        <w:t>MC creates a control group by matching each treatment customer to the most similar nonparticipant customer available on the basis of exogenous covariates from the pre-enrollment period known to highly correlate with post-enrollment usage.</w:t>
      </w:r>
      <w:r w:rsidRPr="00D30017">
        <w:rPr>
          <w:rFonts w:eastAsia="Calibri"/>
          <w:vertAlign w:val="superscript"/>
        </w:rPr>
        <w:footnoteReference w:id="102"/>
      </w:r>
      <w:r w:rsidRPr="00D30017">
        <w:rPr>
          <w:rFonts w:eastAsia="Calibri"/>
        </w:rPr>
        <w:t xml:space="preserve"> The covariate most likely to correlate with post-enrollment energy usage in a given time period is customer energy usage during the same period of the preceding year, but other observable factors may be used when available. Implementing MC requires customer usage data for the year preceding all opt-in customers’ decisions to participate in the program, along with a large group of nonparticipants who can be assumed to be similar to opt-in customers, aside from their program participation status. Whenever possible, the pool of potential matches should be drawn from the same geography, customer class, and rate category as the participants. </w:t>
      </w:r>
    </w:p>
    <w:p w14:paraId="4CEC5465" w14:textId="77777777" w:rsidR="00D34C6E" w:rsidRPr="00D30017" w:rsidRDefault="00D34C6E" w:rsidP="00D34C6E">
      <w:pPr>
        <w:rPr>
          <w:rFonts w:eastAsia="Calibri"/>
        </w:rPr>
      </w:pPr>
      <w:r w:rsidRPr="00D30017">
        <w:rPr>
          <w:rFonts w:eastAsia="Calibri"/>
        </w:rPr>
        <w:t>Another option is to pull the nonparticipants from a group of prior or future participants in the program (sometimes referred to as the cohort design</w:t>
      </w:r>
      <w:r w:rsidRPr="00D30017">
        <w:rPr>
          <w:rFonts w:ascii="Arial" w:eastAsia="Calibri" w:hAnsi="Arial" w:cs="Arial"/>
          <w:vertAlign w:val="superscript"/>
        </w:rPr>
        <w:footnoteReference w:id="103"/>
      </w:r>
      <w:r w:rsidRPr="00D30017">
        <w:rPr>
          <w:rFonts w:eastAsia="Calibri"/>
        </w:rPr>
        <w:t>). These groups are similar to current participants since we know that they also join the program at an earlier or future date, significantly mitigating the issue of self-selection bias (wherein, customers who join the program are different from those who do not in unobservable ways).</w:t>
      </w:r>
      <w:r w:rsidRPr="00D30017">
        <w:rPr>
          <w:rFonts w:ascii="Arial" w:eastAsia="Calibri" w:hAnsi="Arial" w:cs="Arial"/>
          <w:vertAlign w:val="superscript"/>
        </w:rPr>
        <w:footnoteReference w:id="104"/>
      </w:r>
      <w:r w:rsidRPr="00D30017">
        <w:rPr>
          <w:rFonts w:eastAsia="Calibri"/>
        </w:rPr>
        <w:t xml:space="preserve"> However, using this design can significantly decrease the number of participants for analysis and the size of the potential matching group. It can also require the evaluator to delay the analysis if more recent participants are being used as the comparison group.</w:t>
      </w:r>
      <w:r w:rsidRPr="00D30017">
        <w:rPr>
          <w:rFonts w:ascii="Arial" w:eastAsia="Calibri" w:hAnsi="Arial" w:cs="Arial"/>
          <w:vertAlign w:val="superscript"/>
        </w:rPr>
        <w:footnoteReference w:id="105"/>
      </w:r>
      <w:r w:rsidRPr="00D30017">
        <w:rPr>
          <w:rFonts w:eastAsia="Calibri"/>
        </w:rPr>
        <w:t xml:space="preserve"> </w:t>
      </w:r>
    </w:p>
    <w:p w14:paraId="216E74B2" w14:textId="77777777" w:rsidR="00D34C6E" w:rsidRPr="00D30017" w:rsidRDefault="00D34C6E" w:rsidP="00D34C6E">
      <w:pPr>
        <w:rPr>
          <w:rFonts w:eastAsia="Calibri"/>
        </w:rPr>
      </w:pPr>
      <w:r w:rsidRPr="00D30017">
        <w:rPr>
          <w:rFonts w:eastAsia="Calibri"/>
        </w:rPr>
        <w:t>The MC method involves identifying a nonparticipant customer whose energy usage closely matches that of a program participant in the months preceding the participant’s enrollment in the program. The logic inherent in this approach is: if the analyst finds a set of nonparticipants who, on average, are the same as participants regarding energy consumption before program enrollment, these matches will provide a good counterfactual estimate of how much energy participants would have used in the program’s absence.</w:t>
      </w:r>
    </w:p>
    <w:p w14:paraId="257F8783" w14:textId="77777777" w:rsidR="00D34C6E" w:rsidRPr="00D30017" w:rsidRDefault="00D34C6E" w:rsidP="00D34C6E">
      <w:pPr>
        <w:rPr>
          <w:rFonts w:eastAsia="Calibri"/>
        </w:rPr>
      </w:pPr>
      <w:r w:rsidRPr="00D30017">
        <w:rPr>
          <w:rFonts w:eastAsia="Calibri"/>
        </w:rPr>
        <w:t xml:space="preserve">The MC approach does present a main weakness: it can only identify matches based on observable customer characteristics, which leaves open the exclusion of the possible influence of relevant unobservable variables. While factors other than pre-enrollment energy usage plausibly could be used (e.g., household income, demographics, geographic location) in the matching process to address relevant unobservable characteristics (e.g., attitudes toward </w:t>
      </w:r>
      <w:r w:rsidRPr="00D30017">
        <w:rPr>
          <w:rFonts w:eastAsia="Calibri"/>
        </w:rPr>
        <w:lastRenderedPageBreak/>
        <w:t>energy conservation and environmental concerns), this assumption cannot be directly tested.</w:t>
      </w:r>
      <w:r w:rsidRPr="00D30017">
        <w:rPr>
          <w:rFonts w:eastAsia="Calibri"/>
          <w:vertAlign w:val="superscript"/>
        </w:rPr>
        <w:footnoteReference w:id="106"/>
      </w:r>
    </w:p>
    <w:p w14:paraId="287E84EF" w14:textId="77777777" w:rsidR="00D34C6E" w:rsidRPr="00D30017" w:rsidRDefault="00D34C6E" w:rsidP="00D34C6E">
      <w:pPr>
        <w:rPr>
          <w:rFonts w:eastAsia="Calibri"/>
        </w:rPr>
      </w:pPr>
      <w:r w:rsidRPr="00D30017">
        <w:rPr>
          <w:rFonts w:eastAsia="Calibri"/>
        </w:rPr>
        <w:t xml:space="preserve">There is a special case of MC called propensity-score matching. This develops a binary choice (logistic regression) model to predict the probability that a customer will opt into the program, and then, for a comparison group. </w:t>
      </w:r>
      <w:r w:rsidRPr="00D30017">
        <w:t xml:space="preserve">The logistic regression reduces each household’s set of covariates to a single propensity score. </w:t>
      </w:r>
      <w:r w:rsidRPr="00D30017">
        <w:rPr>
          <w:rFonts w:eastAsia="Calibri"/>
        </w:rPr>
        <w:t xml:space="preserve">Nonparticipants are then matched to participants based on their propensity scores. This functions well if observable variables used to calculate the propensity score sufficiently correlate with relevant unobservable variables to explain differences between treatment and control customers that cannot be explained by matching on observable variables. With most evaluations of energy efficiency programs, however, little (if any) data are available on nonparticipating customers other than their energy usage. In some cases, the demographic data necessary to estimate these models can be obtained from providers such as Experian and assigned to each participant and nonparticipant. </w:t>
      </w:r>
    </w:p>
    <w:p w14:paraId="18BE7E39" w14:textId="77777777" w:rsidR="00D34C6E" w:rsidRPr="00D30017" w:rsidRDefault="00D34C6E" w:rsidP="00D34C6E">
      <w:pPr>
        <w:rPr>
          <w:rFonts w:eastAsia="Calibri"/>
        </w:rPr>
      </w:pPr>
      <w:r w:rsidRPr="00D30017">
        <w:rPr>
          <w:rFonts w:eastAsia="Calibri"/>
          <w:b/>
        </w:rPr>
        <w:t xml:space="preserve">Self-Selection Bias and QED. </w:t>
      </w:r>
      <w:r w:rsidRPr="00D30017">
        <w:rPr>
          <w:rFonts w:eastAsia="Calibri"/>
        </w:rPr>
        <w:t xml:space="preserve">Self-selection bias due to observable and unobservable variables is always a possibility with QEDs. One can collect as much information as possible on both participants and members of the comparison group and include them as covariates in the regression model, but there may still be self-selection bias related to unobservable variables. Several techniques have been developed to help mitigate it. </w:t>
      </w:r>
      <w:r w:rsidRPr="00D30017">
        <w:t xml:space="preserve">Efforts to address the biasing effects of </w:t>
      </w:r>
      <w:r w:rsidRPr="00D30017">
        <w:rPr>
          <w:i/>
        </w:rPr>
        <w:t xml:space="preserve">unobserved </w:t>
      </w:r>
      <w:r w:rsidRPr="00D30017">
        <w:t>differences using Inverse Mills Ratios began at least as early as the late 1980s. Since then, Train (1993) and Goldberg and Train (1995), using simulated datasets, demonstrated that failing to correct for self-selection can overestimate net savings, but that there are effective strategies to reduce this bias substantially.</w:t>
      </w:r>
    </w:p>
    <w:p w14:paraId="5EFD096D" w14:textId="77777777" w:rsidR="00D34C6E" w:rsidRPr="00D30017" w:rsidRDefault="00D34C6E" w:rsidP="00D34C6E">
      <w:pPr>
        <w:widowControl/>
        <w:spacing w:before="200" w:after="200"/>
        <w:rPr>
          <w:rFonts w:cstheme="minorHAnsi"/>
          <w:szCs w:val="24"/>
        </w:rPr>
      </w:pPr>
      <w:r w:rsidRPr="00D30017">
        <w:rPr>
          <w:rFonts w:cstheme="minorHAnsi"/>
          <w:szCs w:val="24"/>
        </w:rPr>
        <w:t>One approach is to calculate and enter the propensity score, based on observable variables, as an additional covariate into the regression model. Of course, the most difficult issue to address is the differences between participants and nonparticipants that are unobserved and unobservable. To mitigate both overt and hidden bias, a variety of approaches that attempt to take advantage of recent developments in statistics and econometrics are available:</w:t>
      </w:r>
    </w:p>
    <w:p w14:paraId="2C5F87B2" w14:textId="77777777" w:rsidR="00D34C6E" w:rsidRPr="00D30017" w:rsidRDefault="00D34C6E" w:rsidP="00D34C6E">
      <w:pPr>
        <w:widowControl/>
        <w:numPr>
          <w:ilvl w:val="0"/>
          <w:numId w:val="70"/>
        </w:numPr>
        <w:spacing w:after="60"/>
        <w:rPr>
          <w:rFonts w:cstheme="minorHAnsi"/>
          <w:szCs w:val="24"/>
        </w:rPr>
      </w:pPr>
      <w:r w:rsidRPr="00D30017">
        <w:rPr>
          <w:rFonts w:cstheme="minorHAnsi"/>
          <w:szCs w:val="24"/>
        </w:rPr>
        <w:t>Sample selection models (e.g., Heckman’s two-step estimator (1978, 1979); treatment effect model (Green, 2003); instrumental variables estimator (Wooldridge, 2002)</w:t>
      </w:r>
    </w:p>
    <w:p w14:paraId="67E57D1F" w14:textId="77777777" w:rsidR="00D34C6E" w:rsidRPr="00D30017" w:rsidRDefault="00D34C6E" w:rsidP="00D34C6E">
      <w:pPr>
        <w:widowControl/>
        <w:numPr>
          <w:ilvl w:val="0"/>
          <w:numId w:val="70"/>
        </w:numPr>
        <w:spacing w:after="60"/>
        <w:rPr>
          <w:rFonts w:cstheme="minorHAnsi"/>
          <w:szCs w:val="24"/>
        </w:rPr>
      </w:pPr>
      <w:r w:rsidRPr="00D30017">
        <w:rPr>
          <w:rFonts w:cstheme="minorHAnsi"/>
          <w:szCs w:val="24"/>
        </w:rPr>
        <w:t xml:space="preserve">The propensity </w:t>
      </w:r>
      <w:proofErr w:type="gramStart"/>
      <w:r w:rsidRPr="00D30017">
        <w:rPr>
          <w:rFonts w:cstheme="minorHAnsi"/>
          <w:szCs w:val="24"/>
        </w:rPr>
        <w:t>score</w:t>
      </w:r>
      <w:proofErr w:type="gramEnd"/>
      <w:r w:rsidRPr="00D30017">
        <w:rPr>
          <w:rFonts w:cstheme="minorHAnsi"/>
          <w:szCs w:val="24"/>
        </w:rPr>
        <w:t xml:space="preserve"> matching model (Rosenbaum and Rubin, 1983, 1985; Hansen and Klopfer, 2006; Guo and Fraser, 2014)</w:t>
      </w:r>
      <w:r w:rsidRPr="00D30017">
        <w:rPr>
          <w:rFonts w:eastAsiaTheme="majorEastAsia" w:cstheme="minorHAnsi"/>
          <w:szCs w:val="24"/>
          <w:vertAlign w:val="superscript"/>
        </w:rPr>
        <w:footnoteReference w:id="107"/>
      </w:r>
    </w:p>
    <w:p w14:paraId="69FDF6B6" w14:textId="77777777" w:rsidR="00D34C6E" w:rsidRPr="00D30017" w:rsidRDefault="00D34C6E" w:rsidP="00D34C6E">
      <w:pPr>
        <w:widowControl/>
        <w:numPr>
          <w:ilvl w:val="0"/>
          <w:numId w:val="70"/>
        </w:numPr>
        <w:spacing w:after="60"/>
        <w:rPr>
          <w:rFonts w:cstheme="minorHAnsi"/>
          <w:szCs w:val="24"/>
        </w:rPr>
      </w:pPr>
      <w:r w:rsidRPr="00D30017">
        <w:rPr>
          <w:rFonts w:cstheme="minorHAnsi"/>
          <w:szCs w:val="24"/>
        </w:rPr>
        <w:t xml:space="preserve">Matching estimators and synthetic controls (Abadie and </w:t>
      </w:r>
      <w:proofErr w:type="spellStart"/>
      <w:r w:rsidRPr="00D30017">
        <w:rPr>
          <w:rFonts w:cstheme="minorHAnsi"/>
          <w:szCs w:val="24"/>
        </w:rPr>
        <w:t>Imbens</w:t>
      </w:r>
      <w:proofErr w:type="spellEnd"/>
      <w:r w:rsidRPr="00D30017">
        <w:rPr>
          <w:rFonts w:cstheme="minorHAnsi"/>
          <w:szCs w:val="24"/>
        </w:rPr>
        <w:t>, 2002, 2006)</w:t>
      </w:r>
    </w:p>
    <w:p w14:paraId="4EEE85E6" w14:textId="77777777" w:rsidR="00D34C6E" w:rsidRPr="00D30017" w:rsidRDefault="00D34C6E" w:rsidP="00D34C6E">
      <w:pPr>
        <w:numPr>
          <w:ilvl w:val="0"/>
          <w:numId w:val="70"/>
        </w:numPr>
        <w:spacing w:after="240"/>
        <w:rPr>
          <w:rFonts w:cstheme="minorHAnsi"/>
        </w:rPr>
      </w:pPr>
      <w:r w:rsidRPr="00D30017">
        <w:rPr>
          <w:rFonts w:cstheme="minorHAnsi"/>
        </w:rPr>
        <w:t>Instrumental variables approach with the predicted probability of participation serving as the instrumental variable and the inclusion of an Inverse Mills Ratio (IMR) (Goldberg et al., 2017)</w:t>
      </w:r>
    </w:p>
    <w:p w14:paraId="2F93A3F8" w14:textId="77777777" w:rsidR="00D34C6E" w:rsidRPr="00D30017" w:rsidRDefault="00D34C6E" w:rsidP="00D34C6E">
      <w:r w:rsidRPr="00D30017">
        <w:rPr>
          <w:rFonts w:eastAsia="Calibri"/>
        </w:rPr>
        <w:t>Another issue that should be considered is that, when using a comparison group in a QED, the composition of the comparison group needs to be carefully considered.</w:t>
      </w:r>
      <w:r w:rsidRPr="00D30017">
        <w:rPr>
          <w:rFonts w:ascii="Arial" w:eastAsia="Calibri" w:hAnsi="Arial" w:cs="Arial"/>
          <w:vertAlign w:val="superscript"/>
        </w:rPr>
        <w:footnoteReference w:id="108"/>
      </w:r>
      <w:r w:rsidRPr="00D30017">
        <w:rPr>
          <w:rFonts w:eastAsia="Calibri"/>
          <w:vertAlign w:val="superscript"/>
        </w:rPr>
        <w:t>,</w:t>
      </w:r>
      <w:r w:rsidRPr="00D30017">
        <w:rPr>
          <w:rFonts w:ascii="Arial" w:eastAsia="Calibri" w:hAnsi="Arial" w:cs="Arial"/>
          <w:vertAlign w:val="superscript"/>
        </w:rPr>
        <w:footnoteReference w:id="109"/>
      </w:r>
      <w:r w:rsidRPr="00D30017">
        <w:rPr>
          <w:rFonts w:eastAsia="Calibri"/>
        </w:rPr>
        <w:t xml:space="preserve"> For example, simply selecting a random sample of nonparticipants from the general nonparticipant population could result in an estimate of savings that is somewhere between net and gross, thus overestimating net savings. For</w:t>
      </w:r>
      <w:r w:rsidRPr="00D30017">
        <w:t xml:space="preserve"> a single-measure residential program like an air conditioner (AC) replacement program, the eligible population is the population of customers who have purchased a new air conditioner. That is, part of the eligible population appropriate to a net effects comparison group would be those who purchased and installed some air conditioner, whether efficient or not.</w:t>
      </w:r>
      <w:r w:rsidRPr="00D30017">
        <w:rPr>
          <w:rFonts w:eastAsia="Calibri"/>
        </w:rPr>
        <w:t xml:space="preserve"> Simply selecting from the general residential population would include households with no air conditioner, those with older ACs of varying vintages, those with new standard efficient ACs and those with new program-qualified ACs. The results would be virtually uninterpretable. Of course, for more complex multi-measure programs, finding the appropriate comparison group is far more challenging.</w:t>
      </w:r>
    </w:p>
    <w:p w14:paraId="4E062BA6" w14:textId="77777777" w:rsidR="00D34C6E" w:rsidRPr="00D30017" w:rsidRDefault="00D34C6E" w:rsidP="0018546C">
      <w:pPr>
        <w:pStyle w:val="Heading3"/>
      </w:pPr>
      <w:bookmarkStart w:id="1906" w:name="_Ref518049421"/>
      <w:bookmarkStart w:id="1907" w:name="_Toc113619833"/>
      <w:r w:rsidRPr="00D30017">
        <w:lastRenderedPageBreak/>
        <w:t>Consumption Data Analysis Designs without a Comparison Group</w:t>
      </w:r>
      <w:bookmarkEnd w:id="1906"/>
      <w:bookmarkEnd w:id="1907"/>
      <w:r w:rsidRPr="00D30017">
        <w:t xml:space="preserve"> </w:t>
      </w:r>
    </w:p>
    <w:p w14:paraId="5DC54EE1" w14:textId="77777777" w:rsidR="00D34C6E" w:rsidRPr="00D30017" w:rsidRDefault="00D34C6E" w:rsidP="00D34C6E">
      <w:pPr>
        <w:rPr>
          <w:rFonts w:eastAsia="Calibri"/>
        </w:rPr>
      </w:pPr>
      <w:r w:rsidRPr="00D30017">
        <w:rPr>
          <w:rFonts w:eastAsia="Calibri"/>
        </w:rPr>
        <w:t xml:space="preserve">Although less common, consumption data methods can also be used to estimate savings without the use of a comparison group. These methods typically estimate gross savings, and net savings are found by multiplying gross savings by a separately estimated NTGR. There are basically two types of pre/post models to estimate gross savings: </w:t>
      </w:r>
    </w:p>
    <w:p w14:paraId="756FE3D4" w14:textId="77777777" w:rsidR="00D34C6E" w:rsidRPr="00D30017" w:rsidRDefault="00D34C6E" w:rsidP="00D34C6E">
      <w:pPr>
        <w:numPr>
          <w:ilvl w:val="0"/>
          <w:numId w:val="72"/>
        </w:numPr>
        <w:spacing w:after="60"/>
        <w:rPr>
          <w:rFonts w:eastAsia="Calibri"/>
        </w:rPr>
      </w:pPr>
      <w:r w:rsidRPr="00D30017">
        <w:rPr>
          <w:rFonts w:eastAsia="Calibri"/>
        </w:rPr>
        <w:t xml:space="preserve">the </w:t>
      </w:r>
      <w:r w:rsidRPr="00D30017">
        <w:t>pooled participant-only linear fixed-effects approach</w:t>
      </w:r>
    </w:p>
    <w:p w14:paraId="608430E7" w14:textId="77777777" w:rsidR="00D34C6E" w:rsidRPr="00D30017" w:rsidRDefault="00D34C6E" w:rsidP="00D34C6E">
      <w:pPr>
        <w:numPr>
          <w:ilvl w:val="0"/>
          <w:numId w:val="72"/>
        </w:numPr>
        <w:rPr>
          <w:rFonts w:eastAsia="Calibri"/>
        </w:rPr>
      </w:pPr>
      <w:r w:rsidRPr="00D30017">
        <w:rPr>
          <w:rFonts w:eastAsia="Calibri"/>
        </w:rPr>
        <w:t xml:space="preserve">site-specific regression models  </w:t>
      </w:r>
    </w:p>
    <w:p w14:paraId="4A54F58B" w14:textId="77777777" w:rsidR="00D34C6E" w:rsidRPr="00D30017" w:rsidRDefault="00D34C6E" w:rsidP="00D34C6E">
      <w:pPr>
        <w:rPr>
          <w:rFonts w:eastAsia="Calibri"/>
        </w:rPr>
      </w:pPr>
      <w:r w:rsidRPr="00D30017">
        <w:rPr>
          <w:rFonts w:eastAsia="Calibri"/>
        </w:rPr>
        <w:t>In both modeling approaches, exogenous factors must be controlled for.</w:t>
      </w:r>
      <w:r w:rsidRPr="00D30017">
        <w:rPr>
          <w:rFonts w:ascii="Arial" w:eastAsia="Calibri" w:hAnsi="Arial" w:cs="Arial"/>
          <w:vertAlign w:val="superscript"/>
        </w:rPr>
        <w:footnoteReference w:id="110"/>
      </w:r>
      <w:r w:rsidRPr="00D30017">
        <w:rPr>
          <w:rFonts w:eastAsia="Calibri"/>
        </w:rPr>
        <w:t xml:space="preserve"> </w:t>
      </w:r>
    </w:p>
    <w:p w14:paraId="385CB75A" w14:textId="77777777" w:rsidR="00D34C6E" w:rsidRPr="00D30017" w:rsidRDefault="00D34C6E" w:rsidP="00D34C6E">
      <w:pPr>
        <w:rPr>
          <w:rFonts w:eastAsia="Calibri"/>
        </w:rPr>
      </w:pPr>
      <w:r w:rsidRPr="00D30017">
        <w:rPr>
          <w:rFonts w:eastAsia="Calibri"/>
          <w:b/>
        </w:rPr>
        <w:t>Pooled Approach</w:t>
      </w:r>
      <w:r w:rsidRPr="00D30017">
        <w:rPr>
          <w:b/>
        </w:rPr>
        <w:t xml:space="preserve">. </w:t>
      </w:r>
      <w:r w:rsidRPr="00D30017">
        <w:t>The pooled approach addresses exogenous change without the inclusion of a separate comparison group.</w:t>
      </w:r>
      <w:r w:rsidRPr="00D30017">
        <w:rPr>
          <w:rFonts w:eastAsia="Calibri"/>
        </w:rPr>
        <w:t xml:space="preserve"> </w:t>
      </w:r>
      <w:r w:rsidRPr="00D30017">
        <w:t>In this model, participants who received a measure installation during a certain time interval serve as a steady-state comparison for other participants in each other time interval. Almost all observation points include premises that are still in their pre-installation period and premises that are in their post-installation period, so the effect of post- versus pre- is estimated to control for exogenous trends. Note that if c</w:t>
      </w:r>
      <w:r w:rsidRPr="00D30017">
        <w:rPr>
          <w:rFonts w:eastAsia="Calibri"/>
        </w:rPr>
        <w:t xml:space="preserve">hanges at the site that affect energy use are not or cannot be explicitly modelled the estimated gross savings will be biased. This method is typically used in analysis of residential and small (and occasionally for large) commercial programs. </w:t>
      </w:r>
    </w:p>
    <w:p w14:paraId="57F2DA13" w14:textId="77777777" w:rsidR="00D34C6E" w:rsidRPr="00D30017" w:rsidRDefault="00D34C6E" w:rsidP="00D34C6E">
      <w:pPr>
        <w:rPr>
          <w:rFonts w:eastAsia="Calibri"/>
        </w:rPr>
      </w:pPr>
      <w:r w:rsidRPr="00D30017">
        <w:rPr>
          <w:rFonts w:eastAsia="Calibri"/>
          <w:b/>
        </w:rPr>
        <w:t xml:space="preserve">Site Specific Regression Models. </w:t>
      </w:r>
      <w:r w:rsidRPr="00D30017">
        <w:rPr>
          <w:rFonts w:eastAsia="Calibri"/>
        </w:rPr>
        <w:t>This approach involves the estimation of site-specific regression models to estimate savings. This method is often used for large commercial and industrial customers or in other situations where it is difficult to identify an adequate comparison group (for example, in evaluation of Strategic Energy Management programs). In these cases, single customer regressions are typically run as a time series without a cross-section of customers.</w:t>
      </w:r>
    </w:p>
    <w:p w14:paraId="1AA4F7B3" w14:textId="77777777" w:rsidR="00D34C6E" w:rsidRPr="00D30017" w:rsidRDefault="00D34C6E" w:rsidP="00D34C6E">
      <w:pPr>
        <w:rPr>
          <w:rFonts w:eastAsia="Calibri"/>
        </w:rPr>
      </w:pPr>
      <w:r w:rsidRPr="00D30017">
        <w:rPr>
          <w:rFonts w:eastAsia="Calibri"/>
        </w:rPr>
        <w:t>Note that both the pooled approach and the site-specific approach and the conditions that must be met before using them are discussed in Agnew and Goldberg (2017).</w:t>
      </w:r>
    </w:p>
    <w:p w14:paraId="45BF5DFA" w14:textId="77777777" w:rsidR="00D34C6E" w:rsidRPr="00D30017" w:rsidRDefault="00D34C6E" w:rsidP="0018546C">
      <w:pPr>
        <w:pStyle w:val="Heading3"/>
      </w:pPr>
      <w:bookmarkStart w:id="1908" w:name="_Toc113619834"/>
      <w:r w:rsidRPr="00D30017">
        <w:t>Program Implementation and Consumption Data Analysis</w:t>
      </w:r>
      <w:bookmarkEnd w:id="1908"/>
    </w:p>
    <w:p w14:paraId="59851264" w14:textId="77777777" w:rsidR="00D34C6E" w:rsidRPr="00D30017" w:rsidRDefault="00D34C6E" w:rsidP="00D34C6E">
      <w:r w:rsidRPr="00D30017">
        <w:t xml:space="preserve">The approach the evaluation can use to estimate net savings is greatly dependent on the design of the program and the size of the expected savings (i.e., the signal-to-noise ratio). </w:t>
      </w:r>
    </w:p>
    <w:p w14:paraId="611F669C" w14:textId="77777777" w:rsidR="00D34C6E" w:rsidRPr="00D30017" w:rsidRDefault="00D34C6E" w:rsidP="00D34C6E">
      <w:pPr>
        <w:rPr>
          <w:rFonts w:eastAsia="Franklin Gothic Book"/>
        </w:rPr>
      </w:pPr>
      <w:r w:rsidRPr="00D30017">
        <w:rPr>
          <w:rFonts w:eastAsia="Franklin Gothic Book"/>
          <w:b/>
        </w:rPr>
        <w:t>RCT and RED</w:t>
      </w:r>
      <w:r w:rsidRPr="00D30017">
        <w:rPr>
          <w:rFonts w:eastAsia="Franklin Gothic Book"/>
        </w:rPr>
        <w:t>: These designs must be integral to a program’s implementation. Without the ability to randomly assign customers to the control and treatment groups (or at least randomly encourage customers to participate in a program), the ability of the design to yield unambiguous estimates of net impacts is compromised. Evaluators often help design how a program is implemented. However, if they not involved at the outset, they cannot carefully review choices made by the implementation team. RCT and RED designs are difficult to perform well within the commercial and industrial sectors due to a low signal-to-noise ratio. One solution for these two sectors is to increase the sample size but this is not always feasible.</w:t>
      </w:r>
    </w:p>
    <w:p w14:paraId="0CB0582D" w14:textId="77777777" w:rsidR="00D34C6E" w:rsidRPr="00D30017" w:rsidRDefault="00D34C6E" w:rsidP="00D34C6E">
      <w:pPr>
        <w:rPr>
          <w:rFonts w:eastAsia="Franklin Gothic Book"/>
        </w:rPr>
      </w:pPr>
      <w:r w:rsidRPr="005F2D93">
        <w:rPr>
          <w:rFonts w:eastAsia="Franklin Gothic Book"/>
          <w:b/>
        </w:rPr>
        <w:t>QED</w:t>
      </w:r>
      <w:r w:rsidRPr="00D30017">
        <w:rPr>
          <w:rFonts w:eastAsia="Franklin Gothic Book"/>
        </w:rPr>
        <w:t>: A QED may be designed after a program has been implemented. It relies on determination of an equivalent comparison group, which is often chosen based on energy use and other variables, if available. QED is also difficult to perform well within the commercial and industrial sectors due to a low signal-to-noise ratio. One solution for these two sectors is to increase the sample size but this is not always feasible.</w:t>
      </w:r>
      <w:r w:rsidRPr="00D30017">
        <w:rPr>
          <w:rFonts w:ascii="Arial" w:eastAsia="Franklin Gothic Book" w:hAnsi="Arial" w:cs="Arial"/>
          <w:vertAlign w:val="superscript"/>
        </w:rPr>
        <w:footnoteReference w:id="111"/>
      </w:r>
    </w:p>
    <w:p w14:paraId="6433603B" w14:textId="77777777" w:rsidR="00D34C6E" w:rsidRPr="00D30017" w:rsidRDefault="00D34C6E" w:rsidP="00D34C6E">
      <w:pPr>
        <w:rPr>
          <w:rFonts w:eastAsia="Franklin Gothic Book"/>
        </w:rPr>
      </w:pPr>
      <w:r w:rsidRPr="00D30017">
        <w:rPr>
          <w:rFonts w:eastAsia="Franklin Gothic Book"/>
          <w:b/>
        </w:rPr>
        <w:t>Methods without a</w:t>
      </w:r>
      <w:r w:rsidRPr="00D30017">
        <w:rPr>
          <w:b/>
        </w:rPr>
        <w:t xml:space="preserve"> </w:t>
      </w:r>
      <w:r w:rsidRPr="00D30017">
        <w:rPr>
          <w:rFonts w:eastAsia="Franklin Gothic Book"/>
          <w:b/>
        </w:rPr>
        <w:t>Comparison Group</w:t>
      </w:r>
      <w:r w:rsidRPr="00D30017">
        <w:rPr>
          <w:rFonts w:eastAsia="Franklin Gothic Book"/>
        </w:rPr>
        <w:t>: These methods can also be implemented by the evaluator after the program has been designed. They are most appropriate in situations where it is difficult to construct an appropriate comparison group.</w:t>
      </w:r>
    </w:p>
    <w:p w14:paraId="21FFA5E1" w14:textId="77777777" w:rsidR="00D34C6E" w:rsidRPr="00D30017" w:rsidRDefault="00D34C6E" w:rsidP="00D34C6E">
      <w:pPr>
        <w:rPr>
          <w:rFonts w:eastAsia="Calibri"/>
        </w:rPr>
      </w:pPr>
      <w:r w:rsidRPr="00D30017">
        <w:rPr>
          <w:rFonts w:eastAsia="Franklin Gothic Book"/>
        </w:rPr>
        <w:t>For any kind of evaluation design, evaluators may also analyze the data to help understand the savings within specific segments if sufficient information and data points are available.</w:t>
      </w:r>
    </w:p>
    <w:p w14:paraId="678B7889" w14:textId="77777777" w:rsidR="00D34C6E" w:rsidRPr="00D30017" w:rsidRDefault="00D34C6E" w:rsidP="00D34C6E">
      <w:pPr>
        <w:rPr>
          <w:rFonts w:eastAsia="Franklin Gothic Book"/>
          <w:b/>
        </w:rPr>
      </w:pPr>
      <w:r w:rsidRPr="00D30017">
        <w:rPr>
          <w:rFonts w:eastAsia="Franklin Gothic Book"/>
          <w:b/>
        </w:rPr>
        <w:lastRenderedPageBreak/>
        <w:t>References</w:t>
      </w:r>
    </w:p>
    <w:p w14:paraId="6C9C0AC4" w14:textId="77777777" w:rsidR="00D34C6E" w:rsidRPr="00D30017" w:rsidRDefault="00D34C6E" w:rsidP="00D34C6E">
      <w:pPr>
        <w:widowControl/>
        <w:numPr>
          <w:ilvl w:val="0"/>
          <w:numId w:val="1"/>
        </w:numPr>
        <w:spacing w:after="60"/>
        <w:jc w:val="left"/>
        <w:rPr>
          <w:rFonts w:eastAsia="Franklin Gothic Book"/>
        </w:rPr>
      </w:pPr>
      <w:r w:rsidRPr="00D30017">
        <w:rPr>
          <w:szCs w:val="20"/>
        </w:rPr>
        <w:t xml:space="preserve">Abadie, </w:t>
      </w:r>
      <w:proofErr w:type="spellStart"/>
      <w:r w:rsidRPr="00D30017">
        <w:t>Imbens</w:t>
      </w:r>
      <w:proofErr w:type="spellEnd"/>
      <w:r w:rsidRPr="00D30017">
        <w:t>, 2002, 2006</w:t>
      </w:r>
    </w:p>
    <w:p w14:paraId="3955E9BB" w14:textId="77777777" w:rsidR="00D34C6E" w:rsidRPr="00D30017" w:rsidRDefault="00D34C6E" w:rsidP="00D34C6E">
      <w:pPr>
        <w:widowControl/>
        <w:numPr>
          <w:ilvl w:val="0"/>
          <w:numId w:val="1"/>
        </w:numPr>
        <w:spacing w:after="60"/>
        <w:jc w:val="left"/>
        <w:rPr>
          <w:rFonts w:eastAsia="Franklin Gothic Book"/>
        </w:rPr>
      </w:pPr>
      <w:r w:rsidRPr="00D30017">
        <w:t>Agnew, Goldberg, 2017</w:t>
      </w:r>
    </w:p>
    <w:p w14:paraId="2FF46D65" w14:textId="77777777" w:rsidR="00D34C6E" w:rsidRPr="00D30017" w:rsidRDefault="00D34C6E" w:rsidP="00D34C6E">
      <w:pPr>
        <w:widowControl/>
        <w:numPr>
          <w:ilvl w:val="0"/>
          <w:numId w:val="1"/>
        </w:numPr>
        <w:spacing w:after="60"/>
        <w:jc w:val="left"/>
        <w:rPr>
          <w:rFonts w:eastAsia="Franklin Gothic Book"/>
        </w:rPr>
      </w:pPr>
      <w:r w:rsidRPr="00D30017">
        <w:rPr>
          <w:rFonts w:eastAsia="Franklin Gothic Book"/>
        </w:rPr>
        <w:t>Donaldson, 2009</w:t>
      </w:r>
    </w:p>
    <w:p w14:paraId="4F1599F3" w14:textId="77777777" w:rsidR="00D34C6E" w:rsidRPr="00D30017" w:rsidRDefault="00D34C6E" w:rsidP="00D34C6E">
      <w:pPr>
        <w:widowControl/>
        <w:numPr>
          <w:ilvl w:val="0"/>
          <w:numId w:val="1"/>
        </w:numPr>
        <w:spacing w:after="60"/>
        <w:jc w:val="left"/>
        <w:rPr>
          <w:rFonts w:eastAsia="Franklin Gothic Book"/>
        </w:rPr>
      </w:pPr>
      <w:r w:rsidRPr="00D30017">
        <w:t>Fowlie, Greenstone, Wolfram, 2015</w:t>
      </w:r>
    </w:p>
    <w:p w14:paraId="0ABFEC74" w14:textId="77777777" w:rsidR="00D34C6E" w:rsidRPr="00D30017" w:rsidRDefault="00D34C6E" w:rsidP="00D34C6E">
      <w:pPr>
        <w:widowControl/>
        <w:numPr>
          <w:ilvl w:val="0"/>
          <w:numId w:val="1"/>
        </w:numPr>
        <w:spacing w:after="60"/>
        <w:jc w:val="left"/>
        <w:rPr>
          <w:rFonts w:eastAsia="Franklin Gothic Book"/>
        </w:rPr>
      </w:pPr>
      <w:r w:rsidRPr="00D30017">
        <w:t>Goldberg, Agnew, Train, Fowlie, 2017</w:t>
      </w:r>
    </w:p>
    <w:p w14:paraId="7FDEC433" w14:textId="77777777" w:rsidR="00D34C6E" w:rsidRPr="00D30017" w:rsidRDefault="00D34C6E" w:rsidP="00D34C6E">
      <w:pPr>
        <w:widowControl/>
        <w:numPr>
          <w:ilvl w:val="0"/>
          <w:numId w:val="1"/>
        </w:numPr>
        <w:spacing w:after="60"/>
        <w:jc w:val="left"/>
        <w:rPr>
          <w:rFonts w:eastAsia="Franklin Gothic Book"/>
        </w:rPr>
      </w:pPr>
      <w:r w:rsidRPr="00D30017">
        <w:t>Goldberg, Train, 1995</w:t>
      </w:r>
    </w:p>
    <w:p w14:paraId="2019E339" w14:textId="77777777" w:rsidR="00D34C6E" w:rsidRPr="00D30017" w:rsidRDefault="00D34C6E" w:rsidP="00D34C6E">
      <w:pPr>
        <w:widowControl/>
        <w:numPr>
          <w:ilvl w:val="0"/>
          <w:numId w:val="1"/>
        </w:numPr>
        <w:spacing w:after="60"/>
        <w:jc w:val="left"/>
        <w:rPr>
          <w:rFonts w:eastAsia="Franklin Gothic Book"/>
        </w:rPr>
      </w:pPr>
      <w:r w:rsidRPr="00D30017">
        <w:t>Green, 2003</w:t>
      </w:r>
    </w:p>
    <w:p w14:paraId="1C2EBD94" w14:textId="77777777" w:rsidR="00D34C6E" w:rsidRPr="00D30017" w:rsidRDefault="00D34C6E" w:rsidP="00D34C6E">
      <w:pPr>
        <w:widowControl/>
        <w:numPr>
          <w:ilvl w:val="0"/>
          <w:numId w:val="1"/>
        </w:numPr>
        <w:spacing w:after="60"/>
        <w:jc w:val="left"/>
        <w:rPr>
          <w:rFonts w:eastAsia="Franklin Gothic Book"/>
        </w:rPr>
      </w:pPr>
      <w:r w:rsidRPr="00D30017">
        <w:t>Guo</w:t>
      </w:r>
      <w:r w:rsidRPr="00D30017">
        <w:rPr>
          <w:szCs w:val="20"/>
        </w:rPr>
        <w:t>,</w:t>
      </w:r>
      <w:r w:rsidRPr="00D30017">
        <w:t xml:space="preserve"> Fraser, 2014</w:t>
      </w:r>
    </w:p>
    <w:p w14:paraId="482B8F43" w14:textId="77777777" w:rsidR="00D34C6E" w:rsidRPr="00D30017" w:rsidRDefault="00D34C6E" w:rsidP="00D34C6E">
      <w:pPr>
        <w:widowControl/>
        <w:numPr>
          <w:ilvl w:val="0"/>
          <w:numId w:val="1"/>
        </w:numPr>
        <w:spacing w:after="60"/>
        <w:jc w:val="left"/>
        <w:rPr>
          <w:rFonts w:eastAsia="Franklin Gothic Book"/>
        </w:rPr>
      </w:pPr>
      <w:r w:rsidRPr="00D30017">
        <w:t>Hansen</w:t>
      </w:r>
      <w:r w:rsidRPr="00D30017">
        <w:rPr>
          <w:szCs w:val="20"/>
        </w:rPr>
        <w:t>,</w:t>
      </w:r>
      <w:r w:rsidRPr="00D30017">
        <w:t xml:space="preserve"> Klopfer, 2006</w:t>
      </w:r>
    </w:p>
    <w:p w14:paraId="4A23D588" w14:textId="77777777" w:rsidR="00D34C6E" w:rsidRPr="00D30017" w:rsidRDefault="00D34C6E" w:rsidP="00D34C6E">
      <w:pPr>
        <w:widowControl/>
        <w:numPr>
          <w:ilvl w:val="0"/>
          <w:numId w:val="1"/>
        </w:numPr>
        <w:spacing w:after="60"/>
        <w:jc w:val="left"/>
        <w:rPr>
          <w:rFonts w:eastAsia="Franklin Gothic Book"/>
        </w:rPr>
      </w:pPr>
      <w:r w:rsidRPr="00D30017">
        <w:t xml:space="preserve">Harding, </w:t>
      </w:r>
      <w:proofErr w:type="spellStart"/>
      <w:r w:rsidRPr="00D30017">
        <w:t>Hsiaw</w:t>
      </w:r>
      <w:proofErr w:type="spellEnd"/>
      <w:r w:rsidRPr="00D30017">
        <w:t>, 2013</w:t>
      </w:r>
    </w:p>
    <w:p w14:paraId="5BC3943A" w14:textId="77777777" w:rsidR="00D34C6E" w:rsidRPr="00D30017" w:rsidRDefault="00D34C6E" w:rsidP="00D34C6E">
      <w:pPr>
        <w:widowControl/>
        <w:numPr>
          <w:ilvl w:val="0"/>
          <w:numId w:val="1"/>
        </w:numPr>
        <w:spacing w:after="60"/>
        <w:jc w:val="left"/>
        <w:rPr>
          <w:rFonts w:eastAsia="Franklin Gothic Book"/>
        </w:rPr>
      </w:pPr>
      <w:r w:rsidRPr="00D30017">
        <w:t>Heckman</w:t>
      </w:r>
      <w:r w:rsidRPr="00D30017">
        <w:rPr>
          <w:szCs w:val="20"/>
        </w:rPr>
        <w:t>, 1978, 1979</w:t>
      </w:r>
    </w:p>
    <w:p w14:paraId="791A5C65" w14:textId="77777777" w:rsidR="00D34C6E" w:rsidRPr="00D30017" w:rsidRDefault="00D34C6E" w:rsidP="00D34C6E">
      <w:pPr>
        <w:widowControl/>
        <w:numPr>
          <w:ilvl w:val="0"/>
          <w:numId w:val="1"/>
        </w:numPr>
        <w:spacing w:after="60"/>
        <w:jc w:val="left"/>
        <w:rPr>
          <w:rFonts w:eastAsia="Franklin Gothic Book"/>
        </w:rPr>
      </w:pPr>
      <w:r w:rsidRPr="00D30017">
        <w:t>Ho, Imai, King, Stuart, 2007</w:t>
      </w:r>
    </w:p>
    <w:p w14:paraId="03577B0B" w14:textId="77777777" w:rsidR="00D34C6E" w:rsidRPr="00D30017" w:rsidRDefault="00D34C6E" w:rsidP="00D34C6E">
      <w:pPr>
        <w:widowControl/>
        <w:numPr>
          <w:ilvl w:val="0"/>
          <w:numId w:val="1"/>
        </w:numPr>
        <w:spacing w:after="60"/>
        <w:jc w:val="left"/>
        <w:rPr>
          <w:rFonts w:eastAsia="Franklin Gothic Book"/>
        </w:rPr>
      </w:pPr>
      <w:r w:rsidRPr="00D30017">
        <w:rPr>
          <w:rFonts w:eastAsia="Franklin Gothic Book"/>
        </w:rPr>
        <w:t>Mohr, 1995</w:t>
      </w:r>
    </w:p>
    <w:p w14:paraId="4E17FB49" w14:textId="77777777" w:rsidR="00D34C6E" w:rsidRPr="00D30017" w:rsidRDefault="00D34C6E" w:rsidP="00D34C6E">
      <w:pPr>
        <w:widowControl/>
        <w:numPr>
          <w:ilvl w:val="0"/>
          <w:numId w:val="1"/>
        </w:numPr>
        <w:spacing w:after="60"/>
        <w:jc w:val="left"/>
        <w:rPr>
          <w:rFonts w:eastAsia="Franklin Gothic Book"/>
        </w:rPr>
      </w:pPr>
      <w:proofErr w:type="spellStart"/>
      <w:r w:rsidRPr="00D30017">
        <w:rPr>
          <w:rFonts w:eastAsia="Franklin Gothic Book"/>
        </w:rPr>
        <w:t>Shadish</w:t>
      </w:r>
      <w:proofErr w:type="spellEnd"/>
      <w:r w:rsidRPr="00D30017">
        <w:rPr>
          <w:rFonts w:eastAsia="Franklin Gothic Book"/>
        </w:rPr>
        <w:t>, Cook, Campbell, 2002</w:t>
      </w:r>
    </w:p>
    <w:p w14:paraId="090FF265" w14:textId="77777777" w:rsidR="00D34C6E" w:rsidRPr="00D30017" w:rsidRDefault="00D34C6E" w:rsidP="00D34C6E">
      <w:pPr>
        <w:widowControl/>
        <w:numPr>
          <w:ilvl w:val="0"/>
          <w:numId w:val="1"/>
        </w:numPr>
        <w:spacing w:after="60"/>
        <w:jc w:val="left"/>
        <w:rPr>
          <w:rFonts w:eastAsia="Franklin Gothic Book"/>
        </w:rPr>
      </w:pPr>
      <w:r w:rsidRPr="00D30017">
        <w:rPr>
          <w:rFonts w:eastAsia="Franklin Gothic Book"/>
        </w:rPr>
        <w:t>Scriven, 2008</w:t>
      </w:r>
    </w:p>
    <w:p w14:paraId="43D2BC1F" w14:textId="77777777" w:rsidR="00D34C6E" w:rsidRPr="00D30017" w:rsidRDefault="00D34C6E" w:rsidP="00D34C6E">
      <w:pPr>
        <w:widowControl/>
        <w:numPr>
          <w:ilvl w:val="0"/>
          <w:numId w:val="1"/>
        </w:numPr>
        <w:spacing w:after="60"/>
        <w:jc w:val="left"/>
        <w:rPr>
          <w:rFonts w:eastAsia="Franklin Gothic Book"/>
        </w:rPr>
      </w:pPr>
      <w:r w:rsidRPr="00D30017">
        <w:rPr>
          <w:rFonts w:eastAsia="Franklin Gothic Book"/>
        </w:rPr>
        <w:t>Randazzo, Ridge, Wayland, 2017</w:t>
      </w:r>
    </w:p>
    <w:p w14:paraId="0687CA48" w14:textId="77777777" w:rsidR="00D34C6E" w:rsidRPr="00D30017" w:rsidRDefault="00D34C6E" w:rsidP="00D34C6E">
      <w:pPr>
        <w:widowControl/>
        <w:numPr>
          <w:ilvl w:val="0"/>
          <w:numId w:val="1"/>
        </w:numPr>
        <w:spacing w:after="60"/>
        <w:jc w:val="left"/>
        <w:rPr>
          <w:rFonts w:eastAsia="Franklin Gothic Book"/>
        </w:rPr>
      </w:pPr>
      <w:r w:rsidRPr="00D30017">
        <w:t>Rosenbaum</w:t>
      </w:r>
      <w:r w:rsidRPr="00D30017">
        <w:rPr>
          <w:szCs w:val="20"/>
        </w:rPr>
        <w:t>,</w:t>
      </w:r>
      <w:r w:rsidRPr="00D30017">
        <w:t xml:space="preserve"> Rubin, 1983, 1985</w:t>
      </w:r>
    </w:p>
    <w:p w14:paraId="2267D78B" w14:textId="77777777" w:rsidR="00D34C6E" w:rsidRPr="00D30017" w:rsidRDefault="00D34C6E" w:rsidP="00D34C6E">
      <w:pPr>
        <w:widowControl/>
        <w:numPr>
          <w:ilvl w:val="0"/>
          <w:numId w:val="1"/>
        </w:numPr>
        <w:spacing w:after="60"/>
        <w:jc w:val="left"/>
        <w:rPr>
          <w:rFonts w:eastAsia="Franklin Gothic Book"/>
        </w:rPr>
      </w:pPr>
      <w:r w:rsidRPr="00D30017">
        <w:t>Train, 1993</w:t>
      </w:r>
    </w:p>
    <w:p w14:paraId="04C4A97F" w14:textId="77777777" w:rsidR="00D34C6E" w:rsidRPr="00D30017" w:rsidRDefault="00D34C6E" w:rsidP="00D34C6E">
      <w:pPr>
        <w:widowControl/>
        <w:numPr>
          <w:ilvl w:val="0"/>
          <w:numId w:val="1"/>
        </w:numPr>
        <w:jc w:val="left"/>
        <w:rPr>
          <w:rFonts w:eastAsia="Franklin Gothic Book"/>
        </w:rPr>
      </w:pPr>
      <w:r w:rsidRPr="00D30017">
        <w:t>Wooldridge, 2002</w:t>
      </w:r>
    </w:p>
    <w:p w14:paraId="07A710E2" w14:textId="77D5F243" w:rsidR="00D34C6E" w:rsidRPr="0039513F" w:rsidRDefault="00D34C6E" w:rsidP="00D34C6E">
      <w:pPr>
        <w:pStyle w:val="Heading2"/>
        <w:keepLines w:val="0"/>
        <w:widowControl/>
        <w:numPr>
          <w:ilvl w:val="1"/>
          <w:numId w:val="8"/>
        </w:numPr>
        <w:jc w:val="left"/>
      </w:pPr>
      <w:bookmarkStart w:id="1909" w:name="_Toc520824190"/>
      <w:bookmarkStart w:id="1910" w:name="_Toc520824191"/>
      <w:bookmarkStart w:id="1911" w:name="_Toc520824192"/>
      <w:bookmarkStart w:id="1912" w:name="_Toc520824193"/>
      <w:bookmarkStart w:id="1913" w:name="_Toc520824194"/>
      <w:bookmarkStart w:id="1914" w:name="_Toc520824195"/>
      <w:bookmarkStart w:id="1915" w:name="_Toc520824196"/>
      <w:bookmarkStart w:id="1916" w:name="_Toc520824197"/>
      <w:bookmarkStart w:id="1917" w:name="_Toc520824198"/>
      <w:bookmarkStart w:id="1918" w:name="_Toc520824199"/>
      <w:bookmarkStart w:id="1919" w:name="_Toc520824200"/>
      <w:bookmarkStart w:id="1920" w:name="_Toc520824201"/>
      <w:bookmarkStart w:id="1921" w:name="_Toc520440439"/>
      <w:bookmarkStart w:id="1922" w:name="_Toc520440527"/>
      <w:bookmarkStart w:id="1923" w:name="_Toc520824202"/>
      <w:bookmarkStart w:id="1924" w:name="_Toc520440440"/>
      <w:bookmarkStart w:id="1925" w:name="_Toc520440528"/>
      <w:bookmarkStart w:id="1926" w:name="_Toc520824203"/>
      <w:bookmarkStart w:id="1927" w:name="_Toc520440441"/>
      <w:bookmarkStart w:id="1928" w:name="_Toc520440529"/>
      <w:bookmarkStart w:id="1929" w:name="_Toc520824204"/>
      <w:bookmarkStart w:id="1930" w:name="_Toc520440442"/>
      <w:bookmarkStart w:id="1931" w:name="_Toc520440530"/>
      <w:bookmarkStart w:id="1932" w:name="_Toc520824205"/>
      <w:bookmarkStart w:id="1933" w:name="_Toc520440443"/>
      <w:bookmarkStart w:id="1934" w:name="_Toc520440531"/>
      <w:bookmarkStart w:id="1935" w:name="_Toc520824206"/>
      <w:bookmarkStart w:id="1936" w:name="_Toc520440444"/>
      <w:bookmarkStart w:id="1937" w:name="_Toc520440532"/>
      <w:bookmarkStart w:id="1938" w:name="_Toc520824207"/>
      <w:bookmarkStart w:id="1939" w:name="_Toc520440445"/>
      <w:bookmarkStart w:id="1940" w:name="_Toc520440533"/>
      <w:bookmarkStart w:id="1941" w:name="_Toc520824208"/>
      <w:bookmarkStart w:id="1942" w:name="_Toc520824209"/>
      <w:bookmarkStart w:id="1943" w:name="_Toc520824210"/>
      <w:bookmarkStart w:id="1944" w:name="_Toc520824211"/>
      <w:bookmarkStart w:id="1945" w:name="_Toc520824212"/>
      <w:bookmarkStart w:id="1946" w:name="_Toc520824213"/>
      <w:bookmarkStart w:id="1947" w:name="_Toc520824214"/>
      <w:bookmarkStart w:id="1948" w:name="_Toc520824215"/>
      <w:bookmarkStart w:id="1949" w:name="_Toc520824216"/>
      <w:bookmarkStart w:id="1950" w:name="_Toc520824217"/>
      <w:bookmarkStart w:id="1951" w:name="_Toc520824218"/>
      <w:bookmarkStart w:id="1952" w:name="_Toc520824219"/>
      <w:bookmarkStart w:id="1953" w:name="_Toc520824220"/>
      <w:bookmarkStart w:id="1954" w:name="_Toc520824221"/>
      <w:bookmarkStart w:id="1955" w:name="_Toc520824222"/>
      <w:bookmarkStart w:id="1956" w:name="_Toc520824223"/>
      <w:bookmarkStart w:id="1957" w:name="_Toc520824224"/>
      <w:bookmarkStart w:id="1958" w:name="_Toc520824225"/>
      <w:bookmarkStart w:id="1959" w:name="_Toc520824226"/>
      <w:bookmarkStart w:id="1960" w:name="_Toc520824227"/>
      <w:bookmarkStart w:id="1961" w:name="_Toc520824228"/>
      <w:bookmarkStart w:id="1962" w:name="_Toc520824229"/>
      <w:bookmarkStart w:id="1963" w:name="_Toc520824230"/>
      <w:bookmarkStart w:id="1964" w:name="_Toc520824231"/>
      <w:bookmarkStart w:id="1965" w:name="_Toc520824232"/>
      <w:bookmarkStart w:id="1966" w:name="_Toc520824233"/>
      <w:bookmarkStart w:id="1967" w:name="_Toc520824234"/>
      <w:bookmarkStart w:id="1968" w:name="_Toc520824235"/>
      <w:bookmarkStart w:id="1969" w:name="_Toc520824236"/>
      <w:bookmarkStart w:id="1970" w:name="_Toc520824237"/>
      <w:bookmarkStart w:id="1971" w:name="_Toc520824238"/>
      <w:bookmarkStart w:id="1972" w:name="_Toc520824239"/>
      <w:bookmarkStart w:id="1973" w:name="_Toc520824240"/>
      <w:bookmarkStart w:id="1974" w:name="_Toc520824241"/>
      <w:bookmarkStart w:id="1975" w:name="_Toc16619980"/>
      <w:bookmarkStart w:id="1976" w:name="_Toc113619835"/>
      <w:bookmarkStart w:id="1977" w:name="_Toc431526495"/>
      <w:bookmarkStart w:id="1978" w:name="_Ref442305183"/>
      <w:bookmarkStart w:id="1979" w:name="_Ref442305189"/>
      <w:bookmarkStart w:id="1980" w:name="_Toc442804326"/>
      <w:bookmarkStart w:id="1981" w:name="_Toc442805543"/>
      <w:bookmarkStart w:id="1982" w:name="_Toc472494734"/>
      <w:bookmarkStart w:id="1983" w:name="_Toc520462941"/>
      <w:bookmarkStart w:id="1984" w:name="_Toc473108076"/>
      <w:bookmarkStart w:id="1985" w:name="_Toc520824242"/>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r w:rsidRPr="0039513F">
        <w:t>Midstream Free-Ridership Protocol</w:t>
      </w:r>
      <w:r w:rsidRPr="00A74964">
        <w:rPr>
          <w:vertAlign w:val="superscript"/>
        </w:rPr>
        <w:footnoteReference w:id="112"/>
      </w:r>
      <w:bookmarkEnd w:id="1975"/>
      <w:bookmarkEnd w:id="1976"/>
      <w:r w:rsidRPr="0039513F">
        <w:tab/>
      </w:r>
    </w:p>
    <w:p w14:paraId="48146E62" w14:textId="5DC3B471" w:rsidR="00D34C6E" w:rsidRPr="005B123A" w:rsidRDefault="00D34C6E" w:rsidP="005B123A">
      <w:pPr>
        <w:rPr>
          <w:rFonts w:eastAsiaTheme="majorEastAsia"/>
        </w:rPr>
      </w:pPr>
      <w:r w:rsidRPr="00B429EF">
        <w:t xml:space="preserve">Typical energy efficiency programs offer incentives to end-use customers to purchase more efficient equipment. These </w:t>
      </w:r>
      <w:r>
        <w:t>can be</w:t>
      </w:r>
      <w:r w:rsidRPr="00B429EF">
        <w:t xml:space="preserve"> referred to as “downstream” incentives, or downstream programs. Moving up the supply chain, the next entities are distributors, contractors</w:t>
      </w:r>
      <w:r>
        <w:t>,</w:t>
      </w:r>
      <w:r w:rsidRPr="00B429EF">
        <w:t xml:space="preserve"> and design professionals. </w:t>
      </w:r>
      <w:r>
        <w:t>P</w:t>
      </w:r>
      <w:r w:rsidRPr="00B429EF">
        <w:t xml:space="preserve">rograms aimed at influencing these market actors are referred to as “midstream” programs. </w:t>
      </w:r>
      <w:r>
        <w:t>“Upstream” programs target m</w:t>
      </w:r>
      <w:r w:rsidRPr="00B429EF">
        <w:t>anufacturers</w:t>
      </w:r>
      <w:r>
        <w:t xml:space="preserve"> and potentially retailers.</w:t>
      </w:r>
    </w:p>
    <w:p w14:paraId="52DB9000" w14:textId="7617B1F5" w:rsidR="00D34C6E" w:rsidRPr="00854C35" w:rsidRDefault="00D34C6E" w:rsidP="0088039F">
      <w:pPr>
        <w:pStyle w:val="Heading3"/>
      </w:pPr>
      <w:bookmarkStart w:id="1986" w:name="_Toc16619981"/>
      <w:bookmarkStart w:id="1987" w:name="_Toc113619836"/>
      <w:r w:rsidRPr="00854C35">
        <w:t>Using This Protocol</w:t>
      </w:r>
      <w:bookmarkEnd w:id="1986"/>
      <w:bookmarkEnd w:id="1987"/>
    </w:p>
    <w:p w14:paraId="4C302724" w14:textId="496D0A6E" w:rsidR="00D34C6E" w:rsidRDefault="00D34C6E" w:rsidP="00D34C6E">
      <w:r w:rsidRPr="00B429EF">
        <w:rPr>
          <w:color w:val="333333"/>
          <w:shd w:val="clear" w:color="auto" w:fill="FFFFFF"/>
        </w:rPr>
        <w:t>T</w:t>
      </w:r>
      <w:r w:rsidRPr="00B429EF">
        <w:t>he methods described in this section should be applied for estimating NTGRs for midstream programs in which the incentive</w:t>
      </w:r>
      <w:r>
        <w:t>s are</w:t>
      </w:r>
      <w:r w:rsidRPr="00B429EF">
        <w:t xml:space="preserve"> paid </w:t>
      </w:r>
      <w:r>
        <w:t xml:space="preserve">directly </w:t>
      </w:r>
      <w:r w:rsidRPr="00B429EF">
        <w:t>to distributors who have the option of sharing some or all of these incentives with the end-use customers in the form of price reductions.</w:t>
      </w:r>
      <w:r>
        <w:t xml:space="preserve"> As discussed in further detail later in this section, programs of this type influence behavior of both distributors as well as end-users (to various degrees). As a result, in midstream programs where it is believed that end-use customers are aware of the utility intervention, it is desirable for evaluators to conduct research that produces both end-user- and distributor-based estimates of free ridership for these programs, and to combine these estimates using</w:t>
      </w:r>
      <w:r w:rsidRPr="00C34337">
        <w:t xml:space="preserve"> guidance provided in Section 5.1: Combining Participant and Trade Ally Free Ridership Scores to estimate a NTGR that is inclusive of </w:t>
      </w:r>
      <w:r>
        <w:t>both perspectives.</w:t>
      </w:r>
      <w:r>
        <w:rPr>
          <w:rStyle w:val="FootnoteReference"/>
          <w:rFonts w:ascii="Times New Roman" w:hAnsi="Times New Roman"/>
          <w:sz w:val="24"/>
          <w:szCs w:val="24"/>
        </w:rPr>
        <w:footnoteReference w:id="113"/>
      </w:r>
    </w:p>
    <w:p w14:paraId="6E5A736E" w14:textId="77777777" w:rsidR="00D34C6E" w:rsidRDefault="00D34C6E" w:rsidP="00D34C6E">
      <w:r>
        <w:t>In cases where midstream programs do not collect customer information, end-user research will generally not be feasible, and free ridership estimates will be based solely on distributor research as outlined in this protocol.</w:t>
      </w:r>
      <w:r w:rsidRPr="00B429EF">
        <w:rPr>
          <w:rStyle w:val="FootnoteReference"/>
          <w:rFonts w:ascii="Times New Roman" w:hAnsi="Times New Roman"/>
          <w:sz w:val="24"/>
          <w:szCs w:val="24"/>
        </w:rPr>
        <w:footnoteReference w:id="114"/>
      </w:r>
    </w:p>
    <w:p w14:paraId="1F0B3D9F" w14:textId="37EE452B" w:rsidR="00D34C6E" w:rsidRPr="00C34337" w:rsidRDefault="00D34C6E" w:rsidP="00D34C6E">
      <w:r>
        <w:t xml:space="preserve">If evaluation constraints do not allow for high quality end-user and distributor research to be conducted, it is likely </w:t>
      </w:r>
      <w:r>
        <w:lastRenderedPageBreak/>
        <w:t xml:space="preserve">preferable to conduct high quality research from only one perspective rather than lower quality (e.g., minimal sample size) research from both perspectives, and the evaluator may choose to utilize only one approach without it being considered a divergence from the IL-NTG Methods. In this case, the evaluator should carefully consider </w:t>
      </w:r>
      <w:r w:rsidRPr="00C22F37">
        <w:t>the specific design and intent of a given program when choosing the appropriate protocol(s) for evaluation</w:t>
      </w:r>
      <w:r>
        <w:t xml:space="preserve"> and must document the rationale for its decision in the evaluation plan</w:t>
      </w:r>
      <w:r w:rsidRPr="00C22F37">
        <w:t>.</w:t>
      </w:r>
    </w:p>
    <w:p w14:paraId="0D47BD94" w14:textId="77360163" w:rsidR="00D34C6E" w:rsidRPr="00590DAD" w:rsidRDefault="00D34C6E" w:rsidP="00D34C6E">
      <w:r>
        <w:t xml:space="preserve">Ultimately, the protocol(s) to be used for a given program is defined in Table 3-1 and Table 4-1. </w:t>
      </w:r>
      <w:r w:rsidRPr="0093645E">
        <w:t xml:space="preserve">If the design of a given program changes significantly, then it may mean that the NTG protocol listed for that program </w:t>
      </w:r>
      <w:r>
        <w:t xml:space="preserve">in Table 3-1 or Table 4-1 </w:t>
      </w:r>
      <w:r w:rsidRPr="0093645E">
        <w:t xml:space="preserve">is no longer appropriate. </w:t>
      </w:r>
      <w:r>
        <w:t xml:space="preserve">In addition, the evaluator may determine that the customer or distributor NTG algorithms need to be substantially modified to accommodate the specific design of a midstream program. </w:t>
      </w:r>
      <w:r w:rsidRPr="0093645E">
        <w:t xml:space="preserve">If </w:t>
      </w:r>
      <w:r>
        <w:t>the evaluator chooses to use an alternative method or approach to estimate the NTG</w:t>
      </w:r>
      <w:r w:rsidRPr="0093645E">
        <w:t>, the evaluator should follow the procedures outlined in Section 1.4: Diverging from the IL-NTG Methods.</w:t>
      </w:r>
      <w:r>
        <w:t xml:space="preserve"> For new programs the choice of protocol(s) will be ultimately at the discretion of the evaluator.</w:t>
      </w:r>
    </w:p>
    <w:p w14:paraId="0BB3964F" w14:textId="4AE04E99" w:rsidR="00D34C6E" w:rsidRDefault="00D34C6E" w:rsidP="00D34C6E">
      <w:pPr>
        <w:rPr>
          <w:color w:val="191919"/>
        </w:rPr>
      </w:pPr>
      <w:r w:rsidRPr="00B429EF">
        <w:rPr>
          <w:color w:val="191919"/>
        </w:rPr>
        <w:t>Knowing that they will receive an incentive for selling high efficiency units, distributors may choose</w:t>
      </w:r>
      <w:r>
        <w:rPr>
          <w:color w:val="191919"/>
        </w:rPr>
        <w:t xml:space="preserve"> </w:t>
      </w:r>
      <w:r w:rsidRPr="00B429EF">
        <w:rPr>
          <w:color w:val="191919"/>
        </w:rPr>
        <w:t>to increase their stock of high efficiency units</w:t>
      </w:r>
      <w:r>
        <w:rPr>
          <w:color w:val="191919"/>
        </w:rPr>
        <w:t>, and/</w:t>
      </w:r>
      <w:r w:rsidRPr="00B429EF">
        <w:rPr>
          <w:color w:val="191919"/>
        </w:rPr>
        <w:t xml:space="preserve">or </w:t>
      </w:r>
      <w:r>
        <w:rPr>
          <w:color w:val="191919"/>
        </w:rPr>
        <w:t xml:space="preserve">to </w:t>
      </w:r>
      <w:r w:rsidRPr="00B429EF">
        <w:rPr>
          <w:color w:val="191919"/>
        </w:rPr>
        <w:t>upsell high efficiency units to</w:t>
      </w:r>
      <w:r>
        <w:rPr>
          <w:color w:val="191919"/>
        </w:rPr>
        <w:t xml:space="preserve"> </w:t>
      </w:r>
      <w:r w:rsidRPr="00B429EF">
        <w:rPr>
          <w:color w:val="191919"/>
        </w:rPr>
        <w:t>contractors. Distributors may also choose to offer training sessions or marketing campaigns aimed</w:t>
      </w:r>
      <w:r>
        <w:rPr>
          <w:color w:val="191919"/>
        </w:rPr>
        <w:t xml:space="preserve"> </w:t>
      </w:r>
      <w:r w:rsidRPr="00B429EF">
        <w:rPr>
          <w:color w:val="191919"/>
        </w:rPr>
        <w:t>at engineers, architects, and contractors to</w:t>
      </w:r>
      <w:r>
        <w:rPr>
          <w:color w:val="191919"/>
        </w:rPr>
        <w:t xml:space="preserve"> increase</w:t>
      </w:r>
      <w:r w:rsidRPr="00B429EF">
        <w:rPr>
          <w:color w:val="191919"/>
        </w:rPr>
        <w:t xml:space="preserve"> aware</w:t>
      </w:r>
      <w:r>
        <w:rPr>
          <w:color w:val="191919"/>
        </w:rPr>
        <w:t>ness</w:t>
      </w:r>
      <w:r w:rsidRPr="00B429EF">
        <w:rPr>
          <w:color w:val="191919"/>
        </w:rPr>
        <w:t xml:space="preserve"> of these high efficiency units. </w:t>
      </w:r>
      <w:r>
        <w:rPr>
          <w:color w:val="191919"/>
        </w:rPr>
        <w:t>As a result of the program’s actions</w:t>
      </w:r>
      <w:r w:rsidRPr="00B429EF">
        <w:rPr>
          <w:color w:val="191919"/>
        </w:rPr>
        <w:t>:</w:t>
      </w:r>
      <w:r>
        <w:rPr>
          <w:color w:val="191919"/>
        </w:rPr>
        <w:t xml:space="preserve"> </w:t>
      </w:r>
    </w:p>
    <w:p w14:paraId="039A18E3" w14:textId="77777777" w:rsidR="00D34C6E" w:rsidRPr="005509AE" w:rsidRDefault="00D34C6E" w:rsidP="00D34C6E">
      <w:pPr>
        <w:ind w:firstLine="720"/>
        <w:rPr>
          <w:color w:val="000000"/>
        </w:rPr>
      </w:pPr>
      <w:r w:rsidRPr="005509AE">
        <w:rPr>
          <w:color w:val="000000"/>
        </w:rPr>
        <w:t>Contractors/customers may be more likely to purchase high efficiency units because they are in stock</w:t>
      </w:r>
      <w:r>
        <w:rPr>
          <w:color w:val="000000"/>
        </w:rPr>
        <w:t>,</w:t>
      </w:r>
      <w:r w:rsidRPr="005509AE">
        <w:rPr>
          <w:color w:val="000000"/>
        </w:rPr>
        <w:t xml:space="preserve"> </w:t>
      </w:r>
    </w:p>
    <w:p w14:paraId="49B97B2E" w14:textId="77777777" w:rsidR="00D34C6E" w:rsidRPr="005509AE" w:rsidRDefault="00D34C6E" w:rsidP="00D34C6E">
      <w:pPr>
        <w:ind w:left="720"/>
        <w:rPr>
          <w:color w:val="000000"/>
        </w:rPr>
      </w:pPr>
      <w:r w:rsidRPr="005509AE">
        <w:rPr>
          <w:color w:val="000000"/>
        </w:rPr>
        <w:t>Contractors</w:t>
      </w:r>
      <w:r>
        <w:rPr>
          <w:color w:val="000000"/>
        </w:rPr>
        <w:t>/customers</w:t>
      </w:r>
      <w:r w:rsidRPr="005509AE">
        <w:rPr>
          <w:color w:val="000000"/>
        </w:rPr>
        <w:t xml:space="preserve"> may be more likely to purchase high efficiency equipment because the distributor upsold these units, </w:t>
      </w:r>
    </w:p>
    <w:p w14:paraId="6BB76ED2" w14:textId="77777777" w:rsidR="00D34C6E" w:rsidRPr="005509AE" w:rsidRDefault="00D34C6E" w:rsidP="00D34C6E">
      <w:pPr>
        <w:ind w:left="720"/>
        <w:rPr>
          <w:color w:val="000000"/>
        </w:rPr>
      </w:pPr>
      <w:r w:rsidRPr="005509AE">
        <w:rPr>
          <w:color w:val="000000"/>
        </w:rPr>
        <w:t>Contractors/customers may be more likely to purchase high efficiency units because the incremental cost is lower than it would have been without the incentive</w:t>
      </w:r>
      <w:r>
        <w:rPr>
          <w:color w:val="000000"/>
        </w:rPr>
        <w:t xml:space="preserve"> (assuming the distributor uses the incentive to reduce the price of the equipment)</w:t>
      </w:r>
      <w:r w:rsidRPr="005509AE">
        <w:rPr>
          <w:color w:val="000000"/>
        </w:rPr>
        <w:t xml:space="preserve">, and </w:t>
      </w:r>
    </w:p>
    <w:p w14:paraId="772369B1" w14:textId="77777777" w:rsidR="00D34C6E" w:rsidRPr="005509AE" w:rsidRDefault="00D34C6E" w:rsidP="00D34C6E">
      <w:pPr>
        <w:ind w:left="720"/>
        <w:rPr>
          <w:color w:val="000000"/>
        </w:rPr>
      </w:pPr>
      <w:r w:rsidRPr="005509AE">
        <w:rPr>
          <w:color w:val="000000"/>
        </w:rPr>
        <w:t xml:space="preserve">Design professionals and contractors may be more likely to specify or recommend high efficiency units because they are more aware or more familiar with these options. </w:t>
      </w:r>
    </w:p>
    <w:p w14:paraId="249AB1CD" w14:textId="77777777" w:rsidR="00D34C6E" w:rsidRPr="00B429EF" w:rsidRDefault="00D34C6E" w:rsidP="00D34C6E">
      <w:pPr>
        <w:rPr>
          <w:color w:val="191919"/>
        </w:rPr>
      </w:pPr>
      <w:r w:rsidRPr="00B429EF">
        <w:rPr>
          <w:color w:val="191919"/>
        </w:rPr>
        <w:t xml:space="preserve">The expected overall outcome is that a greater proportion of customer purchases will be high efficiency units. As distributors sell more high efficiency units, manufacturers will respond by producing more high efficiency equipment. Ultimately, the </w:t>
      </w:r>
      <w:r>
        <w:rPr>
          <w:color w:val="191919"/>
        </w:rPr>
        <w:t xml:space="preserve">overall </w:t>
      </w:r>
      <w:r w:rsidRPr="00B429EF">
        <w:rPr>
          <w:color w:val="191919"/>
        </w:rPr>
        <w:t xml:space="preserve">market in a utility’s service territory </w:t>
      </w:r>
      <w:r>
        <w:rPr>
          <w:color w:val="191919"/>
        </w:rPr>
        <w:t>will</w:t>
      </w:r>
      <w:r w:rsidRPr="00B429EF">
        <w:rPr>
          <w:color w:val="191919"/>
        </w:rPr>
        <w:t xml:space="preserve"> become more efficient than it otherwise would have been, or </w:t>
      </w:r>
      <w:r>
        <w:rPr>
          <w:color w:val="191919"/>
        </w:rPr>
        <w:t>it will</w:t>
      </w:r>
      <w:r w:rsidRPr="00B429EF">
        <w:rPr>
          <w:color w:val="191919"/>
        </w:rPr>
        <w:t xml:space="preserve"> achieve this efficiency </w:t>
      </w:r>
      <w:r>
        <w:rPr>
          <w:color w:val="191919"/>
        </w:rPr>
        <w:t>sooner</w:t>
      </w:r>
      <w:r w:rsidRPr="00B429EF">
        <w:rPr>
          <w:color w:val="191919"/>
        </w:rPr>
        <w:t xml:space="preserve"> than if no intervention had occurred. </w:t>
      </w:r>
    </w:p>
    <w:p w14:paraId="5DA3BABF" w14:textId="77777777" w:rsidR="00D34C6E" w:rsidRDefault="00D34C6E" w:rsidP="00D34C6E">
      <w:r w:rsidRPr="00B429EF">
        <w:t>To assess impacts from this type of program, the evaluator needs to determine if the distributor changed their practices in a way that ultimately influenced the customer’s buying decision. Assessing the influence of the program involves conduct</w:t>
      </w:r>
      <w:r>
        <w:t>i</w:t>
      </w:r>
      <w:r w:rsidRPr="00B429EF">
        <w:t xml:space="preserve">ng in-depth interviews with </w:t>
      </w:r>
      <w:bookmarkStart w:id="1988" w:name="_Hlk10191149"/>
      <w:r w:rsidRPr="00B429EF">
        <w:t>participating distributors and asking them</w:t>
      </w:r>
      <w:r>
        <w:t xml:space="preserve"> </w:t>
      </w:r>
      <w:r w:rsidRPr="00B429EF">
        <w:t xml:space="preserve">how they would have behaved in the absence of the program. While interviews with others such as contractors and design professionals can also be conducted in order to develop a more complete understanding of the influence of the program, the focus of this </w:t>
      </w:r>
      <w:r>
        <w:t>p</w:t>
      </w:r>
      <w:r w:rsidRPr="00B429EF">
        <w:t>rotocol is on the distributor interviews</w:t>
      </w:r>
      <w:r>
        <w:t xml:space="preserve">. </w:t>
      </w:r>
    </w:p>
    <w:p w14:paraId="6D4010D8" w14:textId="77777777" w:rsidR="00D34C6E" w:rsidRPr="00B429EF" w:rsidRDefault="00D34C6E" w:rsidP="00D34C6E">
      <w:r>
        <w:t>This protocol is based on the k</w:t>
      </w:r>
      <w:r w:rsidRPr="00B429EF">
        <w:t xml:space="preserve">ey considerations and guidelines for estimation of free ridership for non-residential programs </w:t>
      </w:r>
      <w:r>
        <w:t>that is</w:t>
      </w:r>
      <w:r w:rsidRPr="00B429EF">
        <w:t xml:space="preserve"> described in Section 3.1.1</w:t>
      </w:r>
      <w:r>
        <w:t>:</w:t>
      </w:r>
      <w:r w:rsidRPr="00B429EF">
        <w:t xml:space="preserve"> Core Non-Residential Free Ridership P</w:t>
      </w:r>
      <w:r w:rsidRPr="00586ADF">
        <w:t xml:space="preserve">rotocol. The process </w:t>
      </w:r>
      <w:r>
        <w:t>to be used for</w:t>
      </w:r>
      <w:r w:rsidRPr="00586ADF">
        <w:t xml:space="preserve"> scoring free ridership is described in Section 3.1.1.1</w:t>
      </w:r>
      <w:r>
        <w:t>:</w:t>
      </w:r>
      <w:r w:rsidRPr="00586ADF">
        <w:t xml:space="preserve"> Core Non-Residential Free Ridership Scoring Algorithm</w:t>
      </w:r>
      <w:r w:rsidRPr="00B429EF">
        <w:t xml:space="preserve">. </w:t>
      </w:r>
      <w:r>
        <w:t xml:space="preserve">This midstream protocol can be used </w:t>
      </w:r>
      <w:r w:rsidRPr="00B429EF">
        <w:t xml:space="preserve">for estimating NTGRs for both residential and </w:t>
      </w:r>
      <w:r>
        <w:t>non-residential m</w:t>
      </w:r>
      <w:r w:rsidRPr="00B429EF">
        <w:t>idstream programs that focus on distributors.</w:t>
      </w:r>
      <w:r>
        <w:rPr>
          <w:rStyle w:val="FootnoteReference"/>
          <w:rFonts w:ascii="Times New Roman" w:hAnsi="Times New Roman"/>
          <w:sz w:val="24"/>
          <w:szCs w:val="24"/>
        </w:rPr>
        <w:footnoteReference w:id="115"/>
      </w:r>
      <w:r w:rsidRPr="00B429EF">
        <w:t xml:space="preserve"> </w:t>
      </w:r>
    </w:p>
    <w:p w14:paraId="4DD3180B" w14:textId="1A342478" w:rsidR="00D34C6E" w:rsidRPr="00B429EF" w:rsidRDefault="00D34C6E" w:rsidP="00D34C6E">
      <w:pPr>
        <w:rPr>
          <w:color w:val="000000"/>
        </w:rPr>
      </w:pPr>
      <w:r w:rsidRPr="00B429EF">
        <w:rPr>
          <w:color w:val="000000"/>
        </w:rPr>
        <w:t>To ensure that the midstream NTGR approach covers all avenues of program influence, one should develop a logic model based on discussions with utility program staff, implementer staff, and a general review of midstream programs. The midstream NTGR approach recommended here is designed</w:t>
      </w:r>
      <w:r w:rsidRPr="00586ADF">
        <w:rPr>
          <w:color w:val="000000"/>
        </w:rPr>
        <w:t xml:space="preserve"> to be flexible as the midstream incentives may be impacting distributors’ businesses in one of many ways—including via changes in stocking, upselling, price reduction, etc. Ultimately, the midstream program </w:t>
      </w:r>
      <w:r w:rsidRPr="00B429EF">
        <w:rPr>
          <w:color w:val="000000"/>
        </w:rPr>
        <w:t>should be given credit for influence via any of these causal pathways. Note that a midstream</w:t>
      </w:r>
      <w:r>
        <w:rPr>
          <w:color w:val="000000"/>
        </w:rPr>
        <w:t xml:space="preserve"> program</w:t>
      </w:r>
      <w:r w:rsidRPr="00B429EF">
        <w:rPr>
          <w:color w:val="000000"/>
        </w:rPr>
        <w:t xml:space="preserve"> might have </w:t>
      </w:r>
      <w:r w:rsidRPr="00586ADF">
        <w:t>longer-term impacts that are not immediately measurab</w:t>
      </w:r>
      <w:r>
        <w:t>le</w:t>
      </w:r>
      <w:r w:rsidRPr="00586ADF">
        <w:t xml:space="preserve">. Such longer-term impacts manifest as “market effects,” which signify a transformation in the underlying structure </w:t>
      </w:r>
      <w:r w:rsidRPr="00586ADF">
        <w:lastRenderedPageBreak/>
        <w:t xml:space="preserve">and functioning of the market. This </w:t>
      </w:r>
      <w:r>
        <w:t xml:space="preserve">midstream </w:t>
      </w:r>
      <w:r w:rsidRPr="00586ADF">
        <w:t xml:space="preserve">protocol does not address </w:t>
      </w:r>
      <w:r>
        <w:t xml:space="preserve">the measurement of </w:t>
      </w:r>
      <w:r w:rsidRPr="00586ADF">
        <w:t>such market effects.</w:t>
      </w:r>
    </w:p>
    <w:p w14:paraId="364E354A" w14:textId="668F0A6D" w:rsidR="00D34C6E" w:rsidRPr="00A51B53" w:rsidRDefault="00D34C6E" w:rsidP="0088039F">
      <w:pPr>
        <w:pStyle w:val="Heading3"/>
      </w:pPr>
      <w:bookmarkStart w:id="1989" w:name="_Toc16619982"/>
      <w:bookmarkStart w:id="1990" w:name="_Toc113619837"/>
      <w:r w:rsidRPr="00A51B53">
        <w:t>Free Ridership Estimation Methodology</w:t>
      </w:r>
      <w:bookmarkEnd w:id="1989"/>
      <w:bookmarkEnd w:id="1990"/>
    </w:p>
    <w:p w14:paraId="715F22CF" w14:textId="77777777" w:rsidR="00D34C6E" w:rsidRPr="00586ADF" w:rsidRDefault="00D34C6E" w:rsidP="00D34C6E">
      <w:r w:rsidRPr="00586ADF">
        <w:t xml:space="preserve">This methodology uses three </w:t>
      </w:r>
      <w:r>
        <w:t>indicators of free ridership:</w:t>
      </w:r>
    </w:p>
    <w:p w14:paraId="69C7519D" w14:textId="77777777" w:rsidR="00D34C6E" w:rsidRPr="00586ADF" w:rsidRDefault="00D34C6E" w:rsidP="00D34C6E">
      <w:pPr>
        <w:ind w:left="720"/>
      </w:pPr>
      <w:r w:rsidRPr="00586ADF">
        <w:t xml:space="preserve">Program </w:t>
      </w:r>
      <w:r>
        <w:t>C</w:t>
      </w:r>
      <w:r w:rsidRPr="00586ADF">
        <w:t xml:space="preserve">omponents </w:t>
      </w:r>
      <w:r>
        <w:t>FR S</w:t>
      </w:r>
      <w:r w:rsidRPr="00586ADF">
        <w:t>core,</w:t>
      </w:r>
    </w:p>
    <w:p w14:paraId="1E92DBF7" w14:textId="77777777" w:rsidR="00D34C6E" w:rsidRPr="00586ADF" w:rsidRDefault="00D34C6E" w:rsidP="00D34C6E">
      <w:pPr>
        <w:ind w:left="720"/>
      </w:pPr>
      <w:r w:rsidRPr="00586ADF">
        <w:t xml:space="preserve">Program </w:t>
      </w:r>
      <w:r>
        <w:t>I</w:t>
      </w:r>
      <w:r w:rsidRPr="00586ADF">
        <w:t xml:space="preserve">nfluence </w:t>
      </w:r>
      <w:r>
        <w:t>FR S</w:t>
      </w:r>
      <w:r w:rsidRPr="00586ADF">
        <w:t xml:space="preserve">core, and </w:t>
      </w:r>
    </w:p>
    <w:p w14:paraId="030D43BD" w14:textId="77777777" w:rsidR="00D34C6E" w:rsidRDefault="00D34C6E" w:rsidP="00D34C6E">
      <w:pPr>
        <w:ind w:left="720"/>
      </w:pPr>
      <w:r w:rsidRPr="00586ADF">
        <w:t>No</w:t>
      </w:r>
      <w:r>
        <w:t>-P</w:t>
      </w:r>
      <w:r w:rsidRPr="00586ADF">
        <w:t xml:space="preserve">rogram </w:t>
      </w:r>
      <w:r>
        <w:t>FR S</w:t>
      </w:r>
      <w:r w:rsidRPr="00586ADF">
        <w:t>core</w:t>
      </w:r>
    </w:p>
    <w:p w14:paraId="2EEC5532" w14:textId="77777777" w:rsidR="00D34C6E" w:rsidRDefault="00D34C6E" w:rsidP="00D34C6E">
      <w:r w:rsidRPr="00586ADF">
        <w:t xml:space="preserve">These scores are then averaged to arrive at a final </w:t>
      </w:r>
      <w:r>
        <w:t>free ridership</w:t>
      </w:r>
      <w:r w:rsidRPr="00586ADF">
        <w:t xml:space="preserve"> value. The algorithm shown </w:t>
      </w:r>
      <w:r>
        <w:t>in</w:t>
      </w:r>
      <w:r w:rsidRPr="00586ADF">
        <w:t xml:space="preserve"> </w:t>
      </w:r>
      <w:r>
        <w:t xml:space="preserve">Section 3, </w:t>
      </w:r>
      <w:r w:rsidRPr="00586ADF">
        <w:t>Figure 3-1</w:t>
      </w:r>
      <w:r>
        <w:t>: Core Free Ridership Algorithm 1</w:t>
      </w:r>
      <w:r w:rsidRPr="00586ADF">
        <w:t xml:space="preserve">, can be used to calculate the </w:t>
      </w:r>
      <w:r>
        <w:t>free-ridership</w:t>
      </w:r>
      <w:r w:rsidRPr="00586ADF">
        <w:t>. The resulting NTGR value should be weighted proportionate to the ex post gross kWh savings</w:t>
      </w:r>
      <w:r>
        <w:t xml:space="preserve"> for each respondent</w:t>
      </w:r>
      <w:r w:rsidRPr="00586ADF">
        <w:t>.</w:t>
      </w:r>
    </w:p>
    <w:p w14:paraId="3B8D2719" w14:textId="77777777" w:rsidR="00D34C6E" w:rsidRPr="00586ADF" w:rsidRDefault="00D34C6E" w:rsidP="00D34C6E">
      <w:r>
        <w:t xml:space="preserve">The one exception to the free ridership algorithm described above concerns the timing question. </w:t>
      </w:r>
      <w:r w:rsidRPr="00586ADF">
        <w:t xml:space="preserve">Note that normally, in the case of downstream rebate programs, it is possible that the old equipment was still functioning, but the program induced the participant to swap out the equipment before the end of its useful life. Because of the conceptually challenging nature of a timing question for distributors, </w:t>
      </w:r>
      <w:r>
        <w:t>it</w:t>
      </w:r>
      <w:r w:rsidRPr="00586ADF">
        <w:t xml:space="preserve"> has been </w:t>
      </w:r>
      <w:r>
        <w:t>removed</w:t>
      </w:r>
      <w:r w:rsidRPr="00586ADF">
        <w:t xml:space="preserve">. </w:t>
      </w:r>
    </w:p>
    <w:p w14:paraId="3121C2F3" w14:textId="6FE74464" w:rsidR="00D34C6E" w:rsidRDefault="00D34C6E" w:rsidP="00D34C6E">
      <w:r>
        <w:t xml:space="preserve">This protocol starts with the Core Non-Residential Protocol </w:t>
      </w:r>
      <w:r w:rsidRPr="00586ADF">
        <w:t>methodology outlined in Section 3, Figure 3-1</w:t>
      </w:r>
      <w:r>
        <w:t>: Core Free Ridership Algorithm 1</w:t>
      </w:r>
      <w:r w:rsidRPr="00586ADF">
        <w:t xml:space="preserve"> </w:t>
      </w:r>
      <w:r>
        <w:t xml:space="preserve">and suggests modifications to </w:t>
      </w:r>
      <w:r w:rsidRPr="00586ADF">
        <w:t>the free</w:t>
      </w:r>
      <w:r>
        <w:t xml:space="preserve"> </w:t>
      </w:r>
      <w:r w:rsidRPr="00586ADF">
        <w:t>ridership questions to recognize the unique nature of midstream programs. Below are some examples of the types of questions that could be asked of distributors for each of the three pathways to program influence.</w:t>
      </w:r>
    </w:p>
    <w:p w14:paraId="7740A816" w14:textId="14BABF3B" w:rsidR="00D34C6E" w:rsidRPr="00854C35" w:rsidRDefault="00D34C6E" w:rsidP="001A2AE6">
      <w:pPr>
        <w:pStyle w:val="Heading4"/>
      </w:pPr>
      <w:bookmarkStart w:id="1991" w:name="_Toc16619983"/>
      <w:r w:rsidRPr="00854C35">
        <w:t>Strategies Used</w:t>
      </w:r>
      <w:bookmarkEnd w:id="1991"/>
    </w:p>
    <w:p w14:paraId="067D3C99" w14:textId="77777777" w:rsidR="00D34C6E" w:rsidRDefault="00D34C6E" w:rsidP="00D34C6E">
      <w:pPr>
        <w:rPr>
          <w:w w:val="105"/>
        </w:rPr>
      </w:pPr>
      <w:r>
        <w:rPr>
          <w:w w:val="105"/>
        </w:rPr>
        <w:t xml:space="preserve">First, the evaluator must ask each distributor which of the available sales strategies they used to promote program-qualified equipment. </w:t>
      </w:r>
    </w:p>
    <w:p w14:paraId="100E4693" w14:textId="1637A1C6" w:rsidR="00D34C6E" w:rsidRPr="00586ADF" w:rsidRDefault="00D34C6E" w:rsidP="00D34C6E">
      <w:r w:rsidRPr="00586ADF">
        <w:rPr>
          <w:w w:val="105"/>
        </w:rPr>
        <w:t>Now,</w:t>
      </w:r>
      <w:r w:rsidRPr="00586ADF">
        <w:rPr>
          <w:spacing w:val="-5"/>
          <w:w w:val="105"/>
        </w:rPr>
        <w:t xml:space="preserve"> </w:t>
      </w:r>
      <w:r w:rsidRPr="00586ADF">
        <w:rPr>
          <w:w w:val="105"/>
        </w:rPr>
        <w:t>I’m</w:t>
      </w:r>
      <w:r w:rsidRPr="00586ADF">
        <w:rPr>
          <w:spacing w:val="-4"/>
          <w:w w:val="105"/>
        </w:rPr>
        <w:t xml:space="preserve"> </w:t>
      </w:r>
      <w:r w:rsidRPr="00586ADF">
        <w:rPr>
          <w:w w:val="105"/>
        </w:rPr>
        <w:t>going</w:t>
      </w:r>
      <w:r w:rsidRPr="00586ADF">
        <w:rPr>
          <w:spacing w:val="-4"/>
          <w:w w:val="105"/>
        </w:rPr>
        <w:t xml:space="preserve"> </w:t>
      </w:r>
      <w:r w:rsidRPr="00586ADF">
        <w:rPr>
          <w:w w:val="105"/>
        </w:rPr>
        <w:t>to</w:t>
      </w:r>
      <w:r w:rsidRPr="00586ADF">
        <w:rPr>
          <w:spacing w:val="-5"/>
          <w:w w:val="105"/>
        </w:rPr>
        <w:t xml:space="preserve"> </w:t>
      </w:r>
      <w:r w:rsidRPr="00586ADF">
        <w:rPr>
          <w:w w:val="105"/>
        </w:rPr>
        <w:t>ask</w:t>
      </w:r>
      <w:r w:rsidRPr="00586ADF">
        <w:rPr>
          <w:spacing w:val="-4"/>
          <w:w w:val="105"/>
        </w:rPr>
        <w:t xml:space="preserve"> </w:t>
      </w:r>
      <w:r w:rsidRPr="00586ADF">
        <w:rPr>
          <w:w w:val="105"/>
        </w:rPr>
        <w:t>you about the various strategies you might have used to sell program-qualified equipment. Please indicate which ones you have used. [READ]</w:t>
      </w:r>
    </w:p>
    <w:p w14:paraId="0EB640B5" w14:textId="77777777" w:rsidR="00D34C6E" w:rsidRPr="00586ADF" w:rsidRDefault="00D34C6E" w:rsidP="00D34C6E">
      <w:r w:rsidRPr="00586ADF">
        <w:rPr>
          <w:w w:val="105"/>
        </w:rPr>
        <w:t>___ Upsell contractors to purchase program-qualified</w:t>
      </w:r>
      <w:r w:rsidRPr="00586ADF">
        <w:rPr>
          <w:spacing w:val="2"/>
          <w:w w:val="105"/>
        </w:rPr>
        <w:t xml:space="preserve"> </w:t>
      </w:r>
      <w:r w:rsidRPr="00586ADF">
        <w:rPr>
          <w:w w:val="105"/>
        </w:rPr>
        <w:t>units</w:t>
      </w:r>
    </w:p>
    <w:p w14:paraId="00DD284A" w14:textId="77777777" w:rsidR="00D34C6E" w:rsidRPr="00586ADF" w:rsidRDefault="00D34C6E" w:rsidP="00D34C6E">
      <w:r w:rsidRPr="00586ADF">
        <w:rPr>
          <w:w w:val="105"/>
        </w:rPr>
        <w:t>___ Conduct training workshops for</w:t>
      </w:r>
      <w:r w:rsidRPr="00586ADF">
        <w:rPr>
          <w:spacing w:val="1"/>
          <w:w w:val="105"/>
        </w:rPr>
        <w:t xml:space="preserve"> </w:t>
      </w:r>
      <w:r w:rsidRPr="00586ADF">
        <w:rPr>
          <w:w w:val="105"/>
        </w:rPr>
        <w:t>contractors</w:t>
      </w:r>
    </w:p>
    <w:p w14:paraId="3F5F4BC4" w14:textId="77777777" w:rsidR="00D34C6E" w:rsidRPr="00586ADF" w:rsidRDefault="00D34C6E" w:rsidP="00D34C6E">
      <w:r w:rsidRPr="00586ADF">
        <w:rPr>
          <w:w w:val="105"/>
        </w:rPr>
        <w:t>___ Increase marketing of program-qualified</w:t>
      </w:r>
      <w:r w:rsidRPr="00586ADF">
        <w:rPr>
          <w:spacing w:val="3"/>
          <w:w w:val="105"/>
        </w:rPr>
        <w:t xml:space="preserve"> </w:t>
      </w:r>
      <w:r w:rsidRPr="00586ADF">
        <w:rPr>
          <w:w w:val="105"/>
        </w:rPr>
        <w:t>units</w:t>
      </w:r>
    </w:p>
    <w:p w14:paraId="45EA707A" w14:textId="77777777" w:rsidR="00D34C6E" w:rsidRPr="00586ADF" w:rsidRDefault="00D34C6E" w:rsidP="00D34C6E">
      <w:r w:rsidRPr="00586ADF">
        <w:rPr>
          <w:w w:val="105"/>
        </w:rPr>
        <w:t>___ Reduce the prices of program-qualified</w:t>
      </w:r>
      <w:r w:rsidRPr="00586ADF">
        <w:rPr>
          <w:spacing w:val="3"/>
          <w:w w:val="105"/>
        </w:rPr>
        <w:t xml:space="preserve"> </w:t>
      </w:r>
      <w:r w:rsidRPr="00586ADF">
        <w:rPr>
          <w:w w:val="105"/>
        </w:rPr>
        <w:t>units</w:t>
      </w:r>
    </w:p>
    <w:p w14:paraId="4DE9C831" w14:textId="77777777" w:rsidR="00D34C6E" w:rsidRPr="00586ADF" w:rsidRDefault="00D34C6E" w:rsidP="00D34C6E">
      <w:r w:rsidRPr="00586ADF">
        <w:rPr>
          <w:w w:val="105"/>
        </w:rPr>
        <w:t>___ Increase the stocking or assortment of program-qualified</w:t>
      </w:r>
      <w:r w:rsidRPr="00586ADF">
        <w:rPr>
          <w:spacing w:val="2"/>
          <w:w w:val="105"/>
        </w:rPr>
        <w:t xml:space="preserve"> </w:t>
      </w:r>
      <w:r w:rsidRPr="00586ADF">
        <w:rPr>
          <w:w w:val="105"/>
        </w:rPr>
        <w:t>units</w:t>
      </w:r>
    </w:p>
    <w:p w14:paraId="1CB1F1C5" w14:textId="77777777" w:rsidR="00D34C6E" w:rsidRPr="00586ADF" w:rsidRDefault="00D34C6E" w:rsidP="00D34C6E">
      <w:pPr>
        <w:rPr>
          <w:w w:val="105"/>
        </w:rPr>
      </w:pPr>
      <w:r w:rsidRPr="00586ADF">
        <w:rPr>
          <w:w w:val="105"/>
        </w:rPr>
        <w:t>___ Discuss the benefits of program-qualified units with design</w:t>
      </w:r>
      <w:r w:rsidRPr="00586ADF">
        <w:rPr>
          <w:spacing w:val="-1"/>
          <w:w w:val="105"/>
        </w:rPr>
        <w:t xml:space="preserve"> </w:t>
      </w:r>
      <w:r w:rsidRPr="00586ADF">
        <w:rPr>
          <w:w w:val="105"/>
        </w:rPr>
        <w:t>professionals</w:t>
      </w:r>
    </w:p>
    <w:p w14:paraId="7194D09B" w14:textId="77777777" w:rsidR="00D34C6E" w:rsidRPr="00586ADF" w:rsidRDefault="00D34C6E" w:rsidP="00D34C6E">
      <w:r w:rsidRPr="00586ADF">
        <w:rPr>
          <w:w w:val="105"/>
        </w:rPr>
        <w:t>___ Other (Please describe: ________________________________________)</w:t>
      </w:r>
    </w:p>
    <w:p w14:paraId="7513B36E" w14:textId="77777777" w:rsidR="00D34C6E" w:rsidRPr="00586ADF" w:rsidRDefault="00D34C6E" w:rsidP="00D34C6E"/>
    <w:p w14:paraId="0FD77D2C" w14:textId="77777777" w:rsidR="00D34C6E" w:rsidRPr="00854C35" w:rsidRDefault="00D34C6E" w:rsidP="00D34C6E">
      <w:pPr>
        <w:pStyle w:val="Heading5"/>
        <w:numPr>
          <w:ilvl w:val="4"/>
          <w:numId w:val="8"/>
        </w:numPr>
      </w:pPr>
      <w:r w:rsidRPr="00854C35">
        <w:t>Program Components FR Score</w:t>
      </w:r>
    </w:p>
    <w:p w14:paraId="58E9BE59" w14:textId="77777777" w:rsidR="00D34C6E" w:rsidRDefault="00D34C6E" w:rsidP="00D34C6E">
      <w:r w:rsidRPr="00912941">
        <w:t>Next, the evaluators will administer survey questions to obtain participants’ rating of the importance of various factors on the decision to implement energy efficiency measures. The numeric scales shall range from 0 to 10, where 0 means “not at all important” and 10 means “extremely important”. The various program and non-program factors referenced in the survey will include those that the evaluator determines are program factors and non-program factors that could potentially impact the participant decision making process.</w:t>
      </w:r>
      <w:r>
        <w:rPr>
          <w:szCs w:val="20"/>
        </w:rPr>
        <w:t xml:space="preserve"> </w:t>
      </w:r>
      <w:r>
        <w:t xml:space="preserve">Program factors are those utility actions designed to convince the distributor to increase their stock of efficient equipment and to change their sales strategies in order to sell more of these more energy efficient models. These might include such things as the incentive, information about the cost-effectiveness of the more efficient units, promotional materials, and the training of sales staff. Of course, it is possible that there might be other reasons other than the program actions that might also explain why they chose to promote the more energy efficient equipment. Non-program factors might include the distributor’s policies designed to support sustainability, their general concern about global warming, </w:t>
      </w:r>
      <w:r>
        <w:lastRenderedPageBreak/>
        <w:t xml:space="preserve">their interest in increasing their sales and profits, their desire to help their customers reduce their energy bills, and their interest in being perceived as environmentally </w:t>
      </w:r>
      <w:r w:rsidRPr="00F23D82">
        <w:t xml:space="preserve">responsible. </w:t>
      </w:r>
      <w:r w:rsidRPr="00912941">
        <w:t>A participant rating shall be obtained for each relevant program and non-program factor.</w:t>
      </w:r>
      <w:r w:rsidRPr="00F23D82">
        <w:t xml:space="preserve">  </w:t>
      </w:r>
      <w:r w:rsidRPr="00912941">
        <w:t xml:space="preserve">Evaluators will calculate the “Program Components FR Score” for each survey respondent using the following equation: </w:t>
      </w:r>
    </w:p>
    <w:p w14:paraId="7DE6F516" w14:textId="77777777" w:rsidR="00D34C6E" w:rsidRPr="00F23D82" w:rsidRDefault="00D34C6E" w:rsidP="00D34C6E">
      <w:pPr>
        <w:ind w:firstLine="720"/>
      </w:pPr>
      <w:r w:rsidRPr="00912941">
        <w:t>Program Components FR Score = 1 - ([Maximum Program Factor Rating]/10).</w:t>
      </w:r>
    </w:p>
    <w:p w14:paraId="20554CAC" w14:textId="4D4E67FC" w:rsidR="00D34C6E" w:rsidRPr="00854C35" w:rsidRDefault="00D34C6E" w:rsidP="00D34C6E">
      <w:pPr>
        <w:pStyle w:val="Heading5"/>
        <w:numPr>
          <w:ilvl w:val="4"/>
          <w:numId w:val="8"/>
        </w:numPr>
      </w:pPr>
      <w:r w:rsidRPr="00854C35">
        <w:t>Program Influence FR Score</w:t>
      </w:r>
    </w:p>
    <w:p w14:paraId="036B29BF" w14:textId="77777777" w:rsidR="00D34C6E" w:rsidRDefault="00D34C6E" w:rsidP="00D34C6E">
      <w:pPr>
        <w:widowControl/>
        <w:spacing w:after="0"/>
        <w:jc w:val="left"/>
        <w:textAlignment w:val="baseline"/>
        <w:rPr>
          <w:rFonts w:eastAsia="Franklin Gothic Book"/>
        </w:rPr>
      </w:pPr>
      <w:r w:rsidRPr="009B67BF">
        <w:rPr>
          <w:rFonts w:eastAsia="Franklin Gothic Book"/>
        </w:rPr>
        <w:t xml:space="preserve">Evaluators will administer a survey question that asks respondents to quantify the importance </w:t>
      </w:r>
      <w:r>
        <w:rPr>
          <w:rFonts w:eastAsia="Franklin Gothic Book"/>
        </w:rPr>
        <w:t xml:space="preserve">(or impact) </w:t>
      </w:r>
      <w:r w:rsidRPr="009B67BF">
        <w:rPr>
          <w:rFonts w:eastAsia="Franklin Gothic Book"/>
        </w:rPr>
        <w:t xml:space="preserve">of the program on the decision to implement energy efficiency measures relative to the importance </w:t>
      </w:r>
      <w:r>
        <w:rPr>
          <w:rFonts w:eastAsia="Franklin Gothic Book"/>
        </w:rPr>
        <w:t>(</w:t>
      </w:r>
      <w:r w:rsidRPr="009B67BF">
        <w:rPr>
          <w:rFonts w:eastAsia="Franklin Gothic Book"/>
        </w:rPr>
        <w:t>or impact</w:t>
      </w:r>
      <w:r>
        <w:rPr>
          <w:rFonts w:eastAsia="Franklin Gothic Book"/>
        </w:rPr>
        <w:t>)</w:t>
      </w:r>
      <w:r w:rsidRPr="009B67BF">
        <w:rPr>
          <w:rFonts w:eastAsia="Franklin Gothic Book"/>
        </w:rPr>
        <w:t xml:space="preserve"> of non-program factors. Respondents will be asked to allocate a total of 100 points to the program and to non-program factors. </w:t>
      </w:r>
      <w:r>
        <w:rPr>
          <w:rFonts w:eastAsia="Franklin Gothic Book"/>
        </w:rPr>
        <w:t xml:space="preserve">Unlike the factor ratings that go into the Program Components FR Score, this question asks respondents to explicitly make a trade-off between the program and non-program factors, i.e., it assesses the importance of the program </w:t>
      </w:r>
      <w:r w:rsidRPr="003B3C15">
        <w:rPr>
          <w:rFonts w:eastAsia="Franklin Gothic Book"/>
          <w:i/>
        </w:rPr>
        <w:t>relative to</w:t>
      </w:r>
      <w:r>
        <w:rPr>
          <w:rFonts w:eastAsia="Franklin Gothic Book"/>
        </w:rPr>
        <w:t xml:space="preserve"> non-program factors.</w:t>
      </w:r>
    </w:p>
    <w:p w14:paraId="412D2DE6" w14:textId="77777777" w:rsidR="00D34C6E" w:rsidRDefault="00D34C6E" w:rsidP="00D34C6E">
      <w:pPr>
        <w:widowControl/>
        <w:spacing w:after="0"/>
        <w:jc w:val="left"/>
        <w:textAlignment w:val="baseline"/>
        <w:rPr>
          <w:rFonts w:eastAsia="Franklin Gothic Book"/>
        </w:rPr>
      </w:pPr>
    </w:p>
    <w:p w14:paraId="7D469C27" w14:textId="77777777" w:rsidR="00D34C6E" w:rsidRDefault="00D34C6E" w:rsidP="00D34C6E">
      <w:pPr>
        <w:widowControl/>
        <w:spacing w:after="0"/>
        <w:jc w:val="left"/>
        <w:textAlignment w:val="baseline"/>
      </w:pPr>
      <w:r w:rsidRPr="009B67BF">
        <w:rPr>
          <w:rFonts w:eastAsia="Franklin Gothic Book"/>
        </w:rPr>
        <w:t xml:space="preserve">The points allocated to the program by the participants are the </w:t>
      </w:r>
      <w:r>
        <w:rPr>
          <w:rFonts w:eastAsia="Franklin Gothic Book"/>
        </w:rPr>
        <w:t>“</w:t>
      </w:r>
      <w:r w:rsidRPr="009B67BF">
        <w:rPr>
          <w:rFonts w:eastAsia="Franklin Gothic Book"/>
        </w:rPr>
        <w:t>Program Points.</w:t>
      </w:r>
      <w:r>
        <w:rPr>
          <w:rFonts w:eastAsia="Franklin Gothic Book"/>
        </w:rPr>
        <w:t>”</w:t>
      </w:r>
      <w:r w:rsidRPr="009B67BF">
        <w:rPr>
          <w:rFonts w:eastAsia="Franklin Gothic Book"/>
        </w:rPr>
        <w:t xml:space="preserve"> Evaluators will calculate the </w:t>
      </w:r>
      <w:r>
        <w:rPr>
          <w:rFonts w:eastAsia="Franklin Gothic Book"/>
        </w:rPr>
        <w:t>“</w:t>
      </w:r>
      <w:r w:rsidRPr="009B67BF">
        <w:rPr>
          <w:rFonts w:eastAsia="Franklin Gothic Book"/>
        </w:rPr>
        <w:t>Program Influence</w:t>
      </w:r>
      <w:r>
        <w:rPr>
          <w:rFonts w:eastAsia="Franklin Gothic Book"/>
        </w:rPr>
        <w:t xml:space="preserve"> FR</w:t>
      </w:r>
      <w:r w:rsidRPr="009B67BF">
        <w:rPr>
          <w:rFonts w:eastAsia="Franklin Gothic Book"/>
        </w:rPr>
        <w:t xml:space="preserve"> Score</w:t>
      </w:r>
      <w:r>
        <w:rPr>
          <w:rFonts w:eastAsia="Franklin Gothic Book"/>
        </w:rPr>
        <w:t>”</w:t>
      </w:r>
      <w:r w:rsidRPr="009B67BF">
        <w:rPr>
          <w:rFonts w:eastAsia="Franklin Gothic Book"/>
        </w:rPr>
        <w:t xml:space="preserve"> as 1</w:t>
      </w:r>
      <w:r>
        <w:rPr>
          <w:rFonts w:eastAsia="Franklin Gothic Book"/>
        </w:rPr>
        <w:t xml:space="preserve"> </w:t>
      </w:r>
      <w:r w:rsidRPr="009B67BF">
        <w:rPr>
          <w:rFonts w:eastAsia="Franklin Gothic Book"/>
        </w:rPr>
        <w:t>-</w:t>
      </w:r>
      <w:r>
        <w:rPr>
          <w:rFonts w:eastAsia="Franklin Gothic Book"/>
        </w:rPr>
        <w:t xml:space="preserve"> (</w:t>
      </w:r>
      <w:r w:rsidRPr="009B67BF">
        <w:rPr>
          <w:rFonts w:eastAsia="Franklin Gothic Book"/>
        </w:rPr>
        <w:t>Program Points/100</w:t>
      </w:r>
      <w:r>
        <w:rPr>
          <w:rFonts w:eastAsia="Franklin Gothic Book"/>
        </w:rPr>
        <w:t>)</w:t>
      </w:r>
      <w:r w:rsidRPr="009B67BF">
        <w:rPr>
          <w:rFonts w:eastAsia="Franklin Gothic Book"/>
        </w:rPr>
        <w:t>. Th</w:t>
      </w:r>
      <w:r>
        <w:rPr>
          <w:rFonts w:eastAsia="Franklin Gothic Book"/>
        </w:rPr>
        <w:t xml:space="preserve">is </w:t>
      </w:r>
      <w:r w:rsidRPr="009B67BF">
        <w:rPr>
          <w:rFonts w:eastAsia="Franklin Gothic Book"/>
        </w:rPr>
        <w:t>score can range from 0 (no free ridership) to 1 (full free rider).</w:t>
      </w:r>
      <w:r w:rsidRPr="00E42994">
        <w:t xml:space="preserve"> </w:t>
      </w:r>
    </w:p>
    <w:p w14:paraId="18E18EF0" w14:textId="77777777" w:rsidR="00D34C6E" w:rsidRDefault="00D34C6E" w:rsidP="00D34C6E">
      <w:pPr>
        <w:widowControl/>
        <w:spacing w:after="0"/>
        <w:jc w:val="left"/>
        <w:textAlignment w:val="baseline"/>
      </w:pPr>
    </w:p>
    <w:p w14:paraId="20354FF3" w14:textId="77777777" w:rsidR="00D34C6E" w:rsidRDefault="00D34C6E" w:rsidP="00D34C6E">
      <w:pPr>
        <w:widowControl/>
        <w:spacing w:after="0"/>
        <w:jc w:val="left"/>
        <w:textAlignment w:val="baseline"/>
      </w:pPr>
      <w:r>
        <w:t>Before asking respondents to allocate the 100 points, it is important to remind them what is meant by “program” and “non-program factors.” Otherwise, they might inadvertently divide the points based on an incorrect understanding of the two concepts. The following wording is suggested for use prior to the 100 points question. While the evaluator can make changes to this wording, as needed, to reflect the details of the program, the evaluator must follow the TRM’s guidance around reading in program and non-program factors.</w:t>
      </w:r>
    </w:p>
    <w:p w14:paraId="3848F10C" w14:textId="77777777" w:rsidR="00D34C6E" w:rsidRDefault="00D34C6E" w:rsidP="00D34C6E">
      <w:pPr>
        <w:widowControl/>
        <w:spacing w:after="0"/>
        <w:jc w:val="left"/>
        <w:textAlignment w:val="baseline"/>
        <w:rPr>
          <w:rFonts w:eastAsia="Franklin Gothic Book"/>
        </w:rPr>
      </w:pPr>
    </w:p>
    <w:p w14:paraId="6154360B" w14:textId="77777777" w:rsidR="00D34C6E" w:rsidRPr="001925F1" w:rsidRDefault="00D34C6E" w:rsidP="00D34C6E">
      <w:pPr>
        <w:ind w:left="720"/>
        <w:rPr>
          <w:i/>
          <w:iCs/>
        </w:rPr>
      </w:pPr>
      <w:r>
        <w:rPr>
          <w:i/>
          <w:iCs/>
        </w:rPr>
        <w:t>Program factors include:</w:t>
      </w:r>
    </w:p>
    <w:p w14:paraId="76AA3848" w14:textId="77777777" w:rsidR="00D34C6E" w:rsidRDefault="00D34C6E" w:rsidP="00D34C6E">
      <w:pPr>
        <w:ind w:left="720"/>
      </w:pPr>
      <w:r>
        <w:t>[READ IN A MINIMUM OF TWO PROGRAM FACTORS, SELECTED BY CHOOSING THOSE THAT RECEIVED THE HIGHEST TWO SCORES AMONG ALL PROGRAM COMPONENTS IN THE PROGRAM COMPONENTS SECTION. THE EVALUATOR MAY CHOOSE TO READ IN ADDITIONAL FACTORS AT THEIR DISCRETION, ALSO CHOSEN BY SELECTING THOSE THAT RECEIVED THE NEXT HIGHEST SCORES IN THE PROGRAM COMPONENTS SECTION AMONG PROGRAM COMPONENTS. IF FACTORS ARE TIED IN SCORE, EVALUATORS MAY WISH TO READ IN ALL TIED FACTORS, OR RANDOMIZE SELECTION OF TWO OR MORE FACTORS.]</w:t>
      </w:r>
    </w:p>
    <w:p w14:paraId="7B3E1EC2" w14:textId="77777777" w:rsidR="00D34C6E" w:rsidRPr="001925F1" w:rsidRDefault="00D34C6E" w:rsidP="00D34C6E">
      <w:pPr>
        <w:ind w:left="720"/>
        <w:rPr>
          <w:i/>
          <w:iCs/>
        </w:rPr>
      </w:pPr>
      <w:r>
        <w:rPr>
          <w:i/>
          <w:iCs/>
        </w:rPr>
        <w:t>Non-program factors include:</w:t>
      </w:r>
    </w:p>
    <w:p w14:paraId="192EFB61" w14:textId="77777777" w:rsidR="00D34C6E" w:rsidRDefault="00D34C6E" w:rsidP="00D34C6E">
      <w:pPr>
        <w:ind w:left="720"/>
      </w:pPr>
      <w:r>
        <w:t>[READ IN A MINIMUM OF TWO NON-PROGRAM FACTORS, SELECTED BY CHOOSING THOSE THAT RECEIVED THE HIGHEST TWO SCORES AMONG ALL NON-PROGRAM COMPONENTS IN THE PROGRAM COMPONENTS SECTION. THE EVALUATOR MAY CHOOSE TO READ IN ADDITIONAL FACTORS AT THEIR DISCRETION, ALSO CHOSEN BY SELECTING THOSE THAT RECEIVED THE NEXT HIGHEST SCORES IN THE PROGRAM COMPONENTS SECTION.</w:t>
      </w:r>
      <w:r w:rsidRPr="001925F1">
        <w:t xml:space="preserve"> </w:t>
      </w:r>
      <w:r>
        <w:t>IF FACTORS ARE TIED IN SCORE, EVALUATORS MAY WISH TO READ IN ALL TIED FACTORS, OR RANDOMIZE SELECTION OF TWO OR MORE FACTORS.]</w:t>
      </w:r>
    </w:p>
    <w:p w14:paraId="3A6E784D" w14:textId="72FBA4FE" w:rsidR="00D34C6E" w:rsidRPr="001925F1" w:rsidRDefault="00D34C6E" w:rsidP="00D34C6E">
      <w:pPr>
        <w:ind w:left="720"/>
      </w:pPr>
      <w:r w:rsidRPr="00BC12AD">
        <w:t xml:space="preserve">ONCE THESE PROGRAM AND NON-PROGRAM FACTORS ARE IDENTIFIED, THE </w:t>
      </w:r>
      <w:r w:rsidR="005F42F9">
        <w:t>EVALUATOR</w:t>
      </w:r>
      <w:r w:rsidR="005F42F9" w:rsidRPr="00BC12AD">
        <w:t xml:space="preserve"> </w:t>
      </w:r>
      <w:r w:rsidRPr="00BC12AD">
        <w:t>SHOULD READ BOTH LISTS TO THE RESPONDENT BEFORE ASKING THE 100-POINTS ALLOCATION QUESTION.</w:t>
      </w:r>
    </w:p>
    <w:p w14:paraId="4465F03D" w14:textId="7EA3681B" w:rsidR="00D34C6E" w:rsidRPr="00586ADF" w:rsidRDefault="00D34C6E" w:rsidP="00D34C6E">
      <w:pPr>
        <w:ind w:left="720"/>
      </w:pPr>
      <w:r w:rsidRPr="00586ADF">
        <w:t>Next, I would like you to rate the importance of the PROGRAM FACTORS</w:t>
      </w:r>
      <w:r>
        <w:t xml:space="preserve"> as a group</w:t>
      </w:r>
      <w:r w:rsidRPr="00586ADF">
        <w:t xml:space="preserve"> in your decision to implement these sales strategies as opposed to other NON-PROGRAM FACTORS </w:t>
      </w:r>
      <w:r>
        <w:t xml:space="preserve">as a group </w:t>
      </w:r>
      <w:r w:rsidRPr="00586ADF">
        <w:t>that m</w:t>
      </w:r>
      <w:r>
        <w:t>ight</w:t>
      </w:r>
      <w:r w:rsidRPr="00586ADF">
        <w:t xml:space="preserve"> have influenced your decision. </w:t>
      </w:r>
    </w:p>
    <w:p w14:paraId="15BE3618" w14:textId="77777777" w:rsidR="00D34C6E" w:rsidRDefault="00D34C6E" w:rsidP="00D34C6E">
      <w:pPr>
        <w:ind w:left="720"/>
      </w:pPr>
      <w:r w:rsidRPr="00586ADF">
        <w:t>Now, if you were given 10</w:t>
      </w:r>
      <w:r>
        <w:t>0</w:t>
      </w:r>
      <w:r w:rsidRPr="00586ADF">
        <w:t xml:space="preserve"> points to award in total, how many points would give to the importance of the program factors as a group and how many points would you give to the non-program factors as a group?</w:t>
      </w:r>
    </w:p>
    <w:p w14:paraId="3D2DF9B5" w14:textId="77777777" w:rsidR="00D34C6E" w:rsidRDefault="00D34C6E" w:rsidP="00D34C6E">
      <w:pPr>
        <w:rPr>
          <w:szCs w:val="20"/>
        </w:rPr>
      </w:pPr>
      <w:r>
        <w:rPr>
          <w:szCs w:val="20"/>
        </w:rPr>
        <w:t>Evaluators will calculate the “Program Influence FR Score” as 1 - (Program Points/100).</w:t>
      </w:r>
    </w:p>
    <w:p w14:paraId="27D15711" w14:textId="77777777" w:rsidR="00D34C6E" w:rsidRPr="00854C35" w:rsidRDefault="00D34C6E" w:rsidP="00D34C6E">
      <w:pPr>
        <w:pStyle w:val="Heading5"/>
        <w:numPr>
          <w:ilvl w:val="4"/>
          <w:numId w:val="8"/>
        </w:numPr>
      </w:pPr>
      <w:r w:rsidRPr="00854C35">
        <w:t>No-Program FR Score</w:t>
      </w:r>
    </w:p>
    <w:p w14:paraId="2505F780" w14:textId="77777777" w:rsidR="00D34C6E" w:rsidRPr="00B429EF" w:rsidRDefault="00D34C6E" w:rsidP="00D34C6E">
      <w:pPr>
        <w:rPr>
          <w:b/>
          <w:bCs/>
        </w:rPr>
      </w:pPr>
      <w:r w:rsidRPr="00B429EF">
        <w:t xml:space="preserve">Using a likelihood scale from 0 to 10, where 0 is “Not at all likely” and 10 is “Extremely likely”, if PROGRAM had not </w:t>
      </w:r>
      <w:r w:rsidRPr="00B429EF">
        <w:lastRenderedPageBreak/>
        <w:t>been available, what is the likelihood that you would have use</w:t>
      </w:r>
      <w:r>
        <w:t>d</w:t>
      </w:r>
      <w:r w:rsidRPr="00B429EF">
        <w:t xml:space="preserve"> the same strategies to sell program-qualified equipment?</w:t>
      </w:r>
    </w:p>
    <w:bookmarkEnd w:id="1988"/>
    <w:p w14:paraId="70F4B88C" w14:textId="77777777" w:rsidR="00D34C6E" w:rsidRPr="004674B5" w:rsidRDefault="00D34C6E" w:rsidP="00D34C6E">
      <w:r>
        <w:rPr>
          <w:szCs w:val="20"/>
        </w:rPr>
        <w:t xml:space="preserve">Evaluators will calculate the “No-Program FR Score” as the numeric score of the likelihood that the respondent would have used the same strategies to sell program-qualified equipment in the absence of the program divided by 10. </w:t>
      </w:r>
      <w:r>
        <w:t xml:space="preserve">Evaluators should also follow the guidelines regarding program and non-program factors, consistency checks, and quality control review in Section 3.1.1: Core Non-Residential Free Ridership Protocol. </w:t>
      </w:r>
    </w:p>
    <w:p w14:paraId="7758C4E6" w14:textId="49F21992" w:rsidR="00D34C6E" w:rsidRPr="00B429EF" w:rsidRDefault="00D34C6E" w:rsidP="00D34C6E">
      <w:r w:rsidRPr="00B429EF">
        <w:t xml:space="preserve">The approach for assessing program impacts described in this section should not be considered exclusive or exhaustive. </w:t>
      </w:r>
      <w:r>
        <w:t xml:space="preserve">However, </w:t>
      </w:r>
      <w:r w:rsidRPr="00A51B53">
        <w:t>use of a different method or of a modified algorithm will be considered a deviation as discussed in Section 1.4: Diverging from the IL-NTG Methods, and will require a proposal to the Illinois SAG and approval of the proposed method by the SAG. Some additional potential methods that would be considered a deviation from this protocol will now be discussed.</w:t>
      </w:r>
      <w:r>
        <w:rPr>
          <w:rStyle w:val="CommentReference"/>
          <w:rFonts w:ascii="Times New Roman" w:hAnsi="Times New Roman"/>
          <w:sz w:val="24"/>
          <w:szCs w:val="24"/>
        </w:rPr>
        <w:t xml:space="preserve"> </w:t>
      </w:r>
      <w:r>
        <w:t>Within the general framework of the non-residential algorithm, t</w:t>
      </w:r>
      <w:r w:rsidRPr="00B429EF">
        <w:t xml:space="preserve">here are other possible ways to </w:t>
      </w:r>
      <w:r>
        <w:t xml:space="preserve">construct indicators of free ridership </w:t>
      </w:r>
      <w:r w:rsidRPr="00B429EF">
        <w:t>depending on the data available. For example, for the No</w:t>
      </w:r>
      <w:r>
        <w:t>-</w:t>
      </w:r>
      <w:r w:rsidRPr="00B429EF">
        <w:t xml:space="preserve">Program </w:t>
      </w:r>
      <w:r>
        <w:t xml:space="preserve">FR </w:t>
      </w:r>
      <w:r w:rsidRPr="00B429EF">
        <w:t>Score, if the evaluator can obtain historic and current category sales data from each participating distributor</w:t>
      </w:r>
      <w:r w:rsidRPr="00586ADF">
        <w:t xml:space="preserve">, </w:t>
      </w:r>
      <w:r>
        <w:t>these data can</w:t>
      </w:r>
      <w:r w:rsidRPr="00586ADF">
        <w:t xml:space="preserve"> be combined with program sales data </w:t>
      </w:r>
      <w:r>
        <w:t xml:space="preserve">(that </w:t>
      </w:r>
      <w:r w:rsidRPr="00586ADF">
        <w:t>they are required to provide</w:t>
      </w:r>
      <w:r>
        <w:t xml:space="preserve"> to the utility)</w:t>
      </w:r>
      <w:r w:rsidRPr="00586ADF">
        <w:t xml:space="preserve"> to determine the shift in efficient </w:t>
      </w:r>
      <w:r>
        <w:t xml:space="preserve">market </w:t>
      </w:r>
      <w:r w:rsidRPr="00586ADF">
        <w:t>shares at the distributor and program levels. If current category sales data are not available, the evaluator could ask the distributors about changes in these shares from the pre- to the post-participation periods</w:t>
      </w:r>
      <w:r>
        <w:t xml:space="preserve"> (see example from EMI, 2018)</w:t>
      </w:r>
      <w:r w:rsidRPr="00586ADF">
        <w:t>, although this approach is</w:t>
      </w:r>
      <w:r>
        <w:t xml:space="preserve"> likely less reliable than shares based on recorded sales data</w:t>
      </w:r>
      <w:r w:rsidRPr="00586ADF">
        <w:t xml:space="preserve">. Or, one could also conduct an interrupted time-series analysis of monthly sales of program-qualified units. There may also be qualitative methodologies which can be combined with quantitative methodologies </w:t>
      </w:r>
      <w:r w:rsidRPr="002C76BD">
        <w:t>to enhance the accuracy of program impact</w:t>
      </w:r>
      <w:r w:rsidRPr="003A43C8">
        <w:t xml:space="preserve"> estimates. One could also employ a </w:t>
      </w:r>
      <w:r w:rsidRPr="005509AE">
        <w:t>theory-driven evaluation framework (Coryn, 2011) within which an evaluator could assess the program’s effectiveness, guided by the program theory and logic model. For a complex midstream distributor program, an evaluator could develop performance metrics for each activity, output</w:t>
      </w:r>
      <w:r>
        <w:t>,</w:t>
      </w:r>
      <w:r w:rsidRPr="005509AE">
        <w:t xml:space="preserve"> and outcome and assess the extent to which major activities of the program have been and are being successfully implemented and whether these activities had led to or are likely to lead eventually to the expected short-, mid-</w:t>
      </w:r>
      <w:r>
        <w:t>,</w:t>
      </w:r>
      <w:r w:rsidRPr="005509AE">
        <w:t xml:space="preserve"> and long-term outcomes. </w:t>
      </w:r>
      <w:r w:rsidRPr="002C76BD">
        <w:t xml:space="preserve"> </w:t>
      </w:r>
      <w:r w:rsidRPr="003A43C8">
        <w:t>Of course</w:t>
      </w:r>
      <w:r w:rsidRPr="00A51B53">
        <w:t>, as evaluators choose to use some of these other methods, they must propose and defend a modified algorithm that can include the results from using these other methods.</w:t>
      </w:r>
    </w:p>
    <w:p w14:paraId="7BF4F893" w14:textId="77777777" w:rsidR="00D34C6E" w:rsidRPr="00586ADF" w:rsidRDefault="00D34C6E" w:rsidP="00D34C6E"/>
    <w:bookmarkEnd w:id="1977"/>
    <w:bookmarkEnd w:id="1978"/>
    <w:bookmarkEnd w:id="1979"/>
    <w:bookmarkEnd w:id="1980"/>
    <w:bookmarkEnd w:id="1981"/>
    <w:bookmarkEnd w:id="1982"/>
    <w:bookmarkEnd w:id="1983"/>
    <w:bookmarkEnd w:id="1984"/>
    <w:bookmarkEnd w:id="1985"/>
    <w:p w14:paraId="3B6301CE" w14:textId="77777777" w:rsidR="00D34C6E" w:rsidRDefault="00D34C6E" w:rsidP="00D34C6E">
      <w:r>
        <w:br w:type="page"/>
      </w:r>
    </w:p>
    <w:p w14:paraId="60491200" w14:textId="287A3329" w:rsidR="00D34C6E" w:rsidRPr="009B67BF" w:rsidRDefault="00D34C6E" w:rsidP="00BA6EEF">
      <w:pPr>
        <w:pStyle w:val="Heading1"/>
        <w:keepLines w:val="0"/>
        <w:widowControl/>
        <w:numPr>
          <w:ilvl w:val="0"/>
          <w:numId w:val="8"/>
        </w:numPr>
        <w:tabs>
          <w:tab w:val="decimal" w:pos="720"/>
        </w:tabs>
        <w:jc w:val="left"/>
      </w:pPr>
      <w:bookmarkStart w:id="1992" w:name="_Toc431526498"/>
      <w:bookmarkStart w:id="1993" w:name="_Toc442804331"/>
      <w:bookmarkStart w:id="1994" w:name="_Toc442805548"/>
      <w:bookmarkStart w:id="1995" w:name="_Toc411554717"/>
      <w:bookmarkStart w:id="1996" w:name="_Toc472494737"/>
      <w:bookmarkStart w:id="1997" w:name="_Toc520462944"/>
      <w:bookmarkStart w:id="1998" w:name="_Toc473108079"/>
      <w:bookmarkStart w:id="1999" w:name="_Toc520824245"/>
      <w:bookmarkStart w:id="2000" w:name="_Toc16619987"/>
      <w:bookmarkStart w:id="2001" w:name="_Toc113619838"/>
      <w:r w:rsidRPr="009B67BF">
        <w:lastRenderedPageBreak/>
        <w:t>Appendix A: Overview of NTG Methods</w:t>
      </w:r>
      <w:bookmarkEnd w:id="1992"/>
      <w:bookmarkEnd w:id="1993"/>
      <w:bookmarkEnd w:id="1994"/>
      <w:bookmarkEnd w:id="1995"/>
      <w:bookmarkEnd w:id="1996"/>
      <w:bookmarkEnd w:id="1997"/>
      <w:bookmarkEnd w:id="1998"/>
      <w:bookmarkEnd w:id="1999"/>
      <w:bookmarkEnd w:id="2000"/>
      <w:bookmarkEnd w:id="2001"/>
    </w:p>
    <w:p w14:paraId="6E4485DB" w14:textId="77777777" w:rsidR="00D34C6E" w:rsidRPr="009B67BF" w:rsidRDefault="00D34C6E" w:rsidP="00D34C6E">
      <w:pPr>
        <w:rPr>
          <w:rFonts w:eastAsia="Franklin Gothic Book"/>
        </w:rPr>
      </w:pPr>
      <w:r w:rsidRPr="009B67BF">
        <w:rPr>
          <w:rFonts w:eastAsia="Franklin Gothic Book"/>
        </w:rPr>
        <w:t>The evaluation teams present information in this appendix to provide a relatively quick overview of NTG methods for readers unaccustomed to the possible methods that evaluators may deploy. It is not meant to be a complete or deep discussion about each of the methods presented. However, the evaluators in Illinois considered the inclusion of this appendix to be very important in acknowledging the current suite of methods deployed by evaluators throughout the U.S. and giving a framework for work within Illinois.</w:t>
      </w:r>
    </w:p>
    <w:p w14:paraId="55D00610" w14:textId="77777777" w:rsidR="00D34C6E" w:rsidRPr="00097EBD" w:rsidRDefault="00D34C6E" w:rsidP="00D34C6E">
      <w:pPr>
        <w:rPr>
          <w:rFonts w:eastAsia="Franklin Gothic Book"/>
        </w:rPr>
      </w:pPr>
      <w:r w:rsidRPr="00097EBD">
        <w:rPr>
          <w:rFonts w:eastAsia="Franklin Gothic Book"/>
        </w:rPr>
        <w:t>Much of the information shown below is taken directly from a single source—the national Un</w:t>
      </w:r>
      <w:r>
        <w:rPr>
          <w:rFonts w:eastAsia="Franklin Gothic Book"/>
        </w:rPr>
        <w:t>iform Methods Project, Chapter 23</w:t>
      </w:r>
      <w:r w:rsidRPr="00097EBD">
        <w:rPr>
          <w:rFonts w:eastAsia="Franklin Gothic Book"/>
        </w:rPr>
        <w:t xml:space="preserve">: Estimating Net Savings: Common Practices. (Violette and Rathbun, 2014) This document </w:t>
      </w:r>
      <w:proofErr w:type="gramStart"/>
      <w:r w:rsidRPr="00097EBD">
        <w:rPr>
          <w:rFonts w:eastAsia="Franklin Gothic Book"/>
        </w:rPr>
        <w:t>has</w:t>
      </w:r>
      <w:proofErr w:type="gramEnd"/>
      <w:r w:rsidRPr="00097EBD">
        <w:rPr>
          <w:rFonts w:eastAsia="Franklin Gothic Book"/>
        </w:rPr>
        <w:t xml:space="preserve"> done a nice job of summarizing the eight most common attribution methods currently in use across the U.S. The evaluation teams recommend that readers go first to this reference for further information. Additionally, while there are slightly over 100 references within the Violette and Rathbun document, other non-duplicative references are included where reasonable as additional resources for those interested in further research into any specific method.</w:t>
      </w:r>
    </w:p>
    <w:p w14:paraId="2885760C" w14:textId="77777777" w:rsidR="00D34C6E" w:rsidRPr="009B67BF" w:rsidRDefault="00D34C6E" w:rsidP="00BA6EEF">
      <w:pPr>
        <w:pStyle w:val="Heading2"/>
        <w:keepLines w:val="0"/>
        <w:widowControl/>
        <w:numPr>
          <w:ilvl w:val="1"/>
          <w:numId w:val="8"/>
        </w:numPr>
        <w:jc w:val="left"/>
      </w:pPr>
      <w:bookmarkStart w:id="2002" w:name="_Toc431526499"/>
      <w:bookmarkStart w:id="2003" w:name="_Toc442804332"/>
      <w:bookmarkStart w:id="2004" w:name="_Toc442805549"/>
      <w:bookmarkStart w:id="2005" w:name="_Toc411554718"/>
      <w:bookmarkStart w:id="2006" w:name="_Toc472494738"/>
      <w:bookmarkStart w:id="2007" w:name="_Toc520462945"/>
      <w:bookmarkStart w:id="2008" w:name="_Toc473108080"/>
      <w:bookmarkStart w:id="2009" w:name="_Toc520824246"/>
      <w:bookmarkStart w:id="2010" w:name="_Toc16619988"/>
      <w:bookmarkStart w:id="2011" w:name="_Toc113619839"/>
      <w:r w:rsidRPr="009B67BF">
        <w:t>Survey-Based Approaches</w:t>
      </w:r>
      <w:bookmarkEnd w:id="2002"/>
      <w:bookmarkEnd w:id="2003"/>
      <w:bookmarkEnd w:id="2004"/>
      <w:bookmarkEnd w:id="2005"/>
      <w:bookmarkEnd w:id="2006"/>
      <w:bookmarkEnd w:id="2007"/>
      <w:bookmarkEnd w:id="2008"/>
      <w:bookmarkEnd w:id="2009"/>
      <w:bookmarkEnd w:id="2010"/>
      <w:bookmarkEnd w:id="2011"/>
    </w:p>
    <w:p w14:paraId="230E62DB" w14:textId="77777777" w:rsidR="00D34C6E" w:rsidRPr="009B67BF" w:rsidRDefault="00D34C6E" w:rsidP="00D34C6E">
      <w:pPr>
        <w:rPr>
          <w:rFonts w:eastAsia="Franklin Gothic Book"/>
        </w:rPr>
      </w:pPr>
      <w:r w:rsidRPr="009B67BF">
        <w:rPr>
          <w:rFonts w:eastAsia="Franklin Gothic Book"/>
        </w:rPr>
        <w:t xml:space="preserve">Virtually all Illinois based evaluations use a survey-based approach for programs where primary data is used to determine net savings. (The main exception is for </w:t>
      </w:r>
      <w:r>
        <w:rPr>
          <w:rFonts w:eastAsia="Franklin Gothic Book"/>
        </w:rPr>
        <w:t>b</w:t>
      </w:r>
      <w:r w:rsidRPr="009B67BF">
        <w:rPr>
          <w:rFonts w:eastAsia="Franklin Gothic Book"/>
        </w:rPr>
        <w:t>ehavioral programs which use statistical analysis based on a randomized control trial program design.) Survey</w:t>
      </w:r>
      <w:r>
        <w:rPr>
          <w:rFonts w:eastAsia="Franklin Gothic Book"/>
        </w:rPr>
        <w:t>-</w:t>
      </w:r>
      <w:r w:rsidRPr="009B67BF">
        <w:rPr>
          <w:rFonts w:eastAsia="Franklin Gothic Book"/>
        </w:rPr>
        <w:t>based approaches obtain data from program participants and nonparticipants using a structured data collection instrument implemented via phone, in person</w:t>
      </w:r>
      <w:r>
        <w:rPr>
          <w:rFonts w:eastAsia="Franklin Gothic Book"/>
        </w:rPr>
        <w:t>,</w:t>
      </w:r>
      <w:r w:rsidRPr="009B67BF">
        <w:rPr>
          <w:rFonts w:eastAsia="Franklin Gothic Book"/>
        </w:rPr>
        <w:t xml:space="preserve"> or online.</w:t>
      </w:r>
      <w:r>
        <w:rPr>
          <w:rStyle w:val="FootnoteReference"/>
          <w:rFonts w:eastAsia="Franklin Gothic Book"/>
        </w:rPr>
        <w:footnoteReference w:id="116"/>
      </w:r>
      <w:r w:rsidRPr="009B67BF">
        <w:rPr>
          <w:rFonts w:eastAsia="Franklin Gothic Book"/>
        </w:rPr>
        <w:t xml:space="preserve"> At times, evaluators create and use an unstructured depth-interview guide to collect information about attribution</w:t>
      </w:r>
      <w:r>
        <w:rPr>
          <w:rFonts w:eastAsia="Franklin Gothic Book"/>
        </w:rPr>
        <w:t>,</w:t>
      </w:r>
      <w:r w:rsidRPr="009B67BF">
        <w:rPr>
          <w:rFonts w:eastAsia="Franklin Gothic Book"/>
        </w:rPr>
        <w:t xml:space="preserve"> and this provides both contextual data and quantitative data about a given project.</w:t>
      </w:r>
    </w:p>
    <w:p w14:paraId="79F343BF" w14:textId="77777777" w:rsidR="00D34C6E" w:rsidRPr="009B67BF" w:rsidRDefault="00D34C6E" w:rsidP="00BA6EEF">
      <w:pPr>
        <w:pStyle w:val="Heading3"/>
      </w:pPr>
      <w:bookmarkStart w:id="2012" w:name="_Toc431526500"/>
      <w:bookmarkStart w:id="2013" w:name="_Toc442804333"/>
      <w:bookmarkStart w:id="2014" w:name="_Toc442805550"/>
      <w:bookmarkStart w:id="2015" w:name="_Toc411554719"/>
      <w:bookmarkStart w:id="2016" w:name="_Toc472494739"/>
      <w:bookmarkStart w:id="2017" w:name="_Toc520462946"/>
      <w:bookmarkStart w:id="2018" w:name="_Toc473108081"/>
      <w:bookmarkStart w:id="2019" w:name="_Toc520824247"/>
      <w:bookmarkStart w:id="2020" w:name="_Toc16619989"/>
      <w:bookmarkStart w:id="2021" w:name="_Toc113619840"/>
      <w:r w:rsidRPr="009B67BF">
        <w:t>Self-Report Approach</w:t>
      </w:r>
      <w:bookmarkEnd w:id="2012"/>
      <w:bookmarkEnd w:id="2013"/>
      <w:bookmarkEnd w:id="2014"/>
      <w:bookmarkEnd w:id="2015"/>
      <w:bookmarkEnd w:id="2016"/>
      <w:bookmarkEnd w:id="2017"/>
      <w:bookmarkEnd w:id="2018"/>
      <w:bookmarkEnd w:id="2019"/>
      <w:bookmarkEnd w:id="2020"/>
      <w:bookmarkEnd w:id="2021"/>
    </w:p>
    <w:p w14:paraId="047AEE93" w14:textId="77777777" w:rsidR="00D34C6E" w:rsidRPr="009B67BF" w:rsidRDefault="00D34C6E" w:rsidP="00D34C6E">
      <w:pPr>
        <w:rPr>
          <w:rFonts w:eastAsia="Franklin Gothic Book"/>
        </w:rPr>
      </w:pPr>
      <w:r w:rsidRPr="009B67BF">
        <w:rPr>
          <w:rFonts w:eastAsia="Franklin Gothic Book"/>
        </w:rPr>
        <w:t>The self-report approach relies on the abilities of customers to discuss the program influence as well as the somewhat abstract ideas of the counterfactual (i.e., what would have occurred absent the program) after making a choice to purchase an energy efficient item or take an energy efficient action unrelated to a purchase. For program participants, this could include doing nothing (i.e., leaving the existing equipment as-is), installing the same energy efficient equipment as they did through the program, or an intermediate step of installing equipment that is more efficient than what they had in place previously, but less efficient than what they installed through the program. Evaluators also use this approach when collecting information from trade allies or distributors. This self-report approach is not new, nor is it exclusively used by the energy efficiency industry. An important attribute of this approach is its reliance on well-designed and fielded survey questions</w:t>
      </w:r>
      <w:r>
        <w:rPr>
          <w:rFonts w:eastAsia="Franklin Gothic Book"/>
        </w:rPr>
        <w:t>;</w:t>
      </w:r>
      <w:r w:rsidRPr="009B67BF">
        <w:rPr>
          <w:rFonts w:eastAsia="Franklin Gothic Book"/>
        </w:rPr>
        <w:t xml:space="preserve"> so that the data underlying subsequent analyses are accurate and complete.</w:t>
      </w:r>
    </w:p>
    <w:p w14:paraId="7B1F3E5D" w14:textId="77777777" w:rsidR="00D34C6E" w:rsidRPr="009B67BF" w:rsidRDefault="00D34C6E" w:rsidP="00D34C6E">
      <w:pPr>
        <w:rPr>
          <w:rFonts w:eastAsia="Franklin Gothic Book"/>
        </w:rPr>
      </w:pPr>
      <w:r w:rsidRPr="009B67BF">
        <w:rPr>
          <w:rFonts w:eastAsia="Franklin Gothic Book"/>
        </w:rPr>
        <w:t>The output of this approach is a NTG ratio which can be considered an index of the program’s influence on the decision to install energy</w:t>
      </w:r>
      <w:r>
        <w:rPr>
          <w:rFonts w:eastAsia="Franklin Gothic Book"/>
        </w:rPr>
        <w:t>-</w:t>
      </w:r>
      <w:r w:rsidRPr="009B67BF">
        <w:rPr>
          <w:rFonts w:eastAsia="Franklin Gothic Book"/>
        </w:rPr>
        <w:t>efficient equipment. The NTG ratio is applied to gross savings in order to obtain an estimate of net savings. The NTG ratio may include free ridership, spillover, or market effects, depending on the survey and analytical design. NTG ratios may be calculated at the measure, suite of measures, or program level and are typically average values weighted by savings. If sufficient information is available, analysis of NTG ratios among certain customer segments may be done to further inform changes to program design.</w:t>
      </w:r>
    </w:p>
    <w:p w14:paraId="78A86221" w14:textId="77777777" w:rsidR="00D34C6E" w:rsidRPr="00097EBD" w:rsidRDefault="00D34C6E" w:rsidP="00D34C6E">
      <w:pPr>
        <w:keepNext/>
        <w:rPr>
          <w:rFonts w:eastAsia="Franklin Gothic Book"/>
          <w:b/>
        </w:rPr>
      </w:pPr>
      <w:r w:rsidRPr="00097EBD">
        <w:rPr>
          <w:rFonts w:eastAsia="Franklin Gothic Book"/>
          <w:b/>
        </w:rPr>
        <w:t>References</w:t>
      </w:r>
    </w:p>
    <w:p w14:paraId="6EC97F00" w14:textId="77777777" w:rsidR="00D34C6E" w:rsidRPr="009B67BF" w:rsidRDefault="00D34C6E" w:rsidP="00D34C6E">
      <w:pPr>
        <w:keepNext/>
        <w:widowControl/>
        <w:numPr>
          <w:ilvl w:val="0"/>
          <w:numId w:val="1"/>
        </w:numPr>
        <w:spacing w:after="60"/>
        <w:jc w:val="left"/>
        <w:rPr>
          <w:rFonts w:eastAsia="Franklin Gothic Book"/>
        </w:rPr>
      </w:pPr>
      <w:r w:rsidRPr="009B67BF">
        <w:rPr>
          <w:rFonts w:eastAsia="Franklin Gothic Book"/>
        </w:rPr>
        <w:t>Sudman, 1996</w:t>
      </w:r>
    </w:p>
    <w:p w14:paraId="431A1C4F" w14:textId="77777777" w:rsidR="00D34C6E" w:rsidRPr="009B67BF" w:rsidRDefault="00D34C6E" w:rsidP="00D34C6E">
      <w:pPr>
        <w:keepNext/>
        <w:widowControl/>
        <w:numPr>
          <w:ilvl w:val="0"/>
          <w:numId w:val="1"/>
        </w:numPr>
        <w:spacing w:after="60"/>
        <w:jc w:val="left"/>
        <w:rPr>
          <w:rFonts w:eastAsia="Franklin Gothic Book"/>
        </w:rPr>
      </w:pPr>
      <w:r w:rsidRPr="009B67BF">
        <w:rPr>
          <w:rFonts w:eastAsia="Franklin Gothic Book"/>
        </w:rPr>
        <w:t>Stone, et al., 2000</w:t>
      </w:r>
    </w:p>
    <w:p w14:paraId="5BBCDF89" w14:textId="77777777" w:rsidR="00D34C6E" w:rsidRDefault="00D34C6E" w:rsidP="00D34C6E">
      <w:pPr>
        <w:widowControl/>
        <w:numPr>
          <w:ilvl w:val="0"/>
          <w:numId w:val="1"/>
        </w:numPr>
        <w:spacing w:after="60"/>
        <w:jc w:val="left"/>
        <w:rPr>
          <w:rFonts w:eastAsia="Franklin Gothic Book"/>
        </w:rPr>
      </w:pPr>
      <w:r w:rsidRPr="009B67BF">
        <w:rPr>
          <w:rFonts w:eastAsia="Franklin Gothic Book"/>
        </w:rPr>
        <w:t>Bradburn, et al., 2004</w:t>
      </w:r>
    </w:p>
    <w:p w14:paraId="77D866A1" w14:textId="77777777" w:rsidR="00D34C6E" w:rsidRPr="009B67BF" w:rsidRDefault="00D34C6E" w:rsidP="00BA6EEF">
      <w:pPr>
        <w:pStyle w:val="Heading3"/>
      </w:pPr>
      <w:bookmarkStart w:id="2022" w:name="_Toc431526501"/>
      <w:bookmarkStart w:id="2023" w:name="_Toc442804334"/>
      <w:bookmarkStart w:id="2024" w:name="_Toc442805551"/>
      <w:bookmarkStart w:id="2025" w:name="_Toc411554720"/>
      <w:bookmarkStart w:id="2026" w:name="_Toc472494740"/>
      <w:bookmarkStart w:id="2027" w:name="_Toc520462947"/>
      <w:bookmarkStart w:id="2028" w:name="_Toc473108082"/>
      <w:bookmarkStart w:id="2029" w:name="_Toc520824248"/>
      <w:bookmarkStart w:id="2030" w:name="_Toc16619990"/>
      <w:bookmarkStart w:id="2031" w:name="_Toc113619841"/>
      <w:r w:rsidRPr="009B67BF">
        <w:lastRenderedPageBreak/>
        <w:t>Econometric/Revealed Preference Approach</w:t>
      </w:r>
      <w:bookmarkEnd w:id="2022"/>
      <w:bookmarkEnd w:id="2023"/>
      <w:bookmarkEnd w:id="2024"/>
      <w:bookmarkEnd w:id="2025"/>
      <w:bookmarkEnd w:id="2026"/>
      <w:bookmarkEnd w:id="2027"/>
      <w:bookmarkEnd w:id="2028"/>
      <w:bookmarkEnd w:id="2029"/>
      <w:bookmarkEnd w:id="2030"/>
      <w:bookmarkEnd w:id="2031"/>
    </w:p>
    <w:p w14:paraId="43E622DA" w14:textId="77777777" w:rsidR="00D34C6E" w:rsidRPr="009B67BF" w:rsidRDefault="00D34C6E" w:rsidP="00D34C6E">
      <w:pPr>
        <w:rPr>
          <w:rFonts w:eastAsia="Franklin Gothic Book"/>
        </w:rPr>
      </w:pPr>
      <w:r w:rsidRPr="009B67BF">
        <w:rPr>
          <w:rFonts w:eastAsia="Franklin Gothic Book"/>
        </w:rPr>
        <w:t>The econometric/revealed preference approach, while still considered a survey approach due to how data is collected, moves beyond asking people about the counterfactual and instead uses the observations of the evaluator to collect information for analysis of a NTG ratio. Within this approach, evaluators typically deploy similar sampling designs as for the self-report approach to collect data, but actively gather what a person is doing (i.e., what is being purchased in a store) to determine attribution.</w:t>
      </w:r>
    </w:p>
    <w:p w14:paraId="6ED3E27A" w14:textId="77777777" w:rsidR="00D34C6E" w:rsidRPr="009B67BF" w:rsidRDefault="00D34C6E" w:rsidP="00BA6EEF">
      <w:pPr>
        <w:pStyle w:val="Heading2"/>
        <w:keepLines w:val="0"/>
        <w:widowControl/>
        <w:numPr>
          <w:ilvl w:val="1"/>
          <w:numId w:val="8"/>
        </w:numPr>
        <w:jc w:val="left"/>
      </w:pPr>
      <w:bookmarkStart w:id="2032" w:name="_Toc520824249"/>
      <w:bookmarkStart w:id="2033" w:name="_Toc16619991"/>
      <w:bookmarkStart w:id="2034" w:name="_Toc113619842"/>
      <w:bookmarkStart w:id="2035" w:name="_Toc431526502"/>
      <w:bookmarkStart w:id="2036" w:name="_Toc442804335"/>
      <w:bookmarkStart w:id="2037" w:name="_Toc442805552"/>
      <w:bookmarkStart w:id="2038" w:name="_Toc411554721"/>
      <w:bookmarkStart w:id="2039" w:name="_Toc472494741"/>
      <w:bookmarkStart w:id="2040" w:name="_Ref512845691"/>
      <w:bookmarkStart w:id="2041" w:name="_Ref512845695"/>
      <w:bookmarkStart w:id="2042" w:name="_Ref514231681"/>
      <w:bookmarkStart w:id="2043" w:name="_Ref514231822"/>
      <w:bookmarkStart w:id="2044" w:name="_Toc520462948"/>
      <w:r>
        <w:t>NTG with Consumption Data Analysis</w:t>
      </w:r>
      <w:bookmarkEnd w:id="2032"/>
      <w:bookmarkEnd w:id="2033"/>
      <w:bookmarkEnd w:id="2034"/>
      <w:r>
        <w:t xml:space="preserve"> </w:t>
      </w:r>
      <w:bookmarkEnd w:id="2035"/>
      <w:bookmarkEnd w:id="2036"/>
      <w:bookmarkEnd w:id="2037"/>
      <w:bookmarkEnd w:id="2038"/>
      <w:bookmarkEnd w:id="2039"/>
      <w:bookmarkEnd w:id="2040"/>
      <w:bookmarkEnd w:id="2041"/>
      <w:bookmarkEnd w:id="2042"/>
      <w:bookmarkEnd w:id="2043"/>
      <w:bookmarkEnd w:id="2044"/>
    </w:p>
    <w:p w14:paraId="51A467FE" w14:textId="5A5BB7FE" w:rsidR="00D34C6E" w:rsidRPr="00D30017" w:rsidRDefault="00D34C6E" w:rsidP="00D34C6E">
      <w:pPr>
        <w:rPr>
          <w:rFonts w:eastAsia="Franklin Gothic Book"/>
        </w:rPr>
      </w:pPr>
      <w:r w:rsidRPr="00D30017">
        <w:rPr>
          <w:rFonts w:eastAsia="Franklin Gothic Book"/>
        </w:rPr>
        <w:t xml:space="preserve">As mentioned in Section </w:t>
      </w:r>
      <w:r w:rsidRPr="00D30017">
        <w:rPr>
          <w:rFonts w:eastAsia="Franklin Gothic Book"/>
        </w:rPr>
        <w:fldChar w:fldCharType="begin"/>
      </w:r>
      <w:r w:rsidRPr="00D30017">
        <w:rPr>
          <w:rFonts w:eastAsia="Franklin Gothic Book"/>
        </w:rPr>
        <w:instrText xml:space="preserve"> REF _Ref442305047 \n \h </w:instrText>
      </w:r>
      <w:r w:rsidRPr="00D30017">
        <w:rPr>
          <w:rFonts w:eastAsia="Franklin Gothic Book"/>
        </w:rPr>
      </w:r>
      <w:r w:rsidRPr="00D30017">
        <w:rPr>
          <w:rFonts w:eastAsia="Franklin Gothic Book"/>
        </w:rPr>
        <w:fldChar w:fldCharType="separate"/>
      </w:r>
      <w:r w:rsidR="00506A44">
        <w:rPr>
          <w:rFonts w:eastAsia="Franklin Gothic Book"/>
        </w:rPr>
        <w:t>5.3</w:t>
      </w:r>
      <w:r w:rsidRPr="00D30017">
        <w:rPr>
          <w:rFonts w:eastAsia="Franklin Gothic Book"/>
        </w:rPr>
        <w:fldChar w:fldCharType="end"/>
      </w:r>
      <w:r w:rsidRPr="00D30017">
        <w:rPr>
          <w:rFonts w:eastAsia="Franklin Gothic Book"/>
        </w:rPr>
        <w:t xml:space="preserve">, evaluators use randomized control trials (RCTs), random encouragement designs (REDs), and quasi-experimental designs (QEDs) using consumption data (like monthly bills or AMI meter reads) to estimate savings for a variety of programs.  RCTs estimate net savings by design but other consumption data analysis methods may be net, gross, or somewhere in between. In some cases, evaluators may be able to use methods that produce estimates that are acceptably close to net without further adjustment, while in other cases a NTGR may need to be developed outside the consumption data analysis and then multiplied by the estimate to produce net savings. Therefore, the NTG adjustment method will differ and needs to be justified by the evaluator on a </w:t>
      </w:r>
      <w:proofErr w:type="gramStart"/>
      <w:r w:rsidRPr="00D30017">
        <w:rPr>
          <w:rFonts w:eastAsia="Franklin Gothic Book"/>
        </w:rPr>
        <w:t>case by case</w:t>
      </w:r>
      <w:proofErr w:type="gramEnd"/>
      <w:r w:rsidRPr="00D30017">
        <w:rPr>
          <w:rFonts w:eastAsia="Franklin Gothic Book"/>
        </w:rPr>
        <w:t xml:space="preserve"> basis.</w:t>
      </w:r>
    </w:p>
    <w:p w14:paraId="2B3656EA" w14:textId="77777777" w:rsidR="00D34C6E" w:rsidRPr="009B67BF" w:rsidRDefault="00D34C6E" w:rsidP="00BA6EEF">
      <w:pPr>
        <w:pStyle w:val="Heading2"/>
        <w:keepLines w:val="0"/>
        <w:widowControl/>
        <w:numPr>
          <w:ilvl w:val="1"/>
          <w:numId w:val="8"/>
        </w:numPr>
        <w:jc w:val="left"/>
      </w:pPr>
      <w:bookmarkStart w:id="2045" w:name="_Toc431526503"/>
      <w:bookmarkStart w:id="2046" w:name="_Toc442804336"/>
      <w:bookmarkStart w:id="2047" w:name="_Toc442805553"/>
      <w:bookmarkStart w:id="2048" w:name="_Toc411554722"/>
      <w:bookmarkStart w:id="2049" w:name="_Toc472494742"/>
      <w:bookmarkStart w:id="2050" w:name="_Toc520462953"/>
      <w:bookmarkStart w:id="2051" w:name="_Toc473108084"/>
      <w:bookmarkStart w:id="2052" w:name="_Toc520824250"/>
      <w:bookmarkStart w:id="2053" w:name="_Toc16619992"/>
      <w:bookmarkStart w:id="2054" w:name="_Toc113619843"/>
      <w:r w:rsidRPr="009B67BF">
        <w:t>Deemed or Stipulated NTG Ratios</w:t>
      </w:r>
      <w:bookmarkEnd w:id="2045"/>
      <w:bookmarkEnd w:id="2046"/>
      <w:bookmarkEnd w:id="2047"/>
      <w:bookmarkEnd w:id="2048"/>
      <w:bookmarkEnd w:id="2049"/>
      <w:bookmarkEnd w:id="2050"/>
      <w:bookmarkEnd w:id="2051"/>
      <w:bookmarkEnd w:id="2052"/>
      <w:bookmarkEnd w:id="2053"/>
      <w:bookmarkEnd w:id="2054"/>
    </w:p>
    <w:p w14:paraId="5EB1081A" w14:textId="77777777" w:rsidR="00D34C6E" w:rsidRPr="009B67BF" w:rsidRDefault="00D34C6E" w:rsidP="00D34C6E">
      <w:pPr>
        <w:rPr>
          <w:rFonts w:eastAsia="Franklin Gothic Book"/>
        </w:rPr>
      </w:pPr>
      <w:r w:rsidRPr="009B67BF">
        <w:rPr>
          <w:rFonts w:eastAsia="Franklin Gothic Book"/>
        </w:rPr>
        <w:t>A deemed (or stipulated) NTG ratio is a value known prior to implementing a program and applied to estimate net savings for that program in a certain year.</w:t>
      </w:r>
    </w:p>
    <w:p w14:paraId="4890B705" w14:textId="77777777" w:rsidR="00D34C6E" w:rsidRPr="009B67BF" w:rsidRDefault="00D34C6E" w:rsidP="00D34C6E">
      <w:pPr>
        <w:rPr>
          <w:rFonts w:eastAsia="Franklin Gothic Book"/>
        </w:rPr>
      </w:pPr>
      <w:r w:rsidRPr="009B67BF">
        <w:rPr>
          <w:rFonts w:eastAsia="Franklin Gothic Book"/>
        </w:rPr>
        <w:t xml:space="preserve">Deemed or stipulated NTG ratios may be based on previous primary data collection, </w:t>
      </w:r>
      <w:r>
        <w:rPr>
          <w:rFonts w:eastAsia="Franklin Gothic Book"/>
        </w:rPr>
        <w:t xml:space="preserve">a </w:t>
      </w:r>
      <w:r w:rsidRPr="009B67BF">
        <w:rPr>
          <w:rFonts w:eastAsia="Franklin Gothic Book"/>
        </w:rPr>
        <w:t xml:space="preserve">review of secondary data, or agreed to among stakeholders. In Illinois, deemed or stipulated NTG ratios should reflect best estimates of likely future actual NTG ratios for the relevant program year, taking into consideration stakeholder input, the evaluator’s expertise, and the best and most up-to-date information. </w:t>
      </w:r>
    </w:p>
    <w:p w14:paraId="72CA1208" w14:textId="77777777" w:rsidR="00D34C6E" w:rsidRPr="009B67BF" w:rsidRDefault="00D34C6E" w:rsidP="00BA6EEF">
      <w:pPr>
        <w:pStyle w:val="Heading2"/>
        <w:keepLines w:val="0"/>
        <w:widowControl/>
        <w:numPr>
          <w:ilvl w:val="1"/>
          <w:numId w:val="8"/>
        </w:numPr>
        <w:jc w:val="left"/>
      </w:pPr>
      <w:bookmarkStart w:id="2055" w:name="_Toc431526504"/>
      <w:bookmarkStart w:id="2056" w:name="_Toc442804337"/>
      <w:bookmarkStart w:id="2057" w:name="_Toc442805554"/>
      <w:bookmarkStart w:id="2058" w:name="_Toc411554723"/>
      <w:bookmarkStart w:id="2059" w:name="_Toc472494743"/>
      <w:bookmarkStart w:id="2060" w:name="_Toc520462954"/>
      <w:bookmarkStart w:id="2061" w:name="_Toc473108085"/>
      <w:bookmarkStart w:id="2062" w:name="_Toc520824251"/>
      <w:bookmarkStart w:id="2063" w:name="_Toc16619993"/>
      <w:bookmarkStart w:id="2064" w:name="_Toc113619844"/>
      <w:r w:rsidRPr="009B67BF">
        <w:t>Common Practice Baseline Approaches</w:t>
      </w:r>
      <w:bookmarkEnd w:id="2055"/>
      <w:bookmarkEnd w:id="2056"/>
      <w:bookmarkEnd w:id="2057"/>
      <w:bookmarkEnd w:id="2058"/>
      <w:bookmarkEnd w:id="2059"/>
      <w:bookmarkEnd w:id="2060"/>
      <w:bookmarkEnd w:id="2061"/>
      <w:bookmarkEnd w:id="2062"/>
      <w:bookmarkEnd w:id="2063"/>
      <w:bookmarkEnd w:id="2064"/>
    </w:p>
    <w:p w14:paraId="4D22A73B" w14:textId="77777777" w:rsidR="00D34C6E" w:rsidRPr="009B67BF" w:rsidRDefault="00D34C6E" w:rsidP="00D34C6E">
      <w:pPr>
        <w:rPr>
          <w:rFonts w:eastAsia="Franklin Gothic Book"/>
        </w:rPr>
      </w:pPr>
      <w:bookmarkStart w:id="2065" w:name="_Ref407014573"/>
      <w:r w:rsidRPr="009B67BF">
        <w:rPr>
          <w:rFonts w:eastAsia="Franklin Gothic Book"/>
        </w:rPr>
        <w:t>For this method, the evaluation team estimates what a typical consumer would have done at the time of the project implementation. Essentially, what is “commonly done” becomes the basis for baseline energy consumption and calculation of net savings. No gross impacts are calculated in this approach. This baseline is defined as the counterfactual “i.e., what would have occurred absent the program” and has been referred to as current practice, common practice</w:t>
      </w:r>
      <w:r>
        <w:rPr>
          <w:rFonts w:eastAsia="Franklin Gothic Book"/>
        </w:rPr>
        <w:t>,</w:t>
      </w:r>
      <w:r w:rsidRPr="009B67BF">
        <w:rPr>
          <w:rFonts w:eastAsia="Franklin Gothic Book"/>
        </w:rPr>
        <w:t xml:space="preserve"> or industry standard practice. Evaluators determine these practices through multiple methods, but often can be from self-report or on-site audits. The difference between the energy use of measures installed in the program and the energy use associated with current practice is considered by some to be sufficiently close to the net savings.</w:t>
      </w:r>
    </w:p>
    <w:p w14:paraId="457652AF" w14:textId="77777777" w:rsidR="00D34C6E" w:rsidRPr="009B67BF" w:rsidRDefault="00D34C6E" w:rsidP="00D34C6E">
      <w:pPr>
        <w:rPr>
          <w:rFonts w:eastAsia="Franklin Gothic Book"/>
        </w:rPr>
      </w:pPr>
      <w:r w:rsidRPr="009B67BF">
        <w:rPr>
          <w:rFonts w:eastAsia="Franklin Gothic Book"/>
        </w:rPr>
        <w:t xml:space="preserve">This approach is not in use in Illinois, but </w:t>
      </w:r>
      <w:r>
        <w:rPr>
          <w:rFonts w:eastAsia="Franklin Gothic Book"/>
        </w:rPr>
        <w:t xml:space="preserve">it </w:t>
      </w:r>
      <w:r w:rsidRPr="009B67BF">
        <w:rPr>
          <w:rFonts w:eastAsia="Franklin Gothic Book"/>
        </w:rPr>
        <w:t>is used elsewhere in the country</w:t>
      </w:r>
      <w:r>
        <w:rPr>
          <w:rFonts w:eastAsia="Franklin Gothic Book"/>
        </w:rPr>
        <w:t>,</w:t>
      </w:r>
      <w:r w:rsidRPr="009B67BF">
        <w:rPr>
          <w:rFonts w:eastAsia="Franklin Gothic Book"/>
        </w:rPr>
        <w:t xml:space="preserve"> such as the Pacific Northwest and Delaware.</w:t>
      </w:r>
    </w:p>
    <w:p w14:paraId="674ECBA7" w14:textId="77777777" w:rsidR="00D34C6E" w:rsidRPr="009B67BF" w:rsidRDefault="00D34C6E" w:rsidP="00BA6EEF">
      <w:pPr>
        <w:pStyle w:val="Heading2"/>
        <w:keepLines w:val="0"/>
        <w:widowControl/>
        <w:numPr>
          <w:ilvl w:val="1"/>
          <w:numId w:val="8"/>
        </w:numPr>
        <w:jc w:val="left"/>
      </w:pPr>
      <w:bookmarkStart w:id="2066" w:name="_Toc431526505"/>
      <w:bookmarkStart w:id="2067" w:name="_Toc442804338"/>
      <w:bookmarkStart w:id="2068" w:name="_Toc442805555"/>
      <w:bookmarkStart w:id="2069" w:name="_Toc411554724"/>
      <w:bookmarkStart w:id="2070" w:name="_Toc472494744"/>
      <w:bookmarkStart w:id="2071" w:name="_Toc520462955"/>
      <w:bookmarkStart w:id="2072" w:name="_Toc473108086"/>
      <w:bookmarkStart w:id="2073" w:name="_Toc520824252"/>
      <w:bookmarkStart w:id="2074" w:name="_Toc16619994"/>
      <w:bookmarkStart w:id="2075" w:name="_Toc113619845"/>
      <w:r w:rsidRPr="009B67BF">
        <w:t>Market Analyses</w:t>
      </w:r>
      <w:bookmarkEnd w:id="2065"/>
      <w:bookmarkEnd w:id="2066"/>
      <w:bookmarkEnd w:id="2067"/>
      <w:bookmarkEnd w:id="2068"/>
      <w:bookmarkEnd w:id="2069"/>
      <w:bookmarkEnd w:id="2070"/>
      <w:bookmarkEnd w:id="2071"/>
      <w:bookmarkEnd w:id="2072"/>
      <w:bookmarkEnd w:id="2073"/>
      <w:bookmarkEnd w:id="2074"/>
      <w:bookmarkEnd w:id="2075"/>
    </w:p>
    <w:p w14:paraId="54E7BBD4" w14:textId="77777777" w:rsidR="00D34C6E" w:rsidRPr="009B67BF" w:rsidRDefault="00D34C6E" w:rsidP="00D34C6E">
      <w:pPr>
        <w:rPr>
          <w:rFonts w:eastAsia="Franklin Gothic Book"/>
        </w:rPr>
      </w:pPr>
      <w:r w:rsidRPr="009B67BF">
        <w:rPr>
          <w:rFonts w:eastAsia="Franklin Gothic Book"/>
        </w:rPr>
        <w:t xml:space="preserve">Market analyses can be done in several ways. Market </w:t>
      </w:r>
      <w:proofErr w:type="spellStart"/>
      <w:r w:rsidRPr="009B67BF">
        <w:rPr>
          <w:rFonts w:eastAsia="Franklin Gothic Book"/>
        </w:rPr>
        <w:t>analyses</w:t>
      </w:r>
      <w:proofErr w:type="spellEnd"/>
      <w:r w:rsidRPr="009B67BF">
        <w:rPr>
          <w:rFonts w:eastAsia="Franklin Gothic Book"/>
        </w:rPr>
        <w:t xml:space="preserve"> are often used in theory-driven evaluations of market transformation programs.</w:t>
      </w:r>
    </w:p>
    <w:p w14:paraId="591D9F03" w14:textId="77777777" w:rsidR="00D34C6E" w:rsidRPr="009B67BF" w:rsidRDefault="00D34C6E" w:rsidP="00D34C6E">
      <w:pPr>
        <w:rPr>
          <w:rFonts w:eastAsia="Franklin Gothic Book"/>
        </w:rPr>
      </w:pPr>
      <w:r w:rsidRPr="009B67BF">
        <w:rPr>
          <w:rFonts w:eastAsia="Franklin Gothic Book"/>
        </w:rPr>
        <w:t>Other non-sales data market analyses can be postulated on changes specified in program logic such as: 1) changes in the number of energy</w:t>
      </w:r>
      <w:r>
        <w:rPr>
          <w:rFonts w:eastAsia="Franklin Gothic Book"/>
        </w:rPr>
        <w:t>-</w:t>
      </w:r>
      <w:r w:rsidRPr="009B67BF">
        <w:rPr>
          <w:rFonts w:eastAsia="Franklin Gothic Book"/>
        </w:rPr>
        <w:t>efficient units manufactured</w:t>
      </w:r>
      <w:r>
        <w:rPr>
          <w:rFonts w:eastAsia="Franklin Gothic Book"/>
        </w:rPr>
        <w:t>;</w:t>
      </w:r>
      <w:r w:rsidRPr="009B67BF">
        <w:rPr>
          <w:rFonts w:eastAsia="Franklin Gothic Book"/>
        </w:rPr>
        <w:t xml:space="preserve"> 2) changes in market actor behavior around promotion or stocking of energy</w:t>
      </w:r>
      <w:r>
        <w:rPr>
          <w:rFonts w:eastAsia="Franklin Gothic Book"/>
        </w:rPr>
        <w:t>-</w:t>
      </w:r>
      <w:r w:rsidRPr="009B67BF">
        <w:rPr>
          <w:rFonts w:eastAsia="Franklin Gothic Book"/>
        </w:rPr>
        <w:t>efficient items</w:t>
      </w:r>
      <w:r>
        <w:rPr>
          <w:rFonts w:eastAsia="Franklin Gothic Book"/>
        </w:rPr>
        <w:t>;</w:t>
      </w:r>
      <w:r w:rsidRPr="009B67BF">
        <w:rPr>
          <w:rFonts w:eastAsia="Franklin Gothic Book"/>
        </w:rPr>
        <w:t xml:space="preserve"> or 3) reduction</w:t>
      </w:r>
      <w:r>
        <w:rPr>
          <w:rFonts w:eastAsia="Franklin Gothic Book"/>
        </w:rPr>
        <w:t>s</w:t>
      </w:r>
      <w:r w:rsidRPr="009B67BF">
        <w:rPr>
          <w:rFonts w:eastAsia="Franklin Gothic Book"/>
        </w:rPr>
        <w:t xml:space="preserve"> in prices. The analyses involving non-sales data must make a clear link between the program intervention and the changes found in the market. Additionally, outside of Illinois, while evaluators have extrapolated the market changes to specific energy or demand reductions, this activity may be viewed as tenuous due to assumptions that evaluators must make within the analysis.</w:t>
      </w:r>
    </w:p>
    <w:p w14:paraId="606A1E9D" w14:textId="3AF589BA" w:rsidR="00D34C6E" w:rsidRPr="009B67BF" w:rsidRDefault="00D34C6E" w:rsidP="00D34C6E">
      <w:pPr>
        <w:rPr>
          <w:rFonts w:eastAsia="Franklin Gothic Book"/>
        </w:rPr>
      </w:pPr>
      <w:r w:rsidRPr="009B67BF">
        <w:rPr>
          <w:rFonts w:eastAsia="Franklin Gothic Book"/>
        </w:rPr>
        <w:t xml:space="preserve">Illinois is in a position to begin to discuss market analyses and how specific research may be able to interpret changes that have occurred (or may occur in the future) because of the </w:t>
      </w:r>
      <w:r>
        <w:rPr>
          <w:rFonts w:eastAsia="Franklin Gothic Book"/>
        </w:rPr>
        <w:t xml:space="preserve">program </w:t>
      </w:r>
      <w:r w:rsidRPr="009B67BF">
        <w:rPr>
          <w:rFonts w:eastAsia="Franklin Gothic Book"/>
        </w:rPr>
        <w:t xml:space="preserve">interventions over the past </w:t>
      </w:r>
      <w:r>
        <w:rPr>
          <w:rFonts w:eastAsia="Franklin Gothic Book"/>
        </w:rPr>
        <w:t>eight</w:t>
      </w:r>
      <w:r w:rsidRPr="009B67BF">
        <w:rPr>
          <w:rFonts w:eastAsia="Franklin Gothic Book"/>
        </w:rPr>
        <w:t xml:space="preserve"> years. </w:t>
      </w:r>
      <w:r w:rsidRPr="009B67BF">
        <w:rPr>
          <w:rFonts w:eastAsia="Franklin Gothic Book"/>
        </w:rPr>
        <w:lastRenderedPageBreak/>
        <w:t xml:space="preserve">Market analyses can be backward looking through historical tracing, but </w:t>
      </w:r>
      <w:r>
        <w:rPr>
          <w:rFonts w:eastAsia="Franklin Gothic Book"/>
        </w:rPr>
        <w:t xml:space="preserve">it </w:t>
      </w:r>
      <w:r w:rsidRPr="009B67BF">
        <w:rPr>
          <w:rFonts w:eastAsia="Franklin Gothic Book"/>
        </w:rPr>
        <w:t xml:space="preserve">is best used when the logic of an intervention is </w:t>
      </w:r>
      <w:r w:rsidR="00C11EEE" w:rsidRPr="009B67BF">
        <w:rPr>
          <w:rFonts w:eastAsia="Franklin Gothic Book"/>
        </w:rPr>
        <w:t>described,</w:t>
      </w:r>
      <w:r w:rsidRPr="009B67BF">
        <w:rPr>
          <w:rFonts w:eastAsia="Franklin Gothic Book"/>
        </w:rPr>
        <w:t xml:space="preserve"> and specific market metrics are tracked over time. </w:t>
      </w:r>
    </w:p>
    <w:p w14:paraId="622555C8" w14:textId="77777777" w:rsidR="00D34C6E" w:rsidRPr="009B67BF" w:rsidRDefault="00D34C6E" w:rsidP="00BA6EEF">
      <w:pPr>
        <w:pStyle w:val="Heading2"/>
        <w:keepLines w:val="0"/>
        <w:widowControl/>
        <w:numPr>
          <w:ilvl w:val="1"/>
          <w:numId w:val="8"/>
        </w:numPr>
        <w:jc w:val="left"/>
      </w:pPr>
      <w:bookmarkStart w:id="2076" w:name="_Toc431526506"/>
      <w:bookmarkStart w:id="2077" w:name="_Toc442804339"/>
      <w:bookmarkStart w:id="2078" w:name="_Toc442805556"/>
      <w:bookmarkStart w:id="2079" w:name="_Toc411554725"/>
      <w:bookmarkStart w:id="2080" w:name="_Toc472494745"/>
      <w:bookmarkStart w:id="2081" w:name="_Toc520462956"/>
      <w:bookmarkStart w:id="2082" w:name="_Toc473108087"/>
      <w:bookmarkStart w:id="2083" w:name="_Toc520824253"/>
      <w:bookmarkStart w:id="2084" w:name="_Toc16619995"/>
      <w:bookmarkStart w:id="2085" w:name="_Toc113619846"/>
      <w:r w:rsidRPr="009B67BF">
        <w:t>Structured Expert Judgment Approaches</w:t>
      </w:r>
      <w:bookmarkEnd w:id="2076"/>
      <w:bookmarkEnd w:id="2077"/>
      <w:bookmarkEnd w:id="2078"/>
      <w:bookmarkEnd w:id="2079"/>
      <w:bookmarkEnd w:id="2080"/>
      <w:bookmarkEnd w:id="2081"/>
      <w:bookmarkEnd w:id="2082"/>
      <w:bookmarkEnd w:id="2083"/>
      <w:bookmarkEnd w:id="2084"/>
      <w:bookmarkEnd w:id="2085"/>
    </w:p>
    <w:p w14:paraId="4D58D74F" w14:textId="77777777" w:rsidR="00D34C6E" w:rsidRPr="009B67BF" w:rsidRDefault="00D34C6E" w:rsidP="00D34C6E">
      <w:pPr>
        <w:rPr>
          <w:rFonts w:eastAsia="Franklin Gothic Book"/>
        </w:rPr>
      </w:pPr>
      <w:r w:rsidRPr="009B67BF">
        <w:rPr>
          <w:rFonts w:eastAsia="Franklin Gothic Book"/>
        </w:rPr>
        <w:t>Closely tied to market analysis, this approach is a way for evaluators to gather credible evidence of changes that arise due to the intervention of a program. When deployed, it is often used as a cost-effective approach to estimate market effects or reach agreement on a NTG value when several different types of evidence are available. The key premise of this approach is the use of a select group of known experts that all stakeholders agree can provide unbiased information as well as having sufficient knowledge to judge what may have occurred absent a program intervention.</w:t>
      </w:r>
    </w:p>
    <w:p w14:paraId="6448E2FD" w14:textId="77777777" w:rsidR="00D34C6E" w:rsidRPr="009B67BF" w:rsidRDefault="00D34C6E" w:rsidP="00D34C6E">
      <w:pPr>
        <w:rPr>
          <w:rFonts w:eastAsia="Franklin Gothic Book"/>
        </w:rPr>
      </w:pPr>
      <w:r w:rsidRPr="009B67BF">
        <w:rPr>
          <w:rFonts w:eastAsia="Franklin Gothic Book"/>
        </w:rPr>
        <w:t xml:space="preserve">A Delphi Panel is an example of this approach where data </w:t>
      </w:r>
      <w:r>
        <w:rPr>
          <w:rFonts w:eastAsia="Franklin Gothic Book"/>
        </w:rPr>
        <w:t>are</w:t>
      </w:r>
      <w:r w:rsidRPr="009B67BF">
        <w:rPr>
          <w:rFonts w:eastAsia="Franklin Gothic Book"/>
        </w:rPr>
        <w:t xml:space="preserve"> collected from two or more rounds of data collection (which can occur via e</w:t>
      </w:r>
      <w:r>
        <w:rPr>
          <w:rFonts w:eastAsia="Franklin Gothic Book"/>
        </w:rPr>
        <w:t>-</w:t>
      </w:r>
      <w:r w:rsidRPr="009B67BF">
        <w:rPr>
          <w:rFonts w:eastAsia="Franklin Gothic Book"/>
        </w:rPr>
        <w:t xml:space="preserve">mail, </w:t>
      </w:r>
      <w:r>
        <w:rPr>
          <w:rFonts w:eastAsia="Franklin Gothic Book"/>
        </w:rPr>
        <w:t>I</w:t>
      </w:r>
      <w:r w:rsidRPr="009B67BF">
        <w:rPr>
          <w:rFonts w:eastAsia="Franklin Gothic Book"/>
        </w:rPr>
        <w:t>nternet, or in</w:t>
      </w:r>
      <w:r>
        <w:rPr>
          <w:rFonts w:eastAsia="Franklin Gothic Book"/>
        </w:rPr>
        <w:t xml:space="preserve"> </w:t>
      </w:r>
      <w:r w:rsidRPr="009B67BF">
        <w:rPr>
          <w:rFonts w:eastAsia="Franklin Gothic Book"/>
        </w:rPr>
        <w:t xml:space="preserve">person). A round is when experts make their thoughts known about a specific </w:t>
      </w:r>
      <w:r>
        <w:rPr>
          <w:rFonts w:eastAsia="Franklin Gothic Book"/>
        </w:rPr>
        <w:t>subject;</w:t>
      </w:r>
      <w:r w:rsidRPr="009B67BF">
        <w:rPr>
          <w:rFonts w:eastAsia="Franklin Gothic Book"/>
        </w:rPr>
        <w:t xml:space="preserve"> the evaluation team synthesizes the data and provides this collated data back to the group to discuss again. Allowing the full experts to see how their peers think about a topic helps to move the group </w:t>
      </w:r>
      <w:r>
        <w:rPr>
          <w:rFonts w:eastAsia="Franklin Gothic Book"/>
        </w:rPr>
        <w:br/>
      </w:r>
      <w:r w:rsidRPr="009B67BF">
        <w:rPr>
          <w:rFonts w:eastAsia="Franklin Gothic Book"/>
        </w:rPr>
        <w:t>towards consensus.</w:t>
      </w:r>
    </w:p>
    <w:p w14:paraId="5B38F653" w14:textId="77777777" w:rsidR="00D34C6E" w:rsidRPr="00097EBD" w:rsidRDefault="00D34C6E" w:rsidP="00D34C6E">
      <w:pPr>
        <w:keepNext/>
        <w:rPr>
          <w:rFonts w:eastAsia="Franklin Gothic Book"/>
          <w:b/>
        </w:rPr>
      </w:pPr>
      <w:r w:rsidRPr="00097EBD">
        <w:rPr>
          <w:rFonts w:eastAsia="Franklin Gothic Book"/>
          <w:b/>
        </w:rPr>
        <w:t>References</w:t>
      </w:r>
    </w:p>
    <w:p w14:paraId="334EB601" w14:textId="77777777" w:rsidR="00D34C6E" w:rsidRPr="009B67BF" w:rsidRDefault="00D34C6E" w:rsidP="00D34C6E">
      <w:pPr>
        <w:keepNext/>
        <w:widowControl/>
        <w:numPr>
          <w:ilvl w:val="0"/>
          <w:numId w:val="1"/>
        </w:numPr>
        <w:spacing w:after="60"/>
        <w:jc w:val="left"/>
        <w:rPr>
          <w:rFonts w:eastAsia="Franklin Gothic Book"/>
        </w:rPr>
      </w:pPr>
      <w:r w:rsidRPr="009B67BF">
        <w:rPr>
          <w:rFonts w:eastAsia="Franklin Gothic Book"/>
        </w:rPr>
        <w:t>Mosenthal, et al., 2000</w:t>
      </w:r>
    </w:p>
    <w:p w14:paraId="6DA914C2" w14:textId="77777777" w:rsidR="00D34C6E" w:rsidRDefault="00D34C6E" w:rsidP="00D34C6E">
      <w:pPr>
        <w:widowControl/>
        <w:numPr>
          <w:ilvl w:val="0"/>
          <w:numId w:val="1"/>
        </w:numPr>
        <w:spacing w:after="60"/>
        <w:jc w:val="left"/>
        <w:rPr>
          <w:rFonts w:eastAsia="Franklin Gothic Book"/>
        </w:rPr>
      </w:pPr>
      <w:r w:rsidRPr="009B67BF">
        <w:rPr>
          <w:rFonts w:eastAsia="Franklin Gothic Book"/>
        </w:rPr>
        <w:t>Powell, 2002</w:t>
      </w:r>
    </w:p>
    <w:p w14:paraId="0A8E52DC" w14:textId="77777777" w:rsidR="00D34C6E" w:rsidRPr="009B67BF" w:rsidRDefault="00D34C6E" w:rsidP="00BA6EEF">
      <w:pPr>
        <w:pStyle w:val="Heading2"/>
        <w:keepLines w:val="0"/>
        <w:widowControl/>
        <w:numPr>
          <w:ilvl w:val="1"/>
          <w:numId w:val="8"/>
        </w:numPr>
        <w:jc w:val="left"/>
      </w:pPr>
      <w:bookmarkStart w:id="2086" w:name="_Toc431526507"/>
      <w:bookmarkStart w:id="2087" w:name="_Toc442804340"/>
      <w:bookmarkStart w:id="2088" w:name="_Toc442805557"/>
      <w:bookmarkStart w:id="2089" w:name="_Toc411554726"/>
      <w:bookmarkStart w:id="2090" w:name="_Toc472494746"/>
      <w:bookmarkStart w:id="2091" w:name="_Toc520462957"/>
      <w:bookmarkStart w:id="2092" w:name="_Toc473108088"/>
      <w:bookmarkStart w:id="2093" w:name="_Toc520824254"/>
      <w:bookmarkStart w:id="2094" w:name="_Toc16619996"/>
      <w:bookmarkStart w:id="2095" w:name="_Toc113619847"/>
      <w:r w:rsidRPr="009B67BF">
        <w:t>Program Theory-Driven Approach</w:t>
      </w:r>
      <w:bookmarkEnd w:id="2086"/>
      <w:bookmarkEnd w:id="2087"/>
      <w:bookmarkEnd w:id="2088"/>
      <w:bookmarkEnd w:id="2089"/>
      <w:bookmarkEnd w:id="2090"/>
      <w:bookmarkEnd w:id="2091"/>
      <w:bookmarkEnd w:id="2092"/>
      <w:bookmarkEnd w:id="2093"/>
      <w:bookmarkEnd w:id="2094"/>
      <w:bookmarkEnd w:id="2095"/>
    </w:p>
    <w:p w14:paraId="110D897B" w14:textId="78B17C4F" w:rsidR="00D34C6E" w:rsidRPr="009B67BF" w:rsidRDefault="00D34C6E" w:rsidP="00D34C6E">
      <w:pPr>
        <w:rPr>
          <w:rFonts w:eastAsia="Franklin Gothic Book"/>
        </w:rPr>
      </w:pPr>
      <w:r w:rsidRPr="009B67BF">
        <w:rPr>
          <w:rFonts w:eastAsia="Franklin Gothic Book"/>
        </w:rPr>
        <w:t>This approach is not included in the Violette and Rathbun (201</w:t>
      </w:r>
      <w:r w:rsidR="00903574">
        <w:rPr>
          <w:rFonts w:eastAsia="Franklin Gothic Book"/>
        </w:rPr>
        <w:t>7</w:t>
      </w:r>
      <w:r w:rsidRPr="009B67BF">
        <w:rPr>
          <w:rFonts w:eastAsia="Franklin Gothic Book"/>
        </w:rPr>
        <w:t>) document as a high</w:t>
      </w:r>
      <w:r>
        <w:rPr>
          <w:rFonts w:eastAsia="Franklin Gothic Book"/>
        </w:rPr>
        <w:t>-</w:t>
      </w:r>
      <w:r w:rsidRPr="009B67BF">
        <w:rPr>
          <w:rFonts w:eastAsia="Franklin Gothic Book"/>
        </w:rPr>
        <w:t xml:space="preserve">level method, but </w:t>
      </w:r>
      <w:r>
        <w:rPr>
          <w:rFonts w:eastAsia="Franklin Gothic Book"/>
        </w:rPr>
        <w:t xml:space="preserve">it </w:t>
      </w:r>
      <w:r w:rsidRPr="009B67BF">
        <w:rPr>
          <w:rFonts w:eastAsia="Franklin Gothic Book"/>
        </w:rPr>
        <w:t>is discussed by the authors under the historical tracing method. The Illinois evaluators believe that it deserves at least a short discussion within this framework.</w:t>
      </w:r>
    </w:p>
    <w:p w14:paraId="4F5FF911" w14:textId="77777777" w:rsidR="00D34C6E" w:rsidRPr="009B67BF" w:rsidRDefault="00D34C6E" w:rsidP="00D34C6E">
      <w:pPr>
        <w:rPr>
          <w:rFonts w:eastAsia="Franklin Gothic Book"/>
        </w:rPr>
      </w:pPr>
      <w:r w:rsidRPr="009B67BF">
        <w:rPr>
          <w:rFonts w:eastAsia="Franklin Gothic Book"/>
        </w:rPr>
        <w:t>A program theory is the written narrative about why the activities of a program are expected to bring about change. Typically associated with this approach is the direct graphical explication of the linkages between activities, outputs, and outcomes through an impact logic model.</w:t>
      </w:r>
      <w:r w:rsidRPr="00B31077">
        <w:rPr>
          <w:rFonts w:eastAsia="Franklin Gothic Book"/>
          <w:vertAlign w:val="superscript"/>
        </w:rPr>
        <w:footnoteReference w:id="117"/>
      </w:r>
    </w:p>
    <w:p w14:paraId="2FE2E2A9" w14:textId="77777777" w:rsidR="00D34C6E" w:rsidRPr="009B67BF" w:rsidRDefault="00D34C6E" w:rsidP="00D34C6E">
      <w:pPr>
        <w:rPr>
          <w:rFonts w:eastAsia="Gill Sans MT"/>
        </w:rPr>
      </w:pPr>
      <w:r w:rsidRPr="009B67BF">
        <w:rPr>
          <w:rFonts w:eastAsia="Franklin Gothic Book"/>
        </w:rPr>
        <w:t>A theory-driven evaluation denotes “[A]</w:t>
      </w:r>
      <w:proofErr w:type="spellStart"/>
      <w:r w:rsidRPr="009B67BF">
        <w:rPr>
          <w:rFonts w:eastAsia="Franklin Gothic Book"/>
        </w:rPr>
        <w:t>ny</w:t>
      </w:r>
      <w:proofErr w:type="spellEnd"/>
      <w:r w:rsidRPr="009B67BF">
        <w:rPr>
          <w:rFonts w:eastAsia="Franklin Gothic Book"/>
        </w:rPr>
        <w:t xml:space="preserve"> evaluation strategy or approach that explicitly integrates and uses stakeholder, social science, some combination of, or other types of theories in conceptualizing, designing, conducting, interpreting, and applying an evaluation.” (Coryn 2011) Within this approach, the ultimate conclusions regarding the efficacy of a program are based on the preponderance of the evidence and not on the results of any single analysis. Coryn and colleagues systematically examined </w:t>
      </w:r>
      <w:r w:rsidRPr="009B67BF">
        <w:rPr>
          <w:rFonts w:eastAsia="Gill Sans MT"/>
        </w:rPr>
        <w:t xml:space="preserve">45 cases of theory-driven evaluations published over a </w:t>
      </w:r>
      <w:r>
        <w:rPr>
          <w:rFonts w:eastAsia="Gill Sans MT"/>
        </w:rPr>
        <w:t>20</w:t>
      </w:r>
      <w:r w:rsidRPr="009B67BF">
        <w:rPr>
          <w:rFonts w:eastAsia="Gill Sans MT"/>
        </w:rPr>
        <w:t>-year period to ascertain how closely theory-driven evaluation practices comport with the key tenants of theory-driven evaluation as described and prescribed by prominent theoretical writers. One output from this analysis was the identification of the c</w:t>
      </w:r>
      <w:r w:rsidRPr="009B67BF">
        <w:rPr>
          <w:rFonts w:eastAsia="Franklin Gothic Book"/>
        </w:rPr>
        <w:t>ore principles and sub-principles of theory-driven evaluation. If interested, please review the reference under Coryn 2011.</w:t>
      </w:r>
    </w:p>
    <w:p w14:paraId="2E1E2CEF" w14:textId="77777777" w:rsidR="00D34C6E" w:rsidRPr="009B67BF" w:rsidRDefault="00D34C6E" w:rsidP="00D34C6E">
      <w:pPr>
        <w:rPr>
          <w:rFonts w:eastAsia="Franklin Gothic Book"/>
        </w:rPr>
      </w:pPr>
      <w:r w:rsidRPr="009B67BF">
        <w:rPr>
          <w:rFonts w:eastAsia="Franklin Gothic Book"/>
        </w:rPr>
        <w:t>As an approach, it is best used for complex programs and/or causal mechanisms that extend far into the future. Evaluators collect evidence that supports or rejects hypotheses that are explicit in the logic model. The case for program attribution is strengthened based on the extent to which an evaluation shows that the expected changes occur. Additionally, the evaluation team may be able to collect data that will answer questions about the longer</w:t>
      </w:r>
      <w:r>
        <w:rPr>
          <w:rFonts w:eastAsia="Franklin Gothic Book"/>
        </w:rPr>
        <w:t>-</w:t>
      </w:r>
      <w:r w:rsidRPr="009B67BF">
        <w:rPr>
          <w:rFonts w:eastAsia="Franklin Gothic Book"/>
        </w:rPr>
        <w:t>term outcomes of a program. This type of data collection may be very similar to market tracking activities described briefly above under Market Analyses.</w:t>
      </w:r>
    </w:p>
    <w:p w14:paraId="56AEA7DC" w14:textId="77777777" w:rsidR="00D34C6E" w:rsidRPr="009B67BF" w:rsidRDefault="00D34C6E" w:rsidP="00D34C6E">
      <w:pPr>
        <w:rPr>
          <w:rFonts w:eastAsia="Franklin Gothic Book"/>
        </w:rPr>
      </w:pPr>
      <w:r w:rsidRPr="009B67BF">
        <w:rPr>
          <w:rFonts w:eastAsia="Franklin Gothic Book"/>
        </w:rPr>
        <w:t xml:space="preserve">This approach does not specifically estimate a NTG value, but </w:t>
      </w:r>
      <w:r>
        <w:rPr>
          <w:rFonts w:eastAsia="Franklin Gothic Book"/>
        </w:rPr>
        <w:t>Program Administrator</w:t>
      </w:r>
      <w:r w:rsidRPr="009B67BF">
        <w:rPr>
          <w:rFonts w:eastAsia="Franklin Gothic Book"/>
        </w:rPr>
        <w:t>s can choose to keep, drop</w:t>
      </w:r>
      <w:r>
        <w:rPr>
          <w:rFonts w:eastAsia="Franklin Gothic Book"/>
        </w:rPr>
        <w:t>,</w:t>
      </w:r>
      <w:r w:rsidRPr="009B67BF">
        <w:rPr>
          <w:rFonts w:eastAsia="Franklin Gothic Book"/>
        </w:rPr>
        <w:t xml:space="preserve"> or change a program based on intermediary data. Regulators must be convinced that the logic of a program is sound and that the intermediary outcomes are causally linked to expected savings.</w:t>
      </w:r>
    </w:p>
    <w:p w14:paraId="056A975D" w14:textId="77777777" w:rsidR="00D34C6E" w:rsidRPr="00097EBD" w:rsidRDefault="00D34C6E" w:rsidP="00D34C6E">
      <w:pPr>
        <w:keepNext/>
        <w:rPr>
          <w:rFonts w:eastAsia="Franklin Gothic Book"/>
          <w:b/>
        </w:rPr>
      </w:pPr>
      <w:r w:rsidRPr="00097EBD">
        <w:rPr>
          <w:rFonts w:eastAsia="Franklin Gothic Book"/>
          <w:b/>
        </w:rPr>
        <w:lastRenderedPageBreak/>
        <w:t>References</w:t>
      </w:r>
    </w:p>
    <w:p w14:paraId="653D8899" w14:textId="77777777" w:rsidR="00D34C6E" w:rsidRPr="009B67BF" w:rsidRDefault="00D34C6E" w:rsidP="00D34C6E">
      <w:pPr>
        <w:keepNext/>
        <w:widowControl/>
        <w:numPr>
          <w:ilvl w:val="0"/>
          <w:numId w:val="1"/>
        </w:numPr>
        <w:spacing w:after="60"/>
        <w:jc w:val="left"/>
        <w:rPr>
          <w:rFonts w:eastAsia="Franklin Gothic Book"/>
        </w:rPr>
      </w:pPr>
      <w:r w:rsidRPr="009B67BF">
        <w:rPr>
          <w:rFonts w:eastAsia="Franklin Gothic Book"/>
        </w:rPr>
        <w:t>Weiss, 1997</w:t>
      </w:r>
    </w:p>
    <w:p w14:paraId="04AE502B" w14:textId="77777777" w:rsidR="00D34C6E" w:rsidRPr="009B67BF" w:rsidRDefault="00D34C6E" w:rsidP="00D34C6E">
      <w:pPr>
        <w:keepNext/>
        <w:widowControl/>
        <w:numPr>
          <w:ilvl w:val="0"/>
          <w:numId w:val="1"/>
        </w:numPr>
        <w:spacing w:after="60"/>
        <w:jc w:val="left"/>
        <w:rPr>
          <w:rFonts w:eastAsia="Franklin Gothic Book"/>
        </w:rPr>
      </w:pPr>
      <w:r w:rsidRPr="009B67BF">
        <w:rPr>
          <w:rFonts w:eastAsia="Franklin Gothic Book"/>
        </w:rPr>
        <w:t>Chen, 2000</w:t>
      </w:r>
    </w:p>
    <w:p w14:paraId="2E463B64" w14:textId="77777777" w:rsidR="00D34C6E" w:rsidRDefault="00D34C6E" w:rsidP="00D34C6E">
      <w:pPr>
        <w:keepNext/>
        <w:widowControl/>
        <w:numPr>
          <w:ilvl w:val="0"/>
          <w:numId w:val="1"/>
        </w:numPr>
        <w:spacing w:after="60"/>
        <w:jc w:val="left"/>
        <w:rPr>
          <w:rFonts w:eastAsia="Franklin Gothic Book"/>
        </w:rPr>
      </w:pPr>
      <w:r w:rsidRPr="009B67BF">
        <w:rPr>
          <w:rFonts w:eastAsia="Franklin Gothic Book"/>
        </w:rPr>
        <w:t>Coryn, 2011</w:t>
      </w:r>
    </w:p>
    <w:p w14:paraId="576146E4" w14:textId="77777777" w:rsidR="00D34C6E" w:rsidRPr="009B67BF" w:rsidRDefault="00D34C6E" w:rsidP="00BA6EEF">
      <w:pPr>
        <w:pStyle w:val="Heading2"/>
        <w:keepLines w:val="0"/>
        <w:widowControl/>
        <w:numPr>
          <w:ilvl w:val="1"/>
          <w:numId w:val="8"/>
        </w:numPr>
        <w:jc w:val="left"/>
      </w:pPr>
      <w:bookmarkStart w:id="2096" w:name="_Toc431526508"/>
      <w:bookmarkStart w:id="2097" w:name="_Toc442804341"/>
      <w:bookmarkStart w:id="2098" w:name="_Toc442805558"/>
      <w:bookmarkStart w:id="2099" w:name="_Toc411554727"/>
      <w:bookmarkStart w:id="2100" w:name="_Toc472494747"/>
      <w:bookmarkStart w:id="2101" w:name="_Toc520462958"/>
      <w:bookmarkStart w:id="2102" w:name="_Toc473108089"/>
      <w:bookmarkStart w:id="2103" w:name="_Toc520824255"/>
      <w:bookmarkStart w:id="2104" w:name="_Toc16619997"/>
      <w:bookmarkStart w:id="2105" w:name="_Toc113619848"/>
      <w:r w:rsidRPr="009B67BF">
        <w:t>Case Studies Design</w:t>
      </w:r>
      <w:bookmarkEnd w:id="2096"/>
      <w:bookmarkEnd w:id="2097"/>
      <w:bookmarkEnd w:id="2098"/>
      <w:bookmarkEnd w:id="2099"/>
      <w:bookmarkEnd w:id="2100"/>
      <w:bookmarkEnd w:id="2101"/>
      <w:bookmarkEnd w:id="2102"/>
      <w:bookmarkEnd w:id="2103"/>
      <w:bookmarkEnd w:id="2104"/>
      <w:bookmarkEnd w:id="2105"/>
    </w:p>
    <w:p w14:paraId="49E97151" w14:textId="77777777" w:rsidR="00D34C6E" w:rsidRPr="009B67BF" w:rsidRDefault="00D34C6E" w:rsidP="00D34C6E">
      <w:pPr>
        <w:rPr>
          <w:rFonts w:eastAsia="Franklin Gothic Book"/>
        </w:rPr>
      </w:pPr>
      <w:r w:rsidRPr="009B67BF">
        <w:rPr>
          <w:rFonts w:eastAsia="Franklin Gothic Book"/>
        </w:rPr>
        <w:t>Case studies are used extensively in social sciences as well as many other disciplines or practice-oriented areas</w:t>
      </w:r>
      <w:r>
        <w:rPr>
          <w:rFonts w:eastAsia="Franklin Gothic Book"/>
        </w:rPr>
        <w:t>,</w:t>
      </w:r>
      <w:r w:rsidRPr="009B67BF">
        <w:rPr>
          <w:rFonts w:eastAsia="Franklin Gothic Book"/>
        </w:rPr>
        <w:t xml:space="preserve"> such as political science, economics, education, and public policy. Case studies help to understand the how and why of a situation and typically retain a holistic aspect of real-life events. As such, they may be a useful approach to determine attribution. As with program theory design, though, the data collected and analyzed within a case study approach will not typically yield a specific NTG value, but can provide credible evidence and insight that supports or refutes the changes brought about by program intervention.</w:t>
      </w:r>
    </w:p>
    <w:p w14:paraId="1BAD1E20" w14:textId="77777777" w:rsidR="00D34C6E" w:rsidRPr="009B67BF" w:rsidRDefault="00D34C6E" w:rsidP="00D34C6E">
      <w:pPr>
        <w:rPr>
          <w:rFonts w:eastAsia="Franklin Gothic Book"/>
        </w:rPr>
      </w:pPr>
      <w:r w:rsidRPr="009B67BF">
        <w:rPr>
          <w:rFonts w:eastAsia="Franklin Gothic Book"/>
        </w:rPr>
        <w:t>To be used to assess attribution, evaluators must carefully design case studies to assure they account for the threats to causality (i.e.</w:t>
      </w:r>
      <w:r>
        <w:rPr>
          <w:rFonts w:eastAsia="Franklin Gothic Book"/>
        </w:rPr>
        <w:t>,</w:t>
      </w:r>
      <w:r w:rsidRPr="009B67BF">
        <w:rPr>
          <w:rFonts w:eastAsia="Franklin Gothic Book"/>
        </w:rPr>
        <w:t xml:space="preserve"> internal validity) that arise in any design. While not typically thought of in this manner, case study design can address multiple types of validity such as construct, internal</w:t>
      </w:r>
      <w:r>
        <w:rPr>
          <w:rFonts w:eastAsia="Franklin Gothic Book"/>
        </w:rPr>
        <w:t>,</w:t>
      </w:r>
      <w:r w:rsidRPr="009B67BF">
        <w:rPr>
          <w:rFonts w:eastAsia="Franklin Gothic Book"/>
        </w:rPr>
        <w:t xml:space="preserve"> and external validity as well as assuring reliability. When establishing construct validity and reliability, evaluators must use multiple sources of evidence, create and maintain a study database, and maintain a “chain of evidence” within the analysis. Internal validity is shown through analytic tactics such as pattern matching, explanation building, addressing rival explanations, or using logic models. External validity centers on the ability to generalize the analytical findings to other similar situations. External validity may be shown through </w:t>
      </w:r>
      <w:r>
        <w:rPr>
          <w:rFonts w:eastAsia="Franklin Gothic Book"/>
        </w:rPr>
        <w:t xml:space="preserve">the </w:t>
      </w:r>
      <w:r w:rsidRPr="009B67BF">
        <w:rPr>
          <w:rFonts w:eastAsia="Franklin Gothic Book"/>
        </w:rPr>
        <w:t>replication of findings.</w:t>
      </w:r>
    </w:p>
    <w:p w14:paraId="5B69621A" w14:textId="77777777" w:rsidR="00D34C6E" w:rsidRPr="00097EBD" w:rsidRDefault="00D34C6E" w:rsidP="00D34C6E">
      <w:pPr>
        <w:rPr>
          <w:rFonts w:eastAsia="Franklin Gothic Book"/>
          <w:b/>
        </w:rPr>
      </w:pPr>
      <w:r w:rsidRPr="00097EBD">
        <w:rPr>
          <w:rFonts w:eastAsia="Franklin Gothic Book"/>
          <w:b/>
        </w:rPr>
        <w:t>References</w:t>
      </w:r>
    </w:p>
    <w:p w14:paraId="74E56D4A" w14:textId="77777777" w:rsidR="00D34C6E" w:rsidRPr="009B67BF" w:rsidRDefault="00D34C6E" w:rsidP="00D34C6E">
      <w:pPr>
        <w:keepNext/>
        <w:widowControl/>
        <w:numPr>
          <w:ilvl w:val="0"/>
          <w:numId w:val="1"/>
        </w:numPr>
        <w:spacing w:after="60"/>
        <w:jc w:val="left"/>
        <w:rPr>
          <w:rFonts w:eastAsia="Franklin Gothic Book"/>
        </w:rPr>
      </w:pPr>
      <w:r w:rsidRPr="009B67BF">
        <w:rPr>
          <w:rFonts w:eastAsia="Franklin Gothic Book"/>
        </w:rPr>
        <w:t>Yin, 2003</w:t>
      </w:r>
    </w:p>
    <w:p w14:paraId="209E94AA" w14:textId="77777777" w:rsidR="00D34C6E" w:rsidRPr="009B67BF" w:rsidRDefault="00D34C6E" w:rsidP="00D34C6E">
      <w:pPr>
        <w:keepNext/>
        <w:widowControl/>
        <w:numPr>
          <w:ilvl w:val="0"/>
          <w:numId w:val="1"/>
        </w:numPr>
        <w:spacing w:after="60"/>
        <w:jc w:val="left"/>
        <w:rPr>
          <w:rFonts w:eastAsia="Franklin Gothic Book"/>
        </w:rPr>
      </w:pPr>
      <w:r w:rsidRPr="009B67BF">
        <w:rPr>
          <w:rFonts w:eastAsia="Franklin Gothic Book"/>
        </w:rPr>
        <w:t>Stake, 2006</w:t>
      </w:r>
    </w:p>
    <w:p w14:paraId="7EB9FD12" w14:textId="77777777" w:rsidR="00D34C6E" w:rsidRDefault="00D34C6E" w:rsidP="00D34C6E">
      <w:pPr>
        <w:rPr>
          <w:rFonts w:eastAsia="Franklin Gothic Book" w:cs="Arial"/>
          <w:kern w:val="32"/>
          <w:sz w:val="32"/>
          <w:szCs w:val="32"/>
        </w:rPr>
      </w:pPr>
      <w:bookmarkStart w:id="2106" w:name="_Toc431526509"/>
      <w:r>
        <w:rPr>
          <w:rFonts w:eastAsia="Franklin Gothic Book"/>
        </w:rPr>
        <w:br w:type="page"/>
      </w:r>
    </w:p>
    <w:p w14:paraId="402E8809" w14:textId="77777777" w:rsidR="00D34C6E" w:rsidRPr="009B67BF" w:rsidRDefault="00D34C6E" w:rsidP="00BA6EEF">
      <w:pPr>
        <w:pStyle w:val="Heading1"/>
        <w:keepLines w:val="0"/>
        <w:widowControl/>
        <w:numPr>
          <w:ilvl w:val="0"/>
          <w:numId w:val="8"/>
        </w:numPr>
        <w:tabs>
          <w:tab w:val="decimal" w:pos="720"/>
        </w:tabs>
        <w:ind w:left="0" w:firstLine="0"/>
        <w:jc w:val="left"/>
      </w:pPr>
      <w:bookmarkStart w:id="2107" w:name="_Toc442804342"/>
      <w:bookmarkStart w:id="2108" w:name="_Toc442805559"/>
      <w:bookmarkStart w:id="2109" w:name="_Toc411554728"/>
      <w:bookmarkStart w:id="2110" w:name="_Toc472494748"/>
      <w:bookmarkStart w:id="2111" w:name="_Toc520462959"/>
      <w:bookmarkStart w:id="2112" w:name="_Toc473108090"/>
      <w:bookmarkStart w:id="2113" w:name="_Toc520824256"/>
      <w:bookmarkStart w:id="2114" w:name="_Toc16619998"/>
      <w:bookmarkStart w:id="2115" w:name="_Toc113619849"/>
      <w:r w:rsidRPr="009B67BF">
        <w:lastRenderedPageBreak/>
        <w:t>Appendix B: References</w:t>
      </w:r>
      <w:bookmarkEnd w:id="2106"/>
      <w:bookmarkEnd w:id="2107"/>
      <w:bookmarkEnd w:id="2108"/>
      <w:bookmarkEnd w:id="2109"/>
      <w:bookmarkEnd w:id="2110"/>
      <w:bookmarkEnd w:id="2111"/>
      <w:bookmarkEnd w:id="2112"/>
      <w:bookmarkEnd w:id="2113"/>
      <w:bookmarkEnd w:id="2114"/>
      <w:bookmarkEnd w:id="2115"/>
    </w:p>
    <w:bookmarkEnd w:id="984"/>
    <w:p w14:paraId="54259BB5" w14:textId="77777777" w:rsidR="00D34C6E" w:rsidRDefault="00D34C6E" w:rsidP="00D34C6E">
      <w:r>
        <w:t xml:space="preserve">Abadie, A. and G. W. </w:t>
      </w:r>
      <w:proofErr w:type="spellStart"/>
      <w:r>
        <w:t>Imbens</w:t>
      </w:r>
      <w:proofErr w:type="spellEnd"/>
      <w:r>
        <w:t xml:space="preserve">. (2002). Simple and bias-corrected matching estimators [Technical Report]. Department of Economics, University of California, Berkeley. Retrieved March 6, 2016, from http://ideas.repec.org/p/nbr/nberte/0283.html. </w:t>
      </w:r>
    </w:p>
    <w:p w14:paraId="41D351CF" w14:textId="77777777" w:rsidR="00D34C6E" w:rsidRDefault="00D34C6E" w:rsidP="00D34C6E">
      <w:r>
        <w:t xml:space="preserve">Abadie, A. and G. W. </w:t>
      </w:r>
      <w:proofErr w:type="spellStart"/>
      <w:r>
        <w:t>Imbens</w:t>
      </w:r>
      <w:proofErr w:type="spellEnd"/>
      <w:r>
        <w:t xml:space="preserve">. (2006). Large sample properties of matching estimators for average treatment effects. </w:t>
      </w:r>
      <w:proofErr w:type="spellStart"/>
      <w:r>
        <w:t>Econometrica</w:t>
      </w:r>
      <w:proofErr w:type="spellEnd"/>
      <w:r>
        <w:t xml:space="preserve">, 74, pp. 235-267. </w:t>
      </w:r>
    </w:p>
    <w:p w14:paraId="62F650FB" w14:textId="77777777" w:rsidR="00D34C6E" w:rsidRDefault="00D34C6E" w:rsidP="00D34C6E">
      <w:r>
        <w:t>Agnew, K. and M. Goldberg. (2017). Whole Building Retrofit with Consumption Data Analysis Evaluation Protocol: Chapter 8 of the Uniform Methods Project, National Renewable Energy Laboratory.</w:t>
      </w:r>
    </w:p>
    <w:p w14:paraId="1E8DA4C6" w14:textId="77777777" w:rsidR="00D34C6E" w:rsidRDefault="00D34C6E" w:rsidP="00D34C6E">
      <w:r>
        <w:t xml:space="preserve">Bradburn, Norman, Sudman, Seymore, and </w:t>
      </w:r>
      <w:proofErr w:type="spellStart"/>
      <w:r>
        <w:t>Wansink</w:t>
      </w:r>
      <w:proofErr w:type="spellEnd"/>
      <w:r>
        <w:t xml:space="preserve">, Brian. 2004. </w:t>
      </w:r>
      <w:r w:rsidRPr="001C02F0">
        <w:t>Asking Questions. The Definitive Guide to Questionnaire Design – For Market Research, Political Polls, and Social and Health Questionnaires</w:t>
      </w:r>
      <w:r>
        <w:t>. San Francisco, CA: Jossey-Bass.</w:t>
      </w:r>
    </w:p>
    <w:p w14:paraId="3AF6EF83" w14:textId="77777777" w:rsidR="00D34C6E" w:rsidRDefault="00D34C6E" w:rsidP="00D34C6E">
      <w:r>
        <w:t>Chen, Huey-</w:t>
      </w:r>
      <w:proofErr w:type="spellStart"/>
      <w:r>
        <w:t>Tsyh</w:t>
      </w:r>
      <w:proofErr w:type="spellEnd"/>
      <w:r>
        <w:t xml:space="preserve">. 1990. </w:t>
      </w:r>
      <w:r w:rsidRPr="001C02F0">
        <w:t>Theory-Driven Evaluations</w:t>
      </w:r>
      <w:r>
        <w:t>. Sage Publications.</w:t>
      </w:r>
    </w:p>
    <w:p w14:paraId="2E4F352E" w14:textId="77777777" w:rsidR="00D34C6E" w:rsidRDefault="00D34C6E" w:rsidP="00D34C6E">
      <w:r>
        <w:t xml:space="preserve">Coryn, Chris L.S., </w:t>
      </w:r>
      <w:proofErr w:type="spellStart"/>
      <w:r>
        <w:t>Norakes</w:t>
      </w:r>
      <w:proofErr w:type="spellEnd"/>
      <w:r>
        <w:t xml:space="preserve">, Linday A., </w:t>
      </w:r>
      <w:proofErr w:type="spellStart"/>
      <w:r>
        <w:t>Westine</w:t>
      </w:r>
      <w:proofErr w:type="spellEnd"/>
      <w:r>
        <w:t>, Carl D., Schröter, Daniela C. 2011. “A Systematic Review of Theory-Driven Evaluation Practice from 1990 to 2009.” American Journal of Evaluation, 32(2): 199-226.</w:t>
      </w:r>
    </w:p>
    <w:p w14:paraId="2FB7EF38" w14:textId="77777777" w:rsidR="00D34C6E" w:rsidRDefault="00D34C6E" w:rsidP="00D34C6E">
      <w:r>
        <w:t xml:space="preserve">Donaldson, Steward I., Christie, Christina A., Mark, Melvin M. 2009. </w:t>
      </w:r>
      <w:r w:rsidRPr="001C02F0">
        <w:t>What Counts as Credible Evidence in Applied Research and Evaluation Practice?</w:t>
      </w:r>
      <w:r>
        <w:t xml:space="preserve"> Los Angeles, CA: Sage Publications, Inc.</w:t>
      </w:r>
    </w:p>
    <w:p w14:paraId="3E60F217" w14:textId="77777777" w:rsidR="00D34C6E" w:rsidRDefault="00D34C6E" w:rsidP="00D34C6E">
      <w:r w:rsidRPr="00854C35">
        <w:t>EMI Consulting. (2018). Xcel Energy: Colorado Cooling Efficiency Product: 2017 Evaluation. Prepared for Xcel Energy.</w:t>
      </w:r>
    </w:p>
    <w:p w14:paraId="28341F6B" w14:textId="77777777" w:rsidR="00D34C6E" w:rsidRDefault="00D34C6E" w:rsidP="00D34C6E">
      <w:r>
        <w:t>Fowlie, M.; Greenstone, M.; Wolfram, C. (2015). Are the Non-Monetary Costs of Energy Efficiency Investments Large? Understanding Low Take-up of a Free Energy Efficiency Program. American Economic Review: Papers and Proceedings 105(5): 201-204.                                                                                   &lt; https://www.povertyactionlab.org/sites/default/files/publications/389_500%20Weatherization%20AER.pdf&gt;</w:t>
      </w:r>
    </w:p>
    <w:p w14:paraId="72A61526" w14:textId="77777777" w:rsidR="00D34C6E" w:rsidRDefault="00D34C6E" w:rsidP="00D34C6E">
      <w:r>
        <w:t xml:space="preserve">Greene, W. H. (2003) Econometric Analysis (5th Ed.). Upper Saddle River, N.J.: Prentice Hall. </w:t>
      </w:r>
    </w:p>
    <w:p w14:paraId="6886455E" w14:textId="77777777" w:rsidR="00D34C6E" w:rsidRDefault="00D34C6E" w:rsidP="00D34C6E">
      <w:r>
        <w:t xml:space="preserve">Goldberg, M. L. And K. Train, (1995) Net Savings Estimation: An Analysis of Regression and Discrete Choice Approaches. Submitted by </w:t>
      </w:r>
      <w:proofErr w:type="spellStart"/>
      <w:r>
        <w:t>Xenergy</w:t>
      </w:r>
      <w:proofErr w:type="spellEnd"/>
      <w:r>
        <w:t xml:space="preserve"> Inc. To CADMAC Subcommittee on Base Efficiency. </w:t>
      </w:r>
    </w:p>
    <w:p w14:paraId="02201D04" w14:textId="77777777" w:rsidR="00D34C6E" w:rsidRDefault="00D34C6E" w:rsidP="00D34C6E">
      <w:r>
        <w:t>Goldberg, M.; Agnew, K.; Train, K.; Fowlie, M. (2017). Mitigating Self-Selection Bias in Billing Analysis for Impact Evaluation. Pacific Gas and Electric Company. CALMAC Study ID PGE0401.01. &lt;http://www.calmac.org/publications/Mitigating_Self_Selection_Bias_in_Bill_Analysis_8.4.17.pdf&gt;</w:t>
      </w:r>
    </w:p>
    <w:p w14:paraId="2505CB37" w14:textId="77777777" w:rsidR="00D34C6E" w:rsidRDefault="00D34C6E" w:rsidP="00D34C6E">
      <w:r>
        <w:t xml:space="preserve">Gou, Shenyang and Mark W. Fraser, (2015). Propensity Score Analysis: Statistical Methods and Applications. Los Angeles, CA: SAGE Publications. </w:t>
      </w:r>
    </w:p>
    <w:p w14:paraId="6A51CFA0" w14:textId="77777777" w:rsidR="00D34C6E" w:rsidRDefault="00D34C6E" w:rsidP="00D34C6E">
      <w:r>
        <w:t xml:space="preserve">Hansen, B. B. and S. O. Klopfer. (2006). Optimal Full Matching and Related Designs via Network Flows. Journal of Computational and Graphical Statistics, 15, pp. 1-19. </w:t>
      </w:r>
    </w:p>
    <w:p w14:paraId="5F972B61" w14:textId="77777777" w:rsidR="00D34C6E" w:rsidRDefault="00D34C6E" w:rsidP="00D34C6E">
      <w:r>
        <w:t xml:space="preserve">Harding, M. and </w:t>
      </w:r>
      <w:proofErr w:type="spellStart"/>
      <w:r>
        <w:t>Hsiaw</w:t>
      </w:r>
      <w:proofErr w:type="spellEnd"/>
      <w:r>
        <w:t>, A. 2013. Goal Setting and Energy Conservation Available at: http://people.duke.edu/~mch55/resources/Harding_Goals.pdf.</w:t>
      </w:r>
    </w:p>
    <w:p w14:paraId="4568048D" w14:textId="77777777" w:rsidR="00D34C6E" w:rsidRDefault="00D34C6E" w:rsidP="00D34C6E">
      <w:r>
        <w:t xml:space="preserve">Heckman, J. J. (1979). Sample Selection Bias as a Specification Error. </w:t>
      </w:r>
      <w:proofErr w:type="spellStart"/>
      <w:r>
        <w:t>Econometrica</w:t>
      </w:r>
      <w:proofErr w:type="spellEnd"/>
      <w:r>
        <w:t xml:space="preserve">, 47(1), pp. 153-162. </w:t>
      </w:r>
    </w:p>
    <w:p w14:paraId="428366AB" w14:textId="77777777" w:rsidR="00D34C6E" w:rsidRDefault="00D34C6E" w:rsidP="00D34C6E">
      <w:r>
        <w:t xml:space="preserve">Heckman, J. J. (1978). Dummy Endogenous Variables in a Simultaneous equations system. </w:t>
      </w:r>
      <w:proofErr w:type="spellStart"/>
      <w:r>
        <w:t>Econometrica</w:t>
      </w:r>
      <w:proofErr w:type="spellEnd"/>
      <w:r>
        <w:t xml:space="preserve">, 46(1), pp. 931-960. </w:t>
      </w:r>
    </w:p>
    <w:p w14:paraId="460698F8" w14:textId="77777777" w:rsidR="00D34C6E" w:rsidRDefault="00D34C6E" w:rsidP="00D34C6E">
      <w:r>
        <w:t>Ho, D.E., Imai, K., King, G. and Stuart, E., 2007. “Matching as Nonparametric Preprocessing for Reducing Model Dependence in Parametric Causal Inference.” Political Analysis 15(3): 199-236.</w:t>
      </w:r>
    </w:p>
    <w:p w14:paraId="06273CB0" w14:textId="77777777" w:rsidR="00D34C6E" w:rsidRDefault="00D34C6E" w:rsidP="00D34C6E">
      <w:pPr>
        <w:spacing w:after="0"/>
      </w:pPr>
      <w:r>
        <w:t xml:space="preserve">Mohr, Lawrence B. 1995. </w:t>
      </w:r>
      <w:r w:rsidRPr="001C02F0">
        <w:t>Impact Analysis for Program Evaluation, Second Edition</w:t>
      </w:r>
      <w:r>
        <w:t xml:space="preserve">. Thousand Oaks, CA: </w:t>
      </w:r>
    </w:p>
    <w:p w14:paraId="2A4FD034" w14:textId="77777777" w:rsidR="00D34C6E" w:rsidRDefault="00D34C6E" w:rsidP="00D34C6E">
      <w:r>
        <w:t>Sage Publications, Inc.</w:t>
      </w:r>
    </w:p>
    <w:p w14:paraId="52F3316F" w14:textId="77777777" w:rsidR="00D34C6E" w:rsidRDefault="00D34C6E" w:rsidP="00D34C6E">
      <w:r>
        <w:t xml:space="preserve">Mosenthal, Philip, Prahl, Ralph, Neme, Chris, and Cuomo, Robert. 2000. </w:t>
      </w:r>
      <w:r w:rsidRPr="001C02F0">
        <w:t>A Modified Delphi Approach to Predict Market Transformation Program Effects</w:t>
      </w:r>
      <w:r>
        <w:t>. Proceedings from the 2000 ACEEE Conference.</w:t>
      </w:r>
    </w:p>
    <w:p w14:paraId="56BC414B" w14:textId="77777777" w:rsidR="00D34C6E" w:rsidRDefault="00D34C6E" w:rsidP="00D34C6E">
      <w:pPr>
        <w:keepNext/>
        <w:spacing w:after="0"/>
      </w:pPr>
      <w:r>
        <w:lastRenderedPageBreak/>
        <w:t xml:space="preserve">Powell, Catherine. 2002. “The Delphi Technique: Myths and Realities.” Journal of Advanced Nursing. 41(4), </w:t>
      </w:r>
    </w:p>
    <w:p w14:paraId="0F21CF83" w14:textId="77777777" w:rsidR="00D34C6E" w:rsidRDefault="00D34C6E" w:rsidP="00D34C6E">
      <w:r>
        <w:t>376-382.</w:t>
      </w:r>
    </w:p>
    <w:p w14:paraId="1F229255" w14:textId="20521061" w:rsidR="00D34C6E" w:rsidRDefault="00D34C6E" w:rsidP="00D34C6E">
      <w:r>
        <w:t xml:space="preserve">Randazzo, K., Ridge, R. and Wayland, S. Evaluating Whole-Building Programs: It is harder and easier than you think! Presented at the International Energy Program Evaluation Conference in </w:t>
      </w:r>
      <w:r w:rsidR="00CC2102">
        <w:t>August</w:t>
      </w:r>
      <w:r>
        <w:t xml:space="preserve"> 2017.</w:t>
      </w:r>
    </w:p>
    <w:p w14:paraId="0C549422" w14:textId="77777777" w:rsidR="00D34C6E" w:rsidRDefault="00D34C6E" w:rsidP="00D34C6E">
      <w:r>
        <w:t xml:space="preserve">Rosenbaum, P. R. and D. B. Rubin. (1983). The central role of the propensity score in observational studies for causal effects. </w:t>
      </w:r>
      <w:proofErr w:type="spellStart"/>
      <w:r>
        <w:t>Biometrika</w:t>
      </w:r>
      <w:proofErr w:type="spellEnd"/>
      <w:r>
        <w:t xml:space="preserve">, 70, pp. 41-55. 21 </w:t>
      </w:r>
    </w:p>
    <w:p w14:paraId="23C39A3F" w14:textId="77777777" w:rsidR="00D34C6E" w:rsidRDefault="00D34C6E" w:rsidP="00D34C6E">
      <w:r>
        <w:t>Rosenbaum, P. R. and D. B. Rubin. (1985). Constructing a control group using multivariate matched sampling methods that incorporate the propensity score. American Statistician, 39, pp. 33-38.</w:t>
      </w:r>
    </w:p>
    <w:p w14:paraId="220117B7" w14:textId="77777777" w:rsidR="00D34C6E" w:rsidRDefault="00D34C6E" w:rsidP="00D34C6E">
      <w:r>
        <w:t xml:space="preserve">Scriven, Michael. “A Summative Evaluation of RCT Methodology and an Alternative Approach to Causal Research.” March 2008. Journal of </w:t>
      </w:r>
      <w:proofErr w:type="spellStart"/>
      <w:r>
        <w:t>MultiDisciplinary</w:t>
      </w:r>
      <w:proofErr w:type="spellEnd"/>
      <w:r>
        <w:t xml:space="preserve"> Evaluation, Volume 5, Number 9. ISSN 1556-8180.</w:t>
      </w:r>
    </w:p>
    <w:p w14:paraId="1EF77D22" w14:textId="77777777" w:rsidR="00D34C6E" w:rsidRDefault="00D34C6E" w:rsidP="00D34C6E">
      <w:proofErr w:type="spellStart"/>
      <w:r>
        <w:t>Shadish</w:t>
      </w:r>
      <w:proofErr w:type="spellEnd"/>
      <w:r>
        <w:t xml:space="preserve">, William R., Cook, Thomas D., and Campbell, Donald T. 2002. </w:t>
      </w:r>
      <w:r w:rsidRPr="001C02F0">
        <w:t>Experimental and Quasi-Experimental Designs for Generalized Causal Inference.</w:t>
      </w:r>
      <w:r>
        <w:t xml:space="preserve"> Boston: Houghton Mifflin Company.</w:t>
      </w:r>
    </w:p>
    <w:p w14:paraId="178836EE" w14:textId="77777777" w:rsidR="00D34C6E" w:rsidRDefault="00D34C6E" w:rsidP="00D34C6E">
      <w:r>
        <w:t xml:space="preserve">Stake, Robert E. 2006. </w:t>
      </w:r>
      <w:r w:rsidRPr="001C02F0">
        <w:t>Multiple Case Study Analysis</w:t>
      </w:r>
      <w:r>
        <w:t>. The Guilford Press.</w:t>
      </w:r>
    </w:p>
    <w:p w14:paraId="5FAFF711" w14:textId="77777777" w:rsidR="00D34C6E" w:rsidRDefault="00D34C6E" w:rsidP="00D34C6E">
      <w:r>
        <w:t xml:space="preserve">Stone, Arthur A., Turkkan, Jaylan S., Bachrach, Christine A., Jobe, Jared B., Kurtzman, Howard S., Cain, Virginia S. editors. 2000. </w:t>
      </w:r>
      <w:r w:rsidRPr="001C02F0">
        <w:t>The Science of Self-Report. Implications for Research and Practice</w:t>
      </w:r>
      <w:r>
        <w:t>. Lawrence Erlbaum Associates, Inc.</w:t>
      </w:r>
    </w:p>
    <w:p w14:paraId="7CA62043" w14:textId="77777777" w:rsidR="00D34C6E" w:rsidRDefault="00D34C6E" w:rsidP="00D34C6E">
      <w:r>
        <w:t xml:space="preserve">Sudman, Seymour, Bradburn, Norman, Schwarz, Norbert. 1996. </w:t>
      </w:r>
      <w:r w:rsidRPr="001C02F0">
        <w:t>Thinking about Answers. The Application of Cognitive Processes to Survey Methodology</w:t>
      </w:r>
      <w:r>
        <w:t>. Jossey-Bass.</w:t>
      </w:r>
    </w:p>
    <w:p w14:paraId="0C30A96C" w14:textId="77777777" w:rsidR="00D34C6E" w:rsidRDefault="00D34C6E" w:rsidP="00D34C6E">
      <w:r>
        <w:t xml:space="preserve">Train, Kenneth. (1993). Estimation of Net Impact from Energy Conservation Programs. Submitted to the Southern California Edison Company. </w:t>
      </w:r>
    </w:p>
    <w:p w14:paraId="41E04A1C" w14:textId="77777777" w:rsidR="00D34C6E" w:rsidRDefault="00D34C6E" w:rsidP="00D34C6E">
      <w:r>
        <w:t xml:space="preserve">Violette, Daniel M.; Rathbun, Pamela. (2017). Chapter 21: Estimating Net Savings – Common Practices: Methods for Determining Energy-Efficiency Savings for Specific Measures. Golden, CO; National Renewable Energy Laboratory. NREL/SR-7A40-68578. http://www.nrel.gov/docs/fy17osti/68578.pdf </w:t>
      </w:r>
    </w:p>
    <w:p w14:paraId="5487DEA6" w14:textId="77777777" w:rsidR="00D34C6E" w:rsidRDefault="00D34C6E" w:rsidP="00D34C6E">
      <w:r>
        <w:t xml:space="preserve">Weiss, Carol H. 1998. </w:t>
      </w:r>
      <w:r w:rsidRPr="001C02F0">
        <w:t>Evaluation Methods for Studying Programs and Policies, 2nd Edition</w:t>
      </w:r>
      <w:r>
        <w:t>. Upper Saddle River, New Jersey: Prentice Hall.</w:t>
      </w:r>
    </w:p>
    <w:p w14:paraId="7B757545" w14:textId="77777777" w:rsidR="00D34C6E" w:rsidRDefault="00D34C6E" w:rsidP="00D34C6E">
      <w:r>
        <w:t xml:space="preserve">Wooldridge, J. M. (2002). Econometric Analysis of Cross Section and Panel Data. Cambridge: MIT Press. </w:t>
      </w:r>
    </w:p>
    <w:p w14:paraId="6420D8A4" w14:textId="77777777" w:rsidR="00D34C6E" w:rsidRPr="00117C58" w:rsidRDefault="00D34C6E" w:rsidP="00D34C6E">
      <w:r>
        <w:t xml:space="preserve">Yin, Robert K. 2003. </w:t>
      </w:r>
      <w:r w:rsidRPr="001C02F0">
        <w:t>Case Study Research. Design and Methods</w:t>
      </w:r>
      <w:r>
        <w:t>. Thousand Oaks, CA: Sage Publications, Inc.</w:t>
      </w:r>
    </w:p>
    <w:p w14:paraId="5B240017" w14:textId="77777777" w:rsidR="00D34C6E" w:rsidRDefault="00D34C6E" w:rsidP="00D34C6E">
      <w:pPr>
        <w:widowControl/>
        <w:spacing w:after="160" w:line="259" w:lineRule="auto"/>
        <w:jc w:val="left"/>
        <w:rPr>
          <w:rFonts w:eastAsia="Franklin Gothic Book"/>
        </w:rPr>
      </w:pPr>
      <w:r>
        <w:rPr>
          <w:rFonts w:eastAsia="Franklin Gothic Book"/>
        </w:rPr>
        <w:br w:type="page"/>
      </w:r>
    </w:p>
    <w:p w14:paraId="0AD2D2DD" w14:textId="77777777" w:rsidR="000E5BFE" w:rsidRDefault="000E5BFE" w:rsidP="005D3C69">
      <w:pPr>
        <w:pStyle w:val="Heading1"/>
        <w:keepLines w:val="0"/>
        <w:widowControl/>
        <w:jc w:val="left"/>
        <w:rPr>
          <w:rFonts w:eastAsia="Franklin Gothic Book"/>
        </w:rPr>
        <w:sectPr w:rsidR="000E5BFE" w:rsidSect="003577EB">
          <w:headerReference w:type="default" r:id="rId67"/>
          <w:pgSz w:w="12240" w:h="15840"/>
          <w:pgMar w:top="1440" w:right="1440" w:bottom="1440" w:left="1440" w:header="720" w:footer="720" w:gutter="0"/>
          <w:cols w:space="720"/>
          <w:docGrid w:linePitch="360"/>
        </w:sectPr>
      </w:pPr>
    </w:p>
    <w:p w14:paraId="2A8AE845" w14:textId="77777777" w:rsidR="004D0A65" w:rsidRDefault="004D0A65" w:rsidP="004D0A65">
      <w:pPr>
        <w:pStyle w:val="Heading1"/>
        <w:keepLines w:val="0"/>
        <w:widowControl/>
        <w:jc w:val="left"/>
        <w:rPr>
          <w:rFonts w:eastAsia="Franklin Gothic Book"/>
        </w:rPr>
      </w:pPr>
      <w:bookmarkStart w:id="2116" w:name="_Toc16619999"/>
      <w:bookmarkStart w:id="2117" w:name="_Toc113619850"/>
      <w:r>
        <w:rPr>
          <w:rFonts w:eastAsia="Franklin Gothic Book"/>
        </w:rPr>
        <w:lastRenderedPageBreak/>
        <w:t>Attachment B: Effective Useful Life for Custom Measure Guidelines</w:t>
      </w:r>
      <w:bookmarkEnd w:id="2116"/>
      <w:bookmarkEnd w:id="2117"/>
    </w:p>
    <w:p w14:paraId="6B1A1CCD" w14:textId="1AC5AD3D" w:rsidR="00A46ABF" w:rsidRDefault="00A46ABF" w:rsidP="00A46ABF">
      <w:pPr>
        <w:jc w:val="left"/>
        <w:rPr>
          <w:rFonts w:cstheme="minorHAnsi"/>
        </w:rPr>
      </w:pPr>
      <w:bookmarkStart w:id="2118" w:name="_Ref513544504"/>
      <w:r w:rsidRPr="001775B3">
        <w:rPr>
          <w:rFonts w:cstheme="minorHAnsi"/>
        </w:rPr>
        <w:t xml:space="preserve">The following </w:t>
      </w:r>
      <w:r>
        <w:rPr>
          <w:rFonts w:cstheme="minorHAnsi"/>
        </w:rPr>
        <w:t xml:space="preserve">guidelines </w:t>
      </w:r>
      <w:r w:rsidRPr="001775B3">
        <w:rPr>
          <w:rFonts w:cstheme="minorHAnsi"/>
        </w:rPr>
        <w:t>should be used to determine the EUL value</w:t>
      </w:r>
      <w:r>
        <w:rPr>
          <w:rFonts w:cstheme="minorHAnsi"/>
        </w:rPr>
        <w:t>s</w:t>
      </w:r>
      <w:r w:rsidRPr="001775B3">
        <w:rPr>
          <w:rFonts w:cstheme="minorHAnsi"/>
        </w:rPr>
        <w:t xml:space="preserve"> for custom measures</w:t>
      </w:r>
      <w:r>
        <w:rPr>
          <w:rFonts w:cstheme="minorHAnsi"/>
        </w:rPr>
        <w:t xml:space="preserve"> and programs:</w:t>
      </w:r>
      <w:r w:rsidRPr="001775B3">
        <w:rPr>
          <w:rFonts w:cstheme="minorHAnsi"/>
        </w:rPr>
        <w:t xml:space="preserve"> </w:t>
      </w:r>
    </w:p>
    <w:p w14:paraId="63CFE366" w14:textId="77777777" w:rsidR="00A46ABF" w:rsidRDefault="00A46ABF" w:rsidP="0092016D">
      <w:pPr>
        <w:pStyle w:val="ListParagraph"/>
        <w:numPr>
          <w:ilvl w:val="0"/>
          <w:numId w:val="94"/>
        </w:numPr>
        <w:spacing w:after="240"/>
        <w:jc w:val="left"/>
      </w:pPr>
      <w:r w:rsidRPr="00C63750">
        <w:rPr>
          <w:rFonts w:cstheme="minorHAnsi"/>
        </w:rPr>
        <w:t xml:space="preserve">The </w:t>
      </w:r>
      <w:r>
        <w:rPr>
          <w:rFonts w:cstheme="minorHAnsi"/>
        </w:rPr>
        <w:t xml:space="preserve">EUL </w:t>
      </w:r>
      <w:r w:rsidRPr="00C63750">
        <w:rPr>
          <w:rFonts w:cstheme="minorHAnsi"/>
        </w:rPr>
        <w:t>values in</w:t>
      </w:r>
      <w:r>
        <w:rPr>
          <w:rFonts w:cstheme="minorHAnsi"/>
        </w:rPr>
        <w:t xml:space="preserve"> TRM Section 3 and Section 4 are deemed.  Attachment B </w:t>
      </w:r>
      <w:r w:rsidRPr="004F6E90">
        <w:rPr>
          <w:rFonts w:cstheme="minorHAnsi"/>
        </w:rPr>
        <w:fldChar w:fldCharType="begin"/>
      </w:r>
      <w:r w:rsidRPr="004F6E90">
        <w:rPr>
          <w:rFonts w:cstheme="minorHAnsi"/>
        </w:rPr>
        <w:instrText xml:space="preserve"> REF _Ref513544504 \h  \* MERGEFORMAT </w:instrText>
      </w:r>
      <w:r w:rsidRPr="004F6E90">
        <w:rPr>
          <w:rFonts w:cstheme="minorHAnsi"/>
        </w:rPr>
      </w:r>
      <w:r w:rsidRPr="004F6E90">
        <w:rPr>
          <w:rFonts w:cstheme="minorHAnsi"/>
        </w:rPr>
        <w:fldChar w:fldCharType="separate"/>
      </w:r>
      <w:r w:rsidRPr="004F6E90">
        <w:rPr>
          <w:rFonts w:cstheme="minorHAnsi"/>
        </w:rPr>
        <w:t xml:space="preserve">Table </w:t>
      </w:r>
      <w:r w:rsidRPr="004F6E90">
        <w:rPr>
          <w:rFonts w:cstheme="minorHAnsi"/>
          <w:noProof/>
        </w:rPr>
        <w:t>1-3</w:t>
      </w:r>
      <w:r w:rsidRPr="004F6E90">
        <w:rPr>
          <w:rFonts w:cstheme="minorHAnsi"/>
        </w:rPr>
        <w:fldChar w:fldCharType="end"/>
      </w:r>
      <w:r w:rsidRPr="004F6E90">
        <w:rPr>
          <w:rFonts w:cstheme="minorHAnsi"/>
        </w:rPr>
        <w:t xml:space="preserve"> </w:t>
      </w:r>
      <w:r>
        <w:rPr>
          <w:rFonts w:cstheme="minorHAnsi"/>
        </w:rPr>
        <w:t xml:space="preserve">and Table 1-4 </w:t>
      </w:r>
      <w:r w:rsidRPr="004F6E90">
        <w:rPr>
          <w:rFonts w:cstheme="minorHAnsi"/>
        </w:rPr>
        <w:t xml:space="preserve">are a result of research into EUL values for </w:t>
      </w:r>
      <w:r>
        <w:rPr>
          <w:rFonts w:cstheme="minorHAnsi"/>
        </w:rPr>
        <w:t xml:space="preserve">custom </w:t>
      </w:r>
      <w:r w:rsidRPr="00C63750">
        <w:rPr>
          <w:rFonts w:cstheme="minorHAnsi"/>
        </w:rPr>
        <w:t xml:space="preserve">measures and are </w:t>
      </w:r>
      <w:r>
        <w:rPr>
          <w:rFonts w:cstheme="minorHAnsi"/>
        </w:rPr>
        <w:t xml:space="preserve">also </w:t>
      </w:r>
      <w:r w:rsidRPr="00C63750">
        <w:rPr>
          <w:rFonts w:cstheme="minorHAnsi"/>
        </w:rPr>
        <w:t xml:space="preserve">considered </w:t>
      </w:r>
      <w:r w:rsidRPr="00316516">
        <w:rPr>
          <w:rFonts w:cstheme="minorHAnsi"/>
        </w:rPr>
        <w:t xml:space="preserve">to be deemed. </w:t>
      </w:r>
    </w:p>
    <w:p w14:paraId="3953B4DE" w14:textId="77777777" w:rsidR="00A46ABF" w:rsidRPr="00316516" w:rsidRDefault="00A46ABF" w:rsidP="0092016D">
      <w:pPr>
        <w:pStyle w:val="ListParagraph"/>
        <w:numPr>
          <w:ilvl w:val="0"/>
          <w:numId w:val="94"/>
        </w:numPr>
        <w:spacing w:after="240"/>
        <w:jc w:val="left"/>
      </w:pPr>
      <w:r w:rsidRPr="00901C84">
        <w:rPr>
          <w:rFonts w:cstheme="minorHAnsi"/>
        </w:rPr>
        <w:t>Identify the custom measure and consider if there are similar measures with EUL values already in TRM</w:t>
      </w:r>
      <w:r>
        <w:rPr>
          <w:rFonts w:cstheme="minorHAnsi"/>
        </w:rPr>
        <w:t xml:space="preserve"> Section 3, Section 4, Table 1-3, or Table 1-4.</w:t>
      </w:r>
    </w:p>
    <w:p w14:paraId="5B4E894E" w14:textId="77777777" w:rsidR="00A46ABF" w:rsidRPr="00C63750" w:rsidRDefault="00A46ABF" w:rsidP="0092016D">
      <w:pPr>
        <w:pStyle w:val="ListParagraph"/>
        <w:numPr>
          <w:ilvl w:val="0"/>
          <w:numId w:val="94"/>
        </w:numPr>
        <w:spacing w:after="240"/>
        <w:jc w:val="left"/>
      </w:pPr>
      <w:r>
        <w:rPr>
          <w:rFonts w:cstheme="minorHAnsi"/>
        </w:rPr>
        <w:t>Use the EUL for the similar measure or follow the guidance of Table 1-3 or Table 1-4 for Custom Other categories.</w:t>
      </w:r>
    </w:p>
    <w:p w14:paraId="7C19EE11" w14:textId="2F1A45E7" w:rsidR="00A46ABF" w:rsidRPr="001775B3" w:rsidRDefault="00911840" w:rsidP="00A46ABF">
      <w:pPr>
        <w:rPr>
          <w:rFonts w:cstheme="minorHAnsi"/>
          <w:szCs w:val="20"/>
        </w:rPr>
      </w:pPr>
      <w:r>
        <w:rPr>
          <w:rFonts w:cstheme="minorHAnsi"/>
          <w:szCs w:val="20"/>
        </w:rPr>
        <w:t xml:space="preserve">The evaluator will not change deemed values presented here for applicable custom measures and projects within the applicable program year of this TRM. </w:t>
      </w:r>
      <w:r w:rsidR="00A46ABF">
        <w:rPr>
          <w:rFonts w:cstheme="minorHAnsi"/>
          <w:szCs w:val="20"/>
        </w:rPr>
        <w:t xml:space="preserve">The deemed values will </w:t>
      </w:r>
      <w:r w:rsidR="00A46ABF" w:rsidRPr="001775B3">
        <w:rPr>
          <w:rFonts w:cstheme="minorHAnsi"/>
          <w:szCs w:val="20"/>
        </w:rPr>
        <w:t xml:space="preserve">apply </w:t>
      </w:r>
      <w:r w:rsidR="00A46ABF">
        <w:rPr>
          <w:rFonts w:cstheme="minorHAnsi"/>
          <w:szCs w:val="20"/>
        </w:rPr>
        <w:t xml:space="preserve">to </w:t>
      </w:r>
      <w:r w:rsidR="00A46ABF" w:rsidRPr="001775B3">
        <w:rPr>
          <w:rFonts w:cstheme="minorHAnsi"/>
          <w:szCs w:val="20"/>
        </w:rPr>
        <w:t>the verified lifetime savings and CPAS. As a result, the implementation team should be consistent and comprehensive in its documentation of the identified EUL</w:t>
      </w:r>
      <w:r w:rsidR="00A46ABF">
        <w:rPr>
          <w:rFonts w:cstheme="minorHAnsi"/>
          <w:szCs w:val="20"/>
        </w:rPr>
        <w:t xml:space="preserve"> if seeking a change for future years</w:t>
      </w:r>
      <w:r w:rsidR="00A46ABF" w:rsidRPr="001775B3">
        <w:rPr>
          <w:rFonts w:cstheme="minorHAnsi"/>
          <w:szCs w:val="20"/>
        </w:rPr>
        <w:t>.</w:t>
      </w:r>
      <w:r w:rsidR="00A46ABF">
        <w:rPr>
          <w:rFonts w:cstheme="minorHAnsi"/>
          <w:szCs w:val="20"/>
        </w:rPr>
        <w:t xml:space="preserve"> Guidance for EUL research is offered following Table 1-4.</w:t>
      </w:r>
    </w:p>
    <w:p w14:paraId="2BF78395" w14:textId="7451AF74" w:rsidR="004D0A65" w:rsidRPr="00F81F5D" w:rsidRDefault="00A46ABF" w:rsidP="009F7B4F">
      <w:pPr>
        <w:jc w:val="left"/>
      </w:pPr>
      <w:r w:rsidRPr="00754EA2">
        <w:t xml:space="preserve">Table </w:t>
      </w:r>
      <w:r>
        <w:t>1-</w:t>
      </w:r>
      <w:r w:rsidRPr="00904A61">
        <w:fldChar w:fldCharType="begin"/>
      </w:r>
      <w:r w:rsidRPr="001775B3">
        <w:instrText xml:space="preserve"> SEQ Table \* ARABIC </w:instrText>
      </w:r>
      <w:r w:rsidRPr="00904A61">
        <w:fldChar w:fldCharType="separate"/>
      </w:r>
      <w:r>
        <w:t>3</w:t>
      </w:r>
      <w:r w:rsidRPr="00904A61">
        <w:fldChar w:fldCharType="end"/>
      </w:r>
      <w:r w:rsidRPr="00904A61">
        <w:t xml:space="preserve">. </w:t>
      </w:r>
      <w:r>
        <w:t xml:space="preserve">Non-Residential </w:t>
      </w:r>
      <w:r w:rsidRPr="00B9278F">
        <w:t xml:space="preserve">Custom Measure End-Use Categories, Subcategories and Effective Useful Life Values </w:t>
      </w:r>
      <w:bookmarkEnd w:id="2118"/>
    </w:p>
    <w:tbl>
      <w:tblPr>
        <w:tblStyle w:val="EnergyTable"/>
        <w:tblW w:w="9450" w:type="dxa"/>
        <w:jc w:val="center"/>
        <w:tblInd w:w="0" w:type="dxa"/>
        <w:tblLook w:val="04A0" w:firstRow="1" w:lastRow="0" w:firstColumn="1" w:lastColumn="0" w:noHBand="0" w:noVBand="1"/>
      </w:tblPr>
      <w:tblGrid>
        <w:gridCol w:w="1658"/>
        <w:gridCol w:w="1566"/>
        <w:gridCol w:w="2179"/>
        <w:gridCol w:w="933"/>
        <w:gridCol w:w="3114"/>
      </w:tblGrid>
      <w:tr w:rsidR="00826B7C" w:rsidRPr="00BF6611" w14:paraId="7CCAF23F" w14:textId="77777777" w:rsidTr="002B6C05">
        <w:trPr>
          <w:cnfStyle w:val="100000000000" w:firstRow="1" w:lastRow="0" w:firstColumn="0" w:lastColumn="0" w:oddVBand="0" w:evenVBand="0" w:oddHBand="0" w:evenHBand="0" w:firstRowFirstColumn="0" w:firstRowLastColumn="0" w:lastRowFirstColumn="0" w:lastRowLastColumn="0"/>
          <w:cantSplit/>
          <w:trHeight w:val="300"/>
          <w:tblHeader/>
          <w:jc w:val="center"/>
        </w:trPr>
        <w:tc>
          <w:tcPr>
            <w:cnfStyle w:val="001000000000" w:firstRow="0" w:lastRow="0" w:firstColumn="1" w:lastColumn="0" w:oddVBand="0" w:evenVBand="0" w:oddHBand="0" w:evenHBand="0" w:firstRowFirstColumn="0" w:firstRowLastColumn="0" w:lastRowFirstColumn="0" w:lastRowLastColumn="0"/>
            <w:tcW w:w="1658" w:type="dxa"/>
            <w:hideMark/>
          </w:tcPr>
          <w:p w14:paraId="517FB289" w14:textId="77777777" w:rsidR="004D0A65" w:rsidRPr="00BF6611" w:rsidRDefault="004D0A65" w:rsidP="002B6C05">
            <w:pPr>
              <w:jc w:val="left"/>
              <w:rPr>
                <w:rFonts w:asciiTheme="minorHAnsi" w:hAnsiTheme="minorHAnsi" w:cstheme="minorHAnsi"/>
                <w:b w:val="0"/>
                <w:color w:val="FFFFFF"/>
                <w:sz w:val="18"/>
              </w:rPr>
            </w:pPr>
            <w:r w:rsidRPr="00BF6611">
              <w:rPr>
                <w:rFonts w:cstheme="minorHAnsi"/>
                <w:color w:val="FFFFFF"/>
                <w:sz w:val="18"/>
              </w:rPr>
              <w:t>Program/End-Use Category</w:t>
            </w:r>
          </w:p>
        </w:tc>
        <w:tc>
          <w:tcPr>
            <w:tcW w:w="1566" w:type="dxa"/>
            <w:hideMark/>
          </w:tcPr>
          <w:p w14:paraId="2AF10F95" w14:textId="77777777" w:rsidR="004D0A65" w:rsidRPr="00BF6611" w:rsidRDefault="004D0A65" w:rsidP="002B6C05">
            <w:pPr>
              <w:jc w:val="left"/>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color w:val="FFFFFF"/>
                <w:sz w:val="18"/>
              </w:rPr>
            </w:pPr>
            <w:r w:rsidRPr="00BF6611">
              <w:rPr>
                <w:rFonts w:cstheme="minorHAnsi"/>
                <w:color w:val="FFFFFF"/>
                <w:sz w:val="18"/>
              </w:rPr>
              <w:t>End-Use Subcategory</w:t>
            </w:r>
          </w:p>
        </w:tc>
        <w:tc>
          <w:tcPr>
            <w:tcW w:w="2179" w:type="dxa"/>
          </w:tcPr>
          <w:p w14:paraId="7CEF8A7C" w14:textId="77777777" w:rsidR="004D0A65" w:rsidRPr="00BF6611" w:rsidRDefault="004D0A65" w:rsidP="002B6C05">
            <w:pPr>
              <w:jc w:val="left"/>
              <w:cnfStyle w:val="100000000000" w:firstRow="1" w:lastRow="0" w:firstColumn="0" w:lastColumn="0" w:oddVBand="0" w:evenVBand="0" w:oddHBand="0" w:evenHBand="0" w:firstRowFirstColumn="0" w:firstRowLastColumn="0" w:lastRowFirstColumn="0" w:lastRowLastColumn="0"/>
              <w:rPr>
                <w:rFonts w:cstheme="minorHAnsi"/>
                <w:color w:val="FFFFFF"/>
                <w:sz w:val="18"/>
              </w:rPr>
            </w:pPr>
            <w:r w:rsidRPr="00BF6611">
              <w:rPr>
                <w:rFonts w:cstheme="minorHAnsi"/>
                <w:color w:val="FFFFFF"/>
                <w:sz w:val="18"/>
              </w:rPr>
              <w:t xml:space="preserve">Sample Mapped Measures </w:t>
            </w:r>
          </w:p>
        </w:tc>
        <w:tc>
          <w:tcPr>
            <w:tcW w:w="933" w:type="dxa"/>
            <w:hideMark/>
          </w:tcPr>
          <w:p w14:paraId="0CA0C291" w14:textId="77777777" w:rsidR="004D0A65" w:rsidRPr="00BF6611" w:rsidRDefault="004D0A65" w:rsidP="002B6C05">
            <w:pPr>
              <w:jc w:val="right"/>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color w:val="FFFFFF"/>
                <w:sz w:val="18"/>
              </w:rPr>
            </w:pPr>
            <w:r w:rsidRPr="00BF6611">
              <w:rPr>
                <w:rFonts w:cstheme="minorHAnsi"/>
                <w:color w:val="FFFFFF"/>
                <w:sz w:val="18"/>
              </w:rPr>
              <w:t xml:space="preserve">EUL </w:t>
            </w:r>
          </w:p>
          <w:p w14:paraId="0E54F08C" w14:textId="77777777" w:rsidR="004D0A65" w:rsidRPr="00BF6611" w:rsidRDefault="004D0A65" w:rsidP="002B6C05">
            <w:pPr>
              <w:jc w:val="right"/>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color w:val="FFFFFF"/>
                <w:sz w:val="18"/>
              </w:rPr>
            </w:pPr>
            <w:r w:rsidRPr="00BF6611">
              <w:rPr>
                <w:rFonts w:cstheme="minorHAnsi"/>
                <w:color w:val="FFFFFF"/>
                <w:sz w:val="18"/>
              </w:rPr>
              <w:t>(years)</w:t>
            </w:r>
          </w:p>
        </w:tc>
        <w:tc>
          <w:tcPr>
            <w:tcW w:w="3114" w:type="dxa"/>
            <w:hideMark/>
          </w:tcPr>
          <w:p w14:paraId="6B9CE35A" w14:textId="77777777" w:rsidR="004D0A65" w:rsidRPr="00BF6611" w:rsidRDefault="004D0A65" w:rsidP="002B6C05">
            <w:pPr>
              <w:jc w:val="left"/>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color w:val="FFFFFF"/>
                <w:sz w:val="18"/>
              </w:rPr>
            </w:pPr>
            <w:r w:rsidRPr="00BF6611">
              <w:rPr>
                <w:rFonts w:cstheme="minorHAnsi"/>
                <w:color w:val="FFFFFF"/>
                <w:sz w:val="18"/>
              </w:rPr>
              <w:t>Notes</w:t>
            </w:r>
          </w:p>
        </w:tc>
      </w:tr>
      <w:tr w:rsidR="004D0A65" w:rsidRPr="00BF6611" w14:paraId="7B8C5095" w14:textId="77777777" w:rsidTr="002B6C05">
        <w:trPr>
          <w:cnfStyle w:val="000000100000" w:firstRow="0" w:lastRow="0" w:firstColumn="0" w:lastColumn="0" w:oddVBand="0" w:evenVBand="0" w:oddHBand="1" w:evenHBand="0" w:firstRowFirstColumn="0" w:firstRowLastColumn="0" w:lastRowFirstColumn="0" w:lastRowLastColumn="0"/>
          <w:cantSplit/>
          <w:trHeight w:val="582"/>
          <w:jc w:val="center"/>
        </w:trPr>
        <w:tc>
          <w:tcPr>
            <w:cnfStyle w:val="001000000000" w:firstRow="0" w:lastRow="0" w:firstColumn="1" w:lastColumn="0" w:oddVBand="0" w:evenVBand="0" w:oddHBand="0" w:evenHBand="0" w:firstRowFirstColumn="0" w:firstRowLastColumn="0" w:lastRowFirstColumn="0" w:lastRowLastColumn="0"/>
            <w:tcW w:w="1658" w:type="dxa"/>
            <w:tcBorders>
              <w:top w:val="single" w:sz="4" w:space="0" w:color="D5DCE4" w:themeColor="text2" w:themeTint="33"/>
              <w:left w:val="nil"/>
              <w:bottom w:val="single" w:sz="4" w:space="0" w:color="D5DCE4" w:themeColor="text2" w:themeTint="33"/>
              <w:right w:val="nil"/>
            </w:tcBorders>
            <w:hideMark/>
          </w:tcPr>
          <w:p w14:paraId="10BC5326" w14:textId="77777777" w:rsidR="004D0A65" w:rsidRPr="00BF6611" w:rsidRDefault="004D0A65" w:rsidP="002B6C05">
            <w:pPr>
              <w:jc w:val="center"/>
              <w:rPr>
                <w:rFonts w:ascii="Arial" w:hAnsi="Arial" w:cs="Arial"/>
                <w:sz w:val="18"/>
              </w:rPr>
            </w:pPr>
            <w:r w:rsidRPr="00BF6611">
              <w:rPr>
                <w:rFonts w:ascii="Arial" w:hAnsi="Arial" w:cs="Arial"/>
                <w:sz w:val="18"/>
              </w:rPr>
              <w:t>Combined Heat and Power</w:t>
            </w:r>
          </w:p>
        </w:tc>
        <w:tc>
          <w:tcPr>
            <w:tcW w:w="1566" w:type="dxa"/>
            <w:tcBorders>
              <w:top w:val="single" w:sz="4" w:space="0" w:color="D5DCE4" w:themeColor="text2" w:themeTint="33"/>
              <w:left w:val="nil"/>
              <w:bottom w:val="single" w:sz="4" w:space="0" w:color="D5DCE4" w:themeColor="text2" w:themeTint="33"/>
              <w:right w:val="nil"/>
            </w:tcBorders>
            <w:hideMark/>
          </w:tcPr>
          <w:p w14:paraId="23CEA0D0" w14:textId="77777777" w:rsidR="004D0A65" w:rsidRPr="00BF6611" w:rsidRDefault="004D0A65" w:rsidP="002B6C05">
            <w:pPr>
              <w:jc w:val="center"/>
              <w:cnfStyle w:val="000000100000" w:firstRow="0" w:lastRow="0" w:firstColumn="0" w:lastColumn="0" w:oddVBand="0" w:evenVBand="0" w:oddHBand="1" w:evenHBand="0" w:firstRowFirstColumn="0" w:firstRowLastColumn="0" w:lastRowFirstColumn="0" w:lastRowLastColumn="0"/>
              <w:rPr>
                <w:rFonts w:cs="Arial"/>
                <w:sz w:val="18"/>
              </w:rPr>
            </w:pPr>
            <w:r w:rsidRPr="00BF6611">
              <w:rPr>
                <w:rFonts w:cs="Arial"/>
                <w:sz w:val="18"/>
              </w:rPr>
              <w:t>Combined Heat and Power</w:t>
            </w:r>
          </w:p>
        </w:tc>
        <w:tc>
          <w:tcPr>
            <w:tcW w:w="2179" w:type="dxa"/>
            <w:tcBorders>
              <w:top w:val="single" w:sz="4" w:space="0" w:color="D5DCE4" w:themeColor="text2" w:themeTint="33"/>
              <w:left w:val="nil"/>
              <w:bottom w:val="single" w:sz="4" w:space="0" w:color="D5DCE4" w:themeColor="text2" w:themeTint="33"/>
              <w:right w:val="nil"/>
            </w:tcBorders>
          </w:tcPr>
          <w:p w14:paraId="48FC1465" w14:textId="77777777" w:rsidR="004D0A65" w:rsidRPr="00BF6611" w:rsidRDefault="004D0A65" w:rsidP="002B6C05">
            <w:pPr>
              <w:jc w:val="left"/>
              <w:cnfStyle w:val="000000100000" w:firstRow="0" w:lastRow="0" w:firstColumn="0" w:lastColumn="0" w:oddVBand="0" w:evenVBand="0" w:oddHBand="1" w:evenHBand="0" w:firstRowFirstColumn="0" w:firstRowLastColumn="0" w:lastRowFirstColumn="0" w:lastRowLastColumn="0"/>
              <w:rPr>
                <w:rFonts w:cs="Arial"/>
                <w:sz w:val="18"/>
              </w:rPr>
            </w:pPr>
            <w:r w:rsidRPr="00BF6611">
              <w:rPr>
                <w:rFonts w:cs="Arial"/>
                <w:sz w:val="18"/>
              </w:rPr>
              <w:t>CHP</w:t>
            </w:r>
          </w:p>
        </w:tc>
        <w:tc>
          <w:tcPr>
            <w:tcW w:w="933" w:type="dxa"/>
            <w:tcBorders>
              <w:top w:val="single" w:sz="4" w:space="0" w:color="D5DCE4" w:themeColor="text2" w:themeTint="33"/>
              <w:left w:val="nil"/>
              <w:bottom w:val="single" w:sz="4" w:space="0" w:color="D5DCE4" w:themeColor="text2" w:themeTint="33"/>
              <w:right w:val="nil"/>
            </w:tcBorders>
            <w:hideMark/>
          </w:tcPr>
          <w:p w14:paraId="09A72F73" w14:textId="77777777" w:rsidR="004D0A65" w:rsidRPr="00BF6611" w:rsidRDefault="004D0A65" w:rsidP="002B6C05">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18"/>
              </w:rPr>
            </w:pPr>
            <w:r w:rsidRPr="00BF6611">
              <w:rPr>
                <w:rFonts w:cstheme="minorHAnsi"/>
                <w:sz w:val="18"/>
              </w:rPr>
              <w:t>Capped at 25</w:t>
            </w:r>
          </w:p>
        </w:tc>
        <w:tc>
          <w:tcPr>
            <w:tcW w:w="3114" w:type="dxa"/>
            <w:tcBorders>
              <w:top w:val="single" w:sz="4" w:space="0" w:color="D5DCE4" w:themeColor="text2" w:themeTint="33"/>
              <w:left w:val="nil"/>
              <w:bottom w:val="single" w:sz="4" w:space="0" w:color="D5DCE4" w:themeColor="text2" w:themeTint="33"/>
              <w:right w:val="nil"/>
            </w:tcBorders>
            <w:hideMark/>
          </w:tcPr>
          <w:p w14:paraId="6DD41090" w14:textId="77777777" w:rsidR="004D0A65" w:rsidRPr="00BF6611" w:rsidRDefault="004D0A65" w:rsidP="002B6C05">
            <w:pPr>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18"/>
              </w:rPr>
            </w:pPr>
            <w:r w:rsidRPr="00BF6611">
              <w:rPr>
                <w:rFonts w:cstheme="minorHAnsi"/>
                <w:sz w:val="18"/>
              </w:rPr>
              <w:t>Project specific</w:t>
            </w:r>
          </w:p>
        </w:tc>
      </w:tr>
      <w:tr w:rsidR="004D0A65" w:rsidRPr="00BF6611" w14:paraId="68F0E7CA" w14:textId="77777777" w:rsidTr="002B6C05">
        <w:trPr>
          <w:cnfStyle w:val="000000010000" w:firstRow="0" w:lastRow="0" w:firstColumn="0" w:lastColumn="0" w:oddVBand="0" w:evenVBand="0" w:oddHBand="0" w:evenHBand="1" w:firstRowFirstColumn="0" w:firstRowLastColumn="0" w:lastRowFirstColumn="0" w:lastRowLastColumn="0"/>
          <w:cantSplit/>
          <w:trHeight w:val="530"/>
          <w:jc w:val="center"/>
        </w:trPr>
        <w:tc>
          <w:tcPr>
            <w:cnfStyle w:val="001000000000" w:firstRow="0" w:lastRow="0" w:firstColumn="1" w:lastColumn="0" w:oddVBand="0" w:evenVBand="0" w:oddHBand="0" w:evenHBand="0" w:firstRowFirstColumn="0" w:firstRowLastColumn="0" w:lastRowFirstColumn="0" w:lastRowLastColumn="0"/>
            <w:tcW w:w="1658" w:type="dxa"/>
            <w:vMerge w:val="restart"/>
            <w:tcBorders>
              <w:left w:val="nil"/>
              <w:right w:val="nil"/>
            </w:tcBorders>
          </w:tcPr>
          <w:p w14:paraId="50FC501A" w14:textId="77777777" w:rsidR="004D0A65" w:rsidRPr="00BF6611" w:rsidRDefault="004D0A65" w:rsidP="002B6C05">
            <w:pPr>
              <w:jc w:val="center"/>
              <w:rPr>
                <w:rFonts w:ascii="Arial" w:hAnsi="Arial" w:cs="Arial"/>
                <w:sz w:val="18"/>
              </w:rPr>
            </w:pPr>
            <w:r w:rsidRPr="00BF6611">
              <w:rPr>
                <w:rFonts w:ascii="Arial" w:hAnsi="Arial" w:cs="Arial"/>
                <w:sz w:val="18"/>
              </w:rPr>
              <w:t>Compressed Air</w:t>
            </w:r>
          </w:p>
        </w:tc>
        <w:tc>
          <w:tcPr>
            <w:tcW w:w="1566" w:type="dxa"/>
            <w:vMerge w:val="restart"/>
            <w:tcBorders>
              <w:left w:val="nil"/>
              <w:bottom w:val="single" w:sz="4" w:space="0" w:color="D5DCE4" w:themeColor="text2" w:themeTint="33"/>
              <w:right w:val="nil"/>
            </w:tcBorders>
          </w:tcPr>
          <w:p w14:paraId="7A99C58A" w14:textId="77777777" w:rsidR="004D0A65" w:rsidRPr="00BF6611" w:rsidRDefault="004D0A65" w:rsidP="002B6C05">
            <w:pPr>
              <w:jc w:val="center"/>
              <w:cnfStyle w:val="000000010000" w:firstRow="0" w:lastRow="0" w:firstColumn="0" w:lastColumn="0" w:oddVBand="0" w:evenVBand="0" w:oddHBand="0" w:evenHBand="1" w:firstRowFirstColumn="0" w:firstRowLastColumn="0" w:lastRowFirstColumn="0" w:lastRowLastColumn="0"/>
              <w:rPr>
                <w:rFonts w:cs="Arial"/>
                <w:sz w:val="18"/>
              </w:rPr>
            </w:pPr>
            <w:r w:rsidRPr="00BF6611">
              <w:rPr>
                <w:rFonts w:cs="Arial"/>
                <w:sz w:val="18"/>
              </w:rPr>
              <w:t>Custom Compressed Air – Equipment</w:t>
            </w:r>
          </w:p>
        </w:tc>
        <w:tc>
          <w:tcPr>
            <w:tcW w:w="2179" w:type="dxa"/>
            <w:tcBorders>
              <w:top w:val="single" w:sz="4" w:space="0" w:color="D5DCE4" w:themeColor="text2" w:themeTint="33"/>
              <w:left w:val="nil"/>
              <w:right w:val="nil"/>
            </w:tcBorders>
          </w:tcPr>
          <w:p w14:paraId="783C4600" w14:textId="77777777" w:rsidR="004D0A65" w:rsidRPr="00BF6611" w:rsidRDefault="004D0A65" w:rsidP="002B6C05">
            <w:pPr>
              <w:jc w:val="left"/>
              <w:cnfStyle w:val="000000010000" w:firstRow="0" w:lastRow="0" w:firstColumn="0" w:lastColumn="0" w:oddVBand="0" w:evenVBand="0" w:oddHBand="0" w:evenHBand="1" w:firstRowFirstColumn="0" w:firstRowLastColumn="0" w:lastRowFirstColumn="0" w:lastRowLastColumn="0"/>
              <w:rPr>
                <w:rFonts w:cs="Arial"/>
                <w:sz w:val="18"/>
              </w:rPr>
            </w:pPr>
            <w:r w:rsidRPr="00BF6611">
              <w:rPr>
                <w:rFonts w:cs="Arial"/>
                <w:sz w:val="18"/>
              </w:rPr>
              <w:t>Compressed Air Pressure Reduction</w:t>
            </w:r>
          </w:p>
        </w:tc>
        <w:tc>
          <w:tcPr>
            <w:tcW w:w="933" w:type="dxa"/>
            <w:vMerge w:val="restart"/>
            <w:tcBorders>
              <w:top w:val="single" w:sz="4" w:space="0" w:color="D5DCE4" w:themeColor="text2" w:themeTint="33"/>
              <w:left w:val="nil"/>
              <w:right w:val="nil"/>
            </w:tcBorders>
          </w:tcPr>
          <w:p w14:paraId="3B566C68" w14:textId="77777777" w:rsidR="004D0A65" w:rsidRPr="00BF6611" w:rsidRDefault="004D0A65" w:rsidP="002B6C05">
            <w:pPr>
              <w:jc w:val="right"/>
              <w:cnfStyle w:val="000000010000" w:firstRow="0" w:lastRow="0" w:firstColumn="0" w:lastColumn="0" w:oddVBand="0" w:evenVBand="0" w:oddHBand="0" w:evenHBand="1" w:firstRowFirstColumn="0" w:firstRowLastColumn="0" w:lastRowFirstColumn="0" w:lastRowLastColumn="0"/>
              <w:rPr>
                <w:rFonts w:cstheme="minorHAnsi"/>
                <w:sz w:val="18"/>
              </w:rPr>
            </w:pPr>
            <w:r w:rsidRPr="00BF6611">
              <w:rPr>
                <w:rFonts w:cstheme="minorHAnsi"/>
                <w:sz w:val="18"/>
              </w:rPr>
              <w:t>15</w:t>
            </w:r>
          </w:p>
        </w:tc>
        <w:tc>
          <w:tcPr>
            <w:tcW w:w="3114" w:type="dxa"/>
            <w:vMerge w:val="restart"/>
            <w:tcBorders>
              <w:top w:val="single" w:sz="4" w:space="0" w:color="D5DCE4" w:themeColor="text2" w:themeTint="33"/>
              <w:left w:val="nil"/>
              <w:right w:val="nil"/>
            </w:tcBorders>
          </w:tcPr>
          <w:p w14:paraId="7D8995BD" w14:textId="77777777" w:rsidR="004D0A65" w:rsidRPr="00BF6611" w:rsidRDefault="004D0A65" w:rsidP="002B6C05">
            <w:pPr>
              <w:jc w:val="left"/>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sz w:val="18"/>
              </w:rPr>
            </w:pPr>
            <w:r w:rsidRPr="00BF6611">
              <w:rPr>
                <w:rFonts w:cstheme="minorHAnsi"/>
                <w:sz w:val="18"/>
              </w:rPr>
              <w:t>Default value</w:t>
            </w:r>
          </w:p>
          <w:p w14:paraId="22426A33" w14:textId="77777777" w:rsidR="004D0A65" w:rsidRPr="00BF6611" w:rsidRDefault="004D0A65" w:rsidP="002B6C05">
            <w:pPr>
              <w:jc w:val="left"/>
              <w:cnfStyle w:val="000000010000" w:firstRow="0" w:lastRow="0" w:firstColumn="0" w:lastColumn="0" w:oddVBand="0" w:evenVBand="0" w:oddHBand="0" w:evenHBand="1" w:firstRowFirstColumn="0" w:firstRowLastColumn="0" w:lastRowFirstColumn="0" w:lastRowLastColumn="0"/>
              <w:rPr>
                <w:rFonts w:cstheme="minorHAnsi"/>
                <w:sz w:val="18"/>
              </w:rPr>
            </w:pPr>
            <w:r w:rsidRPr="00BF6611">
              <w:rPr>
                <w:rFonts w:cstheme="minorHAnsi"/>
                <w:sz w:val="18"/>
              </w:rPr>
              <w:t xml:space="preserve">Future research may show that EULs for compressed air measures vary significantly between equipment and controls. </w:t>
            </w:r>
          </w:p>
        </w:tc>
      </w:tr>
      <w:tr w:rsidR="004D0A65" w:rsidRPr="00BF6611" w14:paraId="137AF8DC" w14:textId="77777777" w:rsidTr="002B6C05">
        <w:trPr>
          <w:cnfStyle w:val="000000100000" w:firstRow="0" w:lastRow="0" w:firstColumn="0" w:lastColumn="0" w:oddVBand="0" w:evenVBand="0" w:oddHBand="1" w:evenHBand="0" w:firstRowFirstColumn="0" w:firstRowLastColumn="0" w:lastRowFirstColumn="0" w:lastRowLastColumn="0"/>
          <w:cantSplit/>
          <w:trHeight w:val="530"/>
          <w:jc w:val="center"/>
        </w:trPr>
        <w:tc>
          <w:tcPr>
            <w:cnfStyle w:val="001000000000" w:firstRow="0" w:lastRow="0" w:firstColumn="1" w:lastColumn="0" w:oddVBand="0" w:evenVBand="0" w:oddHBand="0" w:evenHBand="0" w:firstRowFirstColumn="0" w:firstRowLastColumn="0" w:lastRowFirstColumn="0" w:lastRowLastColumn="0"/>
            <w:tcW w:w="1658" w:type="dxa"/>
            <w:vMerge/>
            <w:tcBorders>
              <w:left w:val="nil"/>
              <w:right w:val="nil"/>
            </w:tcBorders>
          </w:tcPr>
          <w:p w14:paraId="7CF9123C" w14:textId="77777777" w:rsidR="004D0A65" w:rsidRPr="00BF6611" w:rsidRDefault="004D0A65" w:rsidP="002B6C05">
            <w:pPr>
              <w:jc w:val="center"/>
              <w:rPr>
                <w:rFonts w:ascii="Arial" w:hAnsi="Arial" w:cs="Arial"/>
                <w:sz w:val="18"/>
              </w:rPr>
            </w:pPr>
          </w:p>
        </w:tc>
        <w:tc>
          <w:tcPr>
            <w:tcW w:w="1566" w:type="dxa"/>
            <w:vMerge/>
            <w:tcBorders>
              <w:left w:val="nil"/>
              <w:bottom w:val="single" w:sz="4" w:space="0" w:color="D5DCE4" w:themeColor="text2" w:themeTint="33"/>
              <w:right w:val="nil"/>
            </w:tcBorders>
          </w:tcPr>
          <w:p w14:paraId="7A3D908A" w14:textId="77777777" w:rsidR="004D0A65" w:rsidRPr="00BF6611" w:rsidRDefault="004D0A65" w:rsidP="002B6C05">
            <w:pPr>
              <w:jc w:val="center"/>
              <w:cnfStyle w:val="000000100000" w:firstRow="0" w:lastRow="0" w:firstColumn="0" w:lastColumn="0" w:oddVBand="0" w:evenVBand="0" w:oddHBand="1" w:evenHBand="0" w:firstRowFirstColumn="0" w:firstRowLastColumn="0" w:lastRowFirstColumn="0" w:lastRowLastColumn="0"/>
              <w:rPr>
                <w:rFonts w:cs="Arial"/>
                <w:sz w:val="18"/>
              </w:rPr>
            </w:pPr>
          </w:p>
        </w:tc>
        <w:tc>
          <w:tcPr>
            <w:tcW w:w="2179" w:type="dxa"/>
            <w:tcBorders>
              <w:top w:val="single" w:sz="4" w:space="0" w:color="D5DCE4" w:themeColor="text2" w:themeTint="33"/>
              <w:left w:val="nil"/>
              <w:right w:val="nil"/>
            </w:tcBorders>
          </w:tcPr>
          <w:p w14:paraId="26DEEB01" w14:textId="77777777" w:rsidR="004D0A65" w:rsidRPr="00BF6611" w:rsidRDefault="004D0A65" w:rsidP="002B6C05">
            <w:pPr>
              <w:jc w:val="left"/>
              <w:cnfStyle w:val="000000100000" w:firstRow="0" w:lastRow="0" w:firstColumn="0" w:lastColumn="0" w:oddVBand="0" w:evenVBand="0" w:oddHBand="1" w:evenHBand="0" w:firstRowFirstColumn="0" w:firstRowLastColumn="0" w:lastRowFirstColumn="0" w:lastRowLastColumn="0"/>
              <w:rPr>
                <w:rFonts w:cs="Arial"/>
                <w:sz w:val="18"/>
              </w:rPr>
            </w:pPr>
            <w:r w:rsidRPr="00BF6611">
              <w:rPr>
                <w:rFonts w:cs="Arial"/>
                <w:sz w:val="18"/>
              </w:rPr>
              <w:t>Low-Pressure Blower System (replacing compressed air)</w:t>
            </w:r>
          </w:p>
        </w:tc>
        <w:tc>
          <w:tcPr>
            <w:tcW w:w="933" w:type="dxa"/>
            <w:vMerge/>
            <w:tcBorders>
              <w:top w:val="single" w:sz="4" w:space="0" w:color="D5DCE4" w:themeColor="text2" w:themeTint="33"/>
              <w:left w:val="nil"/>
              <w:right w:val="nil"/>
            </w:tcBorders>
          </w:tcPr>
          <w:p w14:paraId="50EA5C5B" w14:textId="77777777" w:rsidR="004D0A65" w:rsidRPr="00BF6611" w:rsidRDefault="004D0A65" w:rsidP="002B6C05">
            <w:pPr>
              <w:jc w:val="right"/>
              <w:cnfStyle w:val="000000100000" w:firstRow="0" w:lastRow="0" w:firstColumn="0" w:lastColumn="0" w:oddVBand="0" w:evenVBand="0" w:oddHBand="1" w:evenHBand="0" w:firstRowFirstColumn="0" w:firstRowLastColumn="0" w:lastRowFirstColumn="0" w:lastRowLastColumn="0"/>
              <w:rPr>
                <w:rFonts w:cstheme="minorHAnsi"/>
                <w:sz w:val="18"/>
              </w:rPr>
            </w:pPr>
          </w:p>
        </w:tc>
        <w:tc>
          <w:tcPr>
            <w:tcW w:w="3114" w:type="dxa"/>
            <w:vMerge/>
            <w:tcBorders>
              <w:top w:val="single" w:sz="4" w:space="0" w:color="D5DCE4" w:themeColor="text2" w:themeTint="33"/>
              <w:left w:val="nil"/>
              <w:right w:val="nil"/>
            </w:tcBorders>
          </w:tcPr>
          <w:p w14:paraId="49E5E47A" w14:textId="77777777" w:rsidR="004D0A65" w:rsidRPr="00BF6611" w:rsidRDefault="004D0A65" w:rsidP="002B6C05">
            <w:pPr>
              <w:jc w:val="left"/>
              <w:cnfStyle w:val="000000100000" w:firstRow="0" w:lastRow="0" w:firstColumn="0" w:lastColumn="0" w:oddVBand="0" w:evenVBand="0" w:oddHBand="1" w:evenHBand="0" w:firstRowFirstColumn="0" w:firstRowLastColumn="0" w:lastRowFirstColumn="0" w:lastRowLastColumn="0"/>
              <w:rPr>
                <w:rFonts w:cstheme="minorHAnsi"/>
                <w:sz w:val="18"/>
              </w:rPr>
            </w:pPr>
          </w:p>
        </w:tc>
      </w:tr>
      <w:tr w:rsidR="004D0A65" w:rsidRPr="00BF6611" w14:paraId="5C5AB803" w14:textId="77777777" w:rsidTr="002B6C05">
        <w:trPr>
          <w:cnfStyle w:val="000000010000" w:firstRow="0" w:lastRow="0" w:firstColumn="0" w:lastColumn="0" w:oddVBand="0" w:evenVBand="0" w:oddHBand="0" w:evenHBand="1" w:firstRowFirstColumn="0" w:firstRowLastColumn="0" w:lastRowFirstColumn="0" w:lastRowLastColumn="0"/>
          <w:cantSplit/>
          <w:trHeight w:val="647"/>
          <w:jc w:val="center"/>
        </w:trPr>
        <w:tc>
          <w:tcPr>
            <w:cnfStyle w:val="001000000000" w:firstRow="0" w:lastRow="0" w:firstColumn="1" w:lastColumn="0" w:oddVBand="0" w:evenVBand="0" w:oddHBand="0" w:evenHBand="0" w:firstRowFirstColumn="0" w:firstRowLastColumn="0" w:lastRowFirstColumn="0" w:lastRowLastColumn="0"/>
            <w:tcW w:w="1658" w:type="dxa"/>
            <w:vMerge/>
            <w:tcBorders>
              <w:left w:val="nil"/>
              <w:right w:val="nil"/>
            </w:tcBorders>
          </w:tcPr>
          <w:p w14:paraId="6FA9CFE8" w14:textId="77777777" w:rsidR="004D0A65" w:rsidRPr="00BF6611" w:rsidRDefault="004D0A65" w:rsidP="002B6C05">
            <w:pPr>
              <w:jc w:val="center"/>
              <w:rPr>
                <w:rFonts w:ascii="Arial" w:hAnsi="Arial" w:cs="Arial"/>
                <w:sz w:val="18"/>
              </w:rPr>
            </w:pPr>
          </w:p>
        </w:tc>
        <w:tc>
          <w:tcPr>
            <w:tcW w:w="1566" w:type="dxa"/>
            <w:tcBorders>
              <w:top w:val="single" w:sz="4" w:space="0" w:color="D5DCE4" w:themeColor="text2" w:themeTint="33"/>
              <w:left w:val="nil"/>
              <w:bottom w:val="single" w:sz="4" w:space="0" w:color="D5DCE4" w:themeColor="text2" w:themeTint="33"/>
              <w:right w:val="nil"/>
            </w:tcBorders>
          </w:tcPr>
          <w:p w14:paraId="6099FC21" w14:textId="77777777" w:rsidR="004D0A65" w:rsidRPr="00BF6611" w:rsidRDefault="004D0A65" w:rsidP="002B6C05">
            <w:pPr>
              <w:jc w:val="center"/>
              <w:cnfStyle w:val="000000010000" w:firstRow="0" w:lastRow="0" w:firstColumn="0" w:lastColumn="0" w:oddVBand="0" w:evenVBand="0" w:oddHBand="0" w:evenHBand="1" w:firstRowFirstColumn="0" w:firstRowLastColumn="0" w:lastRowFirstColumn="0" w:lastRowLastColumn="0"/>
              <w:rPr>
                <w:rFonts w:cs="Arial"/>
                <w:sz w:val="18"/>
              </w:rPr>
            </w:pPr>
            <w:r w:rsidRPr="00BF6611">
              <w:rPr>
                <w:rFonts w:cs="Arial"/>
                <w:sz w:val="18"/>
              </w:rPr>
              <w:t>Custom Compressed Air – Controls</w:t>
            </w:r>
          </w:p>
        </w:tc>
        <w:tc>
          <w:tcPr>
            <w:tcW w:w="2179" w:type="dxa"/>
            <w:tcBorders>
              <w:left w:val="nil"/>
              <w:bottom w:val="single" w:sz="4" w:space="0" w:color="D5DCE4" w:themeColor="text2" w:themeTint="33"/>
              <w:right w:val="nil"/>
            </w:tcBorders>
          </w:tcPr>
          <w:p w14:paraId="0E6A59C7" w14:textId="77777777" w:rsidR="004D0A65" w:rsidRPr="00BF6611" w:rsidRDefault="004D0A65" w:rsidP="002B6C05">
            <w:pPr>
              <w:jc w:val="left"/>
              <w:cnfStyle w:val="000000010000" w:firstRow="0" w:lastRow="0" w:firstColumn="0" w:lastColumn="0" w:oddVBand="0" w:evenVBand="0" w:oddHBand="0" w:evenHBand="1" w:firstRowFirstColumn="0" w:firstRowLastColumn="0" w:lastRowFirstColumn="0" w:lastRowLastColumn="0"/>
              <w:rPr>
                <w:rFonts w:cs="Arial"/>
                <w:sz w:val="18"/>
              </w:rPr>
            </w:pPr>
            <w:r w:rsidRPr="00BF6611">
              <w:rPr>
                <w:rFonts w:cs="Arial"/>
                <w:sz w:val="18"/>
              </w:rPr>
              <w:t>Compressed Air Flow Controller</w:t>
            </w:r>
          </w:p>
        </w:tc>
        <w:tc>
          <w:tcPr>
            <w:tcW w:w="933" w:type="dxa"/>
            <w:vMerge/>
            <w:tcBorders>
              <w:left w:val="nil"/>
              <w:bottom w:val="single" w:sz="4" w:space="0" w:color="D5DCE4" w:themeColor="text2" w:themeTint="33"/>
              <w:right w:val="nil"/>
            </w:tcBorders>
          </w:tcPr>
          <w:p w14:paraId="2102EE54" w14:textId="77777777" w:rsidR="004D0A65" w:rsidRPr="00BF6611" w:rsidRDefault="004D0A65" w:rsidP="002B6C05">
            <w:pPr>
              <w:jc w:val="right"/>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sz w:val="18"/>
              </w:rPr>
            </w:pPr>
          </w:p>
        </w:tc>
        <w:tc>
          <w:tcPr>
            <w:tcW w:w="3114" w:type="dxa"/>
            <w:vMerge/>
            <w:tcBorders>
              <w:left w:val="nil"/>
              <w:bottom w:val="single" w:sz="4" w:space="0" w:color="D5DCE4" w:themeColor="text2" w:themeTint="33"/>
              <w:right w:val="nil"/>
            </w:tcBorders>
          </w:tcPr>
          <w:p w14:paraId="087DC77D" w14:textId="77777777" w:rsidR="004D0A65" w:rsidRPr="00BF6611" w:rsidRDefault="004D0A65" w:rsidP="002B6C05">
            <w:pP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sz w:val="18"/>
              </w:rPr>
            </w:pPr>
          </w:p>
        </w:tc>
      </w:tr>
      <w:tr w:rsidR="004D0A65" w:rsidRPr="00BF6611" w14:paraId="599FDB8D" w14:textId="77777777" w:rsidTr="002B6C05">
        <w:trPr>
          <w:cnfStyle w:val="000000100000" w:firstRow="0" w:lastRow="0" w:firstColumn="0" w:lastColumn="0" w:oddVBand="0" w:evenVBand="0" w:oddHBand="1" w:evenHBand="0" w:firstRowFirstColumn="0" w:firstRowLastColumn="0" w:lastRowFirstColumn="0" w:lastRowLastColumn="0"/>
          <w:cantSplit/>
          <w:trHeight w:val="403"/>
          <w:jc w:val="center"/>
        </w:trPr>
        <w:tc>
          <w:tcPr>
            <w:cnfStyle w:val="001000000000" w:firstRow="0" w:lastRow="0" w:firstColumn="1" w:lastColumn="0" w:oddVBand="0" w:evenVBand="0" w:oddHBand="0" w:evenHBand="0" w:firstRowFirstColumn="0" w:firstRowLastColumn="0" w:lastRowFirstColumn="0" w:lastRowLastColumn="0"/>
            <w:tcW w:w="1658" w:type="dxa"/>
            <w:vMerge/>
            <w:tcBorders>
              <w:left w:val="nil"/>
              <w:bottom w:val="single" w:sz="4" w:space="0" w:color="D5DCE4" w:themeColor="text2" w:themeTint="33"/>
              <w:right w:val="nil"/>
            </w:tcBorders>
          </w:tcPr>
          <w:p w14:paraId="1F522E5F" w14:textId="77777777" w:rsidR="004D0A65" w:rsidRPr="00BF6611" w:rsidRDefault="004D0A65" w:rsidP="002B6C05">
            <w:pPr>
              <w:jc w:val="center"/>
              <w:rPr>
                <w:rFonts w:ascii="Arial" w:hAnsi="Arial" w:cs="Arial"/>
                <w:sz w:val="18"/>
              </w:rPr>
            </w:pPr>
          </w:p>
        </w:tc>
        <w:tc>
          <w:tcPr>
            <w:tcW w:w="1566" w:type="dxa"/>
            <w:tcBorders>
              <w:top w:val="single" w:sz="4" w:space="0" w:color="D5DCE4" w:themeColor="text2" w:themeTint="33"/>
              <w:left w:val="nil"/>
              <w:bottom w:val="single" w:sz="4" w:space="0" w:color="D5DCE4" w:themeColor="text2" w:themeTint="33"/>
              <w:right w:val="nil"/>
            </w:tcBorders>
          </w:tcPr>
          <w:p w14:paraId="2EC9BFD7" w14:textId="77777777" w:rsidR="004D0A65" w:rsidRPr="00BF6611" w:rsidRDefault="004D0A65" w:rsidP="002B6C05">
            <w:pPr>
              <w:jc w:val="center"/>
              <w:cnfStyle w:val="000000100000" w:firstRow="0" w:lastRow="0" w:firstColumn="0" w:lastColumn="0" w:oddVBand="0" w:evenVBand="0" w:oddHBand="1" w:evenHBand="0" w:firstRowFirstColumn="0" w:firstRowLastColumn="0" w:lastRowFirstColumn="0" w:lastRowLastColumn="0"/>
              <w:rPr>
                <w:rFonts w:cs="Arial"/>
                <w:sz w:val="18"/>
              </w:rPr>
            </w:pPr>
            <w:r w:rsidRPr="00BF6611">
              <w:rPr>
                <w:rFonts w:cs="Arial"/>
                <w:sz w:val="18"/>
              </w:rPr>
              <w:t>Compressed Air Leak Repair</w:t>
            </w:r>
          </w:p>
        </w:tc>
        <w:tc>
          <w:tcPr>
            <w:tcW w:w="2179" w:type="dxa"/>
            <w:tcBorders>
              <w:top w:val="single" w:sz="4" w:space="0" w:color="D5DCE4" w:themeColor="text2" w:themeTint="33"/>
              <w:left w:val="nil"/>
              <w:right w:val="nil"/>
            </w:tcBorders>
          </w:tcPr>
          <w:p w14:paraId="0CD15FF8" w14:textId="77777777" w:rsidR="004D0A65" w:rsidRPr="00BF6611" w:rsidRDefault="004D0A65" w:rsidP="002B6C05">
            <w:pPr>
              <w:jc w:val="left"/>
              <w:cnfStyle w:val="000000100000" w:firstRow="0" w:lastRow="0" w:firstColumn="0" w:lastColumn="0" w:oddVBand="0" w:evenVBand="0" w:oddHBand="1" w:evenHBand="0" w:firstRowFirstColumn="0" w:firstRowLastColumn="0" w:lastRowFirstColumn="0" w:lastRowLastColumn="0"/>
              <w:rPr>
                <w:rFonts w:cs="Arial"/>
                <w:sz w:val="18"/>
              </w:rPr>
            </w:pPr>
            <w:r w:rsidRPr="00BF6611">
              <w:rPr>
                <w:rFonts w:cs="Arial"/>
                <w:sz w:val="18"/>
              </w:rPr>
              <w:t>Compressed Air Leak Repair</w:t>
            </w:r>
          </w:p>
        </w:tc>
        <w:tc>
          <w:tcPr>
            <w:tcW w:w="933" w:type="dxa"/>
            <w:tcBorders>
              <w:top w:val="single" w:sz="4" w:space="0" w:color="D5DCE4" w:themeColor="text2" w:themeTint="33"/>
              <w:left w:val="nil"/>
              <w:bottom w:val="single" w:sz="4" w:space="0" w:color="D5DCE4" w:themeColor="text2" w:themeTint="33"/>
              <w:right w:val="nil"/>
            </w:tcBorders>
          </w:tcPr>
          <w:p w14:paraId="575B5DCC" w14:textId="77777777" w:rsidR="004D0A65" w:rsidRPr="00BF6611" w:rsidRDefault="004D0A65" w:rsidP="002B6C05">
            <w:pPr>
              <w:jc w:val="right"/>
              <w:cnfStyle w:val="000000100000" w:firstRow="0" w:lastRow="0" w:firstColumn="0" w:lastColumn="0" w:oddVBand="0" w:evenVBand="0" w:oddHBand="1" w:evenHBand="0" w:firstRowFirstColumn="0" w:firstRowLastColumn="0" w:lastRowFirstColumn="0" w:lastRowLastColumn="0"/>
              <w:rPr>
                <w:rFonts w:cstheme="minorHAnsi"/>
                <w:sz w:val="18"/>
              </w:rPr>
            </w:pPr>
            <w:r w:rsidRPr="00BF6611">
              <w:rPr>
                <w:rFonts w:cstheme="minorHAnsi"/>
                <w:sz w:val="18"/>
              </w:rPr>
              <w:t>1 - 5</w:t>
            </w:r>
          </w:p>
        </w:tc>
        <w:tc>
          <w:tcPr>
            <w:tcW w:w="3114" w:type="dxa"/>
            <w:tcBorders>
              <w:top w:val="single" w:sz="4" w:space="0" w:color="D5DCE4" w:themeColor="text2" w:themeTint="33"/>
              <w:left w:val="nil"/>
              <w:bottom w:val="single" w:sz="4" w:space="0" w:color="D5DCE4" w:themeColor="text2" w:themeTint="33"/>
              <w:right w:val="nil"/>
            </w:tcBorders>
          </w:tcPr>
          <w:p w14:paraId="672A377E" w14:textId="77777777" w:rsidR="004D0A65" w:rsidRPr="00BF6611" w:rsidRDefault="004D0A65" w:rsidP="002B6C05">
            <w:pPr>
              <w:jc w:val="left"/>
              <w:cnfStyle w:val="000000100000" w:firstRow="0" w:lastRow="0" w:firstColumn="0" w:lastColumn="0" w:oddVBand="0" w:evenVBand="0" w:oddHBand="1" w:evenHBand="0" w:firstRowFirstColumn="0" w:firstRowLastColumn="0" w:lastRowFirstColumn="0" w:lastRowLastColumn="0"/>
              <w:rPr>
                <w:rFonts w:cstheme="minorHAnsi"/>
                <w:sz w:val="18"/>
              </w:rPr>
            </w:pPr>
            <w:bookmarkStart w:id="2119" w:name="_Hlk522716470"/>
            <w:r w:rsidRPr="00BF6611">
              <w:rPr>
                <w:rFonts w:cstheme="minorHAnsi"/>
                <w:sz w:val="18"/>
              </w:rPr>
              <w:t>A range of possible lifetime values is provided. Therefore, the implementers of this measure must justify the reason for selecting an appropriate measure life for each project and the decision will be subject to evaluation with the risk of adjustments.</w:t>
            </w:r>
            <w:r w:rsidRPr="00BF6611">
              <w:rPr>
                <w:rStyle w:val="FootnoteReference"/>
                <w:sz w:val="18"/>
              </w:rPr>
              <w:footnoteReference w:id="118"/>
            </w:r>
            <w:bookmarkEnd w:id="2119"/>
          </w:p>
        </w:tc>
      </w:tr>
      <w:tr w:rsidR="004D0A65" w:rsidRPr="00BF6611" w14:paraId="7E149E5F" w14:textId="77777777" w:rsidTr="002B6C05">
        <w:trPr>
          <w:cnfStyle w:val="000000010000" w:firstRow="0" w:lastRow="0" w:firstColumn="0" w:lastColumn="0" w:oddVBand="0" w:evenVBand="0" w:oddHBand="0" w:evenHBand="1" w:firstRowFirstColumn="0" w:firstRowLastColumn="0" w:lastRowFirstColumn="0" w:lastRowLastColumn="0"/>
          <w:cantSplit/>
          <w:trHeight w:val="403"/>
          <w:jc w:val="center"/>
        </w:trPr>
        <w:tc>
          <w:tcPr>
            <w:cnfStyle w:val="001000000000" w:firstRow="0" w:lastRow="0" w:firstColumn="1" w:lastColumn="0" w:oddVBand="0" w:evenVBand="0" w:oddHBand="0" w:evenHBand="0" w:firstRowFirstColumn="0" w:firstRowLastColumn="0" w:lastRowFirstColumn="0" w:lastRowLastColumn="0"/>
            <w:tcW w:w="1658" w:type="dxa"/>
            <w:vMerge w:val="restart"/>
            <w:tcBorders>
              <w:top w:val="single" w:sz="4" w:space="0" w:color="D5DCE4" w:themeColor="text2" w:themeTint="33"/>
              <w:left w:val="nil"/>
              <w:bottom w:val="single" w:sz="4" w:space="0" w:color="D5DCE4" w:themeColor="text2" w:themeTint="33"/>
              <w:right w:val="nil"/>
            </w:tcBorders>
            <w:hideMark/>
          </w:tcPr>
          <w:p w14:paraId="64B696F3" w14:textId="77777777" w:rsidR="004D0A65" w:rsidRPr="00BF6611" w:rsidRDefault="004D0A65" w:rsidP="002B6C05">
            <w:pPr>
              <w:jc w:val="center"/>
              <w:rPr>
                <w:rFonts w:ascii="Arial" w:hAnsi="Arial" w:cs="Arial"/>
                <w:sz w:val="18"/>
              </w:rPr>
            </w:pPr>
            <w:r w:rsidRPr="00BF6611">
              <w:rPr>
                <w:rFonts w:ascii="Arial" w:hAnsi="Arial" w:cs="Arial"/>
                <w:sz w:val="18"/>
              </w:rPr>
              <w:t>Data Centers</w:t>
            </w:r>
          </w:p>
        </w:tc>
        <w:tc>
          <w:tcPr>
            <w:tcW w:w="1566" w:type="dxa"/>
            <w:tcBorders>
              <w:top w:val="single" w:sz="4" w:space="0" w:color="D5DCE4" w:themeColor="text2" w:themeTint="33"/>
              <w:left w:val="nil"/>
              <w:bottom w:val="single" w:sz="4" w:space="0" w:color="D5DCE4" w:themeColor="text2" w:themeTint="33"/>
              <w:right w:val="nil"/>
            </w:tcBorders>
            <w:hideMark/>
          </w:tcPr>
          <w:p w14:paraId="4BC9C33D" w14:textId="77777777" w:rsidR="004D0A65" w:rsidRPr="00BF6611" w:rsidRDefault="004D0A65" w:rsidP="002B6C05">
            <w:pPr>
              <w:jc w:val="center"/>
              <w:cnfStyle w:val="000000010000" w:firstRow="0" w:lastRow="0" w:firstColumn="0" w:lastColumn="0" w:oddVBand="0" w:evenVBand="0" w:oddHBand="0" w:evenHBand="1" w:firstRowFirstColumn="0" w:firstRowLastColumn="0" w:lastRowFirstColumn="0" w:lastRowLastColumn="0"/>
              <w:rPr>
                <w:rFonts w:cs="Arial"/>
                <w:sz w:val="18"/>
              </w:rPr>
            </w:pPr>
            <w:r w:rsidRPr="00BF6611">
              <w:rPr>
                <w:rFonts w:cs="Arial"/>
                <w:sz w:val="18"/>
              </w:rPr>
              <w:t>Custom Data Centers - Equipment</w:t>
            </w:r>
          </w:p>
        </w:tc>
        <w:tc>
          <w:tcPr>
            <w:tcW w:w="2179" w:type="dxa"/>
            <w:vMerge w:val="restart"/>
            <w:tcBorders>
              <w:top w:val="single" w:sz="4" w:space="0" w:color="D5DCE4" w:themeColor="text2" w:themeTint="33"/>
              <w:left w:val="nil"/>
              <w:right w:val="nil"/>
            </w:tcBorders>
          </w:tcPr>
          <w:p w14:paraId="1653E8A2" w14:textId="77777777" w:rsidR="004D0A65" w:rsidRPr="00BF6611" w:rsidRDefault="004D0A65" w:rsidP="002B6C05">
            <w:pPr>
              <w:jc w:val="left"/>
              <w:cnfStyle w:val="000000010000" w:firstRow="0" w:lastRow="0" w:firstColumn="0" w:lastColumn="0" w:oddVBand="0" w:evenVBand="0" w:oddHBand="0" w:evenHBand="1" w:firstRowFirstColumn="0" w:firstRowLastColumn="0" w:lastRowFirstColumn="0" w:lastRowLastColumn="0"/>
              <w:rPr>
                <w:rFonts w:cs="Arial"/>
                <w:sz w:val="18"/>
              </w:rPr>
            </w:pPr>
            <w:r w:rsidRPr="00BF6611">
              <w:rPr>
                <w:rFonts w:cs="Arial"/>
                <w:sz w:val="18"/>
              </w:rPr>
              <w:t>Data Center</w:t>
            </w:r>
          </w:p>
        </w:tc>
        <w:tc>
          <w:tcPr>
            <w:tcW w:w="933" w:type="dxa"/>
            <w:tcBorders>
              <w:top w:val="single" w:sz="4" w:space="0" w:color="D5DCE4" w:themeColor="text2" w:themeTint="33"/>
              <w:left w:val="nil"/>
              <w:bottom w:val="single" w:sz="4" w:space="0" w:color="D5DCE4" w:themeColor="text2" w:themeTint="33"/>
              <w:right w:val="nil"/>
            </w:tcBorders>
            <w:hideMark/>
          </w:tcPr>
          <w:p w14:paraId="2C1050CA" w14:textId="77777777" w:rsidR="004D0A65" w:rsidRPr="00BF6611" w:rsidRDefault="004D0A65" w:rsidP="002B6C05">
            <w:pPr>
              <w:jc w:val="right"/>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sz w:val="18"/>
              </w:rPr>
            </w:pPr>
            <w:r w:rsidRPr="00BF6611">
              <w:rPr>
                <w:rFonts w:cstheme="minorHAnsi"/>
                <w:sz w:val="18"/>
              </w:rPr>
              <w:t>15</w:t>
            </w:r>
          </w:p>
        </w:tc>
        <w:tc>
          <w:tcPr>
            <w:tcW w:w="3114" w:type="dxa"/>
            <w:vMerge w:val="restart"/>
            <w:tcBorders>
              <w:top w:val="single" w:sz="4" w:space="0" w:color="D5DCE4" w:themeColor="text2" w:themeTint="33"/>
              <w:left w:val="nil"/>
              <w:bottom w:val="single" w:sz="4" w:space="0" w:color="D5DCE4" w:themeColor="text2" w:themeTint="33"/>
              <w:right w:val="nil"/>
            </w:tcBorders>
            <w:hideMark/>
          </w:tcPr>
          <w:p w14:paraId="08F8293B" w14:textId="77777777" w:rsidR="004D0A65" w:rsidRPr="00BF6611" w:rsidRDefault="004D0A65" w:rsidP="002B6C05">
            <w:pPr>
              <w:jc w:val="left"/>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sz w:val="18"/>
              </w:rPr>
            </w:pPr>
            <w:r w:rsidRPr="00BF6611">
              <w:rPr>
                <w:rFonts w:cstheme="minorHAnsi"/>
                <w:sz w:val="18"/>
              </w:rPr>
              <w:t>Default values</w:t>
            </w:r>
          </w:p>
          <w:p w14:paraId="335279BA" w14:textId="77777777" w:rsidR="004D0A65" w:rsidRPr="00BF6611" w:rsidRDefault="004D0A65" w:rsidP="002B6C05">
            <w:pPr>
              <w:jc w:val="left"/>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sz w:val="18"/>
              </w:rPr>
            </w:pPr>
            <w:r w:rsidRPr="00BF6611">
              <w:rPr>
                <w:rFonts w:cstheme="minorHAnsi"/>
                <w:sz w:val="18"/>
              </w:rPr>
              <w:t xml:space="preserve">Future research may show that EULs for data center measures vary significantly between equipment and controls. </w:t>
            </w:r>
          </w:p>
        </w:tc>
      </w:tr>
      <w:tr w:rsidR="004D0A65" w:rsidRPr="00BF6611" w14:paraId="320E0FA6" w14:textId="77777777" w:rsidTr="002B6C05">
        <w:trPr>
          <w:cnfStyle w:val="000000100000" w:firstRow="0" w:lastRow="0" w:firstColumn="0" w:lastColumn="0" w:oddVBand="0" w:evenVBand="0" w:oddHBand="1" w:evenHBand="0" w:firstRowFirstColumn="0" w:firstRowLastColumn="0" w:lastRowFirstColumn="0" w:lastRowLastColumn="0"/>
          <w:cantSplit/>
          <w:trHeight w:val="385"/>
          <w:jc w:val="center"/>
        </w:trPr>
        <w:tc>
          <w:tcPr>
            <w:cnfStyle w:val="001000000000" w:firstRow="0" w:lastRow="0" w:firstColumn="1" w:lastColumn="0" w:oddVBand="0" w:evenVBand="0" w:oddHBand="0" w:evenHBand="0" w:firstRowFirstColumn="0" w:firstRowLastColumn="0" w:lastRowFirstColumn="0" w:lastRowLastColumn="0"/>
            <w:tcW w:w="1658" w:type="dxa"/>
            <w:vMerge/>
            <w:tcBorders>
              <w:top w:val="single" w:sz="4" w:space="0" w:color="D5DCE4" w:themeColor="text2" w:themeTint="33"/>
              <w:left w:val="nil"/>
              <w:bottom w:val="single" w:sz="4" w:space="0" w:color="D5DCE4" w:themeColor="text2" w:themeTint="33"/>
              <w:right w:val="nil"/>
            </w:tcBorders>
            <w:hideMark/>
          </w:tcPr>
          <w:p w14:paraId="780C9F7D" w14:textId="77777777" w:rsidR="004D0A65" w:rsidRPr="00BF6611" w:rsidRDefault="004D0A65" w:rsidP="002B6C05">
            <w:pPr>
              <w:spacing w:before="0" w:after="0"/>
              <w:jc w:val="center"/>
              <w:rPr>
                <w:rFonts w:ascii="Arial" w:eastAsiaTheme="minorHAnsi" w:hAnsi="Arial" w:cs="Arial"/>
                <w:sz w:val="18"/>
              </w:rPr>
            </w:pPr>
          </w:p>
        </w:tc>
        <w:tc>
          <w:tcPr>
            <w:tcW w:w="1566" w:type="dxa"/>
            <w:tcBorders>
              <w:top w:val="single" w:sz="4" w:space="0" w:color="D5DCE4" w:themeColor="text2" w:themeTint="33"/>
              <w:left w:val="nil"/>
              <w:bottom w:val="single" w:sz="4" w:space="0" w:color="D5DCE4" w:themeColor="text2" w:themeTint="33"/>
              <w:right w:val="nil"/>
            </w:tcBorders>
            <w:hideMark/>
          </w:tcPr>
          <w:p w14:paraId="174F7DB7" w14:textId="77777777" w:rsidR="004D0A65" w:rsidRPr="00BF6611" w:rsidRDefault="004D0A65" w:rsidP="002B6C05">
            <w:pPr>
              <w:jc w:val="center"/>
              <w:cnfStyle w:val="000000100000" w:firstRow="0" w:lastRow="0" w:firstColumn="0" w:lastColumn="0" w:oddVBand="0" w:evenVBand="0" w:oddHBand="1" w:evenHBand="0" w:firstRowFirstColumn="0" w:firstRowLastColumn="0" w:lastRowFirstColumn="0" w:lastRowLastColumn="0"/>
              <w:rPr>
                <w:rFonts w:cs="Arial"/>
                <w:sz w:val="18"/>
              </w:rPr>
            </w:pPr>
            <w:r w:rsidRPr="00BF6611">
              <w:rPr>
                <w:rFonts w:cs="Arial"/>
                <w:sz w:val="18"/>
              </w:rPr>
              <w:t>Custom Data Centers – Controls</w:t>
            </w:r>
          </w:p>
        </w:tc>
        <w:tc>
          <w:tcPr>
            <w:tcW w:w="2179" w:type="dxa"/>
            <w:vMerge/>
            <w:tcBorders>
              <w:left w:val="nil"/>
              <w:bottom w:val="single" w:sz="4" w:space="0" w:color="D5DCE4" w:themeColor="text2" w:themeTint="33"/>
              <w:right w:val="nil"/>
            </w:tcBorders>
          </w:tcPr>
          <w:p w14:paraId="5F96A055" w14:textId="77777777" w:rsidR="004D0A65" w:rsidRPr="00BF6611" w:rsidRDefault="004D0A65" w:rsidP="002B6C05">
            <w:pPr>
              <w:jc w:val="left"/>
              <w:cnfStyle w:val="000000100000" w:firstRow="0" w:lastRow="0" w:firstColumn="0" w:lastColumn="0" w:oddVBand="0" w:evenVBand="0" w:oddHBand="1" w:evenHBand="0" w:firstRowFirstColumn="0" w:firstRowLastColumn="0" w:lastRowFirstColumn="0" w:lastRowLastColumn="0"/>
              <w:rPr>
                <w:rFonts w:cs="Arial"/>
                <w:sz w:val="18"/>
              </w:rPr>
            </w:pPr>
          </w:p>
        </w:tc>
        <w:tc>
          <w:tcPr>
            <w:tcW w:w="933" w:type="dxa"/>
            <w:tcBorders>
              <w:top w:val="single" w:sz="4" w:space="0" w:color="D5DCE4" w:themeColor="text2" w:themeTint="33"/>
              <w:left w:val="nil"/>
              <w:bottom w:val="single" w:sz="4" w:space="0" w:color="D5DCE4" w:themeColor="text2" w:themeTint="33"/>
              <w:right w:val="nil"/>
            </w:tcBorders>
            <w:hideMark/>
          </w:tcPr>
          <w:p w14:paraId="3091C854" w14:textId="77777777" w:rsidR="004D0A65" w:rsidRPr="00BF6611" w:rsidRDefault="004D0A65" w:rsidP="002B6C05">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18"/>
              </w:rPr>
            </w:pPr>
            <w:r w:rsidRPr="00BF6611">
              <w:rPr>
                <w:rFonts w:cstheme="minorHAnsi"/>
                <w:sz w:val="18"/>
              </w:rPr>
              <w:t>15</w:t>
            </w:r>
          </w:p>
        </w:tc>
        <w:tc>
          <w:tcPr>
            <w:tcW w:w="3114" w:type="dxa"/>
            <w:vMerge/>
            <w:tcBorders>
              <w:top w:val="single" w:sz="4" w:space="0" w:color="D5DCE4" w:themeColor="text2" w:themeTint="33"/>
              <w:left w:val="nil"/>
              <w:bottom w:val="single" w:sz="4" w:space="0" w:color="D5DCE4" w:themeColor="text2" w:themeTint="33"/>
              <w:right w:val="nil"/>
            </w:tcBorders>
            <w:hideMark/>
          </w:tcPr>
          <w:p w14:paraId="63BF041F" w14:textId="77777777" w:rsidR="004D0A65" w:rsidRPr="00BF6611" w:rsidRDefault="004D0A65" w:rsidP="002B6C05">
            <w:pPr>
              <w:spacing w:before="0" w:after="0"/>
              <w:cnfStyle w:val="000000100000" w:firstRow="0" w:lastRow="0" w:firstColumn="0" w:lastColumn="0" w:oddVBand="0" w:evenVBand="0" w:oddHBand="1" w:evenHBand="0" w:firstRowFirstColumn="0" w:firstRowLastColumn="0" w:lastRowFirstColumn="0" w:lastRowLastColumn="0"/>
              <w:rPr>
                <w:rFonts w:asciiTheme="minorHAnsi" w:eastAsiaTheme="minorHAnsi" w:hAnsiTheme="minorHAnsi" w:cstheme="minorHAnsi"/>
                <w:sz w:val="18"/>
              </w:rPr>
            </w:pPr>
          </w:p>
        </w:tc>
      </w:tr>
      <w:tr w:rsidR="004D0A65" w:rsidRPr="00BF6611" w14:paraId="055F4A87" w14:textId="77777777" w:rsidTr="002B6C05">
        <w:trPr>
          <w:cnfStyle w:val="000000010000" w:firstRow="0" w:lastRow="0" w:firstColumn="0" w:lastColumn="0" w:oddVBand="0" w:evenVBand="0" w:oddHBand="0" w:evenHBand="1" w:firstRowFirstColumn="0" w:firstRowLastColumn="0" w:lastRowFirstColumn="0" w:lastRowLastColumn="0"/>
          <w:cantSplit/>
          <w:trHeight w:val="241"/>
          <w:jc w:val="center"/>
        </w:trPr>
        <w:tc>
          <w:tcPr>
            <w:cnfStyle w:val="001000000000" w:firstRow="0" w:lastRow="0" w:firstColumn="1" w:lastColumn="0" w:oddVBand="0" w:evenVBand="0" w:oddHBand="0" w:evenHBand="0" w:firstRowFirstColumn="0" w:firstRowLastColumn="0" w:lastRowFirstColumn="0" w:lastRowLastColumn="0"/>
            <w:tcW w:w="1658" w:type="dxa"/>
            <w:tcBorders>
              <w:top w:val="single" w:sz="4" w:space="0" w:color="D5DCE4" w:themeColor="text2" w:themeTint="33"/>
              <w:left w:val="nil"/>
              <w:bottom w:val="single" w:sz="4" w:space="0" w:color="D5DCE4" w:themeColor="text2" w:themeTint="33"/>
              <w:right w:val="nil"/>
            </w:tcBorders>
            <w:hideMark/>
          </w:tcPr>
          <w:p w14:paraId="607B2CD8" w14:textId="77777777" w:rsidR="004D0A65" w:rsidRPr="00BF6611" w:rsidRDefault="004D0A65" w:rsidP="002B6C05">
            <w:pPr>
              <w:jc w:val="center"/>
              <w:rPr>
                <w:rFonts w:ascii="Arial" w:hAnsi="Arial" w:cs="Arial"/>
                <w:sz w:val="18"/>
              </w:rPr>
            </w:pPr>
            <w:r w:rsidRPr="00BF6611">
              <w:rPr>
                <w:rFonts w:ascii="Arial" w:hAnsi="Arial" w:cs="Arial"/>
                <w:sz w:val="18"/>
              </w:rPr>
              <w:t>Energy Management System</w:t>
            </w:r>
          </w:p>
        </w:tc>
        <w:tc>
          <w:tcPr>
            <w:tcW w:w="1566" w:type="dxa"/>
            <w:tcBorders>
              <w:top w:val="single" w:sz="4" w:space="0" w:color="D5DCE4" w:themeColor="text2" w:themeTint="33"/>
              <w:left w:val="nil"/>
              <w:bottom w:val="single" w:sz="4" w:space="0" w:color="D5DCE4" w:themeColor="text2" w:themeTint="33"/>
              <w:right w:val="nil"/>
            </w:tcBorders>
            <w:hideMark/>
          </w:tcPr>
          <w:p w14:paraId="707436A1" w14:textId="77777777" w:rsidR="004D0A65" w:rsidRPr="00BF6611" w:rsidRDefault="004D0A65" w:rsidP="002B6C05">
            <w:pPr>
              <w:jc w:val="center"/>
              <w:cnfStyle w:val="000000010000" w:firstRow="0" w:lastRow="0" w:firstColumn="0" w:lastColumn="0" w:oddVBand="0" w:evenVBand="0" w:oddHBand="0" w:evenHBand="1" w:firstRowFirstColumn="0" w:firstRowLastColumn="0" w:lastRowFirstColumn="0" w:lastRowLastColumn="0"/>
              <w:rPr>
                <w:rFonts w:cs="Arial"/>
                <w:sz w:val="18"/>
              </w:rPr>
            </w:pPr>
            <w:r w:rsidRPr="00BF6611">
              <w:rPr>
                <w:rFonts w:cs="Arial"/>
                <w:sz w:val="18"/>
              </w:rPr>
              <w:t>Energy Management System</w:t>
            </w:r>
          </w:p>
        </w:tc>
        <w:tc>
          <w:tcPr>
            <w:tcW w:w="2179" w:type="dxa"/>
            <w:tcBorders>
              <w:top w:val="single" w:sz="4" w:space="0" w:color="D5DCE4" w:themeColor="text2" w:themeTint="33"/>
              <w:left w:val="nil"/>
              <w:bottom w:val="single" w:sz="4" w:space="0" w:color="D5DCE4" w:themeColor="text2" w:themeTint="33"/>
              <w:right w:val="nil"/>
            </w:tcBorders>
          </w:tcPr>
          <w:p w14:paraId="3560A85D" w14:textId="77777777" w:rsidR="004D0A65" w:rsidRPr="00BF6611" w:rsidRDefault="004D0A65" w:rsidP="002B6C05">
            <w:pPr>
              <w:jc w:val="left"/>
              <w:cnfStyle w:val="000000010000" w:firstRow="0" w:lastRow="0" w:firstColumn="0" w:lastColumn="0" w:oddVBand="0" w:evenVBand="0" w:oddHBand="0" w:evenHBand="1" w:firstRowFirstColumn="0" w:firstRowLastColumn="0" w:lastRowFirstColumn="0" w:lastRowLastColumn="0"/>
              <w:rPr>
                <w:rFonts w:cs="Arial"/>
                <w:sz w:val="18"/>
              </w:rPr>
            </w:pPr>
            <w:r w:rsidRPr="00BF6611">
              <w:rPr>
                <w:rFonts w:cs="Arial"/>
                <w:sz w:val="18"/>
              </w:rPr>
              <w:t>Energy Management System</w:t>
            </w:r>
          </w:p>
        </w:tc>
        <w:tc>
          <w:tcPr>
            <w:tcW w:w="933" w:type="dxa"/>
            <w:tcBorders>
              <w:top w:val="single" w:sz="4" w:space="0" w:color="D5DCE4" w:themeColor="text2" w:themeTint="33"/>
              <w:left w:val="nil"/>
              <w:bottom w:val="single" w:sz="4" w:space="0" w:color="D5DCE4" w:themeColor="text2" w:themeTint="33"/>
              <w:right w:val="nil"/>
            </w:tcBorders>
            <w:hideMark/>
          </w:tcPr>
          <w:p w14:paraId="5827C496" w14:textId="77777777" w:rsidR="004D0A65" w:rsidRPr="00BF6611" w:rsidRDefault="004D0A65" w:rsidP="002B6C05">
            <w:pPr>
              <w:jc w:val="right"/>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sz w:val="18"/>
              </w:rPr>
            </w:pPr>
            <w:r w:rsidRPr="00BF6611">
              <w:rPr>
                <w:rFonts w:cstheme="minorHAnsi"/>
                <w:sz w:val="18"/>
              </w:rPr>
              <w:t>15</w:t>
            </w:r>
          </w:p>
        </w:tc>
        <w:tc>
          <w:tcPr>
            <w:tcW w:w="3114" w:type="dxa"/>
            <w:tcBorders>
              <w:top w:val="single" w:sz="4" w:space="0" w:color="D5DCE4" w:themeColor="text2" w:themeTint="33"/>
              <w:left w:val="nil"/>
              <w:bottom w:val="single" w:sz="4" w:space="0" w:color="D5DCE4" w:themeColor="text2" w:themeTint="33"/>
              <w:right w:val="nil"/>
            </w:tcBorders>
            <w:hideMark/>
          </w:tcPr>
          <w:p w14:paraId="08AD8F4E" w14:textId="77777777" w:rsidR="004D0A65" w:rsidRPr="00BF6611" w:rsidRDefault="004D0A65" w:rsidP="002B6C05">
            <w:pPr>
              <w:jc w:val="left"/>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sz w:val="18"/>
              </w:rPr>
            </w:pPr>
            <w:r w:rsidRPr="00BF6611">
              <w:rPr>
                <w:rFonts w:cstheme="minorHAnsi"/>
                <w:sz w:val="18"/>
              </w:rPr>
              <w:t>Default values</w:t>
            </w:r>
          </w:p>
        </w:tc>
      </w:tr>
      <w:tr w:rsidR="004D0A65" w:rsidRPr="00BF6611" w14:paraId="2970693B" w14:textId="77777777" w:rsidTr="002B6C05">
        <w:trPr>
          <w:cnfStyle w:val="000000100000" w:firstRow="0" w:lastRow="0" w:firstColumn="0" w:lastColumn="0" w:oddVBand="0" w:evenVBand="0" w:oddHBand="1" w:evenHBand="0" w:firstRowFirstColumn="0" w:firstRowLastColumn="0" w:lastRowFirstColumn="0" w:lastRowLastColumn="0"/>
          <w:cantSplit/>
          <w:trHeight w:val="367"/>
          <w:jc w:val="center"/>
        </w:trPr>
        <w:tc>
          <w:tcPr>
            <w:cnfStyle w:val="001000000000" w:firstRow="0" w:lastRow="0" w:firstColumn="1" w:lastColumn="0" w:oddVBand="0" w:evenVBand="0" w:oddHBand="0" w:evenHBand="0" w:firstRowFirstColumn="0" w:firstRowLastColumn="0" w:lastRowFirstColumn="0" w:lastRowLastColumn="0"/>
            <w:tcW w:w="1658" w:type="dxa"/>
            <w:vMerge w:val="restart"/>
            <w:tcBorders>
              <w:top w:val="single" w:sz="4" w:space="0" w:color="D5DCE4" w:themeColor="text2" w:themeTint="33"/>
              <w:left w:val="nil"/>
              <w:right w:val="nil"/>
            </w:tcBorders>
            <w:hideMark/>
          </w:tcPr>
          <w:p w14:paraId="33BAD072" w14:textId="77777777" w:rsidR="004D0A65" w:rsidRPr="00BF6611" w:rsidRDefault="004D0A65" w:rsidP="002B6C05">
            <w:pPr>
              <w:jc w:val="center"/>
              <w:rPr>
                <w:rFonts w:ascii="Arial" w:hAnsi="Arial" w:cs="Arial"/>
                <w:sz w:val="18"/>
              </w:rPr>
            </w:pPr>
            <w:r w:rsidRPr="00BF6611">
              <w:rPr>
                <w:rFonts w:ascii="Arial" w:hAnsi="Arial" w:cs="Arial"/>
                <w:sz w:val="18"/>
              </w:rPr>
              <w:t>HVAC</w:t>
            </w:r>
          </w:p>
        </w:tc>
        <w:tc>
          <w:tcPr>
            <w:tcW w:w="1566" w:type="dxa"/>
            <w:vMerge w:val="restart"/>
            <w:tcBorders>
              <w:top w:val="single" w:sz="4" w:space="0" w:color="D5DCE4" w:themeColor="text2" w:themeTint="33"/>
              <w:left w:val="nil"/>
              <w:right w:val="nil"/>
            </w:tcBorders>
            <w:hideMark/>
          </w:tcPr>
          <w:p w14:paraId="20DB701F" w14:textId="6ADA2214" w:rsidR="004D0A65" w:rsidRPr="00BF6611" w:rsidRDefault="004D0A65" w:rsidP="002B6C05">
            <w:pPr>
              <w:jc w:val="center"/>
              <w:cnfStyle w:val="000000100000" w:firstRow="0" w:lastRow="0" w:firstColumn="0" w:lastColumn="0" w:oddVBand="0" w:evenVBand="0" w:oddHBand="1" w:evenHBand="0" w:firstRowFirstColumn="0" w:firstRowLastColumn="0" w:lastRowFirstColumn="0" w:lastRowLastColumn="0"/>
              <w:rPr>
                <w:rFonts w:cs="Arial"/>
                <w:sz w:val="18"/>
              </w:rPr>
            </w:pPr>
            <w:r w:rsidRPr="00BF6611">
              <w:rPr>
                <w:rFonts w:cs="Arial"/>
                <w:sz w:val="18"/>
              </w:rPr>
              <w:t xml:space="preserve">Custom HVAC – </w:t>
            </w:r>
            <w:r w:rsidRPr="00BF6611">
              <w:rPr>
                <w:rFonts w:cs="Arial"/>
                <w:sz w:val="18"/>
              </w:rPr>
              <w:lastRenderedPageBreak/>
              <w:t>Equipment</w:t>
            </w:r>
          </w:p>
        </w:tc>
        <w:tc>
          <w:tcPr>
            <w:tcW w:w="2179" w:type="dxa"/>
            <w:tcBorders>
              <w:top w:val="single" w:sz="4" w:space="0" w:color="D5DCE4" w:themeColor="text2" w:themeTint="33"/>
              <w:left w:val="nil"/>
              <w:bottom w:val="single" w:sz="4" w:space="0" w:color="D5DCE4" w:themeColor="text2" w:themeTint="33"/>
              <w:right w:val="nil"/>
            </w:tcBorders>
          </w:tcPr>
          <w:p w14:paraId="1D690C69" w14:textId="77777777" w:rsidR="004D0A65" w:rsidRPr="00BF6611" w:rsidRDefault="004D0A65" w:rsidP="002B6C05">
            <w:pPr>
              <w:jc w:val="left"/>
              <w:cnfStyle w:val="000000100000" w:firstRow="0" w:lastRow="0" w:firstColumn="0" w:lastColumn="0" w:oddVBand="0" w:evenVBand="0" w:oddHBand="1" w:evenHBand="0" w:firstRowFirstColumn="0" w:firstRowLastColumn="0" w:lastRowFirstColumn="0" w:lastRowLastColumn="0"/>
              <w:rPr>
                <w:rFonts w:cs="Arial"/>
                <w:sz w:val="18"/>
              </w:rPr>
            </w:pPr>
            <w:r w:rsidRPr="00BF6611">
              <w:rPr>
                <w:rFonts w:cs="Arial"/>
                <w:sz w:val="18"/>
              </w:rPr>
              <w:lastRenderedPageBreak/>
              <w:t xml:space="preserve">Custom </w:t>
            </w:r>
            <w:r>
              <w:rPr>
                <w:rFonts w:cs="Arial"/>
                <w:sz w:val="18"/>
              </w:rPr>
              <w:t xml:space="preserve">Electric </w:t>
            </w:r>
            <w:r w:rsidRPr="00BF6611">
              <w:rPr>
                <w:rFonts w:cs="Arial"/>
                <w:sz w:val="18"/>
              </w:rPr>
              <w:t>HVAC</w:t>
            </w:r>
          </w:p>
        </w:tc>
        <w:tc>
          <w:tcPr>
            <w:tcW w:w="933" w:type="dxa"/>
            <w:vMerge w:val="restart"/>
            <w:tcBorders>
              <w:top w:val="single" w:sz="4" w:space="0" w:color="D5DCE4" w:themeColor="text2" w:themeTint="33"/>
              <w:left w:val="nil"/>
              <w:right w:val="nil"/>
            </w:tcBorders>
            <w:hideMark/>
          </w:tcPr>
          <w:p w14:paraId="620DE5FE" w14:textId="77777777" w:rsidR="004D0A65" w:rsidRPr="00BF6611" w:rsidRDefault="004D0A65" w:rsidP="002B6C05">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18"/>
              </w:rPr>
            </w:pPr>
            <w:r w:rsidRPr="00BF6611">
              <w:rPr>
                <w:rFonts w:cstheme="minorHAnsi"/>
                <w:sz w:val="18"/>
              </w:rPr>
              <w:t>13</w:t>
            </w:r>
          </w:p>
        </w:tc>
        <w:tc>
          <w:tcPr>
            <w:tcW w:w="3114" w:type="dxa"/>
            <w:vMerge w:val="restart"/>
            <w:tcBorders>
              <w:top w:val="single" w:sz="4" w:space="0" w:color="D5DCE4" w:themeColor="text2" w:themeTint="33"/>
              <w:left w:val="nil"/>
              <w:right w:val="nil"/>
            </w:tcBorders>
            <w:hideMark/>
          </w:tcPr>
          <w:p w14:paraId="4A3D36E9" w14:textId="77777777" w:rsidR="004D0A65" w:rsidRPr="00BF6611" w:rsidRDefault="004D0A65" w:rsidP="002B6C05">
            <w:pPr>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18"/>
              </w:rPr>
            </w:pPr>
            <w:r w:rsidRPr="00BF6611">
              <w:rPr>
                <w:rFonts w:cstheme="minorHAnsi"/>
                <w:sz w:val="18"/>
              </w:rPr>
              <w:t xml:space="preserve">Default values </w:t>
            </w:r>
          </w:p>
        </w:tc>
      </w:tr>
      <w:tr w:rsidR="004D0A65" w:rsidRPr="00BF6611" w14:paraId="4AFB6C8D" w14:textId="77777777" w:rsidTr="002B6C05">
        <w:trPr>
          <w:cnfStyle w:val="000000010000" w:firstRow="0" w:lastRow="0" w:firstColumn="0" w:lastColumn="0" w:oddVBand="0" w:evenVBand="0" w:oddHBand="0" w:evenHBand="1" w:firstRowFirstColumn="0" w:firstRowLastColumn="0" w:lastRowFirstColumn="0" w:lastRowLastColumn="0"/>
          <w:cantSplit/>
          <w:trHeight w:val="367"/>
          <w:jc w:val="center"/>
        </w:trPr>
        <w:tc>
          <w:tcPr>
            <w:cnfStyle w:val="001000000000" w:firstRow="0" w:lastRow="0" w:firstColumn="1" w:lastColumn="0" w:oddVBand="0" w:evenVBand="0" w:oddHBand="0" w:evenHBand="0" w:firstRowFirstColumn="0" w:firstRowLastColumn="0" w:lastRowFirstColumn="0" w:lastRowLastColumn="0"/>
            <w:tcW w:w="1658" w:type="dxa"/>
            <w:vMerge/>
            <w:tcBorders>
              <w:left w:val="nil"/>
              <w:right w:val="nil"/>
            </w:tcBorders>
          </w:tcPr>
          <w:p w14:paraId="5881B514" w14:textId="77777777" w:rsidR="004D0A65" w:rsidRPr="00BF6611" w:rsidRDefault="004D0A65" w:rsidP="002B6C05">
            <w:pPr>
              <w:jc w:val="center"/>
              <w:rPr>
                <w:rFonts w:ascii="Arial" w:hAnsi="Arial" w:cs="Arial"/>
                <w:sz w:val="18"/>
              </w:rPr>
            </w:pPr>
          </w:p>
        </w:tc>
        <w:tc>
          <w:tcPr>
            <w:tcW w:w="1566" w:type="dxa"/>
            <w:vMerge/>
            <w:tcBorders>
              <w:left w:val="nil"/>
              <w:bottom w:val="single" w:sz="4" w:space="0" w:color="D5DCE4" w:themeColor="text2" w:themeTint="33"/>
              <w:right w:val="nil"/>
            </w:tcBorders>
          </w:tcPr>
          <w:p w14:paraId="030CA666" w14:textId="77777777" w:rsidR="004D0A65" w:rsidRPr="00BF6611" w:rsidRDefault="004D0A65" w:rsidP="002B6C05">
            <w:pPr>
              <w:jc w:val="center"/>
              <w:cnfStyle w:val="000000010000" w:firstRow="0" w:lastRow="0" w:firstColumn="0" w:lastColumn="0" w:oddVBand="0" w:evenVBand="0" w:oddHBand="0" w:evenHBand="1" w:firstRowFirstColumn="0" w:firstRowLastColumn="0" w:lastRowFirstColumn="0" w:lastRowLastColumn="0"/>
              <w:rPr>
                <w:rFonts w:cs="Arial"/>
                <w:sz w:val="18"/>
              </w:rPr>
            </w:pPr>
          </w:p>
        </w:tc>
        <w:tc>
          <w:tcPr>
            <w:tcW w:w="2179" w:type="dxa"/>
            <w:tcBorders>
              <w:top w:val="single" w:sz="4" w:space="0" w:color="D5DCE4" w:themeColor="text2" w:themeTint="33"/>
              <w:left w:val="nil"/>
              <w:bottom w:val="single" w:sz="4" w:space="0" w:color="D5DCE4" w:themeColor="text2" w:themeTint="33"/>
              <w:right w:val="nil"/>
            </w:tcBorders>
          </w:tcPr>
          <w:p w14:paraId="17583A46" w14:textId="77777777" w:rsidR="004D0A65" w:rsidRPr="00BF6611" w:rsidRDefault="004D0A65" w:rsidP="002B6C05">
            <w:pPr>
              <w:jc w:val="left"/>
              <w:cnfStyle w:val="000000010000" w:firstRow="0" w:lastRow="0" w:firstColumn="0" w:lastColumn="0" w:oddVBand="0" w:evenVBand="0" w:oddHBand="0" w:evenHBand="1" w:firstRowFirstColumn="0" w:firstRowLastColumn="0" w:lastRowFirstColumn="0" w:lastRowLastColumn="0"/>
              <w:rPr>
                <w:rFonts w:cs="Arial"/>
                <w:sz w:val="18"/>
              </w:rPr>
            </w:pPr>
            <w:r w:rsidRPr="00BF6611">
              <w:rPr>
                <w:rFonts w:cs="Arial"/>
                <w:sz w:val="18"/>
              </w:rPr>
              <w:t>VAV Fume Hood</w:t>
            </w:r>
          </w:p>
        </w:tc>
        <w:tc>
          <w:tcPr>
            <w:tcW w:w="933" w:type="dxa"/>
            <w:vMerge/>
            <w:tcBorders>
              <w:left w:val="nil"/>
              <w:bottom w:val="single" w:sz="4" w:space="0" w:color="D5DCE4" w:themeColor="text2" w:themeTint="33"/>
              <w:right w:val="nil"/>
            </w:tcBorders>
          </w:tcPr>
          <w:p w14:paraId="2EC05125" w14:textId="77777777" w:rsidR="004D0A65" w:rsidRPr="00BF6611" w:rsidRDefault="004D0A65" w:rsidP="002B6C05">
            <w:pPr>
              <w:jc w:val="right"/>
              <w:cnfStyle w:val="000000010000" w:firstRow="0" w:lastRow="0" w:firstColumn="0" w:lastColumn="0" w:oddVBand="0" w:evenVBand="0" w:oddHBand="0" w:evenHBand="1" w:firstRowFirstColumn="0" w:firstRowLastColumn="0" w:lastRowFirstColumn="0" w:lastRowLastColumn="0"/>
              <w:rPr>
                <w:rFonts w:cstheme="minorHAnsi"/>
                <w:sz w:val="18"/>
              </w:rPr>
            </w:pPr>
          </w:p>
        </w:tc>
        <w:tc>
          <w:tcPr>
            <w:tcW w:w="3114" w:type="dxa"/>
            <w:vMerge/>
            <w:tcBorders>
              <w:left w:val="nil"/>
              <w:right w:val="nil"/>
            </w:tcBorders>
          </w:tcPr>
          <w:p w14:paraId="22F5CE63" w14:textId="77777777" w:rsidR="004D0A65" w:rsidRPr="00BF6611" w:rsidRDefault="004D0A65" w:rsidP="002B6C05">
            <w:pPr>
              <w:jc w:val="left"/>
              <w:cnfStyle w:val="000000010000" w:firstRow="0" w:lastRow="0" w:firstColumn="0" w:lastColumn="0" w:oddVBand="0" w:evenVBand="0" w:oddHBand="0" w:evenHBand="1" w:firstRowFirstColumn="0" w:firstRowLastColumn="0" w:lastRowFirstColumn="0" w:lastRowLastColumn="0"/>
              <w:rPr>
                <w:rFonts w:cstheme="minorHAnsi"/>
                <w:sz w:val="18"/>
              </w:rPr>
            </w:pPr>
          </w:p>
        </w:tc>
      </w:tr>
      <w:tr w:rsidR="004D0A65" w:rsidRPr="00BF6611" w14:paraId="00CF8551" w14:textId="77777777" w:rsidTr="002B6C05">
        <w:trPr>
          <w:cnfStyle w:val="000000100000" w:firstRow="0" w:lastRow="0" w:firstColumn="0" w:lastColumn="0" w:oddVBand="0" w:evenVBand="0" w:oddHBand="1" w:evenHBand="0" w:firstRowFirstColumn="0" w:firstRowLastColumn="0" w:lastRowFirstColumn="0" w:lastRowLastColumn="0"/>
          <w:cantSplit/>
          <w:trHeight w:val="48"/>
          <w:jc w:val="center"/>
        </w:trPr>
        <w:tc>
          <w:tcPr>
            <w:cnfStyle w:val="001000000000" w:firstRow="0" w:lastRow="0" w:firstColumn="1" w:lastColumn="0" w:oddVBand="0" w:evenVBand="0" w:oddHBand="0" w:evenHBand="0" w:firstRowFirstColumn="0" w:firstRowLastColumn="0" w:lastRowFirstColumn="0" w:lastRowLastColumn="0"/>
            <w:tcW w:w="1658" w:type="dxa"/>
            <w:vMerge/>
            <w:tcBorders>
              <w:left w:val="nil"/>
              <w:right w:val="nil"/>
            </w:tcBorders>
            <w:hideMark/>
          </w:tcPr>
          <w:p w14:paraId="2A804D18" w14:textId="77777777" w:rsidR="004D0A65" w:rsidRPr="00BF6611" w:rsidRDefault="004D0A65" w:rsidP="002B6C05">
            <w:pPr>
              <w:spacing w:before="0" w:after="0"/>
              <w:jc w:val="center"/>
              <w:rPr>
                <w:rFonts w:ascii="Arial" w:eastAsiaTheme="minorHAnsi" w:hAnsi="Arial" w:cs="Arial"/>
                <w:sz w:val="18"/>
              </w:rPr>
            </w:pPr>
          </w:p>
        </w:tc>
        <w:tc>
          <w:tcPr>
            <w:tcW w:w="1566" w:type="dxa"/>
            <w:vMerge w:val="restart"/>
            <w:tcBorders>
              <w:top w:val="single" w:sz="4" w:space="0" w:color="D5DCE4" w:themeColor="text2" w:themeTint="33"/>
              <w:left w:val="nil"/>
              <w:right w:val="nil"/>
            </w:tcBorders>
            <w:hideMark/>
          </w:tcPr>
          <w:p w14:paraId="171A4C77" w14:textId="4D5A592B" w:rsidR="004D0A65" w:rsidRPr="00BF6611" w:rsidRDefault="004D0A65" w:rsidP="002B6C05">
            <w:pPr>
              <w:jc w:val="center"/>
              <w:cnfStyle w:val="000000100000" w:firstRow="0" w:lastRow="0" w:firstColumn="0" w:lastColumn="0" w:oddVBand="0" w:evenVBand="0" w:oddHBand="1" w:evenHBand="0" w:firstRowFirstColumn="0" w:firstRowLastColumn="0" w:lastRowFirstColumn="0" w:lastRowLastColumn="0"/>
              <w:rPr>
                <w:rFonts w:cs="Arial"/>
                <w:sz w:val="18"/>
              </w:rPr>
            </w:pPr>
            <w:r w:rsidRPr="00BF6611">
              <w:rPr>
                <w:rFonts w:cs="Arial"/>
                <w:sz w:val="18"/>
              </w:rPr>
              <w:t>Custom HVAC - Controls</w:t>
            </w:r>
          </w:p>
        </w:tc>
        <w:tc>
          <w:tcPr>
            <w:tcW w:w="2179" w:type="dxa"/>
            <w:tcBorders>
              <w:top w:val="single" w:sz="4" w:space="0" w:color="D5DCE4" w:themeColor="text2" w:themeTint="33"/>
              <w:left w:val="nil"/>
              <w:bottom w:val="single" w:sz="4" w:space="0" w:color="D5DCE4" w:themeColor="text2" w:themeTint="33"/>
              <w:right w:val="nil"/>
            </w:tcBorders>
          </w:tcPr>
          <w:p w14:paraId="66F4344A" w14:textId="77777777" w:rsidR="004D0A65" w:rsidRPr="00BF6611" w:rsidRDefault="004D0A65" w:rsidP="002B6C05">
            <w:pPr>
              <w:jc w:val="left"/>
              <w:cnfStyle w:val="000000100000" w:firstRow="0" w:lastRow="0" w:firstColumn="0" w:lastColumn="0" w:oddVBand="0" w:evenVBand="0" w:oddHBand="1" w:evenHBand="0" w:firstRowFirstColumn="0" w:firstRowLastColumn="0" w:lastRowFirstColumn="0" w:lastRowLastColumn="0"/>
              <w:rPr>
                <w:rFonts w:cs="Arial"/>
                <w:sz w:val="18"/>
              </w:rPr>
            </w:pPr>
            <w:r w:rsidRPr="00BF6611">
              <w:rPr>
                <w:rFonts w:cs="Arial"/>
                <w:sz w:val="18"/>
              </w:rPr>
              <w:t>Chilled Water Reset</w:t>
            </w:r>
          </w:p>
        </w:tc>
        <w:tc>
          <w:tcPr>
            <w:tcW w:w="933" w:type="dxa"/>
            <w:vMerge w:val="restart"/>
            <w:tcBorders>
              <w:top w:val="single" w:sz="4" w:space="0" w:color="D5DCE4" w:themeColor="text2" w:themeTint="33"/>
              <w:left w:val="nil"/>
              <w:right w:val="nil"/>
            </w:tcBorders>
            <w:hideMark/>
          </w:tcPr>
          <w:p w14:paraId="4186EA87" w14:textId="77777777" w:rsidR="004D0A65" w:rsidRPr="00BF6611" w:rsidRDefault="004D0A65" w:rsidP="002B6C05">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18"/>
              </w:rPr>
            </w:pPr>
            <w:r w:rsidRPr="00BF6611">
              <w:rPr>
                <w:rFonts w:cstheme="minorHAnsi"/>
                <w:sz w:val="18"/>
              </w:rPr>
              <w:t>15</w:t>
            </w:r>
          </w:p>
        </w:tc>
        <w:tc>
          <w:tcPr>
            <w:tcW w:w="3114" w:type="dxa"/>
            <w:vMerge/>
            <w:tcBorders>
              <w:left w:val="nil"/>
              <w:right w:val="nil"/>
            </w:tcBorders>
            <w:hideMark/>
          </w:tcPr>
          <w:p w14:paraId="6FE0093E" w14:textId="77777777" w:rsidR="004D0A65" w:rsidRPr="00BF6611" w:rsidRDefault="004D0A65" w:rsidP="002B6C05">
            <w:pPr>
              <w:spacing w:before="0" w:after="0"/>
              <w:cnfStyle w:val="000000100000" w:firstRow="0" w:lastRow="0" w:firstColumn="0" w:lastColumn="0" w:oddVBand="0" w:evenVBand="0" w:oddHBand="1" w:evenHBand="0" w:firstRowFirstColumn="0" w:firstRowLastColumn="0" w:lastRowFirstColumn="0" w:lastRowLastColumn="0"/>
              <w:rPr>
                <w:rFonts w:asciiTheme="minorHAnsi" w:eastAsiaTheme="minorHAnsi" w:hAnsiTheme="minorHAnsi" w:cstheme="minorHAnsi"/>
                <w:sz w:val="18"/>
              </w:rPr>
            </w:pPr>
          </w:p>
        </w:tc>
      </w:tr>
      <w:tr w:rsidR="004D0A65" w:rsidRPr="00BF6611" w14:paraId="2E7D8321" w14:textId="77777777" w:rsidTr="002B6C05">
        <w:trPr>
          <w:cnfStyle w:val="000000010000" w:firstRow="0" w:lastRow="0" w:firstColumn="0" w:lastColumn="0" w:oddVBand="0" w:evenVBand="0" w:oddHBand="0" w:evenHBand="1" w:firstRowFirstColumn="0" w:firstRowLastColumn="0" w:lastRowFirstColumn="0" w:lastRowLastColumn="0"/>
          <w:cantSplit/>
          <w:trHeight w:val="48"/>
          <w:jc w:val="center"/>
        </w:trPr>
        <w:tc>
          <w:tcPr>
            <w:cnfStyle w:val="001000000000" w:firstRow="0" w:lastRow="0" w:firstColumn="1" w:lastColumn="0" w:oddVBand="0" w:evenVBand="0" w:oddHBand="0" w:evenHBand="0" w:firstRowFirstColumn="0" w:firstRowLastColumn="0" w:lastRowFirstColumn="0" w:lastRowLastColumn="0"/>
            <w:tcW w:w="1658" w:type="dxa"/>
            <w:vMerge/>
            <w:tcBorders>
              <w:left w:val="nil"/>
              <w:right w:val="nil"/>
            </w:tcBorders>
          </w:tcPr>
          <w:p w14:paraId="343A1638" w14:textId="77777777" w:rsidR="004D0A65" w:rsidRPr="00BF6611" w:rsidRDefault="004D0A65" w:rsidP="002B6C05">
            <w:pPr>
              <w:spacing w:after="0"/>
              <w:jc w:val="center"/>
              <w:rPr>
                <w:rFonts w:ascii="Arial" w:eastAsiaTheme="minorHAnsi" w:hAnsi="Arial" w:cs="Arial"/>
                <w:sz w:val="18"/>
              </w:rPr>
            </w:pPr>
          </w:p>
        </w:tc>
        <w:tc>
          <w:tcPr>
            <w:tcW w:w="1566" w:type="dxa"/>
            <w:vMerge/>
            <w:tcBorders>
              <w:left w:val="nil"/>
              <w:right w:val="nil"/>
            </w:tcBorders>
          </w:tcPr>
          <w:p w14:paraId="3373391D" w14:textId="77777777" w:rsidR="004D0A65" w:rsidRPr="00BF6611" w:rsidRDefault="004D0A65" w:rsidP="002B6C05">
            <w:pPr>
              <w:jc w:val="center"/>
              <w:cnfStyle w:val="000000010000" w:firstRow="0" w:lastRow="0" w:firstColumn="0" w:lastColumn="0" w:oddVBand="0" w:evenVBand="0" w:oddHBand="0" w:evenHBand="1" w:firstRowFirstColumn="0" w:firstRowLastColumn="0" w:lastRowFirstColumn="0" w:lastRowLastColumn="0"/>
              <w:rPr>
                <w:rFonts w:cs="Arial"/>
                <w:sz w:val="18"/>
              </w:rPr>
            </w:pPr>
          </w:p>
        </w:tc>
        <w:tc>
          <w:tcPr>
            <w:tcW w:w="2179" w:type="dxa"/>
            <w:tcBorders>
              <w:top w:val="single" w:sz="4" w:space="0" w:color="D5DCE4" w:themeColor="text2" w:themeTint="33"/>
              <w:left w:val="nil"/>
              <w:bottom w:val="single" w:sz="4" w:space="0" w:color="D5DCE4" w:themeColor="text2" w:themeTint="33"/>
              <w:right w:val="nil"/>
            </w:tcBorders>
          </w:tcPr>
          <w:p w14:paraId="6662D98C" w14:textId="77777777" w:rsidR="004D0A65" w:rsidRPr="00BF6611" w:rsidRDefault="004D0A65" w:rsidP="002B6C05">
            <w:pPr>
              <w:jc w:val="left"/>
              <w:cnfStyle w:val="000000010000" w:firstRow="0" w:lastRow="0" w:firstColumn="0" w:lastColumn="0" w:oddVBand="0" w:evenVBand="0" w:oddHBand="0" w:evenHBand="1" w:firstRowFirstColumn="0" w:firstRowLastColumn="0" w:lastRowFirstColumn="0" w:lastRowLastColumn="0"/>
              <w:rPr>
                <w:rFonts w:cs="Arial"/>
                <w:sz w:val="18"/>
              </w:rPr>
            </w:pPr>
            <w:r w:rsidRPr="00BF6611">
              <w:rPr>
                <w:rFonts w:cs="Arial"/>
                <w:sz w:val="18"/>
              </w:rPr>
              <w:t xml:space="preserve">Fume Hood Occupancy Controls </w:t>
            </w:r>
          </w:p>
        </w:tc>
        <w:tc>
          <w:tcPr>
            <w:tcW w:w="933" w:type="dxa"/>
            <w:vMerge/>
            <w:tcBorders>
              <w:left w:val="nil"/>
              <w:right w:val="nil"/>
            </w:tcBorders>
          </w:tcPr>
          <w:p w14:paraId="7940C767" w14:textId="77777777" w:rsidR="004D0A65" w:rsidRPr="00BF6611" w:rsidRDefault="004D0A65" w:rsidP="002B6C05">
            <w:pPr>
              <w:jc w:val="right"/>
              <w:cnfStyle w:val="000000010000" w:firstRow="0" w:lastRow="0" w:firstColumn="0" w:lastColumn="0" w:oddVBand="0" w:evenVBand="0" w:oddHBand="0" w:evenHBand="1" w:firstRowFirstColumn="0" w:firstRowLastColumn="0" w:lastRowFirstColumn="0" w:lastRowLastColumn="0"/>
              <w:rPr>
                <w:rFonts w:cstheme="minorHAnsi"/>
                <w:sz w:val="18"/>
              </w:rPr>
            </w:pPr>
          </w:p>
        </w:tc>
        <w:tc>
          <w:tcPr>
            <w:tcW w:w="3114" w:type="dxa"/>
            <w:vMerge/>
            <w:tcBorders>
              <w:left w:val="nil"/>
              <w:right w:val="nil"/>
            </w:tcBorders>
          </w:tcPr>
          <w:p w14:paraId="452EC662" w14:textId="77777777" w:rsidR="004D0A65" w:rsidRPr="00BF6611" w:rsidRDefault="004D0A65" w:rsidP="002B6C05">
            <w:pPr>
              <w:spacing w:after="0"/>
              <w:cnfStyle w:val="000000010000" w:firstRow="0" w:lastRow="0" w:firstColumn="0" w:lastColumn="0" w:oddVBand="0" w:evenVBand="0" w:oddHBand="0" w:evenHBand="1" w:firstRowFirstColumn="0" w:firstRowLastColumn="0" w:lastRowFirstColumn="0" w:lastRowLastColumn="0"/>
              <w:rPr>
                <w:rFonts w:eastAsiaTheme="minorHAnsi" w:cstheme="minorHAnsi"/>
                <w:sz w:val="18"/>
              </w:rPr>
            </w:pPr>
          </w:p>
        </w:tc>
      </w:tr>
      <w:tr w:rsidR="004D0A65" w:rsidRPr="00BF6611" w14:paraId="41799A60" w14:textId="77777777" w:rsidTr="002B6C05">
        <w:trPr>
          <w:cnfStyle w:val="000000100000" w:firstRow="0" w:lastRow="0" w:firstColumn="0" w:lastColumn="0" w:oddVBand="0" w:evenVBand="0" w:oddHBand="1" w:evenHBand="0" w:firstRowFirstColumn="0" w:firstRowLastColumn="0" w:lastRowFirstColumn="0" w:lastRowLastColumn="0"/>
          <w:cantSplit/>
          <w:trHeight w:val="48"/>
          <w:jc w:val="center"/>
        </w:trPr>
        <w:tc>
          <w:tcPr>
            <w:cnfStyle w:val="001000000000" w:firstRow="0" w:lastRow="0" w:firstColumn="1" w:lastColumn="0" w:oddVBand="0" w:evenVBand="0" w:oddHBand="0" w:evenHBand="0" w:firstRowFirstColumn="0" w:firstRowLastColumn="0" w:lastRowFirstColumn="0" w:lastRowLastColumn="0"/>
            <w:tcW w:w="1658" w:type="dxa"/>
            <w:vMerge/>
            <w:tcBorders>
              <w:left w:val="nil"/>
              <w:right w:val="nil"/>
            </w:tcBorders>
          </w:tcPr>
          <w:p w14:paraId="201C678D" w14:textId="77777777" w:rsidR="004D0A65" w:rsidRPr="00BF6611" w:rsidRDefault="004D0A65" w:rsidP="002B6C05">
            <w:pPr>
              <w:spacing w:after="0"/>
              <w:jc w:val="center"/>
              <w:rPr>
                <w:rFonts w:ascii="Arial" w:eastAsiaTheme="minorHAnsi" w:hAnsi="Arial" w:cs="Arial"/>
                <w:sz w:val="18"/>
              </w:rPr>
            </w:pPr>
          </w:p>
        </w:tc>
        <w:tc>
          <w:tcPr>
            <w:tcW w:w="1566" w:type="dxa"/>
            <w:vMerge/>
            <w:tcBorders>
              <w:left w:val="nil"/>
              <w:right w:val="nil"/>
            </w:tcBorders>
          </w:tcPr>
          <w:p w14:paraId="7CBD4889" w14:textId="77777777" w:rsidR="004D0A65" w:rsidRPr="00BF6611" w:rsidRDefault="004D0A65" w:rsidP="002B6C05">
            <w:pPr>
              <w:jc w:val="center"/>
              <w:cnfStyle w:val="000000100000" w:firstRow="0" w:lastRow="0" w:firstColumn="0" w:lastColumn="0" w:oddVBand="0" w:evenVBand="0" w:oddHBand="1" w:evenHBand="0" w:firstRowFirstColumn="0" w:firstRowLastColumn="0" w:lastRowFirstColumn="0" w:lastRowLastColumn="0"/>
              <w:rPr>
                <w:rFonts w:cs="Arial"/>
                <w:sz w:val="18"/>
              </w:rPr>
            </w:pPr>
          </w:p>
        </w:tc>
        <w:tc>
          <w:tcPr>
            <w:tcW w:w="2179" w:type="dxa"/>
            <w:tcBorders>
              <w:top w:val="single" w:sz="4" w:space="0" w:color="D5DCE4" w:themeColor="text2" w:themeTint="33"/>
              <w:left w:val="nil"/>
              <w:bottom w:val="single" w:sz="4" w:space="0" w:color="D5DCE4" w:themeColor="text2" w:themeTint="33"/>
              <w:right w:val="nil"/>
            </w:tcBorders>
          </w:tcPr>
          <w:p w14:paraId="0494B871" w14:textId="77777777" w:rsidR="004D0A65" w:rsidRPr="00BF6611" w:rsidRDefault="004D0A65" w:rsidP="002B6C05">
            <w:pPr>
              <w:jc w:val="left"/>
              <w:cnfStyle w:val="000000100000" w:firstRow="0" w:lastRow="0" w:firstColumn="0" w:lastColumn="0" w:oddVBand="0" w:evenVBand="0" w:oddHBand="1" w:evenHBand="0" w:firstRowFirstColumn="0" w:firstRowLastColumn="0" w:lastRowFirstColumn="0" w:lastRowLastColumn="0"/>
              <w:rPr>
                <w:rFonts w:cs="Arial"/>
                <w:sz w:val="18"/>
              </w:rPr>
            </w:pPr>
            <w:r>
              <w:rPr>
                <w:rFonts w:cs="Arial"/>
                <w:sz w:val="18"/>
              </w:rPr>
              <w:t xml:space="preserve">Electric </w:t>
            </w:r>
            <w:r w:rsidRPr="00BF6611">
              <w:rPr>
                <w:rFonts w:cs="Arial"/>
                <w:sz w:val="18"/>
              </w:rPr>
              <w:t>HVAC Controls</w:t>
            </w:r>
          </w:p>
        </w:tc>
        <w:tc>
          <w:tcPr>
            <w:tcW w:w="933" w:type="dxa"/>
            <w:vMerge/>
            <w:tcBorders>
              <w:left w:val="nil"/>
              <w:right w:val="nil"/>
            </w:tcBorders>
          </w:tcPr>
          <w:p w14:paraId="58748684" w14:textId="77777777" w:rsidR="004D0A65" w:rsidRPr="00BF6611" w:rsidRDefault="004D0A65" w:rsidP="002B6C05">
            <w:pPr>
              <w:jc w:val="right"/>
              <w:cnfStyle w:val="000000100000" w:firstRow="0" w:lastRow="0" w:firstColumn="0" w:lastColumn="0" w:oddVBand="0" w:evenVBand="0" w:oddHBand="1" w:evenHBand="0" w:firstRowFirstColumn="0" w:firstRowLastColumn="0" w:lastRowFirstColumn="0" w:lastRowLastColumn="0"/>
              <w:rPr>
                <w:rFonts w:cstheme="minorHAnsi"/>
                <w:sz w:val="18"/>
              </w:rPr>
            </w:pPr>
          </w:p>
        </w:tc>
        <w:tc>
          <w:tcPr>
            <w:tcW w:w="3114" w:type="dxa"/>
            <w:vMerge/>
            <w:tcBorders>
              <w:left w:val="nil"/>
              <w:right w:val="nil"/>
            </w:tcBorders>
          </w:tcPr>
          <w:p w14:paraId="09594A07" w14:textId="77777777" w:rsidR="004D0A65" w:rsidRPr="00BF6611" w:rsidRDefault="004D0A65" w:rsidP="002B6C05">
            <w:pPr>
              <w:spacing w:after="0"/>
              <w:cnfStyle w:val="000000100000" w:firstRow="0" w:lastRow="0" w:firstColumn="0" w:lastColumn="0" w:oddVBand="0" w:evenVBand="0" w:oddHBand="1" w:evenHBand="0" w:firstRowFirstColumn="0" w:firstRowLastColumn="0" w:lastRowFirstColumn="0" w:lastRowLastColumn="0"/>
              <w:rPr>
                <w:rFonts w:eastAsiaTheme="minorHAnsi" w:cstheme="minorHAnsi"/>
                <w:sz w:val="18"/>
              </w:rPr>
            </w:pPr>
          </w:p>
        </w:tc>
      </w:tr>
      <w:tr w:rsidR="004D0A65" w:rsidRPr="00BF6611" w14:paraId="05F8AB30" w14:textId="77777777" w:rsidTr="002B6C05">
        <w:trPr>
          <w:cnfStyle w:val="000000010000" w:firstRow="0" w:lastRow="0" w:firstColumn="0" w:lastColumn="0" w:oddVBand="0" w:evenVBand="0" w:oddHBand="0" w:evenHBand="1" w:firstRowFirstColumn="0" w:firstRowLastColumn="0" w:lastRowFirstColumn="0" w:lastRowLastColumn="0"/>
          <w:cantSplit/>
          <w:trHeight w:val="48"/>
          <w:jc w:val="center"/>
        </w:trPr>
        <w:tc>
          <w:tcPr>
            <w:cnfStyle w:val="001000000000" w:firstRow="0" w:lastRow="0" w:firstColumn="1" w:lastColumn="0" w:oddVBand="0" w:evenVBand="0" w:oddHBand="0" w:evenHBand="0" w:firstRowFirstColumn="0" w:firstRowLastColumn="0" w:lastRowFirstColumn="0" w:lastRowLastColumn="0"/>
            <w:tcW w:w="1658" w:type="dxa"/>
            <w:vMerge/>
            <w:tcBorders>
              <w:left w:val="nil"/>
              <w:right w:val="nil"/>
            </w:tcBorders>
          </w:tcPr>
          <w:p w14:paraId="712438AD" w14:textId="77777777" w:rsidR="004D0A65" w:rsidRPr="00BF6611" w:rsidRDefault="004D0A65" w:rsidP="002B6C05">
            <w:pPr>
              <w:spacing w:after="0"/>
              <w:jc w:val="center"/>
              <w:rPr>
                <w:rFonts w:ascii="Arial" w:eastAsiaTheme="minorHAnsi" w:hAnsi="Arial" w:cs="Arial"/>
                <w:sz w:val="18"/>
              </w:rPr>
            </w:pPr>
          </w:p>
        </w:tc>
        <w:tc>
          <w:tcPr>
            <w:tcW w:w="1566" w:type="dxa"/>
            <w:vMerge/>
            <w:tcBorders>
              <w:left w:val="nil"/>
              <w:right w:val="nil"/>
            </w:tcBorders>
          </w:tcPr>
          <w:p w14:paraId="159F42F4" w14:textId="77777777" w:rsidR="004D0A65" w:rsidRPr="00BF6611" w:rsidRDefault="004D0A65" w:rsidP="002B6C05">
            <w:pPr>
              <w:jc w:val="center"/>
              <w:cnfStyle w:val="000000010000" w:firstRow="0" w:lastRow="0" w:firstColumn="0" w:lastColumn="0" w:oddVBand="0" w:evenVBand="0" w:oddHBand="0" w:evenHBand="1" w:firstRowFirstColumn="0" w:firstRowLastColumn="0" w:lastRowFirstColumn="0" w:lastRowLastColumn="0"/>
              <w:rPr>
                <w:rFonts w:cs="Arial"/>
                <w:sz w:val="18"/>
              </w:rPr>
            </w:pPr>
          </w:p>
        </w:tc>
        <w:tc>
          <w:tcPr>
            <w:tcW w:w="2179" w:type="dxa"/>
            <w:tcBorders>
              <w:top w:val="single" w:sz="4" w:space="0" w:color="D5DCE4" w:themeColor="text2" w:themeTint="33"/>
              <w:left w:val="nil"/>
              <w:bottom w:val="single" w:sz="4" w:space="0" w:color="D5DCE4" w:themeColor="text2" w:themeTint="33"/>
              <w:right w:val="nil"/>
            </w:tcBorders>
          </w:tcPr>
          <w:p w14:paraId="19D85918" w14:textId="77777777" w:rsidR="004D0A65" w:rsidRPr="00BF6611" w:rsidRDefault="004D0A65" w:rsidP="002B6C05">
            <w:pPr>
              <w:jc w:val="left"/>
              <w:cnfStyle w:val="000000010000" w:firstRow="0" w:lastRow="0" w:firstColumn="0" w:lastColumn="0" w:oddVBand="0" w:evenVBand="0" w:oddHBand="0" w:evenHBand="1" w:firstRowFirstColumn="0" w:firstRowLastColumn="0" w:lastRowFirstColumn="0" w:lastRowLastColumn="0"/>
              <w:rPr>
                <w:rFonts w:cs="Arial"/>
                <w:sz w:val="18"/>
              </w:rPr>
            </w:pPr>
            <w:r w:rsidRPr="00BF6611">
              <w:rPr>
                <w:rFonts w:cs="Arial"/>
                <w:sz w:val="18"/>
              </w:rPr>
              <w:t xml:space="preserve">Low-Flow High Performance Hood - </w:t>
            </w:r>
          </w:p>
        </w:tc>
        <w:tc>
          <w:tcPr>
            <w:tcW w:w="933" w:type="dxa"/>
            <w:vMerge/>
            <w:tcBorders>
              <w:left w:val="nil"/>
              <w:right w:val="nil"/>
            </w:tcBorders>
          </w:tcPr>
          <w:p w14:paraId="1BDEA804" w14:textId="77777777" w:rsidR="004D0A65" w:rsidRPr="00BF6611" w:rsidRDefault="004D0A65" w:rsidP="002B6C05">
            <w:pPr>
              <w:jc w:val="right"/>
              <w:cnfStyle w:val="000000010000" w:firstRow="0" w:lastRow="0" w:firstColumn="0" w:lastColumn="0" w:oddVBand="0" w:evenVBand="0" w:oddHBand="0" w:evenHBand="1" w:firstRowFirstColumn="0" w:firstRowLastColumn="0" w:lastRowFirstColumn="0" w:lastRowLastColumn="0"/>
              <w:rPr>
                <w:rFonts w:cstheme="minorHAnsi"/>
                <w:sz w:val="18"/>
              </w:rPr>
            </w:pPr>
          </w:p>
        </w:tc>
        <w:tc>
          <w:tcPr>
            <w:tcW w:w="3114" w:type="dxa"/>
            <w:vMerge/>
            <w:tcBorders>
              <w:left w:val="nil"/>
              <w:right w:val="nil"/>
            </w:tcBorders>
          </w:tcPr>
          <w:p w14:paraId="47E06111" w14:textId="77777777" w:rsidR="004D0A65" w:rsidRPr="00BF6611" w:rsidRDefault="004D0A65" w:rsidP="002B6C05">
            <w:pPr>
              <w:spacing w:after="0"/>
              <w:cnfStyle w:val="000000010000" w:firstRow="0" w:lastRow="0" w:firstColumn="0" w:lastColumn="0" w:oddVBand="0" w:evenVBand="0" w:oddHBand="0" w:evenHBand="1" w:firstRowFirstColumn="0" w:firstRowLastColumn="0" w:lastRowFirstColumn="0" w:lastRowLastColumn="0"/>
              <w:rPr>
                <w:rFonts w:eastAsiaTheme="minorHAnsi" w:cstheme="minorHAnsi"/>
                <w:sz w:val="18"/>
              </w:rPr>
            </w:pPr>
          </w:p>
        </w:tc>
      </w:tr>
      <w:tr w:rsidR="004D0A65" w:rsidRPr="00BF6611" w14:paraId="0E78047A" w14:textId="77777777" w:rsidTr="002B6C05">
        <w:trPr>
          <w:cnfStyle w:val="000000100000" w:firstRow="0" w:lastRow="0" w:firstColumn="0" w:lastColumn="0" w:oddVBand="0" w:evenVBand="0" w:oddHBand="1" w:evenHBand="0" w:firstRowFirstColumn="0" w:firstRowLastColumn="0" w:lastRowFirstColumn="0" w:lastRowLastColumn="0"/>
          <w:cantSplit/>
          <w:trHeight w:val="48"/>
          <w:jc w:val="center"/>
        </w:trPr>
        <w:tc>
          <w:tcPr>
            <w:cnfStyle w:val="001000000000" w:firstRow="0" w:lastRow="0" w:firstColumn="1" w:lastColumn="0" w:oddVBand="0" w:evenVBand="0" w:oddHBand="0" w:evenHBand="0" w:firstRowFirstColumn="0" w:firstRowLastColumn="0" w:lastRowFirstColumn="0" w:lastRowLastColumn="0"/>
            <w:tcW w:w="1658" w:type="dxa"/>
            <w:vMerge/>
            <w:tcBorders>
              <w:left w:val="nil"/>
              <w:right w:val="nil"/>
            </w:tcBorders>
          </w:tcPr>
          <w:p w14:paraId="2FCBF408" w14:textId="77777777" w:rsidR="004D0A65" w:rsidRPr="00BF6611" w:rsidRDefault="004D0A65" w:rsidP="002B6C05">
            <w:pPr>
              <w:spacing w:after="0"/>
              <w:jc w:val="center"/>
              <w:rPr>
                <w:rFonts w:ascii="Arial" w:eastAsiaTheme="minorHAnsi" w:hAnsi="Arial" w:cs="Arial"/>
                <w:sz w:val="18"/>
              </w:rPr>
            </w:pPr>
          </w:p>
        </w:tc>
        <w:tc>
          <w:tcPr>
            <w:tcW w:w="1566" w:type="dxa"/>
            <w:vMerge/>
            <w:tcBorders>
              <w:left w:val="nil"/>
              <w:right w:val="nil"/>
            </w:tcBorders>
          </w:tcPr>
          <w:p w14:paraId="3E5D9519" w14:textId="77777777" w:rsidR="004D0A65" w:rsidRPr="00BF6611" w:rsidRDefault="004D0A65" w:rsidP="002B6C05">
            <w:pPr>
              <w:jc w:val="center"/>
              <w:cnfStyle w:val="000000100000" w:firstRow="0" w:lastRow="0" w:firstColumn="0" w:lastColumn="0" w:oddVBand="0" w:evenVBand="0" w:oddHBand="1" w:evenHBand="0" w:firstRowFirstColumn="0" w:firstRowLastColumn="0" w:lastRowFirstColumn="0" w:lastRowLastColumn="0"/>
              <w:rPr>
                <w:rFonts w:cs="Arial"/>
                <w:sz w:val="18"/>
              </w:rPr>
            </w:pPr>
          </w:p>
        </w:tc>
        <w:tc>
          <w:tcPr>
            <w:tcW w:w="2179" w:type="dxa"/>
            <w:tcBorders>
              <w:top w:val="single" w:sz="4" w:space="0" w:color="D5DCE4" w:themeColor="text2" w:themeTint="33"/>
              <w:left w:val="nil"/>
              <w:bottom w:val="single" w:sz="4" w:space="0" w:color="D5DCE4" w:themeColor="text2" w:themeTint="33"/>
              <w:right w:val="nil"/>
            </w:tcBorders>
          </w:tcPr>
          <w:p w14:paraId="272DB0C8" w14:textId="77777777" w:rsidR="004D0A65" w:rsidRPr="00BF6611" w:rsidRDefault="004D0A65" w:rsidP="002B6C05">
            <w:pPr>
              <w:jc w:val="left"/>
              <w:cnfStyle w:val="000000100000" w:firstRow="0" w:lastRow="0" w:firstColumn="0" w:lastColumn="0" w:oddVBand="0" w:evenVBand="0" w:oddHBand="1" w:evenHBand="0" w:firstRowFirstColumn="0" w:firstRowLastColumn="0" w:lastRowFirstColumn="0" w:lastRowLastColumn="0"/>
              <w:rPr>
                <w:rFonts w:cs="Arial"/>
                <w:sz w:val="18"/>
              </w:rPr>
            </w:pPr>
            <w:r w:rsidRPr="00BF6611">
              <w:rPr>
                <w:rFonts w:cs="Arial"/>
                <w:sz w:val="18"/>
              </w:rPr>
              <w:t>Reduce/Optimize Air Change per Hour (ACH) Rate - Chiller</w:t>
            </w:r>
          </w:p>
        </w:tc>
        <w:tc>
          <w:tcPr>
            <w:tcW w:w="933" w:type="dxa"/>
            <w:vMerge/>
            <w:tcBorders>
              <w:left w:val="nil"/>
              <w:right w:val="nil"/>
            </w:tcBorders>
          </w:tcPr>
          <w:p w14:paraId="1EE3B430" w14:textId="77777777" w:rsidR="004D0A65" w:rsidRPr="00BF6611" w:rsidRDefault="004D0A65" w:rsidP="002B6C05">
            <w:pPr>
              <w:jc w:val="right"/>
              <w:cnfStyle w:val="000000100000" w:firstRow="0" w:lastRow="0" w:firstColumn="0" w:lastColumn="0" w:oddVBand="0" w:evenVBand="0" w:oddHBand="1" w:evenHBand="0" w:firstRowFirstColumn="0" w:firstRowLastColumn="0" w:lastRowFirstColumn="0" w:lastRowLastColumn="0"/>
              <w:rPr>
                <w:rFonts w:cstheme="minorHAnsi"/>
                <w:sz w:val="18"/>
              </w:rPr>
            </w:pPr>
          </w:p>
        </w:tc>
        <w:tc>
          <w:tcPr>
            <w:tcW w:w="3114" w:type="dxa"/>
            <w:vMerge/>
            <w:tcBorders>
              <w:left w:val="nil"/>
              <w:right w:val="nil"/>
            </w:tcBorders>
          </w:tcPr>
          <w:p w14:paraId="20844C83" w14:textId="77777777" w:rsidR="004D0A65" w:rsidRPr="00BF6611" w:rsidRDefault="004D0A65" w:rsidP="002B6C05">
            <w:pPr>
              <w:spacing w:after="0"/>
              <w:cnfStyle w:val="000000100000" w:firstRow="0" w:lastRow="0" w:firstColumn="0" w:lastColumn="0" w:oddVBand="0" w:evenVBand="0" w:oddHBand="1" w:evenHBand="0" w:firstRowFirstColumn="0" w:firstRowLastColumn="0" w:lastRowFirstColumn="0" w:lastRowLastColumn="0"/>
              <w:rPr>
                <w:rFonts w:eastAsiaTheme="minorHAnsi" w:cstheme="minorHAnsi"/>
                <w:sz w:val="18"/>
              </w:rPr>
            </w:pPr>
          </w:p>
        </w:tc>
      </w:tr>
      <w:tr w:rsidR="004D0A65" w:rsidRPr="00BF6611" w14:paraId="5AF4070F" w14:textId="77777777" w:rsidTr="002B6C05">
        <w:trPr>
          <w:cnfStyle w:val="000000010000" w:firstRow="0" w:lastRow="0" w:firstColumn="0" w:lastColumn="0" w:oddVBand="0" w:evenVBand="0" w:oddHBand="0" w:evenHBand="1" w:firstRowFirstColumn="0" w:firstRowLastColumn="0" w:lastRowFirstColumn="0" w:lastRowLastColumn="0"/>
          <w:cantSplit/>
          <w:trHeight w:val="48"/>
          <w:jc w:val="center"/>
        </w:trPr>
        <w:tc>
          <w:tcPr>
            <w:cnfStyle w:val="001000000000" w:firstRow="0" w:lastRow="0" w:firstColumn="1" w:lastColumn="0" w:oddVBand="0" w:evenVBand="0" w:oddHBand="0" w:evenHBand="0" w:firstRowFirstColumn="0" w:firstRowLastColumn="0" w:lastRowFirstColumn="0" w:lastRowLastColumn="0"/>
            <w:tcW w:w="1658" w:type="dxa"/>
            <w:vMerge/>
            <w:tcBorders>
              <w:left w:val="nil"/>
              <w:right w:val="nil"/>
            </w:tcBorders>
          </w:tcPr>
          <w:p w14:paraId="2D50695B" w14:textId="77777777" w:rsidR="004D0A65" w:rsidRPr="00BF6611" w:rsidRDefault="004D0A65" w:rsidP="002B6C05">
            <w:pPr>
              <w:spacing w:after="0"/>
              <w:jc w:val="center"/>
              <w:rPr>
                <w:rFonts w:ascii="Arial" w:eastAsiaTheme="minorHAnsi" w:hAnsi="Arial" w:cs="Arial"/>
                <w:sz w:val="18"/>
              </w:rPr>
            </w:pPr>
          </w:p>
        </w:tc>
        <w:tc>
          <w:tcPr>
            <w:tcW w:w="1566" w:type="dxa"/>
            <w:vMerge/>
            <w:tcBorders>
              <w:left w:val="nil"/>
              <w:right w:val="nil"/>
            </w:tcBorders>
          </w:tcPr>
          <w:p w14:paraId="00E681E8" w14:textId="77777777" w:rsidR="004D0A65" w:rsidRPr="00BF6611" w:rsidRDefault="004D0A65" w:rsidP="002B6C05">
            <w:pPr>
              <w:jc w:val="center"/>
              <w:cnfStyle w:val="000000010000" w:firstRow="0" w:lastRow="0" w:firstColumn="0" w:lastColumn="0" w:oddVBand="0" w:evenVBand="0" w:oddHBand="0" w:evenHBand="1" w:firstRowFirstColumn="0" w:firstRowLastColumn="0" w:lastRowFirstColumn="0" w:lastRowLastColumn="0"/>
              <w:rPr>
                <w:rFonts w:cs="Arial"/>
                <w:sz w:val="18"/>
              </w:rPr>
            </w:pPr>
          </w:p>
        </w:tc>
        <w:tc>
          <w:tcPr>
            <w:tcW w:w="2179" w:type="dxa"/>
            <w:tcBorders>
              <w:top w:val="single" w:sz="4" w:space="0" w:color="D5DCE4" w:themeColor="text2" w:themeTint="33"/>
              <w:left w:val="nil"/>
              <w:bottom w:val="single" w:sz="4" w:space="0" w:color="D5DCE4" w:themeColor="text2" w:themeTint="33"/>
              <w:right w:val="nil"/>
            </w:tcBorders>
          </w:tcPr>
          <w:p w14:paraId="26125D73" w14:textId="77777777" w:rsidR="004D0A65" w:rsidRPr="00BF6611" w:rsidRDefault="004D0A65" w:rsidP="002B6C05">
            <w:pPr>
              <w:jc w:val="left"/>
              <w:cnfStyle w:val="000000010000" w:firstRow="0" w:lastRow="0" w:firstColumn="0" w:lastColumn="0" w:oddVBand="0" w:evenVBand="0" w:oddHBand="0" w:evenHBand="1" w:firstRowFirstColumn="0" w:firstRowLastColumn="0" w:lastRowFirstColumn="0" w:lastRowLastColumn="0"/>
              <w:rPr>
                <w:rFonts w:cs="Arial"/>
                <w:sz w:val="18"/>
              </w:rPr>
            </w:pPr>
            <w:r w:rsidRPr="00BF6611">
              <w:rPr>
                <w:rFonts w:cs="Arial"/>
                <w:sz w:val="18"/>
              </w:rPr>
              <w:t>Sash Stops</w:t>
            </w:r>
          </w:p>
        </w:tc>
        <w:tc>
          <w:tcPr>
            <w:tcW w:w="933" w:type="dxa"/>
            <w:vMerge/>
            <w:tcBorders>
              <w:left w:val="nil"/>
              <w:right w:val="nil"/>
            </w:tcBorders>
          </w:tcPr>
          <w:p w14:paraId="2997D926" w14:textId="77777777" w:rsidR="004D0A65" w:rsidRPr="00BF6611" w:rsidRDefault="004D0A65" w:rsidP="002B6C05">
            <w:pPr>
              <w:jc w:val="right"/>
              <w:cnfStyle w:val="000000010000" w:firstRow="0" w:lastRow="0" w:firstColumn="0" w:lastColumn="0" w:oddVBand="0" w:evenVBand="0" w:oddHBand="0" w:evenHBand="1" w:firstRowFirstColumn="0" w:firstRowLastColumn="0" w:lastRowFirstColumn="0" w:lastRowLastColumn="0"/>
              <w:rPr>
                <w:rFonts w:cstheme="minorHAnsi"/>
                <w:sz w:val="18"/>
              </w:rPr>
            </w:pPr>
          </w:p>
        </w:tc>
        <w:tc>
          <w:tcPr>
            <w:tcW w:w="3114" w:type="dxa"/>
            <w:vMerge/>
            <w:tcBorders>
              <w:left w:val="nil"/>
              <w:right w:val="nil"/>
            </w:tcBorders>
          </w:tcPr>
          <w:p w14:paraId="41725A03" w14:textId="77777777" w:rsidR="004D0A65" w:rsidRPr="00BF6611" w:rsidRDefault="004D0A65" w:rsidP="002B6C05">
            <w:pPr>
              <w:spacing w:after="0"/>
              <w:cnfStyle w:val="000000010000" w:firstRow="0" w:lastRow="0" w:firstColumn="0" w:lastColumn="0" w:oddVBand="0" w:evenVBand="0" w:oddHBand="0" w:evenHBand="1" w:firstRowFirstColumn="0" w:firstRowLastColumn="0" w:lastRowFirstColumn="0" w:lastRowLastColumn="0"/>
              <w:rPr>
                <w:rFonts w:eastAsiaTheme="minorHAnsi" w:cstheme="minorHAnsi"/>
                <w:sz w:val="18"/>
              </w:rPr>
            </w:pPr>
          </w:p>
        </w:tc>
      </w:tr>
      <w:tr w:rsidR="004D0A65" w:rsidRPr="00BF6611" w14:paraId="7818FD4D" w14:textId="77777777" w:rsidTr="002B6C05">
        <w:trPr>
          <w:cnfStyle w:val="000000100000" w:firstRow="0" w:lastRow="0" w:firstColumn="0" w:lastColumn="0" w:oddVBand="0" w:evenVBand="0" w:oddHBand="1" w:evenHBand="0" w:firstRowFirstColumn="0" w:firstRowLastColumn="0" w:lastRowFirstColumn="0" w:lastRowLastColumn="0"/>
          <w:cantSplit/>
          <w:trHeight w:val="755"/>
          <w:jc w:val="center"/>
        </w:trPr>
        <w:tc>
          <w:tcPr>
            <w:cnfStyle w:val="001000000000" w:firstRow="0" w:lastRow="0" w:firstColumn="1" w:lastColumn="0" w:oddVBand="0" w:evenVBand="0" w:oddHBand="0" w:evenHBand="0" w:firstRowFirstColumn="0" w:firstRowLastColumn="0" w:lastRowFirstColumn="0" w:lastRowLastColumn="0"/>
            <w:tcW w:w="1658" w:type="dxa"/>
            <w:vMerge w:val="restart"/>
            <w:tcBorders>
              <w:top w:val="single" w:sz="4" w:space="0" w:color="D5DCE4" w:themeColor="text2" w:themeTint="33"/>
              <w:left w:val="nil"/>
              <w:bottom w:val="single" w:sz="4" w:space="0" w:color="D5DCE4" w:themeColor="text2" w:themeTint="33"/>
              <w:right w:val="nil"/>
            </w:tcBorders>
            <w:hideMark/>
          </w:tcPr>
          <w:p w14:paraId="5EBFA410" w14:textId="77777777" w:rsidR="004D0A65" w:rsidRPr="00BF6611" w:rsidRDefault="004D0A65" w:rsidP="002B6C05">
            <w:pPr>
              <w:jc w:val="center"/>
              <w:rPr>
                <w:rFonts w:ascii="Arial" w:hAnsi="Arial" w:cs="Arial"/>
                <w:sz w:val="18"/>
              </w:rPr>
            </w:pPr>
            <w:r w:rsidRPr="00BF6611">
              <w:rPr>
                <w:rFonts w:ascii="Arial" w:hAnsi="Arial" w:cs="Arial"/>
                <w:sz w:val="18"/>
              </w:rPr>
              <w:t>Lighting</w:t>
            </w:r>
          </w:p>
        </w:tc>
        <w:tc>
          <w:tcPr>
            <w:tcW w:w="1566" w:type="dxa"/>
            <w:vMerge w:val="restart"/>
            <w:tcBorders>
              <w:top w:val="single" w:sz="4" w:space="0" w:color="D5DCE4" w:themeColor="text2" w:themeTint="33"/>
              <w:left w:val="nil"/>
              <w:right w:val="nil"/>
            </w:tcBorders>
            <w:hideMark/>
          </w:tcPr>
          <w:p w14:paraId="7905DCF1" w14:textId="77777777" w:rsidR="004D0A65" w:rsidRPr="00BF6611" w:rsidRDefault="004D0A65" w:rsidP="002B6C05">
            <w:pPr>
              <w:jc w:val="center"/>
              <w:cnfStyle w:val="000000100000" w:firstRow="0" w:lastRow="0" w:firstColumn="0" w:lastColumn="0" w:oddVBand="0" w:evenVBand="0" w:oddHBand="1" w:evenHBand="0" w:firstRowFirstColumn="0" w:firstRowLastColumn="0" w:lastRowFirstColumn="0" w:lastRowLastColumn="0"/>
              <w:rPr>
                <w:rFonts w:cs="Arial"/>
                <w:sz w:val="18"/>
              </w:rPr>
            </w:pPr>
            <w:r w:rsidRPr="00BF6611">
              <w:rPr>
                <w:rFonts w:cs="Arial"/>
                <w:sz w:val="18"/>
              </w:rPr>
              <w:t>New Construction/</w:t>
            </w:r>
          </w:p>
          <w:p w14:paraId="70F9EF4D" w14:textId="77777777" w:rsidR="004D0A65" w:rsidRPr="00BF6611" w:rsidRDefault="004D0A65" w:rsidP="002B6C05">
            <w:pPr>
              <w:jc w:val="center"/>
              <w:cnfStyle w:val="000000100000" w:firstRow="0" w:lastRow="0" w:firstColumn="0" w:lastColumn="0" w:oddVBand="0" w:evenVBand="0" w:oddHBand="1" w:evenHBand="0" w:firstRowFirstColumn="0" w:firstRowLastColumn="0" w:lastRowFirstColumn="0" w:lastRowLastColumn="0"/>
              <w:rPr>
                <w:rFonts w:cs="Arial"/>
                <w:sz w:val="18"/>
              </w:rPr>
            </w:pPr>
            <w:r w:rsidRPr="00BF6611">
              <w:rPr>
                <w:rFonts w:cs="Arial"/>
                <w:sz w:val="18"/>
              </w:rPr>
              <w:t>Custom Lighting</w:t>
            </w:r>
          </w:p>
        </w:tc>
        <w:tc>
          <w:tcPr>
            <w:tcW w:w="2179" w:type="dxa"/>
            <w:tcBorders>
              <w:top w:val="single" w:sz="4" w:space="0" w:color="D5DCE4" w:themeColor="text2" w:themeTint="33"/>
              <w:left w:val="nil"/>
              <w:bottom w:val="single" w:sz="4" w:space="0" w:color="D5DCE4" w:themeColor="text2" w:themeTint="33"/>
              <w:right w:val="nil"/>
            </w:tcBorders>
          </w:tcPr>
          <w:p w14:paraId="3F5E5096" w14:textId="77777777" w:rsidR="004D0A65" w:rsidRPr="00BF6611" w:rsidRDefault="004D0A65" w:rsidP="002B6C05">
            <w:pPr>
              <w:jc w:val="left"/>
              <w:cnfStyle w:val="000000100000" w:firstRow="0" w:lastRow="0" w:firstColumn="0" w:lastColumn="0" w:oddVBand="0" w:evenVBand="0" w:oddHBand="1" w:evenHBand="0" w:firstRowFirstColumn="0" w:firstRowLastColumn="0" w:lastRowFirstColumn="0" w:lastRowLastColumn="0"/>
              <w:rPr>
                <w:rFonts w:cs="Arial"/>
                <w:sz w:val="18"/>
              </w:rPr>
            </w:pPr>
            <w:r w:rsidRPr="00BF6611">
              <w:rPr>
                <w:rFonts w:cs="Arial"/>
                <w:sz w:val="18"/>
              </w:rPr>
              <w:t>Ceramic MH Lamp</w:t>
            </w:r>
          </w:p>
        </w:tc>
        <w:tc>
          <w:tcPr>
            <w:tcW w:w="933" w:type="dxa"/>
            <w:vMerge w:val="restart"/>
            <w:tcBorders>
              <w:top w:val="single" w:sz="4" w:space="0" w:color="D5DCE4" w:themeColor="text2" w:themeTint="33"/>
              <w:left w:val="nil"/>
              <w:right w:val="nil"/>
            </w:tcBorders>
            <w:hideMark/>
          </w:tcPr>
          <w:p w14:paraId="20466ED3" w14:textId="77777777" w:rsidR="004D0A65" w:rsidRPr="00BF6611" w:rsidRDefault="004D0A65" w:rsidP="002B6C05">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18"/>
              </w:rPr>
            </w:pPr>
            <w:r w:rsidRPr="00BF6611">
              <w:rPr>
                <w:rFonts w:cstheme="minorHAnsi"/>
                <w:sz w:val="18"/>
              </w:rPr>
              <w:t>15</w:t>
            </w:r>
          </w:p>
        </w:tc>
        <w:tc>
          <w:tcPr>
            <w:tcW w:w="3114" w:type="dxa"/>
            <w:vMerge w:val="restart"/>
            <w:tcBorders>
              <w:top w:val="single" w:sz="4" w:space="0" w:color="D5DCE4" w:themeColor="text2" w:themeTint="33"/>
              <w:left w:val="nil"/>
              <w:bottom w:val="single" w:sz="4" w:space="0" w:color="D5DCE4" w:themeColor="text2" w:themeTint="33"/>
              <w:right w:val="nil"/>
            </w:tcBorders>
            <w:hideMark/>
          </w:tcPr>
          <w:p w14:paraId="49165072" w14:textId="77777777" w:rsidR="004D0A65" w:rsidRPr="00BF6611" w:rsidRDefault="004D0A65" w:rsidP="002B6C05">
            <w:pPr>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18"/>
              </w:rPr>
            </w:pPr>
            <w:r w:rsidRPr="00BF6611">
              <w:rPr>
                <w:rFonts w:cstheme="minorHAnsi"/>
                <w:sz w:val="18"/>
              </w:rPr>
              <w:t xml:space="preserve">Section 4.5.8 of the TRM covers ‘Miscellaneous Commercial/Industrial Lighting’. It applies to “energy efficient lighting upgrades that are not captured in other measures within the TRM”. The measure applies to retrofits and appears to be applicable to any non-prescriptive lighting measures, which would imply a 15-year measure life for custom lighting measures. It does not cover new construction or controls, thus the recommendation to include these subcategories. </w:t>
            </w:r>
          </w:p>
        </w:tc>
      </w:tr>
      <w:tr w:rsidR="004D0A65" w:rsidRPr="00BF6611" w14:paraId="219E91C8" w14:textId="77777777" w:rsidTr="002B6C05">
        <w:trPr>
          <w:cnfStyle w:val="000000010000" w:firstRow="0" w:lastRow="0" w:firstColumn="0" w:lastColumn="0" w:oddVBand="0" w:evenVBand="0" w:oddHBand="0" w:evenHBand="1" w:firstRowFirstColumn="0" w:firstRowLastColumn="0" w:lastRowFirstColumn="0" w:lastRowLastColumn="0"/>
          <w:cantSplit/>
          <w:trHeight w:val="1258"/>
          <w:jc w:val="center"/>
        </w:trPr>
        <w:tc>
          <w:tcPr>
            <w:cnfStyle w:val="001000000000" w:firstRow="0" w:lastRow="0" w:firstColumn="1" w:lastColumn="0" w:oddVBand="0" w:evenVBand="0" w:oddHBand="0" w:evenHBand="0" w:firstRowFirstColumn="0" w:firstRowLastColumn="0" w:lastRowFirstColumn="0" w:lastRowLastColumn="0"/>
            <w:tcW w:w="1658" w:type="dxa"/>
            <w:vMerge/>
            <w:tcBorders>
              <w:top w:val="single" w:sz="4" w:space="0" w:color="D5DCE4" w:themeColor="text2" w:themeTint="33"/>
              <w:left w:val="nil"/>
              <w:bottom w:val="single" w:sz="4" w:space="0" w:color="D5DCE4" w:themeColor="text2" w:themeTint="33"/>
              <w:right w:val="nil"/>
            </w:tcBorders>
          </w:tcPr>
          <w:p w14:paraId="71BA75A5" w14:textId="77777777" w:rsidR="004D0A65" w:rsidRPr="00BF6611" w:rsidRDefault="004D0A65" w:rsidP="002B6C05">
            <w:pPr>
              <w:jc w:val="center"/>
              <w:rPr>
                <w:rFonts w:ascii="Arial" w:hAnsi="Arial" w:cs="Arial"/>
                <w:sz w:val="18"/>
              </w:rPr>
            </w:pPr>
          </w:p>
        </w:tc>
        <w:tc>
          <w:tcPr>
            <w:tcW w:w="1566" w:type="dxa"/>
            <w:vMerge/>
            <w:tcBorders>
              <w:left w:val="nil"/>
              <w:bottom w:val="single" w:sz="4" w:space="0" w:color="D5DCE4" w:themeColor="text2" w:themeTint="33"/>
              <w:right w:val="nil"/>
            </w:tcBorders>
          </w:tcPr>
          <w:p w14:paraId="194032C1" w14:textId="77777777" w:rsidR="004D0A65" w:rsidRPr="00BF6611" w:rsidRDefault="004D0A65" w:rsidP="002B6C05">
            <w:pPr>
              <w:jc w:val="center"/>
              <w:cnfStyle w:val="000000010000" w:firstRow="0" w:lastRow="0" w:firstColumn="0" w:lastColumn="0" w:oddVBand="0" w:evenVBand="0" w:oddHBand="0" w:evenHBand="1" w:firstRowFirstColumn="0" w:firstRowLastColumn="0" w:lastRowFirstColumn="0" w:lastRowLastColumn="0"/>
              <w:rPr>
                <w:rFonts w:cs="Arial"/>
                <w:sz w:val="18"/>
              </w:rPr>
            </w:pPr>
          </w:p>
        </w:tc>
        <w:tc>
          <w:tcPr>
            <w:tcW w:w="2179" w:type="dxa"/>
            <w:tcBorders>
              <w:top w:val="single" w:sz="4" w:space="0" w:color="D5DCE4" w:themeColor="text2" w:themeTint="33"/>
              <w:left w:val="nil"/>
              <w:bottom w:val="single" w:sz="4" w:space="0" w:color="D5DCE4" w:themeColor="text2" w:themeTint="33"/>
              <w:right w:val="nil"/>
            </w:tcBorders>
          </w:tcPr>
          <w:p w14:paraId="4EE7DAAC" w14:textId="77777777" w:rsidR="004D0A65" w:rsidRPr="00BF6611" w:rsidRDefault="004D0A65" w:rsidP="002B6C05">
            <w:pPr>
              <w:jc w:val="left"/>
              <w:cnfStyle w:val="000000010000" w:firstRow="0" w:lastRow="0" w:firstColumn="0" w:lastColumn="0" w:oddVBand="0" w:evenVBand="0" w:oddHBand="0" w:evenHBand="1" w:firstRowFirstColumn="0" w:firstRowLastColumn="0" w:lastRowFirstColumn="0" w:lastRowLastColumn="0"/>
              <w:rPr>
                <w:rFonts w:cs="Arial"/>
                <w:sz w:val="18"/>
              </w:rPr>
            </w:pPr>
            <w:r w:rsidRPr="00BF6611">
              <w:rPr>
                <w:rFonts w:cs="Arial"/>
                <w:sz w:val="18"/>
              </w:rPr>
              <w:t>New Construction Lighting</w:t>
            </w:r>
          </w:p>
        </w:tc>
        <w:tc>
          <w:tcPr>
            <w:tcW w:w="933" w:type="dxa"/>
            <w:vMerge/>
            <w:tcBorders>
              <w:left w:val="nil"/>
              <w:bottom w:val="single" w:sz="4" w:space="0" w:color="D5DCE4" w:themeColor="text2" w:themeTint="33"/>
              <w:right w:val="nil"/>
            </w:tcBorders>
          </w:tcPr>
          <w:p w14:paraId="2FBCDA0B" w14:textId="77777777" w:rsidR="004D0A65" w:rsidRPr="00BF6611" w:rsidRDefault="004D0A65" w:rsidP="002B6C05">
            <w:pPr>
              <w:jc w:val="right"/>
              <w:cnfStyle w:val="000000010000" w:firstRow="0" w:lastRow="0" w:firstColumn="0" w:lastColumn="0" w:oddVBand="0" w:evenVBand="0" w:oddHBand="0" w:evenHBand="1" w:firstRowFirstColumn="0" w:firstRowLastColumn="0" w:lastRowFirstColumn="0" w:lastRowLastColumn="0"/>
              <w:rPr>
                <w:rFonts w:cstheme="minorHAnsi"/>
                <w:sz w:val="18"/>
              </w:rPr>
            </w:pPr>
          </w:p>
        </w:tc>
        <w:tc>
          <w:tcPr>
            <w:tcW w:w="3114" w:type="dxa"/>
            <w:vMerge/>
            <w:tcBorders>
              <w:top w:val="single" w:sz="4" w:space="0" w:color="D5DCE4" w:themeColor="text2" w:themeTint="33"/>
              <w:left w:val="nil"/>
              <w:bottom w:val="single" w:sz="4" w:space="0" w:color="D5DCE4" w:themeColor="text2" w:themeTint="33"/>
              <w:right w:val="nil"/>
            </w:tcBorders>
          </w:tcPr>
          <w:p w14:paraId="7B059E80" w14:textId="77777777" w:rsidR="004D0A65" w:rsidRPr="00BF6611" w:rsidRDefault="004D0A65" w:rsidP="002B6C05">
            <w:pPr>
              <w:jc w:val="left"/>
              <w:cnfStyle w:val="000000010000" w:firstRow="0" w:lastRow="0" w:firstColumn="0" w:lastColumn="0" w:oddVBand="0" w:evenVBand="0" w:oddHBand="0" w:evenHBand="1" w:firstRowFirstColumn="0" w:firstRowLastColumn="0" w:lastRowFirstColumn="0" w:lastRowLastColumn="0"/>
              <w:rPr>
                <w:rFonts w:cstheme="minorHAnsi"/>
                <w:sz w:val="18"/>
              </w:rPr>
            </w:pPr>
          </w:p>
        </w:tc>
      </w:tr>
      <w:tr w:rsidR="004D0A65" w:rsidRPr="00BF6611" w14:paraId="2CC2F1B1" w14:textId="77777777" w:rsidTr="002B6C05">
        <w:trPr>
          <w:cnfStyle w:val="000000100000" w:firstRow="0" w:lastRow="0" w:firstColumn="0" w:lastColumn="0" w:oddVBand="0" w:evenVBand="0" w:oddHBand="1" w:evenHBand="0" w:firstRowFirstColumn="0" w:firstRowLastColumn="0" w:lastRowFirstColumn="0" w:lastRowLastColumn="0"/>
          <w:cantSplit/>
          <w:trHeight w:val="300"/>
          <w:jc w:val="center"/>
        </w:trPr>
        <w:tc>
          <w:tcPr>
            <w:cnfStyle w:val="001000000000" w:firstRow="0" w:lastRow="0" w:firstColumn="1" w:lastColumn="0" w:oddVBand="0" w:evenVBand="0" w:oddHBand="0" w:evenHBand="0" w:firstRowFirstColumn="0" w:firstRowLastColumn="0" w:lastRowFirstColumn="0" w:lastRowLastColumn="0"/>
            <w:tcW w:w="1658" w:type="dxa"/>
            <w:vMerge/>
            <w:tcBorders>
              <w:top w:val="single" w:sz="4" w:space="0" w:color="D5DCE4" w:themeColor="text2" w:themeTint="33"/>
              <w:left w:val="nil"/>
              <w:bottom w:val="single" w:sz="4" w:space="0" w:color="D5DCE4" w:themeColor="text2" w:themeTint="33"/>
              <w:right w:val="nil"/>
            </w:tcBorders>
            <w:hideMark/>
          </w:tcPr>
          <w:p w14:paraId="5B4B741B" w14:textId="77777777" w:rsidR="004D0A65" w:rsidRPr="00BF6611" w:rsidRDefault="004D0A65" w:rsidP="002B6C05">
            <w:pPr>
              <w:spacing w:before="0" w:after="0"/>
              <w:jc w:val="center"/>
              <w:rPr>
                <w:rFonts w:ascii="Arial" w:eastAsiaTheme="minorHAnsi" w:hAnsi="Arial" w:cs="Arial"/>
                <w:sz w:val="18"/>
              </w:rPr>
            </w:pPr>
          </w:p>
        </w:tc>
        <w:tc>
          <w:tcPr>
            <w:tcW w:w="1566" w:type="dxa"/>
            <w:tcBorders>
              <w:top w:val="single" w:sz="4" w:space="0" w:color="D5DCE4" w:themeColor="text2" w:themeTint="33"/>
              <w:left w:val="nil"/>
              <w:bottom w:val="single" w:sz="4" w:space="0" w:color="D5DCE4" w:themeColor="text2" w:themeTint="33"/>
              <w:right w:val="nil"/>
            </w:tcBorders>
            <w:hideMark/>
          </w:tcPr>
          <w:p w14:paraId="78B21077" w14:textId="77777777" w:rsidR="004D0A65" w:rsidRPr="00BF6611" w:rsidRDefault="004D0A65" w:rsidP="002B6C05">
            <w:pPr>
              <w:jc w:val="center"/>
              <w:cnfStyle w:val="000000100000" w:firstRow="0" w:lastRow="0" w:firstColumn="0" w:lastColumn="0" w:oddVBand="0" w:evenVBand="0" w:oddHBand="1" w:evenHBand="0" w:firstRowFirstColumn="0" w:firstRowLastColumn="0" w:lastRowFirstColumn="0" w:lastRowLastColumn="0"/>
              <w:rPr>
                <w:rFonts w:cs="Arial"/>
                <w:sz w:val="18"/>
              </w:rPr>
            </w:pPr>
            <w:r w:rsidRPr="00BF6611">
              <w:rPr>
                <w:rFonts w:cs="Arial"/>
                <w:sz w:val="18"/>
              </w:rPr>
              <w:t>Custom Lighting - Controls</w:t>
            </w:r>
          </w:p>
        </w:tc>
        <w:tc>
          <w:tcPr>
            <w:tcW w:w="2179" w:type="dxa"/>
            <w:tcBorders>
              <w:top w:val="single" w:sz="4" w:space="0" w:color="D5DCE4" w:themeColor="text2" w:themeTint="33"/>
              <w:left w:val="nil"/>
              <w:bottom w:val="single" w:sz="4" w:space="0" w:color="D5DCE4" w:themeColor="text2" w:themeTint="33"/>
              <w:right w:val="nil"/>
            </w:tcBorders>
          </w:tcPr>
          <w:p w14:paraId="622E8B35" w14:textId="77777777" w:rsidR="004D0A65" w:rsidRPr="00BF6611" w:rsidRDefault="004D0A65" w:rsidP="002B6C05">
            <w:pPr>
              <w:jc w:val="left"/>
              <w:cnfStyle w:val="000000100000" w:firstRow="0" w:lastRow="0" w:firstColumn="0" w:lastColumn="0" w:oddVBand="0" w:evenVBand="0" w:oddHBand="1" w:evenHBand="0" w:firstRowFirstColumn="0" w:firstRowLastColumn="0" w:lastRowFirstColumn="0" w:lastRowLastColumn="0"/>
              <w:rPr>
                <w:rFonts w:cs="Arial"/>
                <w:sz w:val="18"/>
              </w:rPr>
            </w:pPr>
            <w:r w:rsidRPr="00BF6611">
              <w:rPr>
                <w:rFonts w:cs="Arial"/>
                <w:sz w:val="18"/>
              </w:rPr>
              <w:t>Advanced Lighting Control Systems</w:t>
            </w:r>
          </w:p>
        </w:tc>
        <w:tc>
          <w:tcPr>
            <w:tcW w:w="933" w:type="dxa"/>
            <w:tcBorders>
              <w:top w:val="single" w:sz="4" w:space="0" w:color="D5DCE4" w:themeColor="text2" w:themeTint="33"/>
              <w:left w:val="nil"/>
              <w:bottom w:val="single" w:sz="4" w:space="0" w:color="D5DCE4" w:themeColor="text2" w:themeTint="33"/>
              <w:right w:val="nil"/>
            </w:tcBorders>
            <w:hideMark/>
          </w:tcPr>
          <w:p w14:paraId="2E9F5256" w14:textId="63C5EF84" w:rsidR="004D0A65" w:rsidRPr="00BF6611" w:rsidRDefault="00CF65BD" w:rsidP="002B6C05">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18"/>
              </w:rPr>
            </w:pPr>
            <w:r>
              <w:rPr>
                <w:rFonts w:cstheme="minorHAnsi"/>
                <w:sz w:val="18"/>
              </w:rPr>
              <w:t>10</w:t>
            </w:r>
          </w:p>
        </w:tc>
        <w:tc>
          <w:tcPr>
            <w:tcW w:w="3114" w:type="dxa"/>
            <w:vMerge/>
            <w:tcBorders>
              <w:top w:val="single" w:sz="4" w:space="0" w:color="D5DCE4" w:themeColor="text2" w:themeTint="33"/>
              <w:left w:val="nil"/>
              <w:bottom w:val="single" w:sz="4" w:space="0" w:color="D5DCE4" w:themeColor="text2" w:themeTint="33"/>
              <w:right w:val="nil"/>
            </w:tcBorders>
            <w:hideMark/>
          </w:tcPr>
          <w:p w14:paraId="31267E2A" w14:textId="77777777" w:rsidR="004D0A65" w:rsidRPr="00BF6611" w:rsidRDefault="004D0A65" w:rsidP="002B6C05">
            <w:pPr>
              <w:spacing w:before="0" w:after="0"/>
              <w:cnfStyle w:val="000000100000" w:firstRow="0" w:lastRow="0" w:firstColumn="0" w:lastColumn="0" w:oddVBand="0" w:evenVBand="0" w:oddHBand="1" w:evenHBand="0" w:firstRowFirstColumn="0" w:firstRowLastColumn="0" w:lastRowFirstColumn="0" w:lastRowLastColumn="0"/>
              <w:rPr>
                <w:rFonts w:asciiTheme="minorHAnsi" w:eastAsiaTheme="minorHAnsi" w:hAnsiTheme="minorHAnsi" w:cstheme="minorHAnsi"/>
                <w:sz w:val="18"/>
              </w:rPr>
            </w:pPr>
          </w:p>
        </w:tc>
      </w:tr>
      <w:tr w:rsidR="004D0A65" w:rsidRPr="00BF6611" w14:paraId="48FF5B47" w14:textId="77777777" w:rsidTr="002B6C05">
        <w:trPr>
          <w:cnfStyle w:val="000000010000" w:firstRow="0" w:lastRow="0" w:firstColumn="0" w:lastColumn="0" w:oddVBand="0" w:evenVBand="0" w:oddHBand="0" w:evenHBand="1" w:firstRowFirstColumn="0" w:firstRowLastColumn="0" w:lastRowFirstColumn="0" w:lastRowLastColumn="0"/>
          <w:cantSplit/>
          <w:trHeight w:val="300"/>
          <w:jc w:val="center"/>
        </w:trPr>
        <w:tc>
          <w:tcPr>
            <w:cnfStyle w:val="001000000000" w:firstRow="0" w:lastRow="0" w:firstColumn="1" w:lastColumn="0" w:oddVBand="0" w:evenVBand="0" w:oddHBand="0" w:evenHBand="0" w:firstRowFirstColumn="0" w:firstRowLastColumn="0" w:lastRowFirstColumn="0" w:lastRowLastColumn="0"/>
            <w:tcW w:w="1658" w:type="dxa"/>
            <w:vMerge w:val="restart"/>
            <w:tcBorders>
              <w:top w:val="single" w:sz="4" w:space="0" w:color="D5DCE4" w:themeColor="text2" w:themeTint="33"/>
              <w:left w:val="nil"/>
              <w:right w:val="nil"/>
            </w:tcBorders>
            <w:hideMark/>
          </w:tcPr>
          <w:p w14:paraId="4DBEE45F" w14:textId="77777777" w:rsidR="004D0A65" w:rsidRPr="00BF6611" w:rsidRDefault="004D0A65" w:rsidP="002B6C05">
            <w:pPr>
              <w:jc w:val="center"/>
              <w:rPr>
                <w:rFonts w:ascii="Arial" w:hAnsi="Arial" w:cs="Arial"/>
                <w:sz w:val="18"/>
              </w:rPr>
            </w:pPr>
            <w:r w:rsidRPr="00BF6611">
              <w:rPr>
                <w:rFonts w:ascii="Arial" w:hAnsi="Arial" w:cs="Arial"/>
                <w:sz w:val="18"/>
              </w:rPr>
              <w:t>Non-Res New Construction</w:t>
            </w:r>
          </w:p>
        </w:tc>
        <w:tc>
          <w:tcPr>
            <w:tcW w:w="1566" w:type="dxa"/>
            <w:vMerge w:val="restart"/>
            <w:tcBorders>
              <w:top w:val="single" w:sz="4" w:space="0" w:color="D5DCE4" w:themeColor="text2" w:themeTint="33"/>
              <w:left w:val="nil"/>
              <w:right w:val="nil"/>
            </w:tcBorders>
            <w:hideMark/>
          </w:tcPr>
          <w:p w14:paraId="2F4BFEE2" w14:textId="77777777" w:rsidR="004D0A65" w:rsidRPr="00BF6611" w:rsidRDefault="004D0A65" w:rsidP="002B6C05">
            <w:pPr>
              <w:jc w:val="center"/>
              <w:cnfStyle w:val="000000010000" w:firstRow="0" w:lastRow="0" w:firstColumn="0" w:lastColumn="0" w:oddVBand="0" w:evenVBand="0" w:oddHBand="0" w:evenHBand="1" w:firstRowFirstColumn="0" w:firstRowLastColumn="0" w:lastRowFirstColumn="0" w:lastRowLastColumn="0"/>
              <w:rPr>
                <w:rFonts w:cs="Arial"/>
                <w:sz w:val="18"/>
              </w:rPr>
            </w:pPr>
            <w:r w:rsidRPr="00BF6611">
              <w:rPr>
                <w:rFonts w:cs="Arial"/>
                <w:sz w:val="18"/>
              </w:rPr>
              <w:t>Non-Res New Construction</w:t>
            </w:r>
          </w:p>
        </w:tc>
        <w:tc>
          <w:tcPr>
            <w:tcW w:w="2179" w:type="dxa"/>
            <w:tcBorders>
              <w:top w:val="single" w:sz="4" w:space="0" w:color="D5DCE4" w:themeColor="text2" w:themeTint="33"/>
              <w:left w:val="nil"/>
              <w:bottom w:val="single" w:sz="4" w:space="0" w:color="D5DCE4" w:themeColor="text2" w:themeTint="33"/>
              <w:right w:val="nil"/>
            </w:tcBorders>
          </w:tcPr>
          <w:p w14:paraId="117DECEF" w14:textId="77777777" w:rsidR="004D0A65" w:rsidRPr="00BF6611" w:rsidRDefault="004D0A65" w:rsidP="002B6C05">
            <w:pPr>
              <w:jc w:val="left"/>
              <w:cnfStyle w:val="000000010000" w:firstRow="0" w:lastRow="0" w:firstColumn="0" w:lastColumn="0" w:oddVBand="0" w:evenVBand="0" w:oddHBand="0" w:evenHBand="1" w:firstRowFirstColumn="0" w:firstRowLastColumn="0" w:lastRowFirstColumn="0" w:lastRowLastColumn="0"/>
              <w:rPr>
                <w:rFonts w:cs="Arial"/>
                <w:sz w:val="18"/>
              </w:rPr>
            </w:pPr>
            <w:r w:rsidRPr="00BF6611">
              <w:rPr>
                <w:rFonts w:cs="Arial"/>
                <w:sz w:val="18"/>
              </w:rPr>
              <w:t>New Construction</w:t>
            </w:r>
            <w:r>
              <w:rPr>
                <w:rFonts w:cs="Arial"/>
                <w:sz w:val="18"/>
              </w:rPr>
              <w:t xml:space="preserve"> – Electric Measures</w:t>
            </w:r>
          </w:p>
        </w:tc>
        <w:tc>
          <w:tcPr>
            <w:tcW w:w="933" w:type="dxa"/>
            <w:tcBorders>
              <w:top w:val="single" w:sz="4" w:space="0" w:color="D5DCE4" w:themeColor="text2" w:themeTint="33"/>
              <w:left w:val="nil"/>
              <w:bottom w:val="single" w:sz="4" w:space="0" w:color="D5DCE4" w:themeColor="text2" w:themeTint="33"/>
              <w:right w:val="nil"/>
            </w:tcBorders>
            <w:hideMark/>
          </w:tcPr>
          <w:p w14:paraId="26F75595" w14:textId="77777777" w:rsidR="004D0A65" w:rsidRPr="00BF6611" w:rsidRDefault="004D0A65" w:rsidP="002B6C05">
            <w:pPr>
              <w:jc w:val="right"/>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sz w:val="18"/>
              </w:rPr>
            </w:pPr>
            <w:r w:rsidRPr="00BF6611">
              <w:rPr>
                <w:rFonts w:cstheme="minorHAnsi"/>
                <w:sz w:val="18"/>
              </w:rPr>
              <w:t>17.4</w:t>
            </w:r>
          </w:p>
        </w:tc>
        <w:tc>
          <w:tcPr>
            <w:tcW w:w="3114" w:type="dxa"/>
            <w:vMerge w:val="restart"/>
            <w:tcBorders>
              <w:top w:val="single" w:sz="4" w:space="0" w:color="D5DCE4" w:themeColor="text2" w:themeTint="33"/>
              <w:left w:val="nil"/>
              <w:right w:val="nil"/>
            </w:tcBorders>
          </w:tcPr>
          <w:p w14:paraId="799AF6EA" w14:textId="77777777" w:rsidR="004D0A65" w:rsidRPr="00BF6611" w:rsidRDefault="004D0A65" w:rsidP="002B6C05">
            <w:pP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sz w:val="18"/>
              </w:rPr>
            </w:pPr>
            <w:r>
              <w:rPr>
                <w:rFonts w:asciiTheme="minorHAnsi" w:hAnsiTheme="minorHAnsi" w:cstheme="minorHAnsi"/>
                <w:sz w:val="18"/>
              </w:rPr>
              <w:t xml:space="preserve">Based on research of measure level breakdown of typical projects in a program year.  </w:t>
            </w:r>
          </w:p>
        </w:tc>
      </w:tr>
      <w:tr w:rsidR="004D0A65" w:rsidRPr="00BF6611" w14:paraId="0B055E58" w14:textId="77777777" w:rsidTr="002B6C05">
        <w:trPr>
          <w:cnfStyle w:val="000000100000" w:firstRow="0" w:lastRow="0" w:firstColumn="0" w:lastColumn="0" w:oddVBand="0" w:evenVBand="0" w:oddHBand="1" w:evenHBand="0" w:firstRowFirstColumn="0" w:firstRowLastColumn="0" w:lastRowFirstColumn="0" w:lastRowLastColumn="0"/>
          <w:cantSplit/>
          <w:trHeight w:val="300"/>
          <w:jc w:val="center"/>
        </w:trPr>
        <w:tc>
          <w:tcPr>
            <w:cnfStyle w:val="001000000000" w:firstRow="0" w:lastRow="0" w:firstColumn="1" w:lastColumn="0" w:oddVBand="0" w:evenVBand="0" w:oddHBand="0" w:evenHBand="0" w:firstRowFirstColumn="0" w:firstRowLastColumn="0" w:lastRowFirstColumn="0" w:lastRowLastColumn="0"/>
            <w:tcW w:w="1658" w:type="dxa"/>
            <w:vMerge/>
            <w:tcBorders>
              <w:left w:val="nil"/>
              <w:bottom w:val="single" w:sz="4" w:space="0" w:color="D5DCE4" w:themeColor="text2" w:themeTint="33"/>
              <w:right w:val="nil"/>
            </w:tcBorders>
          </w:tcPr>
          <w:p w14:paraId="075D9EC5" w14:textId="77777777" w:rsidR="004D0A65" w:rsidRPr="00BF6611" w:rsidRDefault="004D0A65" w:rsidP="002B6C05">
            <w:pPr>
              <w:jc w:val="center"/>
              <w:rPr>
                <w:rFonts w:ascii="Arial" w:hAnsi="Arial" w:cs="Arial"/>
                <w:sz w:val="18"/>
              </w:rPr>
            </w:pPr>
          </w:p>
        </w:tc>
        <w:tc>
          <w:tcPr>
            <w:tcW w:w="1566" w:type="dxa"/>
            <w:vMerge/>
            <w:tcBorders>
              <w:left w:val="nil"/>
              <w:bottom w:val="single" w:sz="4" w:space="0" w:color="D5DCE4" w:themeColor="text2" w:themeTint="33"/>
              <w:right w:val="nil"/>
            </w:tcBorders>
          </w:tcPr>
          <w:p w14:paraId="2DA0953A" w14:textId="77777777" w:rsidR="004D0A65" w:rsidRPr="00BF6611" w:rsidRDefault="004D0A65" w:rsidP="002B6C05">
            <w:pPr>
              <w:jc w:val="center"/>
              <w:cnfStyle w:val="000000100000" w:firstRow="0" w:lastRow="0" w:firstColumn="0" w:lastColumn="0" w:oddVBand="0" w:evenVBand="0" w:oddHBand="1" w:evenHBand="0" w:firstRowFirstColumn="0" w:firstRowLastColumn="0" w:lastRowFirstColumn="0" w:lastRowLastColumn="0"/>
              <w:rPr>
                <w:rFonts w:cs="Arial"/>
                <w:sz w:val="18"/>
              </w:rPr>
            </w:pPr>
          </w:p>
        </w:tc>
        <w:tc>
          <w:tcPr>
            <w:tcW w:w="2179" w:type="dxa"/>
            <w:tcBorders>
              <w:top w:val="single" w:sz="4" w:space="0" w:color="D5DCE4" w:themeColor="text2" w:themeTint="33"/>
              <w:left w:val="nil"/>
              <w:bottom w:val="single" w:sz="4" w:space="0" w:color="D5DCE4" w:themeColor="text2" w:themeTint="33"/>
              <w:right w:val="nil"/>
            </w:tcBorders>
          </w:tcPr>
          <w:p w14:paraId="0489AB9D" w14:textId="77777777" w:rsidR="004D0A65" w:rsidRPr="00BF6611" w:rsidRDefault="004D0A65" w:rsidP="002B6C05">
            <w:pPr>
              <w:jc w:val="left"/>
              <w:cnfStyle w:val="000000100000" w:firstRow="0" w:lastRow="0" w:firstColumn="0" w:lastColumn="0" w:oddVBand="0" w:evenVBand="0" w:oddHBand="1" w:evenHBand="0" w:firstRowFirstColumn="0" w:firstRowLastColumn="0" w:lastRowFirstColumn="0" w:lastRowLastColumn="0"/>
              <w:rPr>
                <w:rFonts w:cs="Arial"/>
                <w:sz w:val="18"/>
              </w:rPr>
            </w:pPr>
            <w:r w:rsidRPr="00BF6611">
              <w:rPr>
                <w:rFonts w:cs="Arial"/>
                <w:sz w:val="18"/>
              </w:rPr>
              <w:t>New Construction</w:t>
            </w:r>
            <w:r>
              <w:rPr>
                <w:rFonts w:cs="Arial"/>
                <w:sz w:val="18"/>
              </w:rPr>
              <w:t xml:space="preserve"> – Gas Measures</w:t>
            </w:r>
          </w:p>
        </w:tc>
        <w:tc>
          <w:tcPr>
            <w:tcW w:w="933" w:type="dxa"/>
            <w:tcBorders>
              <w:top w:val="single" w:sz="4" w:space="0" w:color="D5DCE4" w:themeColor="text2" w:themeTint="33"/>
              <w:left w:val="nil"/>
              <w:bottom w:val="single" w:sz="4" w:space="0" w:color="D5DCE4" w:themeColor="text2" w:themeTint="33"/>
              <w:right w:val="nil"/>
            </w:tcBorders>
          </w:tcPr>
          <w:p w14:paraId="30895BD6" w14:textId="77777777" w:rsidR="004D0A65" w:rsidRPr="00BF6611" w:rsidRDefault="004D0A65" w:rsidP="002B6C05">
            <w:pPr>
              <w:jc w:val="right"/>
              <w:cnfStyle w:val="000000100000" w:firstRow="0" w:lastRow="0" w:firstColumn="0" w:lastColumn="0" w:oddVBand="0" w:evenVBand="0" w:oddHBand="1" w:evenHBand="0" w:firstRowFirstColumn="0" w:firstRowLastColumn="0" w:lastRowFirstColumn="0" w:lastRowLastColumn="0"/>
              <w:rPr>
                <w:rFonts w:cstheme="minorHAnsi"/>
                <w:sz w:val="18"/>
              </w:rPr>
            </w:pPr>
            <w:r>
              <w:rPr>
                <w:rFonts w:cstheme="minorHAnsi"/>
                <w:sz w:val="18"/>
              </w:rPr>
              <w:t>20.6</w:t>
            </w:r>
          </w:p>
        </w:tc>
        <w:tc>
          <w:tcPr>
            <w:tcW w:w="3114" w:type="dxa"/>
            <w:vMerge/>
            <w:tcBorders>
              <w:left w:val="nil"/>
              <w:bottom w:val="single" w:sz="4" w:space="0" w:color="D5DCE4" w:themeColor="text2" w:themeTint="33"/>
              <w:right w:val="nil"/>
            </w:tcBorders>
          </w:tcPr>
          <w:p w14:paraId="2094E441" w14:textId="77777777" w:rsidR="004D0A65" w:rsidRPr="00BF6611" w:rsidRDefault="004D0A65" w:rsidP="002B6C05">
            <w:pPr>
              <w:cnfStyle w:val="000000100000" w:firstRow="0" w:lastRow="0" w:firstColumn="0" w:lastColumn="0" w:oddVBand="0" w:evenVBand="0" w:oddHBand="1" w:evenHBand="0" w:firstRowFirstColumn="0" w:firstRowLastColumn="0" w:lastRowFirstColumn="0" w:lastRowLastColumn="0"/>
              <w:rPr>
                <w:rFonts w:cstheme="minorHAnsi"/>
                <w:sz w:val="18"/>
              </w:rPr>
            </w:pPr>
          </w:p>
        </w:tc>
      </w:tr>
      <w:tr w:rsidR="00D56BDF" w:rsidRPr="00BF6611" w14:paraId="505CBEBD" w14:textId="77777777" w:rsidTr="002B6C05">
        <w:trPr>
          <w:cnfStyle w:val="000000010000" w:firstRow="0" w:lastRow="0" w:firstColumn="0" w:lastColumn="0" w:oddVBand="0" w:evenVBand="0" w:oddHBand="0" w:evenHBand="1" w:firstRowFirstColumn="0" w:firstRowLastColumn="0" w:lastRowFirstColumn="0" w:lastRowLastColumn="0"/>
          <w:cantSplit/>
          <w:trHeight w:val="800"/>
          <w:jc w:val="center"/>
        </w:trPr>
        <w:tc>
          <w:tcPr>
            <w:cnfStyle w:val="001000000000" w:firstRow="0" w:lastRow="0" w:firstColumn="1" w:lastColumn="0" w:oddVBand="0" w:evenVBand="0" w:oddHBand="0" w:evenHBand="0" w:firstRowFirstColumn="0" w:firstRowLastColumn="0" w:lastRowFirstColumn="0" w:lastRowLastColumn="0"/>
            <w:tcW w:w="1658" w:type="dxa"/>
            <w:vMerge w:val="restart"/>
            <w:tcBorders>
              <w:top w:val="single" w:sz="4" w:space="0" w:color="D5DCE4" w:themeColor="text2" w:themeTint="33"/>
              <w:left w:val="nil"/>
              <w:right w:val="nil"/>
            </w:tcBorders>
          </w:tcPr>
          <w:p w14:paraId="3FB4518C" w14:textId="4506EE37" w:rsidR="00D56BDF" w:rsidRPr="00BF6611" w:rsidRDefault="00D56BDF" w:rsidP="00866439">
            <w:pPr>
              <w:jc w:val="center"/>
              <w:rPr>
                <w:rFonts w:ascii="Arial" w:hAnsi="Arial" w:cs="Arial"/>
                <w:sz w:val="18"/>
              </w:rPr>
            </w:pPr>
            <w:r w:rsidRPr="00D052FE">
              <w:rPr>
                <w:rFonts w:ascii="Arial" w:hAnsi="Arial" w:cs="Arial"/>
                <w:sz w:val="18"/>
                <w:szCs w:val="18"/>
              </w:rPr>
              <w:t xml:space="preserve">Commercial Behavioral and Operations and Maintenance </w:t>
            </w:r>
            <w:r>
              <w:rPr>
                <w:rFonts w:ascii="Arial" w:hAnsi="Arial" w:cs="Arial"/>
                <w:sz w:val="18"/>
                <w:szCs w:val="18"/>
              </w:rPr>
              <w:t>Program</w:t>
            </w:r>
            <w:r w:rsidRPr="00D052FE">
              <w:rPr>
                <w:rFonts w:ascii="Arial" w:hAnsi="Arial" w:cs="Arial"/>
                <w:sz w:val="18"/>
                <w:szCs w:val="18"/>
              </w:rPr>
              <w:t>s</w:t>
            </w:r>
          </w:p>
        </w:tc>
        <w:tc>
          <w:tcPr>
            <w:tcW w:w="1566" w:type="dxa"/>
            <w:vMerge w:val="restart"/>
            <w:tcBorders>
              <w:top w:val="single" w:sz="4" w:space="0" w:color="D5DCE4" w:themeColor="text2" w:themeTint="33"/>
              <w:left w:val="nil"/>
              <w:right w:val="nil"/>
            </w:tcBorders>
          </w:tcPr>
          <w:p w14:paraId="03A950EA" w14:textId="4A1D3673" w:rsidR="00D56BDF" w:rsidRPr="00BF6611" w:rsidRDefault="00D56BDF" w:rsidP="00866439">
            <w:pPr>
              <w:jc w:val="center"/>
              <w:cnfStyle w:val="000000010000" w:firstRow="0" w:lastRow="0" w:firstColumn="0" w:lastColumn="0" w:oddVBand="0" w:evenVBand="0" w:oddHBand="0" w:evenHBand="1" w:firstRowFirstColumn="0" w:firstRowLastColumn="0" w:lastRowFirstColumn="0" w:lastRowLastColumn="0"/>
              <w:rPr>
                <w:rFonts w:cs="Arial"/>
                <w:sz w:val="18"/>
              </w:rPr>
            </w:pPr>
            <w:r w:rsidRPr="00BC5CDD">
              <w:rPr>
                <w:rFonts w:cs="Arial"/>
                <w:sz w:val="18"/>
                <w:szCs w:val="18"/>
              </w:rPr>
              <w:t>Commercial Behavioral and Operations and Maintenance Measures</w:t>
            </w:r>
            <w:r>
              <w:rPr>
                <w:rStyle w:val="FootnoteReference"/>
                <w:rFonts w:eastAsiaTheme="majorEastAsia"/>
                <w:szCs w:val="18"/>
              </w:rPr>
              <w:footnoteReference w:id="119"/>
            </w:r>
          </w:p>
        </w:tc>
        <w:tc>
          <w:tcPr>
            <w:tcW w:w="2179" w:type="dxa"/>
            <w:tcBorders>
              <w:top w:val="single" w:sz="4" w:space="0" w:color="D5DCE4" w:themeColor="text2" w:themeTint="33"/>
              <w:left w:val="nil"/>
              <w:bottom w:val="single" w:sz="4" w:space="0" w:color="D5DCE4" w:themeColor="text2" w:themeTint="33"/>
              <w:right w:val="nil"/>
            </w:tcBorders>
          </w:tcPr>
          <w:p w14:paraId="1191C773" w14:textId="62291BE8" w:rsidR="00D56BDF" w:rsidRPr="00BF6611" w:rsidRDefault="00D56BDF" w:rsidP="00866439">
            <w:pPr>
              <w:jc w:val="left"/>
              <w:cnfStyle w:val="000000010000" w:firstRow="0" w:lastRow="0" w:firstColumn="0" w:lastColumn="0" w:oddVBand="0" w:evenVBand="0" w:oddHBand="0" w:evenHBand="1" w:firstRowFirstColumn="0" w:firstRowLastColumn="0" w:lastRowFirstColumn="0" w:lastRowLastColumn="0"/>
              <w:rPr>
                <w:rFonts w:cs="Arial"/>
                <w:sz w:val="18"/>
              </w:rPr>
            </w:pPr>
            <w:r>
              <w:rPr>
                <w:rFonts w:cstheme="minorHAnsi"/>
                <w:sz w:val="18"/>
              </w:rPr>
              <w:t>Remote HVAC or Lighting Control Changes</w:t>
            </w:r>
          </w:p>
        </w:tc>
        <w:tc>
          <w:tcPr>
            <w:tcW w:w="933" w:type="dxa"/>
            <w:tcBorders>
              <w:top w:val="single" w:sz="4" w:space="0" w:color="D5DCE4" w:themeColor="text2" w:themeTint="33"/>
              <w:left w:val="nil"/>
              <w:right w:val="nil"/>
            </w:tcBorders>
          </w:tcPr>
          <w:p w14:paraId="209D4139" w14:textId="5E20737D" w:rsidR="00D56BDF" w:rsidRPr="00BF6611" w:rsidRDefault="00D56BDF" w:rsidP="00866439">
            <w:pPr>
              <w:jc w:val="right"/>
              <w:cnfStyle w:val="000000010000" w:firstRow="0" w:lastRow="0" w:firstColumn="0" w:lastColumn="0" w:oddVBand="0" w:evenVBand="0" w:oddHBand="0" w:evenHBand="1" w:firstRowFirstColumn="0" w:firstRowLastColumn="0" w:lastRowFirstColumn="0" w:lastRowLastColumn="0"/>
              <w:rPr>
                <w:rFonts w:cstheme="minorHAnsi"/>
                <w:sz w:val="18"/>
              </w:rPr>
            </w:pPr>
            <w:r>
              <w:rPr>
                <w:rFonts w:cstheme="minorHAnsi"/>
                <w:sz w:val="18"/>
              </w:rPr>
              <w:t>6</w:t>
            </w:r>
          </w:p>
        </w:tc>
        <w:tc>
          <w:tcPr>
            <w:tcW w:w="3114" w:type="dxa"/>
            <w:vMerge w:val="restart"/>
            <w:tcBorders>
              <w:top w:val="single" w:sz="4" w:space="0" w:color="D5DCE4" w:themeColor="text2" w:themeTint="33"/>
              <w:left w:val="nil"/>
              <w:right w:val="nil"/>
            </w:tcBorders>
          </w:tcPr>
          <w:p w14:paraId="4BDBF542" w14:textId="5EB80D6F" w:rsidR="00D56BDF" w:rsidRPr="00BF6611" w:rsidRDefault="00D56BDF" w:rsidP="00866439">
            <w:pPr>
              <w:jc w:val="left"/>
              <w:cnfStyle w:val="000000010000" w:firstRow="0" w:lastRow="0" w:firstColumn="0" w:lastColumn="0" w:oddVBand="0" w:evenVBand="0" w:oddHBand="0" w:evenHBand="1" w:firstRowFirstColumn="0" w:firstRowLastColumn="0" w:lastRowFirstColumn="0" w:lastRowLastColumn="0"/>
              <w:rPr>
                <w:rFonts w:cstheme="minorHAnsi"/>
                <w:sz w:val="18"/>
              </w:rPr>
            </w:pPr>
            <w:r>
              <w:rPr>
                <w:rFonts w:cstheme="minorHAnsi"/>
                <w:sz w:val="18"/>
              </w:rPr>
              <w:t>Based on Delphi panel analysis with consideration of ongoing engagement opportunities.</w:t>
            </w:r>
          </w:p>
        </w:tc>
      </w:tr>
      <w:tr w:rsidR="00D56BDF" w:rsidRPr="00BF6611" w14:paraId="59407A85" w14:textId="77777777" w:rsidTr="00D76654">
        <w:trPr>
          <w:cnfStyle w:val="000000100000" w:firstRow="0" w:lastRow="0" w:firstColumn="0" w:lastColumn="0" w:oddVBand="0" w:evenVBand="0" w:oddHBand="1" w:evenHBand="0" w:firstRowFirstColumn="0" w:firstRowLastColumn="0" w:lastRowFirstColumn="0" w:lastRowLastColumn="0"/>
          <w:cantSplit/>
          <w:trHeight w:val="800"/>
          <w:jc w:val="center"/>
        </w:trPr>
        <w:tc>
          <w:tcPr>
            <w:cnfStyle w:val="001000000000" w:firstRow="0" w:lastRow="0" w:firstColumn="1" w:lastColumn="0" w:oddVBand="0" w:evenVBand="0" w:oddHBand="0" w:evenHBand="0" w:firstRowFirstColumn="0" w:firstRowLastColumn="0" w:lastRowFirstColumn="0" w:lastRowLastColumn="0"/>
            <w:tcW w:w="1658" w:type="dxa"/>
            <w:vMerge/>
            <w:tcBorders>
              <w:left w:val="nil"/>
              <w:right w:val="nil"/>
            </w:tcBorders>
          </w:tcPr>
          <w:p w14:paraId="627B3539" w14:textId="77777777" w:rsidR="00D56BDF" w:rsidRPr="00BF6611" w:rsidRDefault="00D56BDF" w:rsidP="00866439">
            <w:pPr>
              <w:jc w:val="center"/>
              <w:rPr>
                <w:rFonts w:ascii="Arial" w:hAnsi="Arial" w:cs="Arial"/>
                <w:sz w:val="18"/>
              </w:rPr>
            </w:pPr>
          </w:p>
        </w:tc>
        <w:tc>
          <w:tcPr>
            <w:tcW w:w="1566" w:type="dxa"/>
            <w:vMerge/>
            <w:tcBorders>
              <w:left w:val="nil"/>
              <w:right w:val="nil"/>
            </w:tcBorders>
          </w:tcPr>
          <w:p w14:paraId="2BB5B967" w14:textId="77777777" w:rsidR="00D56BDF" w:rsidRPr="00BF6611" w:rsidRDefault="00D56BDF" w:rsidP="00866439">
            <w:pPr>
              <w:jc w:val="center"/>
              <w:cnfStyle w:val="000000100000" w:firstRow="0" w:lastRow="0" w:firstColumn="0" w:lastColumn="0" w:oddVBand="0" w:evenVBand="0" w:oddHBand="1" w:evenHBand="0" w:firstRowFirstColumn="0" w:firstRowLastColumn="0" w:lastRowFirstColumn="0" w:lastRowLastColumn="0"/>
              <w:rPr>
                <w:rFonts w:cs="Arial"/>
                <w:sz w:val="18"/>
              </w:rPr>
            </w:pPr>
          </w:p>
        </w:tc>
        <w:tc>
          <w:tcPr>
            <w:tcW w:w="2179" w:type="dxa"/>
            <w:tcBorders>
              <w:top w:val="single" w:sz="4" w:space="0" w:color="D5DCE4" w:themeColor="text2" w:themeTint="33"/>
              <w:left w:val="nil"/>
              <w:bottom w:val="single" w:sz="4" w:space="0" w:color="D5DCE4" w:themeColor="text2" w:themeTint="33"/>
              <w:right w:val="nil"/>
            </w:tcBorders>
          </w:tcPr>
          <w:p w14:paraId="75967B42" w14:textId="1DFB64F1" w:rsidR="00D56BDF" w:rsidRPr="00BF6611" w:rsidRDefault="00D56BDF" w:rsidP="00866439">
            <w:pPr>
              <w:jc w:val="left"/>
              <w:cnfStyle w:val="000000100000" w:firstRow="0" w:lastRow="0" w:firstColumn="0" w:lastColumn="0" w:oddVBand="0" w:evenVBand="0" w:oddHBand="1" w:evenHBand="0" w:firstRowFirstColumn="0" w:firstRowLastColumn="0" w:lastRowFirstColumn="0" w:lastRowLastColumn="0"/>
              <w:rPr>
                <w:rFonts w:cs="Arial"/>
                <w:sz w:val="18"/>
              </w:rPr>
            </w:pPr>
            <w:r>
              <w:rPr>
                <w:rFonts w:cstheme="minorHAnsi"/>
                <w:sz w:val="18"/>
              </w:rPr>
              <w:t>Manual HVAC or Lighting Control Changes</w:t>
            </w:r>
          </w:p>
        </w:tc>
        <w:tc>
          <w:tcPr>
            <w:tcW w:w="933" w:type="dxa"/>
            <w:tcBorders>
              <w:top w:val="single" w:sz="4" w:space="0" w:color="D5DCE4" w:themeColor="text2" w:themeTint="33"/>
              <w:left w:val="nil"/>
              <w:right w:val="nil"/>
            </w:tcBorders>
          </w:tcPr>
          <w:p w14:paraId="290380D3" w14:textId="505C45EB" w:rsidR="00D56BDF" w:rsidRPr="00BF6611" w:rsidRDefault="00D56BDF" w:rsidP="00866439">
            <w:pPr>
              <w:jc w:val="right"/>
              <w:cnfStyle w:val="000000100000" w:firstRow="0" w:lastRow="0" w:firstColumn="0" w:lastColumn="0" w:oddVBand="0" w:evenVBand="0" w:oddHBand="1" w:evenHBand="0" w:firstRowFirstColumn="0" w:firstRowLastColumn="0" w:lastRowFirstColumn="0" w:lastRowLastColumn="0"/>
              <w:rPr>
                <w:rFonts w:cstheme="minorHAnsi"/>
                <w:sz w:val="18"/>
              </w:rPr>
            </w:pPr>
            <w:r>
              <w:rPr>
                <w:rFonts w:cstheme="minorHAnsi"/>
                <w:sz w:val="18"/>
              </w:rPr>
              <w:t>2</w:t>
            </w:r>
          </w:p>
        </w:tc>
        <w:tc>
          <w:tcPr>
            <w:tcW w:w="3114" w:type="dxa"/>
            <w:vMerge/>
            <w:tcBorders>
              <w:left w:val="nil"/>
              <w:right w:val="nil"/>
            </w:tcBorders>
          </w:tcPr>
          <w:p w14:paraId="0671DD39" w14:textId="77777777" w:rsidR="00D56BDF" w:rsidRPr="00BF6611" w:rsidRDefault="00D56BDF" w:rsidP="00866439">
            <w:pPr>
              <w:jc w:val="left"/>
              <w:cnfStyle w:val="000000100000" w:firstRow="0" w:lastRow="0" w:firstColumn="0" w:lastColumn="0" w:oddVBand="0" w:evenVBand="0" w:oddHBand="1" w:evenHBand="0" w:firstRowFirstColumn="0" w:firstRowLastColumn="0" w:lastRowFirstColumn="0" w:lastRowLastColumn="0"/>
              <w:rPr>
                <w:rFonts w:cstheme="minorHAnsi"/>
                <w:sz w:val="18"/>
              </w:rPr>
            </w:pPr>
          </w:p>
        </w:tc>
      </w:tr>
      <w:tr w:rsidR="00D56BDF" w:rsidRPr="00BF6611" w14:paraId="789FF715" w14:textId="77777777" w:rsidTr="00D76654">
        <w:trPr>
          <w:cnfStyle w:val="000000010000" w:firstRow="0" w:lastRow="0" w:firstColumn="0" w:lastColumn="0" w:oddVBand="0" w:evenVBand="0" w:oddHBand="0" w:evenHBand="1" w:firstRowFirstColumn="0" w:firstRowLastColumn="0" w:lastRowFirstColumn="0" w:lastRowLastColumn="0"/>
          <w:cantSplit/>
          <w:trHeight w:val="800"/>
          <w:jc w:val="center"/>
        </w:trPr>
        <w:tc>
          <w:tcPr>
            <w:cnfStyle w:val="001000000000" w:firstRow="0" w:lastRow="0" w:firstColumn="1" w:lastColumn="0" w:oddVBand="0" w:evenVBand="0" w:oddHBand="0" w:evenHBand="0" w:firstRowFirstColumn="0" w:firstRowLastColumn="0" w:lastRowFirstColumn="0" w:lastRowLastColumn="0"/>
            <w:tcW w:w="1658" w:type="dxa"/>
            <w:vMerge/>
            <w:tcBorders>
              <w:left w:val="nil"/>
              <w:right w:val="nil"/>
            </w:tcBorders>
          </w:tcPr>
          <w:p w14:paraId="6CF4E313" w14:textId="77777777" w:rsidR="00D56BDF" w:rsidRPr="00BF6611" w:rsidRDefault="00D56BDF" w:rsidP="00866439">
            <w:pPr>
              <w:jc w:val="center"/>
              <w:rPr>
                <w:rFonts w:ascii="Arial" w:hAnsi="Arial" w:cs="Arial"/>
                <w:sz w:val="18"/>
              </w:rPr>
            </w:pPr>
          </w:p>
        </w:tc>
        <w:tc>
          <w:tcPr>
            <w:tcW w:w="1566" w:type="dxa"/>
            <w:vMerge/>
            <w:tcBorders>
              <w:left w:val="nil"/>
              <w:right w:val="nil"/>
            </w:tcBorders>
          </w:tcPr>
          <w:p w14:paraId="09B833B6" w14:textId="77777777" w:rsidR="00D56BDF" w:rsidRPr="00BF6611" w:rsidRDefault="00D56BDF" w:rsidP="00866439">
            <w:pPr>
              <w:jc w:val="center"/>
              <w:cnfStyle w:val="000000010000" w:firstRow="0" w:lastRow="0" w:firstColumn="0" w:lastColumn="0" w:oddVBand="0" w:evenVBand="0" w:oddHBand="0" w:evenHBand="1" w:firstRowFirstColumn="0" w:firstRowLastColumn="0" w:lastRowFirstColumn="0" w:lastRowLastColumn="0"/>
              <w:rPr>
                <w:rFonts w:cs="Arial"/>
                <w:sz w:val="18"/>
              </w:rPr>
            </w:pPr>
          </w:p>
        </w:tc>
        <w:tc>
          <w:tcPr>
            <w:tcW w:w="2179" w:type="dxa"/>
            <w:tcBorders>
              <w:top w:val="single" w:sz="4" w:space="0" w:color="D5DCE4" w:themeColor="text2" w:themeTint="33"/>
              <w:left w:val="nil"/>
              <w:bottom w:val="single" w:sz="4" w:space="0" w:color="D5DCE4" w:themeColor="text2" w:themeTint="33"/>
              <w:right w:val="nil"/>
            </w:tcBorders>
          </w:tcPr>
          <w:p w14:paraId="7AA49592" w14:textId="7EF33670" w:rsidR="00D56BDF" w:rsidRPr="00BF6611" w:rsidRDefault="00D56BDF" w:rsidP="00866439">
            <w:pPr>
              <w:jc w:val="left"/>
              <w:cnfStyle w:val="000000010000" w:firstRow="0" w:lastRow="0" w:firstColumn="0" w:lastColumn="0" w:oddVBand="0" w:evenVBand="0" w:oddHBand="0" w:evenHBand="1" w:firstRowFirstColumn="0" w:firstRowLastColumn="0" w:lastRowFirstColumn="0" w:lastRowLastColumn="0"/>
              <w:rPr>
                <w:rFonts w:cs="Arial"/>
                <w:sz w:val="18"/>
              </w:rPr>
            </w:pPr>
            <w:r>
              <w:rPr>
                <w:rFonts w:cstheme="minorHAnsi"/>
                <w:sz w:val="18"/>
              </w:rPr>
              <w:t>Unknown (manual or remote)</w:t>
            </w:r>
          </w:p>
        </w:tc>
        <w:tc>
          <w:tcPr>
            <w:tcW w:w="933" w:type="dxa"/>
            <w:tcBorders>
              <w:top w:val="single" w:sz="4" w:space="0" w:color="D5DCE4" w:themeColor="text2" w:themeTint="33"/>
              <w:left w:val="nil"/>
              <w:right w:val="nil"/>
            </w:tcBorders>
          </w:tcPr>
          <w:p w14:paraId="170AF4AF" w14:textId="537C605F" w:rsidR="00D56BDF" w:rsidRPr="00BF6611" w:rsidRDefault="00D56BDF" w:rsidP="00866439">
            <w:pPr>
              <w:jc w:val="right"/>
              <w:cnfStyle w:val="000000010000" w:firstRow="0" w:lastRow="0" w:firstColumn="0" w:lastColumn="0" w:oddVBand="0" w:evenVBand="0" w:oddHBand="0" w:evenHBand="1" w:firstRowFirstColumn="0" w:firstRowLastColumn="0" w:lastRowFirstColumn="0" w:lastRowLastColumn="0"/>
              <w:rPr>
                <w:rFonts w:cstheme="minorHAnsi"/>
                <w:sz w:val="18"/>
              </w:rPr>
            </w:pPr>
            <w:r>
              <w:rPr>
                <w:rFonts w:cstheme="minorHAnsi"/>
                <w:sz w:val="18"/>
              </w:rPr>
              <w:t>4</w:t>
            </w:r>
          </w:p>
        </w:tc>
        <w:tc>
          <w:tcPr>
            <w:tcW w:w="3114" w:type="dxa"/>
            <w:vMerge/>
            <w:tcBorders>
              <w:left w:val="nil"/>
              <w:right w:val="nil"/>
            </w:tcBorders>
          </w:tcPr>
          <w:p w14:paraId="1A598DC1" w14:textId="77777777" w:rsidR="00D56BDF" w:rsidRPr="00BF6611" w:rsidRDefault="00D56BDF" w:rsidP="00866439">
            <w:pPr>
              <w:jc w:val="left"/>
              <w:cnfStyle w:val="000000010000" w:firstRow="0" w:lastRow="0" w:firstColumn="0" w:lastColumn="0" w:oddVBand="0" w:evenVBand="0" w:oddHBand="0" w:evenHBand="1" w:firstRowFirstColumn="0" w:firstRowLastColumn="0" w:lastRowFirstColumn="0" w:lastRowLastColumn="0"/>
              <w:rPr>
                <w:rFonts w:cstheme="minorHAnsi"/>
                <w:sz w:val="18"/>
              </w:rPr>
            </w:pPr>
          </w:p>
        </w:tc>
      </w:tr>
      <w:tr w:rsidR="004D0A65" w:rsidRPr="00BF6611" w14:paraId="1AB76099" w14:textId="77777777" w:rsidTr="002B6C05">
        <w:trPr>
          <w:cnfStyle w:val="000000100000" w:firstRow="0" w:lastRow="0" w:firstColumn="0" w:lastColumn="0" w:oddVBand="0" w:evenVBand="0" w:oddHBand="1" w:evenHBand="0" w:firstRowFirstColumn="0" w:firstRowLastColumn="0" w:lastRowFirstColumn="0" w:lastRowLastColumn="0"/>
          <w:cantSplit/>
          <w:trHeight w:val="800"/>
          <w:jc w:val="center"/>
        </w:trPr>
        <w:tc>
          <w:tcPr>
            <w:cnfStyle w:val="001000000000" w:firstRow="0" w:lastRow="0" w:firstColumn="1" w:lastColumn="0" w:oddVBand="0" w:evenVBand="0" w:oddHBand="0" w:evenHBand="0" w:firstRowFirstColumn="0" w:firstRowLastColumn="0" w:lastRowFirstColumn="0" w:lastRowLastColumn="0"/>
            <w:tcW w:w="1658" w:type="dxa"/>
            <w:vMerge w:val="restart"/>
            <w:tcBorders>
              <w:top w:val="single" w:sz="4" w:space="0" w:color="D5DCE4" w:themeColor="text2" w:themeTint="33"/>
              <w:left w:val="nil"/>
              <w:right w:val="nil"/>
            </w:tcBorders>
            <w:hideMark/>
          </w:tcPr>
          <w:p w14:paraId="68010971" w14:textId="77777777" w:rsidR="004D0A65" w:rsidRPr="00BF6611" w:rsidRDefault="004D0A65" w:rsidP="002B6C05">
            <w:pPr>
              <w:jc w:val="center"/>
              <w:rPr>
                <w:rFonts w:ascii="Arial" w:hAnsi="Arial" w:cs="Arial"/>
                <w:sz w:val="18"/>
              </w:rPr>
            </w:pPr>
            <w:r w:rsidRPr="00BF6611">
              <w:rPr>
                <w:rFonts w:ascii="Arial" w:hAnsi="Arial" w:cs="Arial"/>
                <w:sz w:val="18"/>
              </w:rPr>
              <w:t>Refrigeration</w:t>
            </w:r>
          </w:p>
        </w:tc>
        <w:tc>
          <w:tcPr>
            <w:tcW w:w="1566" w:type="dxa"/>
            <w:vMerge w:val="restart"/>
            <w:tcBorders>
              <w:top w:val="single" w:sz="4" w:space="0" w:color="D5DCE4" w:themeColor="text2" w:themeTint="33"/>
              <w:left w:val="nil"/>
              <w:right w:val="nil"/>
            </w:tcBorders>
            <w:hideMark/>
          </w:tcPr>
          <w:p w14:paraId="0AD42C17" w14:textId="77777777" w:rsidR="004D0A65" w:rsidRPr="00BF6611" w:rsidRDefault="004D0A65" w:rsidP="002B6C05">
            <w:pPr>
              <w:jc w:val="center"/>
              <w:cnfStyle w:val="000000100000" w:firstRow="0" w:lastRow="0" w:firstColumn="0" w:lastColumn="0" w:oddVBand="0" w:evenVBand="0" w:oddHBand="1" w:evenHBand="0" w:firstRowFirstColumn="0" w:firstRowLastColumn="0" w:lastRowFirstColumn="0" w:lastRowLastColumn="0"/>
              <w:rPr>
                <w:rFonts w:cs="Arial"/>
                <w:sz w:val="18"/>
              </w:rPr>
            </w:pPr>
            <w:r w:rsidRPr="00BF6611">
              <w:rPr>
                <w:rFonts w:cs="Arial"/>
                <w:sz w:val="18"/>
              </w:rPr>
              <w:t>Custom Refrigeration</w:t>
            </w:r>
          </w:p>
        </w:tc>
        <w:tc>
          <w:tcPr>
            <w:tcW w:w="2179" w:type="dxa"/>
            <w:tcBorders>
              <w:top w:val="single" w:sz="4" w:space="0" w:color="D5DCE4" w:themeColor="text2" w:themeTint="33"/>
              <w:left w:val="nil"/>
              <w:bottom w:val="single" w:sz="4" w:space="0" w:color="D5DCE4" w:themeColor="text2" w:themeTint="33"/>
              <w:right w:val="nil"/>
            </w:tcBorders>
          </w:tcPr>
          <w:p w14:paraId="08AC2163" w14:textId="77777777" w:rsidR="004D0A65" w:rsidRPr="00BF6611" w:rsidRDefault="004D0A65" w:rsidP="002B6C05">
            <w:pPr>
              <w:jc w:val="left"/>
              <w:cnfStyle w:val="000000100000" w:firstRow="0" w:lastRow="0" w:firstColumn="0" w:lastColumn="0" w:oddVBand="0" w:evenVBand="0" w:oddHBand="1" w:evenHBand="0" w:firstRowFirstColumn="0" w:firstRowLastColumn="0" w:lastRowFirstColumn="0" w:lastRowLastColumn="0"/>
              <w:rPr>
                <w:rFonts w:cs="Arial"/>
                <w:sz w:val="18"/>
              </w:rPr>
            </w:pPr>
            <w:r w:rsidRPr="00BF6611">
              <w:rPr>
                <w:rFonts w:cs="Arial"/>
                <w:sz w:val="18"/>
              </w:rPr>
              <w:t>Efficient Refrigeration Condenser</w:t>
            </w:r>
          </w:p>
        </w:tc>
        <w:tc>
          <w:tcPr>
            <w:tcW w:w="933" w:type="dxa"/>
            <w:vMerge w:val="restart"/>
            <w:tcBorders>
              <w:top w:val="single" w:sz="4" w:space="0" w:color="D5DCE4" w:themeColor="text2" w:themeTint="33"/>
              <w:left w:val="nil"/>
              <w:right w:val="nil"/>
            </w:tcBorders>
            <w:hideMark/>
          </w:tcPr>
          <w:p w14:paraId="4E897AD3" w14:textId="77777777" w:rsidR="004D0A65" w:rsidRPr="00BF6611" w:rsidRDefault="004D0A65" w:rsidP="002B6C05">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18"/>
              </w:rPr>
            </w:pPr>
            <w:r w:rsidRPr="00BF6611">
              <w:rPr>
                <w:rFonts w:cstheme="minorHAnsi"/>
                <w:sz w:val="18"/>
              </w:rPr>
              <w:t>15</w:t>
            </w:r>
          </w:p>
        </w:tc>
        <w:tc>
          <w:tcPr>
            <w:tcW w:w="3114" w:type="dxa"/>
            <w:vMerge w:val="restart"/>
            <w:tcBorders>
              <w:top w:val="single" w:sz="4" w:space="0" w:color="D5DCE4" w:themeColor="text2" w:themeTint="33"/>
              <w:left w:val="nil"/>
              <w:right w:val="nil"/>
            </w:tcBorders>
            <w:hideMark/>
          </w:tcPr>
          <w:p w14:paraId="0B39E2C6" w14:textId="77777777" w:rsidR="004D0A65" w:rsidRPr="00BF6611" w:rsidRDefault="004D0A65" w:rsidP="002B6C05">
            <w:pPr>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18"/>
              </w:rPr>
            </w:pPr>
            <w:r w:rsidRPr="00BF6611">
              <w:rPr>
                <w:rFonts w:cstheme="minorHAnsi"/>
                <w:sz w:val="18"/>
              </w:rPr>
              <w:t>Default value</w:t>
            </w:r>
          </w:p>
          <w:p w14:paraId="46BD6B8B" w14:textId="77777777" w:rsidR="004D0A65" w:rsidRPr="00BF6611" w:rsidRDefault="004D0A65" w:rsidP="002B6C05">
            <w:pPr>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18"/>
              </w:rPr>
            </w:pPr>
            <w:r w:rsidRPr="00BF6611">
              <w:rPr>
                <w:rFonts w:cstheme="minorHAnsi"/>
                <w:sz w:val="18"/>
              </w:rPr>
              <w:t xml:space="preserve">Research may show that EULs for refrigeration measures vary </w:t>
            </w:r>
            <w:r w:rsidRPr="00BF6611">
              <w:rPr>
                <w:rFonts w:cstheme="minorHAnsi"/>
                <w:sz w:val="18"/>
              </w:rPr>
              <w:lastRenderedPageBreak/>
              <w:t xml:space="preserve">significantly between equipment and controls. </w:t>
            </w:r>
          </w:p>
          <w:p w14:paraId="6BD39460" w14:textId="77777777" w:rsidR="004D0A65" w:rsidRPr="00BF6611" w:rsidRDefault="004D0A65" w:rsidP="002B6C05">
            <w:pPr>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18"/>
              </w:rPr>
            </w:pPr>
            <w:r w:rsidRPr="00BF6611">
              <w:rPr>
                <w:rFonts w:cstheme="minorHAnsi"/>
                <w:sz w:val="18"/>
              </w:rPr>
              <w:t xml:space="preserve">If that is not the case, the recommended end-use subcategory will continue working well. </w:t>
            </w:r>
          </w:p>
          <w:p w14:paraId="2EF021C2" w14:textId="77777777" w:rsidR="004D0A65" w:rsidRPr="00BF6611" w:rsidRDefault="004D0A65" w:rsidP="002B6C05">
            <w:pPr>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18"/>
              </w:rPr>
            </w:pPr>
            <w:r w:rsidRPr="00BF6611">
              <w:rPr>
                <w:rFonts w:cstheme="minorHAnsi"/>
                <w:sz w:val="18"/>
              </w:rPr>
              <w:t>If that is the case, at that time the end-use subcategories should be updated to the following:</w:t>
            </w:r>
          </w:p>
          <w:p w14:paraId="4D4BE51E" w14:textId="77777777" w:rsidR="004D0A65" w:rsidRPr="00BF6611" w:rsidRDefault="004D0A65" w:rsidP="002B6C05">
            <w:pPr>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18"/>
              </w:rPr>
            </w:pPr>
            <w:r w:rsidRPr="00BF6611">
              <w:rPr>
                <w:rFonts w:cstheme="minorHAnsi"/>
                <w:sz w:val="18"/>
              </w:rPr>
              <w:t>Custom Refrigeration – Equipment</w:t>
            </w:r>
          </w:p>
          <w:p w14:paraId="73A1A156" w14:textId="77777777" w:rsidR="004D0A65" w:rsidRPr="00BF6611" w:rsidRDefault="004D0A65" w:rsidP="002B6C05">
            <w:pPr>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18"/>
              </w:rPr>
            </w:pPr>
            <w:r w:rsidRPr="00BF6611">
              <w:rPr>
                <w:rFonts w:cstheme="minorHAnsi"/>
                <w:sz w:val="18"/>
              </w:rPr>
              <w:t>Custom Refrigeration – Controls</w:t>
            </w:r>
          </w:p>
        </w:tc>
      </w:tr>
      <w:tr w:rsidR="004D0A65" w:rsidRPr="00BF6611" w14:paraId="77E1D697" w14:textId="77777777" w:rsidTr="002B6C05">
        <w:trPr>
          <w:cnfStyle w:val="000000010000" w:firstRow="0" w:lastRow="0" w:firstColumn="0" w:lastColumn="0" w:oddVBand="0" w:evenVBand="0" w:oddHBand="0" w:evenHBand="1" w:firstRowFirstColumn="0" w:firstRowLastColumn="0" w:lastRowFirstColumn="0" w:lastRowLastColumn="0"/>
          <w:cantSplit/>
          <w:trHeight w:val="952"/>
          <w:jc w:val="center"/>
        </w:trPr>
        <w:tc>
          <w:tcPr>
            <w:cnfStyle w:val="001000000000" w:firstRow="0" w:lastRow="0" w:firstColumn="1" w:lastColumn="0" w:oddVBand="0" w:evenVBand="0" w:oddHBand="0" w:evenHBand="0" w:firstRowFirstColumn="0" w:firstRowLastColumn="0" w:lastRowFirstColumn="0" w:lastRowLastColumn="0"/>
            <w:tcW w:w="1658" w:type="dxa"/>
            <w:vMerge/>
            <w:tcBorders>
              <w:left w:val="nil"/>
              <w:right w:val="nil"/>
            </w:tcBorders>
          </w:tcPr>
          <w:p w14:paraId="080186E8" w14:textId="77777777" w:rsidR="004D0A65" w:rsidRPr="00BF6611" w:rsidRDefault="004D0A65" w:rsidP="002B6C05">
            <w:pPr>
              <w:jc w:val="center"/>
              <w:rPr>
                <w:rFonts w:ascii="Arial" w:hAnsi="Arial" w:cs="Arial"/>
                <w:sz w:val="18"/>
              </w:rPr>
            </w:pPr>
          </w:p>
        </w:tc>
        <w:tc>
          <w:tcPr>
            <w:tcW w:w="1566" w:type="dxa"/>
            <w:vMerge/>
            <w:tcBorders>
              <w:left w:val="nil"/>
              <w:right w:val="nil"/>
            </w:tcBorders>
          </w:tcPr>
          <w:p w14:paraId="3DA12409" w14:textId="77777777" w:rsidR="004D0A65" w:rsidRPr="00BF6611" w:rsidRDefault="004D0A65" w:rsidP="002B6C05">
            <w:pPr>
              <w:jc w:val="center"/>
              <w:cnfStyle w:val="000000010000" w:firstRow="0" w:lastRow="0" w:firstColumn="0" w:lastColumn="0" w:oddVBand="0" w:evenVBand="0" w:oddHBand="0" w:evenHBand="1" w:firstRowFirstColumn="0" w:firstRowLastColumn="0" w:lastRowFirstColumn="0" w:lastRowLastColumn="0"/>
              <w:rPr>
                <w:rFonts w:cs="Arial"/>
                <w:sz w:val="18"/>
              </w:rPr>
            </w:pPr>
          </w:p>
        </w:tc>
        <w:tc>
          <w:tcPr>
            <w:tcW w:w="2179" w:type="dxa"/>
            <w:tcBorders>
              <w:top w:val="single" w:sz="4" w:space="0" w:color="D5DCE4" w:themeColor="text2" w:themeTint="33"/>
              <w:left w:val="nil"/>
              <w:bottom w:val="single" w:sz="4" w:space="0" w:color="D5DCE4" w:themeColor="text2" w:themeTint="33"/>
              <w:right w:val="nil"/>
            </w:tcBorders>
          </w:tcPr>
          <w:p w14:paraId="69F0381F" w14:textId="77777777" w:rsidR="004D0A65" w:rsidRPr="00BF6611" w:rsidRDefault="004D0A65" w:rsidP="002B6C05">
            <w:pPr>
              <w:jc w:val="left"/>
              <w:cnfStyle w:val="000000010000" w:firstRow="0" w:lastRow="0" w:firstColumn="0" w:lastColumn="0" w:oddVBand="0" w:evenVBand="0" w:oddHBand="0" w:evenHBand="1" w:firstRowFirstColumn="0" w:firstRowLastColumn="0" w:lastRowFirstColumn="0" w:lastRowLastColumn="0"/>
              <w:rPr>
                <w:rFonts w:cs="Arial"/>
                <w:sz w:val="18"/>
              </w:rPr>
            </w:pPr>
            <w:r w:rsidRPr="00BF6611">
              <w:rPr>
                <w:rFonts w:cs="Arial"/>
                <w:sz w:val="18"/>
              </w:rPr>
              <w:t>Floating Head Pressure Controls</w:t>
            </w:r>
          </w:p>
        </w:tc>
        <w:tc>
          <w:tcPr>
            <w:tcW w:w="933" w:type="dxa"/>
            <w:vMerge/>
            <w:tcBorders>
              <w:left w:val="nil"/>
              <w:right w:val="nil"/>
            </w:tcBorders>
          </w:tcPr>
          <w:p w14:paraId="3FA5E8B6" w14:textId="77777777" w:rsidR="004D0A65" w:rsidRPr="00BF6611" w:rsidRDefault="004D0A65" w:rsidP="002B6C05">
            <w:pPr>
              <w:jc w:val="right"/>
              <w:cnfStyle w:val="000000010000" w:firstRow="0" w:lastRow="0" w:firstColumn="0" w:lastColumn="0" w:oddVBand="0" w:evenVBand="0" w:oddHBand="0" w:evenHBand="1" w:firstRowFirstColumn="0" w:firstRowLastColumn="0" w:lastRowFirstColumn="0" w:lastRowLastColumn="0"/>
              <w:rPr>
                <w:rFonts w:cstheme="minorHAnsi"/>
                <w:sz w:val="18"/>
              </w:rPr>
            </w:pPr>
          </w:p>
        </w:tc>
        <w:tc>
          <w:tcPr>
            <w:tcW w:w="3114" w:type="dxa"/>
            <w:vMerge/>
            <w:tcBorders>
              <w:left w:val="nil"/>
              <w:right w:val="nil"/>
            </w:tcBorders>
          </w:tcPr>
          <w:p w14:paraId="5ADD53B9" w14:textId="77777777" w:rsidR="004D0A65" w:rsidRPr="00BF6611" w:rsidRDefault="004D0A65" w:rsidP="002B6C05">
            <w:pPr>
              <w:jc w:val="left"/>
              <w:cnfStyle w:val="000000010000" w:firstRow="0" w:lastRow="0" w:firstColumn="0" w:lastColumn="0" w:oddVBand="0" w:evenVBand="0" w:oddHBand="0" w:evenHBand="1" w:firstRowFirstColumn="0" w:firstRowLastColumn="0" w:lastRowFirstColumn="0" w:lastRowLastColumn="0"/>
              <w:rPr>
                <w:rFonts w:cstheme="minorHAnsi"/>
                <w:sz w:val="18"/>
              </w:rPr>
            </w:pPr>
          </w:p>
        </w:tc>
      </w:tr>
      <w:tr w:rsidR="004D0A65" w:rsidRPr="00BF6611" w14:paraId="4898C300" w14:textId="77777777" w:rsidTr="002B6C05">
        <w:trPr>
          <w:cnfStyle w:val="000000100000" w:firstRow="0" w:lastRow="0" w:firstColumn="0" w:lastColumn="0" w:oddVBand="0" w:evenVBand="0" w:oddHBand="1" w:evenHBand="0" w:firstRowFirstColumn="0" w:firstRowLastColumn="0" w:lastRowFirstColumn="0" w:lastRowLastColumn="0"/>
          <w:cantSplit/>
          <w:trHeight w:val="566"/>
          <w:jc w:val="center"/>
        </w:trPr>
        <w:tc>
          <w:tcPr>
            <w:cnfStyle w:val="001000000000" w:firstRow="0" w:lastRow="0" w:firstColumn="1" w:lastColumn="0" w:oddVBand="0" w:evenVBand="0" w:oddHBand="0" w:evenHBand="0" w:firstRowFirstColumn="0" w:firstRowLastColumn="0" w:lastRowFirstColumn="0" w:lastRowLastColumn="0"/>
            <w:tcW w:w="1658" w:type="dxa"/>
            <w:vMerge/>
            <w:tcBorders>
              <w:left w:val="nil"/>
              <w:right w:val="nil"/>
            </w:tcBorders>
          </w:tcPr>
          <w:p w14:paraId="2DF25EC2" w14:textId="77777777" w:rsidR="004D0A65" w:rsidRPr="00BF6611" w:rsidRDefault="004D0A65" w:rsidP="002B6C05">
            <w:pPr>
              <w:jc w:val="center"/>
              <w:rPr>
                <w:rFonts w:ascii="Arial" w:hAnsi="Arial" w:cs="Arial"/>
                <w:sz w:val="18"/>
              </w:rPr>
            </w:pPr>
          </w:p>
        </w:tc>
        <w:tc>
          <w:tcPr>
            <w:tcW w:w="1566" w:type="dxa"/>
            <w:vMerge/>
            <w:tcBorders>
              <w:left w:val="nil"/>
              <w:right w:val="nil"/>
            </w:tcBorders>
          </w:tcPr>
          <w:p w14:paraId="462A14B7" w14:textId="77777777" w:rsidR="004D0A65" w:rsidRPr="00BF6611" w:rsidRDefault="004D0A65" w:rsidP="002B6C05">
            <w:pPr>
              <w:jc w:val="center"/>
              <w:cnfStyle w:val="000000100000" w:firstRow="0" w:lastRow="0" w:firstColumn="0" w:lastColumn="0" w:oddVBand="0" w:evenVBand="0" w:oddHBand="1" w:evenHBand="0" w:firstRowFirstColumn="0" w:firstRowLastColumn="0" w:lastRowFirstColumn="0" w:lastRowLastColumn="0"/>
              <w:rPr>
                <w:rFonts w:cs="Arial"/>
                <w:sz w:val="18"/>
              </w:rPr>
            </w:pPr>
          </w:p>
        </w:tc>
        <w:tc>
          <w:tcPr>
            <w:tcW w:w="2179" w:type="dxa"/>
            <w:tcBorders>
              <w:top w:val="single" w:sz="4" w:space="0" w:color="D5DCE4" w:themeColor="text2" w:themeTint="33"/>
              <w:left w:val="nil"/>
              <w:bottom w:val="single" w:sz="4" w:space="0" w:color="D5DCE4" w:themeColor="text2" w:themeTint="33"/>
              <w:right w:val="nil"/>
            </w:tcBorders>
          </w:tcPr>
          <w:p w14:paraId="57697AF5" w14:textId="77777777" w:rsidR="004D0A65" w:rsidRPr="00BF6611" w:rsidRDefault="004D0A65" w:rsidP="002B6C05">
            <w:pPr>
              <w:jc w:val="left"/>
              <w:cnfStyle w:val="000000100000" w:firstRow="0" w:lastRow="0" w:firstColumn="0" w:lastColumn="0" w:oddVBand="0" w:evenVBand="0" w:oddHBand="1" w:evenHBand="0" w:firstRowFirstColumn="0" w:firstRowLastColumn="0" w:lastRowFirstColumn="0" w:lastRowLastColumn="0"/>
              <w:rPr>
                <w:rFonts w:cs="Arial"/>
                <w:sz w:val="18"/>
              </w:rPr>
            </w:pPr>
            <w:r w:rsidRPr="00BF6611">
              <w:rPr>
                <w:rFonts w:cs="Arial"/>
                <w:sz w:val="18"/>
              </w:rPr>
              <w:t>Refrigerated Cases</w:t>
            </w:r>
          </w:p>
          <w:p w14:paraId="049EF7FA" w14:textId="77777777" w:rsidR="004D0A65" w:rsidRPr="00BF6611" w:rsidRDefault="004D0A65" w:rsidP="002B6C05">
            <w:pPr>
              <w:jc w:val="left"/>
              <w:cnfStyle w:val="000000100000" w:firstRow="0" w:lastRow="0" w:firstColumn="0" w:lastColumn="0" w:oddVBand="0" w:evenVBand="0" w:oddHBand="1" w:evenHBand="0" w:firstRowFirstColumn="0" w:firstRowLastColumn="0" w:lastRowFirstColumn="0" w:lastRowLastColumn="0"/>
              <w:rPr>
                <w:rFonts w:cs="Arial"/>
                <w:sz w:val="18"/>
              </w:rPr>
            </w:pPr>
          </w:p>
        </w:tc>
        <w:tc>
          <w:tcPr>
            <w:tcW w:w="933" w:type="dxa"/>
            <w:vMerge/>
            <w:tcBorders>
              <w:left w:val="nil"/>
              <w:right w:val="nil"/>
            </w:tcBorders>
          </w:tcPr>
          <w:p w14:paraId="619BE5AB" w14:textId="77777777" w:rsidR="004D0A65" w:rsidRPr="00BF6611" w:rsidRDefault="004D0A65" w:rsidP="002B6C05">
            <w:pPr>
              <w:jc w:val="right"/>
              <w:cnfStyle w:val="000000100000" w:firstRow="0" w:lastRow="0" w:firstColumn="0" w:lastColumn="0" w:oddVBand="0" w:evenVBand="0" w:oddHBand="1" w:evenHBand="0" w:firstRowFirstColumn="0" w:firstRowLastColumn="0" w:lastRowFirstColumn="0" w:lastRowLastColumn="0"/>
              <w:rPr>
                <w:rFonts w:cstheme="minorHAnsi"/>
                <w:sz w:val="18"/>
              </w:rPr>
            </w:pPr>
          </w:p>
        </w:tc>
        <w:tc>
          <w:tcPr>
            <w:tcW w:w="3114" w:type="dxa"/>
            <w:vMerge/>
            <w:tcBorders>
              <w:left w:val="nil"/>
              <w:right w:val="nil"/>
            </w:tcBorders>
          </w:tcPr>
          <w:p w14:paraId="34C6C5A3" w14:textId="77777777" w:rsidR="004D0A65" w:rsidRPr="00BF6611" w:rsidRDefault="004D0A65" w:rsidP="002B6C05">
            <w:pPr>
              <w:jc w:val="left"/>
              <w:cnfStyle w:val="000000100000" w:firstRow="0" w:lastRow="0" w:firstColumn="0" w:lastColumn="0" w:oddVBand="0" w:evenVBand="0" w:oddHBand="1" w:evenHBand="0" w:firstRowFirstColumn="0" w:firstRowLastColumn="0" w:lastRowFirstColumn="0" w:lastRowLastColumn="0"/>
              <w:rPr>
                <w:rFonts w:cstheme="minorHAnsi"/>
                <w:sz w:val="18"/>
              </w:rPr>
            </w:pPr>
          </w:p>
        </w:tc>
      </w:tr>
      <w:tr w:rsidR="004D0A65" w:rsidRPr="00BF6611" w14:paraId="59F44908" w14:textId="77777777" w:rsidTr="002B6C05">
        <w:trPr>
          <w:cnfStyle w:val="000000010000" w:firstRow="0" w:lastRow="0" w:firstColumn="0" w:lastColumn="0" w:oddVBand="0" w:evenVBand="0" w:oddHBand="0" w:evenHBand="1" w:firstRowFirstColumn="0" w:firstRowLastColumn="0" w:lastRowFirstColumn="0" w:lastRowLastColumn="0"/>
          <w:cantSplit/>
          <w:trHeight w:val="952"/>
          <w:jc w:val="center"/>
        </w:trPr>
        <w:tc>
          <w:tcPr>
            <w:cnfStyle w:val="001000000000" w:firstRow="0" w:lastRow="0" w:firstColumn="1" w:lastColumn="0" w:oddVBand="0" w:evenVBand="0" w:oddHBand="0" w:evenHBand="0" w:firstRowFirstColumn="0" w:firstRowLastColumn="0" w:lastRowFirstColumn="0" w:lastRowLastColumn="0"/>
            <w:tcW w:w="1658" w:type="dxa"/>
            <w:vMerge/>
            <w:tcBorders>
              <w:left w:val="nil"/>
              <w:right w:val="nil"/>
            </w:tcBorders>
          </w:tcPr>
          <w:p w14:paraId="277DA71A" w14:textId="77777777" w:rsidR="004D0A65" w:rsidRPr="00BF6611" w:rsidRDefault="004D0A65" w:rsidP="002B6C05">
            <w:pPr>
              <w:jc w:val="center"/>
              <w:rPr>
                <w:rFonts w:ascii="Arial" w:hAnsi="Arial" w:cs="Arial"/>
                <w:sz w:val="18"/>
              </w:rPr>
            </w:pPr>
          </w:p>
        </w:tc>
        <w:tc>
          <w:tcPr>
            <w:tcW w:w="1566" w:type="dxa"/>
            <w:vMerge/>
            <w:tcBorders>
              <w:left w:val="nil"/>
              <w:right w:val="nil"/>
            </w:tcBorders>
          </w:tcPr>
          <w:p w14:paraId="1A804A98" w14:textId="77777777" w:rsidR="004D0A65" w:rsidRPr="00BF6611" w:rsidRDefault="004D0A65" w:rsidP="002B6C05">
            <w:pPr>
              <w:jc w:val="center"/>
              <w:cnfStyle w:val="000000010000" w:firstRow="0" w:lastRow="0" w:firstColumn="0" w:lastColumn="0" w:oddVBand="0" w:evenVBand="0" w:oddHBand="0" w:evenHBand="1" w:firstRowFirstColumn="0" w:firstRowLastColumn="0" w:lastRowFirstColumn="0" w:lastRowLastColumn="0"/>
              <w:rPr>
                <w:rFonts w:cs="Arial"/>
                <w:sz w:val="18"/>
              </w:rPr>
            </w:pPr>
          </w:p>
        </w:tc>
        <w:tc>
          <w:tcPr>
            <w:tcW w:w="2179" w:type="dxa"/>
            <w:tcBorders>
              <w:top w:val="single" w:sz="4" w:space="0" w:color="D5DCE4" w:themeColor="text2" w:themeTint="33"/>
              <w:left w:val="nil"/>
              <w:bottom w:val="single" w:sz="4" w:space="0" w:color="D5DCE4" w:themeColor="text2" w:themeTint="33"/>
              <w:right w:val="nil"/>
            </w:tcBorders>
          </w:tcPr>
          <w:p w14:paraId="46BA5AE5" w14:textId="77777777" w:rsidR="004D0A65" w:rsidRPr="00BF6611" w:rsidRDefault="004D0A65" w:rsidP="002B6C05">
            <w:pPr>
              <w:jc w:val="left"/>
              <w:cnfStyle w:val="000000010000" w:firstRow="0" w:lastRow="0" w:firstColumn="0" w:lastColumn="0" w:oddVBand="0" w:evenVBand="0" w:oddHBand="0" w:evenHBand="1" w:firstRowFirstColumn="0" w:firstRowLastColumn="0" w:lastRowFirstColumn="0" w:lastRowLastColumn="0"/>
              <w:rPr>
                <w:rFonts w:cs="Arial"/>
                <w:sz w:val="18"/>
              </w:rPr>
            </w:pPr>
            <w:r w:rsidRPr="00BF6611">
              <w:rPr>
                <w:rFonts w:cs="Arial"/>
                <w:sz w:val="18"/>
              </w:rPr>
              <w:t>Refrigeration Compressor</w:t>
            </w:r>
          </w:p>
          <w:p w14:paraId="763DED70" w14:textId="77777777" w:rsidR="004D0A65" w:rsidRPr="00BF6611" w:rsidRDefault="004D0A65" w:rsidP="002B6C05">
            <w:pPr>
              <w:jc w:val="left"/>
              <w:cnfStyle w:val="000000010000" w:firstRow="0" w:lastRow="0" w:firstColumn="0" w:lastColumn="0" w:oddVBand="0" w:evenVBand="0" w:oddHBand="0" w:evenHBand="1" w:firstRowFirstColumn="0" w:firstRowLastColumn="0" w:lastRowFirstColumn="0" w:lastRowLastColumn="0"/>
              <w:rPr>
                <w:rFonts w:cs="Arial"/>
                <w:sz w:val="18"/>
              </w:rPr>
            </w:pPr>
          </w:p>
        </w:tc>
        <w:tc>
          <w:tcPr>
            <w:tcW w:w="933" w:type="dxa"/>
            <w:vMerge/>
            <w:tcBorders>
              <w:left w:val="nil"/>
              <w:right w:val="nil"/>
            </w:tcBorders>
          </w:tcPr>
          <w:p w14:paraId="40CAD142" w14:textId="77777777" w:rsidR="004D0A65" w:rsidRPr="00BF6611" w:rsidRDefault="004D0A65" w:rsidP="002B6C05">
            <w:pPr>
              <w:jc w:val="right"/>
              <w:cnfStyle w:val="000000010000" w:firstRow="0" w:lastRow="0" w:firstColumn="0" w:lastColumn="0" w:oddVBand="0" w:evenVBand="0" w:oddHBand="0" w:evenHBand="1" w:firstRowFirstColumn="0" w:firstRowLastColumn="0" w:lastRowFirstColumn="0" w:lastRowLastColumn="0"/>
              <w:rPr>
                <w:rFonts w:cstheme="minorHAnsi"/>
                <w:sz w:val="18"/>
              </w:rPr>
            </w:pPr>
          </w:p>
        </w:tc>
        <w:tc>
          <w:tcPr>
            <w:tcW w:w="3114" w:type="dxa"/>
            <w:vMerge/>
            <w:tcBorders>
              <w:left w:val="nil"/>
              <w:right w:val="nil"/>
            </w:tcBorders>
          </w:tcPr>
          <w:p w14:paraId="3FCA9649" w14:textId="77777777" w:rsidR="004D0A65" w:rsidRPr="00BF6611" w:rsidRDefault="004D0A65" w:rsidP="002B6C05">
            <w:pPr>
              <w:jc w:val="left"/>
              <w:cnfStyle w:val="000000010000" w:firstRow="0" w:lastRow="0" w:firstColumn="0" w:lastColumn="0" w:oddVBand="0" w:evenVBand="0" w:oddHBand="0" w:evenHBand="1" w:firstRowFirstColumn="0" w:firstRowLastColumn="0" w:lastRowFirstColumn="0" w:lastRowLastColumn="0"/>
              <w:rPr>
                <w:rFonts w:cstheme="minorHAnsi"/>
                <w:sz w:val="18"/>
              </w:rPr>
            </w:pPr>
          </w:p>
        </w:tc>
      </w:tr>
      <w:tr w:rsidR="004D0A65" w:rsidRPr="00BF6611" w14:paraId="19461B97" w14:textId="77777777" w:rsidTr="002B6C05">
        <w:trPr>
          <w:cnfStyle w:val="000000100000" w:firstRow="0" w:lastRow="0" w:firstColumn="0" w:lastColumn="0" w:oddVBand="0" w:evenVBand="0" w:oddHBand="1" w:evenHBand="0" w:firstRowFirstColumn="0" w:firstRowLastColumn="0" w:lastRowFirstColumn="0" w:lastRowLastColumn="0"/>
          <w:cantSplit/>
          <w:trHeight w:val="952"/>
          <w:jc w:val="center"/>
        </w:trPr>
        <w:tc>
          <w:tcPr>
            <w:cnfStyle w:val="001000000000" w:firstRow="0" w:lastRow="0" w:firstColumn="1" w:lastColumn="0" w:oddVBand="0" w:evenVBand="0" w:oddHBand="0" w:evenHBand="0" w:firstRowFirstColumn="0" w:firstRowLastColumn="0" w:lastRowFirstColumn="0" w:lastRowLastColumn="0"/>
            <w:tcW w:w="1658" w:type="dxa"/>
            <w:vMerge/>
            <w:tcBorders>
              <w:left w:val="nil"/>
              <w:bottom w:val="single" w:sz="4" w:space="0" w:color="D5DCE4" w:themeColor="text2" w:themeTint="33"/>
              <w:right w:val="nil"/>
            </w:tcBorders>
          </w:tcPr>
          <w:p w14:paraId="0BA2A1EF" w14:textId="77777777" w:rsidR="004D0A65" w:rsidRPr="00BF6611" w:rsidRDefault="004D0A65" w:rsidP="002B6C05">
            <w:pPr>
              <w:jc w:val="center"/>
              <w:rPr>
                <w:rFonts w:ascii="Arial" w:hAnsi="Arial" w:cs="Arial"/>
                <w:sz w:val="18"/>
              </w:rPr>
            </w:pPr>
          </w:p>
        </w:tc>
        <w:tc>
          <w:tcPr>
            <w:tcW w:w="1566" w:type="dxa"/>
            <w:vMerge/>
            <w:tcBorders>
              <w:left w:val="nil"/>
              <w:bottom w:val="single" w:sz="4" w:space="0" w:color="D5DCE4" w:themeColor="text2" w:themeTint="33"/>
              <w:right w:val="nil"/>
            </w:tcBorders>
          </w:tcPr>
          <w:p w14:paraId="792B021F" w14:textId="77777777" w:rsidR="004D0A65" w:rsidRPr="00BF6611" w:rsidRDefault="004D0A65" w:rsidP="002B6C05">
            <w:pPr>
              <w:jc w:val="center"/>
              <w:cnfStyle w:val="000000100000" w:firstRow="0" w:lastRow="0" w:firstColumn="0" w:lastColumn="0" w:oddVBand="0" w:evenVBand="0" w:oddHBand="1" w:evenHBand="0" w:firstRowFirstColumn="0" w:firstRowLastColumn="0" w:lastRowFirstColumn="0" w:lastRowLastColumn="0"/>
              <w:rPr>
                <w:rFonts w:cs="Arial"/>
                <w:sz w:val="18"/>
              </w:rPr>
            </w:pPr>
          </w:p>
        </w:tc>
        <w:tc>
          <w:tcPr>
            <w:tcW w:w="2179" w:type="dxa"/>
            <w:tcBorders>
              <w:top w:val="single" w:sz="4" w:space="0" w:color="D5DCE4" w:themeColor="text2" w:themeTint="33"/>
              <w:left w:val="nil"/>
              <w:bottom w:val="single" w:sz="4" w:space="0" w:color="D5DCE4" w:themeColor="text2" w:themeTint="33"/>
              <w:right w:val="nil"/>
            </w:tcBorders>
          </w:tcPr>
          <w:p w14:paraId="01FD573A" w14:textId="77777777" w:rsidR="004D0A65" w:rsidRPr="00BF6611" w:rsidRDefault="004D0A65" w:rsidP="002B6C05">
            <w:pPr>
              <w:jc w:val="left"/>
              <w:cnfStyle w:val="000000100000" w:firstRow="0" w:lastRow="0" w:firstColumn="0" w:lastColumn="0" w:oddVBand="0" w:evenVBand="0" w:oddHBand="1" w:evenHBand="0" w:firstRowFirstColumn="0" w:firstRowLastColumn="0" w:lastRowFirstColumn="0" w:lastRowLastColumn="0"/>
              <w:rPr>
                <w:rFonts w:cs="Arial"/>
                <w:sz w:val="18"/>
              </w:rPr>
            </w:pPr>
            <w:r w:rsidRPr="00BF6611">
              <w:rPr>
                <w:rFonts w:cs="Arial"/>
                <w:sz w:val="18"/>
              </w:rPr>
              <w:t>Refrigeration Controls</w:t>
            </w:r>
          </w:p>
        </w:tc>
        <w:tc>
          <w:tcPr>
            <w:tcW w:w="933" w:type="dxa"/>
            <w:vMerge/>
            <w:tcBorders>
              <w:left w:val="nil"/>
              <w:bottom w:val="single" w:sz="4" w:space="0" w:color="D5DCE4" w:themeColor="text2" w:themeTint="33"/>
              <w:right w:val="nil"/>
            </w:tcBorders>
          </w:tcPr>
          <w:p w14:paraId="6F07F833" w14:textId="77777777" w:rsidR="004D0A65" w:rsidRPr="00BF6611" w:rsidRDefault="004D0A65" w:rsidP="002B6C05">
            <w:pPr>
              <w:jc w:val="right"/>
              <w:cnfStyle w:val="000000100000" w:firstRow="0" w:lastRow="0" w:firstColumn="0" w:lastColumn="0" w:oddVBand="0" w:evenVBand="0" w:oddHBand="1" w:evenHBand="0" w:firstRowFirstColumn="0" w:firstRowLastColumn="0" w:lastRowFirstColumn="0" w:lastRowLastColumn="0"/>
              <w:rPr>
                <w:rFonts w:cstheme="minorHAnsi"/>
                <w:sz w:val="18"/>
              </w:rPr>
            </w:pPr>
          </w:p>
        </w:tc>
        <w:tc>
          <w:tcPr>
            <w:tcW w:w="3114" w:type="dxa"/>
            <w:vMerge/>
            <w:tcBorders>
              <w:left w:val="nil"/>
              <w:bottom w:val="single" w:sz="4" w:space="0" w:color="D5DCE4" w:themeColor="text2" w:themeTint="33"/>
              <w:right w:val="nil"/>
            </w:tcBorders>
          </w:tcPr>
          <w:p w14:paraId="1FC9BC36" w14:textId="77777777" w:rsidR="004D0A65" w:rsidRPr="00BF6611" w:rsidRDefault="004D0A65" w:rsidP="002B6C05">
            <w:pPr>
              <w:jc w:val="left"/>
              <w:cnfStyle w:val="000000100000" w:firstRow="0" w:lastRow="0" w:firstColumn="0" w:lastColumn="0" w:oddVBand="0" w:evenVBand="0" w:oddHBand="1" w:evenHBand="0" w:firstRowFirstColumn="0" w:firstRowLastColumn="0" w:lastRowFirstColumn="0" w:lastRowLastColumn="0"/>
              <w:rPr>
                <w:rFonts w:cstheme="minorHAnsi"/>
                <w:sz w:val="18"/>
              </w:rPr>
            </w:pPr>
          </w:p>
        </w:tc>
      </w:tr>
      <w:tr w:rsidR="00212CFB" w:rsidRPr="00BF6611" w14:paraId="4D50770D" w14:textId="77777777" w:rsidTr="00C84A1F">
        <w:trPr>
          <w:cnfStyle w:val="000000010000" w:firstRow="0" w:lastRow="0" w:firstColumn="0" w:lastColumn="0" w:oddVBand="0" w:evenVBand="0" w:oddHBand="0" w:evenHBand="1" w:firstRowFirstColumn="0" w:firstRowLastColumn="0" w:lastRowFirstColumn="0" w:lastRowLastColumn="0"/>
          <w:cantSplit/>
          <w:trHeight w:val="48"/>
          <w:jc w:val="center"/>
        </w:trPr>
        <w:tc>
          <w:tcPr>
            <w:cnfStyle w:val="001000000000" w:firstRow="0" w:lastRow="0" w:firstColumn="1" w:lastColumn="0" w:oddVBand="0" w:evenVBand="0" w:oddHBand="0" w:evenHBand="0" w:firstRowFirstColumn="0" w:firstRowLastColumn="0" w:lastRowFirstColumn="0" w:lastRowLastColumn="0"/>
            <w:tcW w:w="1658" w:type="dxa"/>
            <w:vMerge w:val="restart"/>
            <w:tcBorders>
              <w:top w:val="single" w:sz="4" w:space="0" w:color="D5DCE4" w:themeColor="text2" w:themeTint="33"/>
              <w:left w:val="nil"/>
              <w:right w:val="nil"/>
            </w:tcBorders>
            <w:hideMark/>
          </w:tcPr>
          <w:p w14:paraId="35DC78D9" w14:textId="1E1BA2DC" w:rsidR="00212CFB" w:rsidRPr="00BF6611" w:rsidRDefault="00212CFB" w:rsidP="002B6C05">
            <w:pPr>
              <w:jc w:val="center"/>
              <w:rPr>
                <w:rFonts w:ascii="Arial" w:hAnsi="Arial" w:cs="Arial"/>
                <w:sz w:val="18"/>
              </w:rPr>
            </w:pPr>
            <w:r>
              <w:rPr>
                <w:rFonts w:ascii="Arial" w:hAnsi="Arial" w:cs="Arial"/>
                <w:sz w:val="18"/>
              </w:rPr>
              <w:t>C</w:t>
            </w:r>
            <w:r w:rsidRPr="00BF6611">
              <w:rPr>
                <w:rFonts w:ascii="Arial" w:hAnsi="Arial" w:cs="Arial"/>
                <w:sz w:val="18"/>
              </w:rPr>
              <w:t>ommissioning</w:t>
            </w:r>
          </w:p>
        </w:tc>
        <w:tc>
          <w:tcPr>
            <w:tcW w:w="1566" w:type="dxa"/>
            <w:tcBorders>
              <w:top w:val="single" w:sz="4" w:space="0" w:color="D5DCE4" w:themeColor="text2" w:themeTint="33"/>
              <w:left w:val="nil"/>
              <w:bottom w:val="single" w:sz="4" w:space="0" w:color="D5DCE4" w:themeColor="text2" w:themeTint="33"/>
              <w:right w:val="nil"/>
            </w:tcBorders>
            <w:hideMark/>
          </w:tcPr>
          <w:p w14:paraId="6614EA02" w14:textId="77777777" w:rsidR="00212CFB" w:rsidRPr="00BF6611" w:rsidRDefault="00212CFB" w:rsidP="002B6C05">
            <w:pPr>
              <w:jc w:val="center"/>
              <w:cnfStyle w:val="000000010000" w:firstRow="0" w:lastRow="0" w:firstColumn="0" w:lastColumn="0" w:oddVBand="0" w:evenVBand="0" w:oddHBand="0" w:evenHBand="1" w:firstRowFirstColumn="0" w:firstRowLastColumn="0" w:lastRowFirstColumn="0" w:lastRowLastColumn="0"/>
              <w:rPr>
                <w:rFonts w:cs="Arial"/>
                <w:sz w:val="18"/>
              </w:rPr>
            </w:pPr>
            <w:r w:rsidRPr="00BF6611">
              <w:rPr>
                <w:rFonts w:cs="Arial"/>
                <w:sz w:val="18"/>
              </w:rPr>
              <w:t>Retro commissioning</w:t>
            </w:r>
          </w:p>
        </w:tc>
        <w:tc>
          <w:tcPr>
            <w:tcW w:w="2179" w:type="dxa"/>
            <w:tcBorders>
              <w:top w:val="single" w:sz="4" w:space="0" w:color="D5DCE4" w:themeColor="text2" w:themeTint="33"/>
              <w:left w:val="nil"/>
              <w:bottom w:val="single" w:sz="4" w:space="0" w:color="D5DCE4" w:themeColor="text2" w:themeTint="33"/>
              <w:right w:val="nil"/>
            </w:tcBorders>
          </w:tcPr>
          <w:p w14:paraId="4B622C03" w14:textId="25439C67" w:rsidR="00212CFB" w:rsidRPr="00BF6611" w:rsidRDefault="00212CFB" w:rsidP="002B6C05">
            <w:pPr>
              <w:jc w:val="left"/>
              <w:cnfStyle w:val="000000010000" w:firstRow="0" w:lastRow="0" w:firstColumn="0" w:lastColumn="0" w:oddVBand="0" w:evenVBand="0" w:oddHBand="0" w:evenHBand="1" w:firstRowFirstColumn="0" w:firstRowLastColumn="0" w:lastRowFirstColumn="0" w:lastRowLastColumn="0"/>
              <w:rPr>
                <w:rFonts w:cs="Arial"/>
                <w:sz w:val="18"/>
              </w:rPr>
            </w:pPr>
            <w:r w:rsidRPr="00BF6611">
              <w:rPr>
                <w:rFonts w:cs="Arial"/>
                <w:sz w:val="18"/>
              </w:rPr>
              <w:t>RCx</w:t>
            </w:r>
            <w:r>
              <w:rPr>
                <w:rFonts w:cs="Arial"/>
                <w:sz w:val="18"/>
              </w:rPr>
              <w:t xml:space="preserve"> Measures</w:t>
            </w:r>
          </w:p>
        </w:tc>
        <w:tc>
          <w:tcPr>
            <w:tcW w:w="933" w:type="dxa"/>
            <w:tcBorders>
              <w:top w:val="single" w:sz="4" w:space="0" w:color="D5DCE4" w:themeColor="text2" w:themeTint="33"/>
              <w:left w:val="nil"/>
              <w:bottom w:val="single" w:sz="4" w:space="0" w:color="D5DCE4" w:themeColor="text2" w:themeTint="33"/>
              <w:right w:val="nil"/>
            </w:tcBorders>
            <w:hideMark/>
          </w:tcPr>
          <w:p w14:paraId="103F4E67" w14:textId="2DD3E406" w:rsidR="00212CFB" w:rsidRPr="00BF6611" w:rsidRDefault="00212CFB" w:rsidP="002B6C05">
            <w:pPr>
              <w:jc w:val="right"/>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sz w:val="18"/>
              </w:rPr>
            </w:pPr>
            <w:r>
              <w:rPr>
                <w:rFonts w:cstheme="minorHAnsi"/>
                <w:sz w:val="18"/>
              </w:rPr>
              <w:t>8.6</w:t>
            </w:r>
          </w:p>
        </w:tc>
        <w:tc>
          <w:tcPr>
            <w:tcW w:w="3114" w:type="dxa"/>
            <w:tcBorders>
              <w:top w:val="single" w:sz="4" w:space="0" w:color="D5DCE4" w:themeColor="text2" w:themeTint="33"/>
              <w:left w:val="nil"/>
              <w:bottom w:val="single" w:sz="4" w:space="0" w:color="D5DCE4" w:themeColor="text2" w:themeTint="33"/>
              <w:right w:val="nil"/>
            </w:tcBorders>
            <w:hideMark/>
          </w:tcPr>
          <w:p w14:paraId="67AF7AB1" w14:textId="77777777" w:rsidR="00212CFB" w:rsidRPr="00BF6611" w:rsidRDefault="00212CFB" w:rsidP="002B6C05">
            <w:pPr>
              <w:jc w:val="left"/>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sz w:val="18"/>
              </w:rPr>
            </w:pPr>
            <w:r w:rsidRPr="00BF6611">
              <w:rPr>
                <w:rFonts w:cstheme="minorHAnsi"/>
                <w:sz w:val="18"/>
              </w:rPr>
              <w:t>Research may show that EULs for RCx measures vary significantly between RCx categories</w:t>
            </w:r>
            <w:r w:rsidRPr="00BF6611">
              <w:rPr>
                <w:sz w:val="18"/>
                <w:lang w:val="en-CA"/>
              </w:rPr>
              <w:t xml:space="preserve"> or RCx delivery methods</w:t>
            </w:r>
            <w:r w:rsidRPr="00BF6611">
              <w:rPr>
                <w:rFonts w:cstheme="minorHAnsi"/>
                <w:sz w:val="18"/>
              </w:rPr>
              <w:t xml:space="preserve">. </w:t>
            </w:r>
          </w:p>
          <w:p w14:paraId="5202B7C2" w14:textId="77777777" w:rsidR="00212CFB" w:rsidRPr="00BF6611" w:rsidRDefault="00212CFB" w:rsidP="002B6C05">
            <w:pPr>
              <w:jc w:val="left"/>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sz w:val="18"/>
              </w:rPr>
            </w:pPr>
            <w:r w:rsidRPr="00BF6611">
              <w:rPr>
                <w:rFonts w:cstheme="minorHAnsi"/>
                <w:sz w:val="18"/>
              </w:rPr>
              <w:t xml:space="preserve">If that is not the case, the recommended program level value will continue working well. </w:t>
            </w:r>
          </w:p>
        </w:tc>
      </w:tr>
      <w:tr w:rsidR="0005272C" w:rsidRPr="00BF6611" w14:paraId="64B637DB" w14:textId="77777777" w:rsidTr="00C84A1F">
        <w:trPr>
          <w:cnfStyle w:val="000000100000" w:firstRow="0" w:lastRow="0" w:firstColumn="0" w:lastColumn="0" w:oddVBand="0" w:evenVBand="0" w:oddHBand="1" w:evenHBand="0" w:firstRowFirstColumn="0" w:firstRowLastColumn="0" w:lastRowFirstColumn="0" w:lastRowLastColumn="0"/>
          <w:cantSplit/>
          <w:trHeight w:val="962"/>
          <w:jc w:val="center"/>
        </w:trPr>
        <w:tc>
          <w:tcPr>
            <w:cnfStyle w:val="001000000000" w:firstRow="0" w:lastRow="0" w:firstColumn="1" w:lastColumn="0" w:oddVBand="0" w:evenVBand="0" w:oddHBand="0" w:evenHBand="0" w:firstRowFirstColumn="0" w:firstRowLastColumn="0" w:lastRowFirstColumn="0" w:lastRowLastColumn="0"/>
            <w:tcW w:w="1658" w:type="dxa"/>
            <w:vMerge/>
            <w:tcBorders>
              <w:left w:val="nil"/>
              <w:bottom w:val="single" w:sz="4" w:space="0" w:color="D5DCE4" w:themeColor="text2" w:themeTint="33"/>
              <w:right w:val="nil"/>
            </w:tcBorders>
          </w:tcPr>
          <w:p w14:paraId="2C8D796E" w14:textId="77777777" w:rsidR="0005272C" w:rsidRPr="00BF6611" w:rsidRDefault="0005272C" w:rsidP="0005272C">
            <w:pPr>
              <w:jc w:val="center"/>
              <w:rPr>
                <w:rFonts w:ascii="Arial" w:hAnsi="Arial" w:cs="Arial"/>
                <w:sz w:val="18"/>
              </w:rPr>
            </w:pPr>
          </w:p>
        </w:tc>
        <w:tc>
          <w:tcPr>
            <w:tcW w:w="1566" w:type="dxa"/>
            <w:tcBorders>
              <w:top w:val="single" w:sz="4" w:space="0" w:color="D5DCE4" w:themeColor="text2" w:themeTint="33"/>
              <w:left w:val="nil"/>
              <w:bottom w:val="single" w:sz="4" w:space="0" w:color="D5DCE4" w:themeColor="text2" w:themeTint="33"/>
              <w:right w:val="nil"/>
            </w:tcBorders>
          </w:tcPr>
          <w:p w14:paraId="4A782F9A" w14:textId="1A8030A6" w:rsidR="0005272C" w:rsidRPr="00BF6611" w:rsidRDefault="0005272C" w:rsidP="0005272C">
            <w:pPr>
              <w:jc w:val="center"/>
              <w:cnfStyle w:val="000000100000" w:firstRow="0" w:lastRow="0" w:firstColumn="0" w:lastColumn="0" w:oddVBand="0" w:evenVBand="0" w:oddHBand="1" w:evenHBand="0" w:firstRowFirstColumn="0" w:firstRowLastColumn="0" w:lastRowFirstColumn="0" w:lastRowLastColumn="0"/>
              <w:rPr>
                <w:rFonts w:cs="Arial"/>
                <w:sz w:val="18"/>
              </w:rPr>
            </w:pPr>
            <w:r>
              <w:rPr>
                <w:rFonts w:cs="Arial"/>
                <w:sz w:val="18"/>
              </w:rPr>
              <w:t>Virtual Com</w:t>
            </w:r>
            <w:r w:rsidR="00105A4E">
              <w:rPr>
                <w:rFonts w:cs="Arial"/>
                <w:sz w:val="18"/>
              </w:rPr>
              <w:t>m</w:t>
            </w:r>
            <w:r>
              <w:rPr>
                <w:rFonts w:cs="Arial"/>
                <w:sz w:val="18"/>
              </w:rPr>
              <w:t>issioning</w:t>
            </w:r>
          </w:p>
        </w:tc>
        <w:tc>
          <w:tcPr>
            <w:tcW w:w="2179" w:type="dxa"/>
            <w:tcBorders>
              <w:top w:val="single" w:sz="4" w:space="0" w:color="D5DCE4" w:themeColor="text2" w:themeTint="33"/>
              <w:left w:val="nil"/>
              <w:bottom w:val="single" w:sz="4" w:space="0" w:color="D5DCE4" w:themeColor="text2" w:themeTint="33"/>
              <w:right w:val="nil"/>
            </w:tcBorders>
          </w:tcPr>
          <w:p w14:paraId="7FC6FB16" w14:textId="7F7F42AA" w:rsidR="0005272C" w:rsidRPr="00BF6611" w:rsidRDefault="0005272C" w:rsidP="0005272C">
            <w:pPr>
              <w:jc w:val="left"/>
              <w:cnfStyle w:val="000000100000" w:firstRow="0" w:lastRow="0" w:firstColumn="0" w:lastColumn="0" w:oddVBand="0" w:evenVBand="0" w:oddHBand="1" w:evenHBand="0" w:firstRowFirstColumn="0" w:firstRowLastColumn="0" w:lastRowFirstColumn="0" w:lastRowLastColumn="0"/>
              <w:rPr>
                <w:rFonts w:cs="Arial"/>
                <w:sz w:val="18"/>
              </w:rPr>
            </w:pPr>
            <w:r>
              <w:rPr>
                <w:rFonts w:cs="Arial"/>
                <w:sz w:val="18"/>
              </w:rPr>
              <w:t>Remote and Onsite Control Adjustments</w:t>
            </w:r>
          </w:p>
        </w:tc>
        <w:tc>
          <w:tcPr>
            <w:tcW w:w="933" w:type="dxa"/>
            <w:tcBorders>
              <w:top w:val="single" w:sz="4" w:space="0" w:color="D5DCE4" w:themeColor="text2" w:themeTint="33"/>
              <w:left w:val="nil"/>
              <w:bottom w:val="single" w:sz="4" w:space="0" w:color="D5DCE4" w:themeColor="text2" w:themeTint="33"/>
              <w:right w:val="nil"/>
            </w:tcBorders>
          </w:tcPr>
          <w:p w14:paraId="0F9B7A86" w14:textId="502D7D07" w:rsidR="0005272C" w:rsidRPr="00BF6611" w:rsidRDefault="0005272C" w:rsidP="0005272C">
            <w:pPr>
              <w:jc w:val="right"/>
              <w:cnfStyle w:val="000000100000" w:firstRow="0" w:lastRow="0" w:firstColumn="0" w:lastColumn="0" w:oddVBand="0" w:evenVBand="0" w:oddHBand="1" w:evenHBand="0" w:firstRowFirstColumn="0" w:firstRowLastColumn="0" w:lastRowFirstColumn="0" w:lastRowLastColumn="0"/>
              <w:rPr>
                <w:rFonts w:cstheme="minorHAnsi"/>
                <w:sz w:val="18"/>
              </w:rPr>
            </w:pPr>
            <w:r>
              <w:rPr>
                <w:rFonts w:cstheme="minorHAnsi"/>
                <w:sz w:val="18"/>
              </w:rPr>
              <w:t>7.3</w:t>
            </w:r>
          </w:p>
        </w:tc>
        <w:tc>
          <w:tcPr>
            <w:tcW w:w="3114" w:type="dxa"/>
            <w:tcBorders>
              <w:top w:val="single" w:sz="4" w:space="0" w:color="D5DCE4" w:themeColor="text2" w:themeTint="33"/>
              <w:left w:val="nil"/>
              <w:bottom w:val="single" w:sz="4" w:space="0" w:color="D5DCE4" w:themeColor="text2" w:themeTint="33"/>
              <w:right w:val="nil"/>
            </w:tcBorders>
          </w:tcPr>
          <w:p w14:paraId="7C224663" w14:textId="77777777" w:rsidR="0005272C" w:rsidRPr="00D052FE" w:rsidRDefault="0005272C" w:rsidP="0005272C">
            <w:pPr>
              <w:widowControl/>
              <w:spacing w:after="0"/>
              <w:jc w:val="left"/>
              <w:cnfStyle w:val="000000100000" w:firstRow="0" w:lastRow="0" w:firstColumn="0" w:lastColumn="0" w:oddVBand="0" w:evenVBand="0" w:oddHBand="1" w:evenHBand="0" w:firstRowFirstColumn="0" w:firstRowLastColumn="0" w:lastRowFirstColumn="0" w:lastRowLastColumn="0"/>
              <w:rPr>
                <w:rFonts w:cstheme="minorHAnsi"/>
                <w:sz w:val="18"/>
                <w:szCs w:val="18"/>
              </w:rPr>
            </w:pPr>
            <w:r w:rsidRPr="00DE49BF">
              <w:rPr>
                <w:rFonts w:cstheme="minorHAnsi"/>
                <w:sz w:val="18"/>
              </w:rPr>
              <w:t xml:space="preserve">Based </w:t>
            </w:r>
            <w:r>
              <w:rPr>
                <w:rFonts w:cstheme="minorHAnsi"/>
                <w:sz w:val="18"/>
              </w:rPr>
              <w:t>on assuming that 70% of progr</w:t>
            </w:r>
            <w:r w:rsidRPr="00DE49BF">
              <w:rPr>
                <w:rFonts w:cstheme="minorHAnsi"/>
                <w:sz w:val="18"/>
                <w:szCs w:val="18"/>
              </w:rPr>
              <w:t xml:space="preserve">am activity is implemented via the </w:t>
            </w:r>
            <w:r w:rsidRPr="00D052FE">
              <w:rPr>
                <w:rFonts w:cstheme="minorHAnsi"/>
                <w:sz w:val="18"/>
                <w:szCs w:val="18"/>
              </w:rPr>
              <w:t>building automation system and 30</w:t>
            </w:r>
            <w:proofErr w:type="gramStart"/>
            <w:r w:rsidRPr="00D052FE">
              <w:rPr>
                <w:rFonts w:cstheme="minorHAnsi"/>
                <w:sz w:val="18"/>
                <w:szCs w:val="18"/>
              </w:rPr>
              <w:t>%  are</w:t>
            </w:r>
            <w:proofErr w:type="gramEnd"/>
            <w:r w:rsidRPr="00D052FE">
              <w:rPr>
                <w:rFonts w:cstheme="minorHAnsi"/>
                <w:sz w:val="18"/>
                <w:szCs w:val="18"/>
              </w:rPr>
              <w:t xml:space="preserve"> by other means: </w:t>
            </w:r>
          </w:p>
          <w:p w14:paraId="49F343CB" w14:textId="77777777" w:rsidR="0005272C" w:rsidRPr="00D052FE" w:rsidRDefault="0005272C" w:rsidP="0092016D">
            <w:pPr>
              <w:pStyle w:val="ListParagraph"/>
              <w:widowControl/>
              <w:numPr>
                <w:ilvl w:val="3"/>
                <w:numId w:val="95"/>
              </w:numPr>
              <w:spacing w:after="0"/>
              <w:ind w:left="196" w:hanging="201"/>
              <w:jc w:val="left"/>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052FE">
              <w:rPr>
                <w:rFonts w:cs="Arial"/>
                <w:color w:val="000000"/>
                <w:sz w:val="18"/>
                <w:szCs w:val="18"/>
              </w:rPr>
              <w:t>RCx EUL of 8.6 years (weighted at 70% reflecting the BAS implemented measures)</w:t>
            </w:r>
          </w:p>
          <w:p w14:paraId="147C9818" w14:textId="77777777" w:rsidR="0005272C" w:rsidRPr="00D052FE" w:rsidRDefault="0005272C" w:rsidP="0092016D">
            <w:pPr>
              <w:pStyle w:val="ListParagraph"/>
              <w:widowControl/>
              <w:numPr>
                <w:ilvl w:val="0"/>
                <w:numId w:val="95"/>
              </w:numPr>
              <w:spacing w:after="0"/>
              <w:ind w:left="196" w:hanging="180"/>
              <w:contextualSpacing w:val="0"/>
              <w:jc w:val="left"/>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052FE">
              <w:rPr>
                <w:rFonts w:cs="Arial"/>
                <w:color w:val="000000"/>
                <w:sz w:val="18"/>
                <w:szCs w:val="18"/>
              </w:rPr>
              <w:t>Non-BAS implemented measures use a proxy averaging the following values to 4.3 years (weighted at 30%):</w:t>
            </w:r>
          </w:p>
          <w:p w14:paraId="0AE37FED" w14:textId="77777777" w:rsidR="0005272C" w:rsidRPr="00D052FE" w:rsidRDefault="0005272C" w:rsidP="0092016D">
            <w:pPr>
              <w:pStyle w:val="ListParagraph"/>
              <w:widowControl/>
              <w:numPr>
                <w:ilvl w:val="1"/>
                <w:numId w:val="95"/>
              </w:numPr>
              <w:spacing w:after="0"/>
              <w:ind w:left="646"/>
              <w:contextualSpacing w:val="0"/>
              <w:jc w:val="left"/>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052FE">
              <w:rPr>
                <w:rFonts w:cs="Arial"/>
                <w:color w:val="000000"/>
                <w:sz w:val="18"/>
                <w:szCs w:val="18"/>
              </w:rPr>
              <w:t xml:space="preserve">SEM EUL of 5 years </w:t>
            </w:r>
          </w:p>
          <w:p w14:paraId="54AF6B35" w14:textId="77777777" w:rsidR="0005272C" w:rsidRPr="00D052FE" w:rsidRDefault="0005272C" w:rsidP="0092016D">
            <w:pPr>
              <w:pStyle w:val="ListParagraph"/>
              <w:widowControl/>
              <w:numPr>
                <w:ilvl w:val="1"/>
                <w:numId w:val="95"/>
              </w:numPr>
              <w:spacing w:after="0"/>
              <w:ind w:left="646"/>
              <w:contextualSpacing w:val="0"/>
              <w:jc w:val="left"/>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052FE">
              <w:rPr>
                <w:rFonts w:cs="Arial"/>
                <w:color w:val="000000"/>
                <w:sz w:val="18"/>
                <w:szCs w:val="18"/>
              </w:rPr>
              <w:t>Remote changes of 6 years</w:t>
            </w:r>
          </w:p>
          <w:p w14:paraId="68B0AE5D" w14:textId="77777777" w:rsidR="0005272C" w:rsidRPr="00D052FE" w:rsidRDefault="0005272C" w:rsidP="0092016D">
            <w:pPr>
              <w:pStyle w:val="ListParagraph"/>
              <w:widowControl/>
              <w:numPr>
                <w:ilvl w:val="1"/>
                <w:numId w:val="95"/>
              </w:numPr>
              <w:spacing w:after="0"/>
              <w:ind w:left="646"/>
              <w:contextualSpacing w:val="0"/>
              <w:jc w:val="left"/>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D052FE">
              <w:rPr>
                <w:rFonts w:cs="Arial"/>
                <w:color w:val="000000"/>
                <w:sz w:val="18"/>
                <w:szCs w:val="18"/>
              </w:rPr>
              <w:t>Manual changes of 2 years</w:t>
            </w:r>
          </w:p>
          <w:p w14:paraId="5AB82026" w14:textId="5D1E0504" w:rsidR="0005272C" w:rsidRPr="00BF6611" w:rsidRDefault="0005272C" w:rsidP="0005272C">
            <w:pPr>
              <w:jc w:val="left"/>
              <w:cnfStyle w:val="000000100000" w:firstRow="0" w:lastRow="0" w:firstColumn="0" w:lastColumn="0" w:oddVBand="0" w:evenVBand="0" w:oddHBand="1" w:evenHBand="0" w:firstRowFirstColumn="0" w:firstRowLastColumn="0" w:lastRowFirstColumn="0" w:lastRowLastColumn="0"/>
              <w:rPr>
                <w:rFonts w:cstheme="minorHAnsi"/>
                <w:sz w:val="18"/>
              </w:rPr>
            </w:pPr>
            <w:r w:rsidRPr="00D052FE">
              <w:rPr>
                <w:sz w:val="18"/>
                <w:szCs w:val="18"/>
              </w:rPr>
              <w:t>This weighted average calculates to an EUL of 7.3 years.</w:t>
            </w:r>
          </w:p>
        </w:tc>
      </w:tr>
      <w:tr w:rsidR="004D0A65" w:rsidRPr="00BF6611" w14:paraId="3CB98F98" w14:textId="77777777" w:rsidTr="002B6C05">
        <w:trPr>
          <w:cnfStyle w:val="000000010000" w:firstRow="0" w:lastRow="0" w:firstColumn="0" w:lastColumn="0" w:oddVBand="0" w:evenVBand="0" w:oddHBand="0" w:evenHBand="1" w:firstRowFirstColumn="0" w:firstRowLastColumn="0" w:lastRowFirstColumn="0" w:lastRowLastColumn="0"/>
          <w:cantSplit/>
          <w:trHeight w:val="962"/>
          <w:jc w:val="center"/>
        </w:trPr>
        <w:tc>
          <w:tcPr>
            <w:cnfStyle w:val="001000000000" w:firstRow="0" w:lastRow="0" w:firstColumn="1" w:lastColumn="0" w:oddVBand="0" w:evenVBand="0" w:oddHBand="0" w:evenHBand="0" w:firstRowFirstColumn="0" w:firstRowLastColumn="0" w:lastRowFirstColumn="0" w:lastRowLastColumn="0"/>
            <w:tcW w:w="1658" w:type="dxa"/>
            <w:tcBorders>
              <w:top w:val="single" w:sz="4" w:space="0" w:color="D5DCE4" w:themeColor="text2" w:themeTint="33"/>
              <w:left w:val="nil"/>
              <w:bottom w:val="single" w:sz="4" w:space="0" w:color="D5DCE4" w:themeColor="text2" w:themeTint="33"/>
              <w:right w:val="nil"/>
            </w:tcBorders>
            <w:hideMark/>
          </w:tcPr>
          <w:p w14:paraId="22F404F1" w14:textId="77777777" w:rsidR="004D0A65" w:rsidRPr="00BF6611" w:rsidRDefault="004D0A65" w:rsidP="002B6C05">
            <w:pPr>
              <w:jc w:val="center"/>
              <w:rPr>
                <w:rFonts w:ascii="Arial" w:hAnsi="Arial" w:cs="Arial"/>
                <w:sz w:val="18"/>
              </w:rPr>
            </w:pPr>
            <w:r w:rsidRPr="00BF6611">
              <w:rPr>
                <w:rFonts w:ascii="Arial" w:hAnsi="Arial" w:cs="Arial"/>
                <w:sz w:val="18"/>
              </w:rPr>
              <w:t>Strategic Energy Management</w:t>
            </w:r>
          </w:p>
        </w:tc>
        <w:tc>
          <w:tcPr>
            <w:tcW w:w="1566" w:type="dxa"/>
            <w:tcBorders>
              <w:top w:val="single" w:sz="4" w:space="0" w:color="D5DCE4" w:themeColor="text2" w:themeTint="33"/>
              <w:left w:val="nil"/>
              <w:bottom w:val="single" w:sz="4" w:space="0" w:color="D5DCE4" w:themeColor="text2" w:themeTint="33"/>
              <w:right w:val="nil"/>
            </w:tcBorders>
            <w:hideMark/>
          </w:tcPr>
          <w:p w14:paraId="066E5584" w14:textId="77777777" w:rsidR="004D0A65" w:rsidRPr="00BF6611" w:rsidRDefault="004D0A65" w:rsidP="002B6C05">
            <w:pPr>
              <w:jc w:val="center"/>
              <w:cnfStyle w:val="000000010000" w:firstRow="0" w:lastRow="0" w:firstColumn="0" w:lastColumn="0" w:oddVBand="0" w:evenVBand="0" w:oddHBand="0" w:evenHBand="1" w:firstRowFirstColumn="0" w:firstRowLastColumn="0" w:lastRowFirstColumn="0" w:lastRowLastColumn="0"/>
              <w:rPr>
                <w:rFonts w:cs="Arial"/>
                <w:sz w:val="18"/>
              </w:rPr>
            </w:pPr>
            <w:r w:rsidRPr="00BF6611">
              <w:rPr>
                <w:rFonts w:cs="Arial"/>
                <w:sz w:val="18"/>
              </w:rPr>
              <w:t>Strategic Energy Management</w:t>
            </w:r>
          </w:p>
        </w:tc>
        <w:tc>
          <w:tcPr>
            <w:tcW w:w="2179" w:type="dxa"/>
            <w:tcBorders>
              <w:top w:val="single" w:sz="4" w:space="0" w:color="D5DCE4" w:themeColor="text2" w:themeTint="33"/>
              <w:left w:val="nil"/>
              <w:bottom w:val="single" w:sz="4" w:space="0" w:color="D5DCE4" w:themeColor="text2" w:themeTint="33"/>
              <w:right w:val="nil"/>
            </w:tcBorders>
          </w:tcPr>
          <w:p w14:paraId="51D352C3" w14:textId="77777777" w:rsidR="004D0A65" w:rsidRPr="00BF6611" w:rsidRDefault="004D0A65" w:rsidP="002B6C05">
            <w:pPr>
              <w:jc w:val="left"/>
              <w:cnfStyle w:val="000000010000" w:firstRow="0" w:lastRow="0" w:firstColumn="0" w:lastColumn="0" w:oddVBand="0" w:evenVBand="0" w:oddHBand="0" w:evenHBand="1" w:firstRowFirstColumn="0" w:firstRowLastColumn="0" w:lastRowFirstColumn="0" w:lastRowLastColumn="0"/>
              <w:rPr>
                <w:rFonts w:cs="Arial"/>
                <w:sz w:val="18"/>
              </w:rPr>
            </w:pPr>
            <w:r w:rsidRPr="00BF6611">
              <w:rPr>
                <w:rFonts w:cs="Arial"/>
                <w:sz w:val="18"/>
              </w:rPr>
              <w:t>SEM</w:t>
            </w:r>
          </w:p>
        </w:tc>
        <w:tc>
          <w:tcPr>
            <w:tcW w:w="933" w:type="dxa"/>
            <w:tcBorders>
              <w:top w:val="single" w:sz="4" w:space="0" w:color="D5DCE4" w:themeColor="text2" w:themeTint="33"/>
              <w:left w:val="nil"/>
              <w:bottom w:val="single" w:sz="4" w:space="0" w:color="D5DCE4" w:themeColor="text2" w:themeTint="33"/>
              <w:right w:val="nil"/>
            </w:tcBorders>
            <w:hideMark/>
          </w:tcPr>
          <w:p w14:paraId="331AEA51" w14:textId="34DF9465" w:rsidR="004D0A65" w:rsidRPr="00BF6611" w:rsidRDefault="00E72986" w:rsidP="002B6C05">
            <w:pPr>
              <w:jc w:val="right"/>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sz w:val="18"/>
              </w:rPr>
            </w:pPr>
            <w:r>
              <w:rPr>
                <w:rFonts w:cstheme="minorHAnsi"/>
                <w:sz w:val="18"/>
              </w:rPr>
              <w:t>7</w:t>
            </w:r>
          </w:p>
        </w:tc>
        <w:tc>
          <w:tcPr>
            <w:tcW w:w="3114" w:type="dxa"/>
            <w:tcBorders>
              <w:top w:val="single" w:sz="4" w:space="0" w:color="D5DCE4" w:themeColor="text2" w:themeTint="33"/>
              <w:left w:val="nil"/>
              <w:bottom w:val="single" w:sz="4" w:space="0" w:color="D5DCE4" w:themeColor="text2" w:themeTint="33"/>
              <w:right w:val="nil"/>
            </w:tcBorders>
          </w:tcPr>
          <w:p w14:paraId="2A9BF959" w14:textId="77777777" w:rsidR="004D0A65" w:rsidRPr="00BF6611" w:rsidRDefault="004D0A65" w:rsidP="002B6C05">
            <w:pPr>
              <w:jc w:val="left"/>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sz w:val="18"/>
              </w:rPr>
            </w:pPr>
            <w:r w:rsidRPr="00BF6611">
              <w:rPr>
                <w:rFonts w:cstheme="minorHAnsi"/>
                <w:sz w:val="18"/>
              </w:rPr>
              <w:t>Only applicable to behavior or operational measures.</w:t>
            </w:r>
          </w:p>
        </w:tc>
      </w:tr>
      <w:tr w:rsidR="00556AF4" w:rsidRPr="00BF6611" w14:paraId="1FF600C7" w14:textId="77777777" w:rsidTr="002B6C05">
        <w:trPr>
          <w:cnfStyle w:val="000000100000" w:firstRow="0" w:lastRow="0" w:firstColumn="0" w:lastColumn="0" w:oddVBand="0" w:evenVBand="0" w:oddHBand="1" w:evenHBand="0" w:firstRowFirstColumn="0" w:firstRowLastColumn="0" w:lastRowFirstColumn="0" w:lastRowLastColumn="0"/>
          <w:cantSplit/>
          <w:trHeight w:val="1015"/>
          <w:jc w:val="center"/>
        </w:trPr>
        <w:tc>
          <w:tcPr>
            <w:cnfStyle w:val="001000000000" w:firstRow="0" w:lastRow="0" w:firstColumn="1" w:lastColumn="0" w:oddVBand="0" w:evenVBand="0" w:oddHBand="0" w:evenHBand="0" w:firstRowFirstColumn="0" w:firstRowLastColumn="0" w:lastRowFirstColumn="0" w:lastRowLastColumn="0"/>
            <w:tcW w:w="1658" w:type="dxa"/>
            <w:vMerge w:val="restart"/>
            <w:tcBorders>
              <w:top w:val="single" w:sz="4" w:space="0" w:color="D5DCE4" w:themeColor="text2" w:themeTint="33"/>
              <w:left w:val="nil"/>
              <w:right w:val="nil"/>
            </w:tcBorders>
          </w:tcPr>
          <w:p w14:paraId="0A0F5745" w14:textId="004CB4D9" w:rsidR="00556AF4" w:rsidRPr="00BF6611" w:rsidRDefault="00556AF4" w:rsidP="002B6C05">
            <w:pPr>
              <w:jc w:val="center"/>
              <w:rPr>
                <w:rFonts w:ascii="Arial" w:hAnsi="Arial" w:cs="Arial"/>
                <w:sz w:val="18"/>
              </w:rPr>
            </w:pPr>
            <w:r w:rsidRPr="00BF6611">
              <w:rPr>
                <w:rFonts w:ascii="Arial" w:hAnsi="Arial" w:cs="Arial"/>
                <w:sz w:val="18"/>
              </w:rPr>
              <w:t xml:space="preserve">Custom </w:t>
            </w:r>
          </w:p>
        </w:tc>
        <w:tc>
          <w:tcPr>
            <w:tcW w:w="1566" w:type="dxa"/>
            <w:vMerge w:val="restart"/>
            <w:tcBorders>
              <w:top w:val="single" w:sz="4" w:space="0" w:color="D5DCE4" w:themeColor="text2" w:themeTint="33"/>
              <w:left w:val="nil"/>
              <w:right w:val="nil"/>
            </w:tcBorders>
          </w:tcPr>
          <w:p w14:paraId="09939955" w14:textId="757BFA3B" w:rsidR="00556AF4" w:rsidRPr="00BF6611" w:rsidRDefault="00556AF4" w:rsidP="00A61A0B">
            <w:pPr>
              <w:jc w:val="center"/>
              <w:cnfStyle w:val="000000100000" w:firstRow="0" w:lastRow="0" w:firstColumn="0" w:lastColumn="0" w:oddVBand="0" w:evenVBand="0" w:oddHBand="1" w:evenHBand="0" w:firstRowFirstColumn="0" w:firstRowLastColumn="0" w:lastRowFirstColumn="0" w:lastRowLastColumn="0"/>
              <w:rPr>
                <w:rFonts w:cs="Arial"/>
                <w:sz w:val="18"/>
              </w:rPr>
            </w:pPr>
            <w:r>
              <w:rPr>
                <w:rFonts w:cs="Arial"/>
                <w:sz w:val="18"/>
              </w:rPr>
              <w:t>Custom – Gas</w:t>
            </w:r>
          </w:p>
        </w:tc>
        <w:tc>
          <w:tcPr>
            <w:tcW w:w="2179" w:type="dxa"/>
            <w:tcBorders>
              <w:top w:val="single" w:sz="4" w:space="0" w:color="D5DCE4" w:themeColor="text2" w:themeTint="33"/>
              <w:left w:val="nil"/>
              <w:bottom w:val="single" w:sz="4" w:space="0" w:color="D5DCE4" w:themeColor="text2" w:themeTint="33"/>
              <w:right w:val="nil"/>
            </w:tcBorders>
          </w:tcPr>
          <w:p w14:paraId="269E4D2A" w14:textId="77777777" w:rsidR="00556AF4" w:rsidRPr="008F6164" w:rsidRDefault="00556AF4" w:rsidP="00A61A0B">
            <w:pPr>
              <w:spacing w:after="0"/>
              <w:jc w:val="left"/>
              <w:cnfStyle w:val="000000100000" w:firstRow="0" w:lastRow="0" w:firstColumn="0" w:lastColumn="0" w:oddVBand="0" w:evenVBand="0" w:oddHBand="1" w:evenHBand="0" w:firstRowFirstColumn="0" w:firstRowLastColumn="0" w:lastRowFirstColumn="0" w:lastRowLastColumn="0"/>
              <w:rPr>
                <w:rFonts w:cs="Arial"/>
                <w:sz w:val="18"/>
              </w:rPr>
            </w:pPr>
            <w:r w:rsidRPr="008F6164">
              <w:rPr>
                <w:rFonts w:cs="Arial"/>
                <w:sz w:val="18"/>
              </w:rPr>
              <w:t>Process Furnace Replacement</w:t>
            </w:r>
          </w:p>
          <w:p w14:paraId="22031DB9" w14:textId="77777777" w:rsidR="00556AF4" w:rsidRPr="008F6164" w:rsidRDefault="00556AF4" w:rsidP="00A61A0B">
            <w:pPr>
              <w:spacing w:after="0"/>
              <w:jc w:val="left"/>
              <w:cnfStyle w:val="000000100000" w:firstRow="0" w:lastRow="0" w:firstColumn="0" w:lastColumn="0" w:oddVBand="0" w:evenVBand="0" w:oddHBand="1" w:evenHBand="0" w:firstRowFirstColumn="0" w:firstRowLastColumn="0" w:lastRowFirstColumn="0" w:lastRowLastColumn="0"/>
              <w:rPr>
                <w:rFonts w:cs="Arial"/>
                <w:sz w:val="18"/>
              </w:rPr>
            </w:pPr>
            <w:r w:rsidRPr="008F6164">
              <w:rPr>
                <w:rFonts w:cs="Arial"/>
                <w:sz w:val="18"/>
              </w:rPr>
              <w:t>Process Dryer</w:t>
            </w:r>
          </w:p>
          <w:p w14:paraId="7E6E0C3F" w14:textId="6C981766" w:rsidR="00556AF4" w:rsidRPr="00BF6611" w:rsidRDefault="00556AF4" w:rsidP="00A61A0B">
            <w:pPr>
              <w:jc w:val="left"/>
              <w:cnfStyle w:val="000000100000" w:firstRow="0" w:lastRow="0" w:firstColumn="0" w:lastColumn="0" w:oddVBand="0" w:evenVBand="0" w:oddHBand="1" w:evenHBand="0" w:firstRowFirstColumn="0" w:firstRowLastColumn="0" w:lastRowFirstColumn="0" w:lastRowLastColumn="0"/>
              <w:rPr>
                <w:rFonts w:cs="Arial"/>
                <w:sz w:val="18"/>
              </w:rPr>
            </w:pPr>
            <w:r w:rsidRPr="008F6164">
              <w:rPr>
                <w:rFonts w:cs="Arial"/>
                <w:sz w:val="18"/>
              </w:rPr>
              <w:t>Process Heaters</w:t>
            </w:r>
          </w:p>
        </w:tc>
        <w:tc>
          <w:tcPr>
            <w:tcW w:w="933" w:type="dxa"/>
            <w:tcBorders>
              <w:top w:val="single" w:sz="4" w:space="0" w:color="D5DCE4" w:themeColor="text2" w:themeTint="33"/>
              <w:left w:val="nil"/>
              <w:right w:val="nil"/>
            </w:tcBorders>
          </w:tcPr>
          <w:p w14:paraId="5ED8B9D5" w14:textId="21C6920D" w:rsidR="00556AF4" w:rsidRDefault="00556AF4" w:rsidP="00A61A0B">
            <w:pPr>
              <w:jc w:val="right"/>
              <w:cnfStyle w:val="000000100000" w:firstRow="0" w:lastRow="0" w:firstColumn="0" w:lastColumn="0" w:oddVBand="0" w:evenVBand="0" w:oddHBand="1" w:evenHBand="0" w:firstRowFirstColumn="0" w:firstRowLastColumn="0" w:lastRowFirstColumn="0" w:lastRowLastColumn="0"/>
              <w:rPr>
                <w:rFonts w:cstheme="minorHAnsi"/>
                <w:sz w:val="18"/>
              </w:rPr>
            </w:pPr>
            <w:r>
              <w:rPr>
                <w:rFonts w:cstheme="minorHAnsi"/>
                <w:sz w:val="18"/>
              </w:rPr>
              <w:t>Custom</w:t>
            </w:r>
          </w:p>
        </w:tc>
        <w:tc>
          <w:tcPr>
            <w:tcW w:w="3114" w:type="dxa"/>
            <w:tcBorders>
              <w:top w:val="single" w:sz="4" w:space="0" w:color="D5DCE4" w:themeColor="text2" w:themeTint="33"/>
              <w:left w:val="nil"/>
              <w:right w:val="nil"/>
            </w:tcBorders>
          </w:tcPr>
          <w:p w14:paraId="3B5DFE6A" w14:textId="59DDC913" w:rsidR="00556AF4" w:rsidRPr="00BF6611" w:rsidRDefault="00556AF4" w:rsidP="00A61A0B">
            <w:pPr>
              <w:jc w:val="left"/>
              <w:cnfStyle w:val="000000100000" w:firstRow="0" w:lastRow="0" w:firstColumn="0" w:lastColumn="0" w:oddVBand="0" w:evenVBand="0" w:oddHBand="1" w:evenHBand="0" w:firstRowFirstColumn="0" w:firstRowLastColumn="0" w:lastRowFirstColumn="0" w:lastRowLastColumn="0"/>
              <w:rPr>
                <w:rFonts w:cstheme="minorHAnsi"/>
                <w:sz w:val="18"/>
              </w:rPr>
            </w:pPr>
            <w:r w:rsidRPr="008F6164">
              <w:rPr>
                <w:rFonts w:cstheme="minorHAnsi"/>
                <w:sz w:val="18"/>
              </w:rPr>
              <w:t>Confirmed case-by-case, or use 25 years where available information is not definitive</w:t>
            </w:r>
          </w:p>
        </w:tc>
      </w:tr>
      <w:tr w:rsidR="00556AF4" w:rsidRPr="00BF6611" w14:paraId="59AF529D" w14:textId="77777777" w:rsidTr="00B60182">
        <w:trPr>
          <w:cnfStyle w:val="000000010000" w:firstRow="0" w:lastRow="0" w:firstColumn="0" w:lastColumn="0" w:oddVBand="0" w:evenVBand="0" w:oddHBand="0" w:evenHBand="1" w:firstRowFirstColumn="0" w:firstRowLastColumn="0" w:lastRowFirstColumn="0" w:lastRowLastColumn="0"/>
          <w:cantSplit/>
          <w:trHeight w:val="287"/>
          <w:jc w:val="center"/>
        </w:trPr>
        <w:tc>
          <w:tcPr>
            <w:cnfStyle w:val="001000000000" w:firstRow="0" w:lastRow="0" w:firstColumn="1" w:lastColumn="0" w:oddVBand="0" w:evenVBand="0" w:oddHBand="0" w:evenHBand="0" w:firstRowFirstColumn="0" w:firstRowLastColumn="0" w:lastRowFirstColumn="0" w:lastRowLastColumn="0"/>
            <w:tcW w:w="1658" w:type="dxa"/>
            <w:vMerge/>
            <w:tcBorders>
              <w:left w:val="nil"/>
              <w:right w:val="nil"/>
            </w:tcBorders>
          </w:tcPr>
          <w:p w14:paraId="012D4799" w14:textId="6EABEAA9" w:rsidR="00556AF4" w:rsidRPr="00BF6611" w:rsidRDefault="00556AF4" w:rsidP="002B6C05">
            <w:pPr>
              <w:jc w:val="center"/>
              <w:rPr>
                <w:rFonts w:ascii="Arial" w:hAnsi="Arial" w:cs="Arial"/>
                <w:sz w:val="18"/>
              </w:rPr>
            </w:pPr>
          </w:p>
        </w:tc>
        <w:tc>
          <w:tcPr>
            <w:tcW w:w="1566" w:type="dxa"/>
            <w:vMerge/>
            <w:tcBorders>
              <w:left w:val="nil"/>
              <w:right w:val="nil"/>
            </w:tcBorders>
          </w:tcPr>
          <w:p w14:paraId="41206264" w14:textId="77777777" w:rsidR="00556AF4" w:rsidRPr="00BF6611" w:rsidRDefault="00556AF4" w:rsidP="00A61A0B">
            <w:pPr>
              <w:jc w:val="center"/>
              <w:cnfStyle w:val="000000010000" w:firstRow="0" w:lastRow="0" w:firstColumn="0" w:lastColumn="0" w:oddVBand="0" w:evenVBand="0" w:oddHBand="0" w:evenHBand="1" w:firstRowFirstColumn="0" w:firstRowLastColumn="0" w:lastRowFirstColumn="0" w:lastRowLastColumn="0"/>
              <w:rPr>
                <w:rFonts w:cs="Arial"/>
                <w:sz w:val="18"/>
              </w:rPr>
            </w:pPr>
          </w:p>
        </w:tc>
        <w:tc>
          <w:tcPr>
            <w:tcW w:w="2179" w:type="dxa"/>
            <w:tcBorders>
              <w:top w:val="single" w:sz="4" w:space="0" w:color="D5DCE4" w:themeColor="text2" w:themeTint="33"/>
              <w:left w:val="nil"/>
              <w:bottom w:val="single" w:sz="4" w:space="0" w:color="D5DCE4" w:themeColor="text2" w:themeTint="33"/>
              <w:right w:val="nil"/>
            </w:tcBorders>
          </w:tcPr>
          <w:p w14:paraId="126B7DCF" w14:textId="2C77BB44" w:rsidR="00556AF4" w:rsidRPr="00BF6611" w:rsidRDefault="00556AF4" w:rsidP="00A61A0B">
            <w:pPr>
              <w:jc w:val="left"/>
              <w:cnfStyle w:val="000000010000" w:firstRow="0" w:lastRow="0" w:firstColumn="0" w:lastColumn="0" w:oddVBand="0" w:evenVBand="0" w:oddHBand="0" w:evenHBand="1" w:firstRowFirstColumn="0" w:firstRowLastColumn="0" w:lastRowFirstColumn="0" w:lastRowLastColumn="0"/>
              <w:rPr>
                <w:rFonts w:cs="Arial"/>
                <w:sz w:val="18"/>
              </w:rPr>
            </w:pPr>
            <w:r w:rsidRPr="008F6164">
              <w:rPr>
                <w:rFonts w:cs="Arial"/>
                <w:sz w:val="18"/>
              </w:rPr>
              <w:t>Grain Dryer</w:t>
            </w:r>
          </w:p>
        </w:tc>
        <w:tc>
          <w:tcPr>
            <w:tcW w:w="933" w:type="dxa"/>
            <w:tcBorders>
              <w:top w:val="single" w:sz="4" w:space="0" w:color="D5DCE4" w:themeColor="text2" w:themeTint="33"/>
              <w:left w:val="nil"/>
              <w:right w:val="nil"/>
            </w:tcBorders>
          </w:tcPr>
          <w:p w14:paraId="40C62738" w14:textId="0857DF9F" w:rsidR="00556AF4" w:rsidRDefault="00556AF4" w:rsidP="00A61A0B">
            <w:pPr>
              <w:jc w:val="right"/>
              <w:cnfStyle w:val="000000010000" w:firstRow="0" w:lastRow="0" w:firstColumn="0" w:lastColumn="0" w:oddVBand="0" w:evenVBand="0" w:oddHBand="0" w:evenHBand="1" w:firstRowFirstColumn="0" w:firstRowLastColumn="0" w:lastRowFirstColumn="0" w:lastRowLastColumn="0"/>
              <w:rPr>
                <w:rFonts w:cstheme="minorHAnsi"/>
                <w:sz w:val="18"/>
              </w:rPr>
            </w:pPr>
            <w:r>
              <w:rPr>
                <w:rFonts w:cstheme="minorHAnsi"/>
                <w:sz w:val="18"/>
              </w:rPr>
              <w:t>20</w:t>
            </w:r>
          </w:p>
        </w:tc>
        <w:tc>
          <w:tcPr>
            <w:tcW w:w="3114" w:type="dxa"/>
            <w:tcBorders>
              <w:top w:val="single" w:sz="4" w:space="0" w:color="D5DCE4" w:themeColor="text2" w:themeTint="33"/>
              <w:left w:val="nil"/>
              <w:right w:val="nil"/>
            </w:tcBorders>
          </w:tcPr>
          <w:p w14:paraId="0CDB71F4" w14:textId="77777777" w:rsidR="00556AF4" w:rsidRPr="00BF6611" w:rsidRDefault="00556AF4" w:rsidP="00A61A0B">
            <w:pPr>
              <w:jc w:val="left"/>
              <w:cnfStyle w:val="000000010000" w:firstRow="0" w:lastRow="0" w:firstColumn="0" w:lastColumn="0" w:oddVBand="0" w:evenVBand="0" w:oddHBand="0" w:evenHBand="1" w:firstRowFirstColumn="0" w:firstRowLastColumn="0" w:lastRowFirstColumn="0" w:lastRowLastColumn="0"/>
              <w:rPr>
                <w:rFonts w:cstheme="minorHAnsi"/>
                <w:sz w:val="18"/>
              </w:rPr>
            </w:pPr>
          </w:p>
        </w:tc>
      </w:tr>
      <w:tr w:rsidR="00556AF4" w:rsidRPr="00BF6611" w14:paraId="0A7A1860" w14:textId="77777777" w:rsidTr="00B60182">
        <w:trPr>
          <w:cnfStyle w:val="000000100000" w:firstRow="0" w:lastRow="0" w:firstColumn="0" w:lastColumn="0" w:oddVBand="0" w:evenVBand="0" w:oddHBand="1" w:evenHBand="0" w:firstRowFirstColumn="0" w:firstRowLastColumn="0" w:lastRowFirstColumn="0" w:lastRowLastColumn="0"/>
          <w:cantSplit/>
          <w:trHeight w:val="368"/>
          <w:jc w:val="center"/>
        </w:trPr>
        <w:tc>
          <w:tcPr>
            <w:cnfStyle w:val="001000000000" w:firstRow="0" w:lastRow="0" w:firstColumn="1" w:lastColumn="0" w:oddVBand="0" w:evenVBand="0" w:oddHBand="0" w:evenHBand="0" w:firstRowFirstColumn="0" w:firstRowLastColumn="0" w:lastRowFirstColumn="0" w:lastRowLastColumn="0"/>
            <w:tcW w:w="1658" w:type="dxa"/>
            <w:vMerge/>
            <w:tcBorders>
              <w:left w:val="nil"/>
              <w:right w:val="nil"/>
            </w:tcBorders>
          </w:tcPr>
          <w:p w14:paraId="1BFB1DA5" w14:textId="18C761A5" w:rsidR="00556AF4" w:rsidRPr="00BF6611" w:rsidRDefault="00556AF4" w:rsidP="002B6C05">
            <w:pPr>
              <w:jc w:val="center"/>
              <w:rPr>
                <w:rFonts w:ascii="Arial" w:hAnsi="Arial" w:cs="Arial"/>
                <w:sz w:val="18"/>
              </w:rPr>
            </w:pPr>
          </w:p>
        </w:tc>
        <w:tc>
          <w:tcPr>
            <w:tcW w:w="1566" w:type="dxa"/>
            <w:vMerge/>
            <w:tcBorders>
              <w:left w:val="nil"/>
              <w:right w:val="nil"/>
            </w:tcBorders>
          </w:tcPr>
          <w:p w14:paraId="0BAD0B67" w14:textId="77777777" w:rsidR="00556AF4" w:rsidRPr="00BF6611" w:rsidRDefault="00556AF4" w:rsidP="00A61A0B">
            <w:pPr>
              <w:jc w:val="center"/>
              <w:cnfStyle w:val="000000100000" w:firstRow="0" w:lastRow="0" w:firstColumn="0" w:lastColumn="0" w:oddVBand="0" w:evenVBand="0" w:oddHBand="1" w:evenHBand="0" w:firstRowFirstColumn="0" w:firstRowLastColumn="0" w:lastRowFirstColumn="0" w:lastRowLastColumn="0"/>
              <w:rPr>
                <w:rFonts w:cs="Arial"/>
                <w:sz w:val="18"/>
              </w:rPr>
            </w:pPr>
          </w:p>
        </w:tc>
        <w:tc>
          <w:tcPr>
            <w:tcW w:w="2179" w:type="dxa"/>
            <w:tcBorders>
              <w:top w:val="single" w:sz="4" w:space="0" w:color="D5DCE4" w:themeColor="text2" w:themeTint="33"/>
              <w:left w:val="nil"/>
              <w:bottom w:val="single" w:sz="4" w:space="0" w:color="D5DCE4" w:themeColor="text2" w:themeTint="33"/>
              <w:right w:val="nil"/>
            </w:tcBorders>
          </w:tcPr>
          <w:p w14:paraId="089B1456" w14:textId="2E2A87EB" w:rsidR="00556AF4" w:rsidRPr="00BF6611" w:rsidRDefault="00556AF4" w:rsidP="00A61A0B">
            <w:pPr>
              <w:jc w:val="left"/>
              <w:cnfStyle w:val="000000100000" w:firstRow="0" w:lastRow="0" w:firstColumn="0" w:lastColumn="0" w:oddVBand="0" w:evenVBand="0" w:oddHBand="1" w:evenHBand="0" w:firstRowFirstColumn="0" w:firstRowLastColumn="0" w:lastRowFirstColumn="0" w:lastRowLastColumn="0"/>
              <w:rPr>
                <w:rFonts w:cs="Arial"/>
                <w:sz w:val="18"/>
              </w:rPr>
            </w:pPr>
            <w:r w:rsidRPr="008F6164">
              <w:rPr>
                <w:rFonts w:cs="Arial"/>
                <w:sz w:val="18"/>
              </w:rPr>
              <w:t>Dock Door Seals</w:t>
            </w:r>
          </w:p>
        </w:tc>
        <w:tc>
          <w:tcPr>
            <w:tcW w:w="933" w:type="dxa"/>
            <w:tcBorders>
              <w:top w:val="single" w:sz="4" w:space="0" w:color="D5DCE4" w:themeColor="text2" w:themeTint="33"/>
              <w:left w:val="nil"/>
              <w:right w:val="nil"/>
            </w:tcBorders>
          </w:tcPr>
          <w:p w14:paraId="4067D746" w14:textId="30ACFBD8" w:rsidR="00556AF4" w:rsidRDefault="00556AF4" w:rsidP="00A61A0B">
            <w:pPr>
              <w:jc w:val="right"/>
              <w:cnfStyle w:val="000000100000" w:firstRow="0" w:lastRow="0" w:firstColumn="0" w:lastColumn="0" w:oddVBand="0" w:evenVBand="0" w:oddHBand="1" w:evenHBand="0" w:firstRowFirstColumn="0" w:firstRowLastColumn="0" w:lastRowFirstColumn="0" w:lastRowLastColumn="0"/>
              <w:rPr>
                <w:rFonts w:cstheme="minorHAnsi"/>
                <w:sz w:val="18"/>
              </w:rPr>
            </w:pPr>
            <w:r>
              <w:rPr>
                <w:rFonts w:cstheme="minorHAnsi"/>
                <w:sz w:val="18"/>
              </w:rPr>
              <w:t>7.5</w:t>
            </w:r>
          </w:p>
        </w:tc>
        <w:tc>
          <w:tcPr>
            <w:tcW w:w="3114" w:type="dxa"/>
            <w:tcBorders>
              <w:top w:val="single" w:sz="4" w:space="0" w:color="D5DCE4" w:themeColor="text2" w:themeTint="33"/>
              <w:left w:val="nil"/>
              <w:right w:val="nil"/>
            </w:tcBorders>
          </w:tcPr>
          <w:p w14:paraId="6ABA5C76" w14:textId="77777777" w:rsidR="00556AF4" w:rsidRPr="00BF6611" w:rsidRDefault="00556AF4" w:rsidP="00A61A0B">
            <w:pPr>
              <w:jc w:val="left"/>
              <w:cnfStyle w:val="000000100000" w:firstRow="0" w:lastRow="0" w:firstColumn="0" w:lastColumn="0" w:oddVBand="0" w:evenVBand="0" w:oddHBand="1" w:evenHBand="0" w:firstRowFirstColumn="0" w:firstRowLastColumn="0" w:lastRowFirstColumn="0" w:lastRowLastColumn="0"/>
              <w:rPr>
                <w:rFonts w:cstheme="minorHAnsi"/>
                <w:sz w:val="18"/>
              </w:rPr>
            </w:pPr>
          </w:p>
        </w:tc>
      </w:tr>
      <w:tr w:rsidR="00556AF4" w:rsidRPr="00BF6611" w14:paraId="37D489CD" w14:textId="77777777" w:rsidTr="00B60182">
        <w:trPr>
          <w:cnfStyle w:val="000000010000" w:firstRow="0" w:lastRow="0" w:firstColumn="0" w:lastColumn="0" w:oddVBand="0" w:evenVBand="0" w:oddHBand="0" w:evenHBand="1" w:firstRowFirstColumn="0" w:firstRowLastColumn="0" w:lastRowFirstColumn="0" w:lastRowLastColumn="0"/>
          <w:cantSplit/>
          <w:trHeight w:val="1015"/>
          <w:jc w:val="center"/>
        </w:trPr>
        <w:tc>
          <w:tcPr>
            <w:cnfStyle w:val="001000000000" w:firstRow="0" w:lastRow="0" w:firstColumn="1" w:lastColumn="0" w:oddVBand="0" w:evenVBand="0" w:oddHBand="0" w:evenHBand="0" w:firstRowFirstColumn="0" w:firstRowLastColumn="0" w:lastRowFirstColumn="0" w:lastRowLastColumn="0"/>
            <w:tcW w:w="1658" w:type="dxa"/>
            <w:vMerge/>
            <w:tcBorders>
              <w:left w:val="nil"/>
              <w:right w:val="nil"/>
            </w:tcBorders>
          </w:tcPr>
          <w:p w14:paraId="6406E40D" w14:textId="60C8B1AF" w:rsidR="00556AF4" w:rsidRPr="00BF6611" w:rsidRDefault="00556AF4" w:rsidP="002B6C05">
            <w:pPr>
              <w:jc w:val="center"/>
              <w:rPr>
                <w:rFonts w:ascii="Arial" w:hAnsi="Arial" w:cs="Arial"/>
                <w:sz w:val="18"/>
              </w:rPr>
            </w:pPr>
          </w:p>
        </w:tc>
        <w:tc>
          <w:tcPr>
            <w:tcW w:w="1566" w:type="dxa"/>
            <w:vMerge/>
            <w:tcBorders>
              <w:left w:val="nil"/>
              <w:right w:val="nil"/>
            </w:tcBorders>
          </w:tcPr>
          <w:p w14:paraId="7767A9A0" w14:textId="77777777" w:rsidR="00556AF4" w:rsidRPr="00BF6611" w:rsidRDefault="00556AF4" w:rsidP="00897291">
            <w:pPr>
              <w:jc w:val="center"/>
              <w:cnfStyle w:val="000000010000" w:firstRow="0" w:lastRow="0" w:firstColumn="0" w:lastColumn="0" w:oddVBand="0" w:evenVBand="0" w:oddHBand="0" w:evenHBand="1" w:firstRowFirstColumn="0" w:firstRowLastColumn="0" w:lastRowFirstColumn="0" w:lastRowLastColumn="0"/>
              <w:rPr>
                <w:rFonts w:cs="Arial"/>
                <w:sz w:val="18"/>
              </w:rPr>
            </w:pPr>
          </w:p>
        </w:tc>
        <w:tc>
          <w:tcPr>
            <w:tcW w:w="2179" w:type="dxa"/>
            <w:tcBorders>
              <w:top w:val="single" w:sz="4" w:space="0" w:color="D5DCE4" w:themeColor="text2" w:themeTint="33"/>
              <w:left w:val="nil"/>
              <w:bottom w:val="single" w:sz="4" w:space="0" w:color="D5DCE4" w:themeColor="text2" w:themeTint="33"/>
              <w:right w:val="nil"/>
            </w:tcBorders>
          </w:tcPr>
          <w:p w14:paraId="5EE35656" w14:textId="47EC38D5" w:rsidR="00556AF4" w:rsidRPr="00BF6611" w:rsidRDefault="00556AF4" w:rsidP="00897291">
            <w:pPr>
              <w:jc w:val="left"/>
              <w:cnfStyle w:val="000000010000" w:firstRow="0" w:lastRow="0" w:firstColumn="0" w:lastColumn="0" w:oddVBand="0" w:evenVBand="0" w:oddHBand="0" w:evenHBand="1" w:firstRowFirstColumn="0" w:firstRowLastColumn="0" w:lastRowFirstColumn="0" w:lastRowLastColumn="0"/>
              <w:rPr>
                <w:rFonts w:cs="Arial"/>
                <w:sz w:val="18"/>
              </w:rPr>
            </w:pPr>
            <w:r w:rsidRPr="008F6164">
              <w:rPr>
                <w:rFonts w:cs="Arial"/>
                <w:sz w:val="18"/>
              </w:rPr>
              <w:t>Industrial Laundry Equipment</w:t>
            </w:r>
          </w:p>
        </w:tc>
        <w:tc>
          <w:tcPr>
            <w:tcW w:w="4047" w:type="dxa"/>
            <w:gridSpan w:val="2"/>
            <w:tcBorders>
              <w:top w:val="single" w:sz="4" w:space="0" w:color="D5DCE4" w:themeColor="text2" w:themeTint="33"/>
              <w:left w:val="nil"/>
              <w:right w:val="nil"/>
            </w:tcBorders>
          </w:tcPr>
          <w:p w14:paraId="47130BBF" w14:textId="77777777" w:rsidR="00556AF4" w:rsidRPr="008F6164" w:rsidRDefault="00556AF4" w:rsidP="00897291">
            <w:pPr>
              <w:spacing w:after="0"/>
              <w:jc w:val="left"/>
              <w:cnfStyle w:val="000000010000" w:firstRow="0" w:lastRow="0" w:firstColumn="0" w:lastColumn="0" w:oddVBand="0" w:evenVBand="0" w:oddHBand="0" w:evenHBand="1" w:firstRowFirstColumn="0" w:firstRowLastColumn="0" w:lastRowFirstColumn="0" w:lastRowLastColumn="0"/>
              <w:rPr>
                <w:rFonts w:cstheme="minorHAnsi"/>
                <w:sz w:val="18"/>
              </w:rPr>
            </w:pPr>
            <w:r w:rsidRPr="008F6164">
              <w:rPr>
                <w:rFonts w:cstheme="minorHAnsi"/>
                <w:sz w:val="18"/>
              </w:rPr>
              <w:t>14 (barrier washer)</w:t>
            </w:r>
          </w:p>
          <w:p w14:paraId="40B6778D" w14:textId="77777777" w:rsidR="00556AF4" w:rsidRPr="008F6164" w:rsidRDefault="00556AF4" w:rsidP="00897291">
            <w:pPr>
              <w:spacing w:after="0"/>
              <w:jc w:val="left"/>
              <w:cnfStyle w:val="000000010000" w:firstRow="0" w:lastRow="0" w:firstColumn="0" w:lastColumn="0" w:oddVBand="0" w:evenVBand="0" w:oddHBand="0" w:evenHBand="1" w:firstRowFirstColumn="0" w:firstRowLastColumn="0" w:lastRowFirstColumn="0" w:lastRowLastColumn="0"/>
              <w:rPr>
                <w:rFonts w:cstheme="minorHAnsi"/>
                <w:sz w:val="18"/>
              </w:rPr>
            </w:pPr>
            <w:r w:rsidRPr="008F6164">
              <w:rPr>
                <w:rFonts w:cstheme="minorHAnsi"/>
                <w:sz w:val="18"/>
              </w:rPr>
              <w:t>14 (washer extractor)</w:t>
            </w:r>
          </w:p>
          <w:p w14:paraId="33153BE8" w14:textId="77777777" w:rsidR="00556AF4" w:rsidRPr="008F6164" w:rsidRDefault="00556AF4" w:rsidP="00897291">
            <w:pPr>
              <w:spacing w:after="0"/>
              <w:jc w:val="left"/>
              <w:cnfStyle w:val="000000010000" w:firstRow="0" w:lastRow="0" w:firstColumn="0" w:lastColumn="0" w:oddVBand="0" w:evenVBand="0" w:oddHBand="0" w:evenHBand="1" w:firstRowFirstColumn="0" w:firstRowLastColumn="0" w:lastRowFirstColumn="0" w:lastRowLastColumn="0"/>
              <w:rPr>
                <w:rFonts w:cstheme="minorHAnsi"/>
                <w:sz w:val="18"/>
              </w:rPr>
            </w:pPr>
            <w:r w:rsidRPr="008F6164">
              <w:rPr>
                <w:rFonts w:cstheme="minorHAnsi"/>
                <w:sz w:val="18"/>
              </w:rPr>
              <w:t>13 (pass-through tumble dryer)</w:t>
            </w:r>
          </w:p>
          <w:p w14:paraId="50A80B65" w14:textId="77777777" w:rsidR="00556AF4" w:rsidRPr="008F6164" w:rsidRDefault="00556AF4" w:rsidP="00897291">
            <w:pPr>
              <w:spacing w:after="0"/>
              <w:jc w:val="left"/>
              <w:cnfStyle w:val="000000010000" w:firstRow="0" w:lastRow="0" w:firstColumn="0" w:lastColumn="0" w:oddVBand="0" w:evenVBand="0" w:oddHBand="0" w:evenHBand="1" w:firstRowFirstColumn="0" w:firstRowLastColumn="0" w:lastRowFirstColumn="0" w:lastRowLastColumn="0"/>
              <w:rPr>
                <w:rFonts w:cstheme="minorHAnsi"/>
                <w:sz w:val="18"/>
              </w:rPr>
            </w:pPr>
            <w:r w:rsidRPr="008F6164">
              <w:rPr>
                <w:rFonts w:cstheme="minorHAnsi"/>
                <w:sz w:val="18"/>
              </w:rPr>
              <w:t>13 (tumble dryer)</w:t>
            </w:r>
          </w:p>
          <w:p w14:paraId="4668A6D1" w14:textId="59CA12E8" w:rsidR="00556AF4" w:rsidRPr="00BF6611" w:rsidRDefault="00556AF4" w:rsidP="00897291">
            <w:pPr>
              <w:jc w:val="left"/>
              <w:cnfStyle w:val="000000010000" w:firstRow="0" w:lastRow="0" w:firstColumn="0" w:lastColumn="0" w:oddVBand="0" w:evenVBand="0" w:oddHBand="0" w:evenHBand="1" w:firstRowFirstColumn="0" w:firstRowLastColumn="0" w:lastRowFirstColumn="0" w:lastRowLastColumn="0"/>
              <w:rPr>
                <w:rFonts w:cstheme="minorHAnsi"/>
                <w:sz w:val="18"/>
              </w:rPr>
            </w:pPr>
            <w:r w:rsidRPr="008F6164">
              <w:rPr>
                <w:rFonts w:cstheme="minorHAnsi"/>
                <w:sz w:val="18"/>
              </w:rPr>
              <w:t>15 (cabinet dryer)</w:t>
            </w:r>
          </w:p>
        </w:tc>
      </w:tr>
      <w:tr w:rsidR="00556AF4" w:rsidRPr="00BF6611" w14:paraId="2E6309DB" w14:textId="77777777" w:rsidTr="00E06186">
        <w:trPr>
          <w:cnfStyle w:val="000000100000" w:firstRow="0" w:lastRow="0" w:firstColumn="0" w:lastColumn="0" w:oddVBand="0" w:evenVBand="0" w:oddHBand="1" w:evenHBand="0" w:firstRowFirstColumn="0" w:firstRowLastColumn="0" w:lastRowFirstColumn="0" w:lastRowLastColumn="0"/>
          <w:cantSplit/>
          <w:trHeight w:val="368"/>
          <w:jc w:val="center"/>
        </w:trPr>
        <w:tc>
          <w:tcPr>
            <w:cnfStyle w:val="001000000000" w:firstRow="0" w:lastRow="0" w:firstColumn="1" w:lastColumn="0" w:oddVBand="0" w:evenVBand="0" w:oddHBand="0" w:evenHBand="0" w:firstRowFirstColumn="0" w:firstRowLastColumn="0" w:lastRowFirstColumn="0" w:lastRowLastColumn="0"/>
            <w:tcW w:w="1658" w:type="dxa"/>
            <w:vMerge/>
            <w:tcBorders>
              <w:left w:val="nil"/>
              <w:right w:val="nil"/>
            </w:tcBorders>
          </w:tcPr>
          <w:p w14:paraId="2BAC1EB1" w14:textId="3B8EFD63" w:rsidR="00556AF4" w:rsidRPr="00BF6611" w:rsidRDefault="00556AF4" w:rsidP="002B6C05">
            <w:pPr>
              <w:jc w:val="center"/>
              <w:rPr>
                <w:rFonts w:ascii="Arial" w:hAnsi="Arial" w:cs="Arial"/>
                <w:sz w:val="18"/>
              </w:rPr>
            </w:pPr>
          </w:p>
        </w:tc>
        <w:tc>
          <w:tcPr>
            <w:tcW w:w="1566" w:type="dxa"/>
            <w:vMerge/>
            <w:tcBorders>
              <w:left w:val="nil"/>
              <w:right w:val="nil"/>
            </w:tcBorders>
          </w:tcPr>
          <w:p w14:paraId="052242D9" w14:textId="187C97A3" w:rsidR="00556AF4" w:rsidRPr="00BF6611" w:rsidRDefault="00556AF4" w:rsidP="002B6C05">
            <w:pPr>
              <w:jc w:val="center"/>
              <w:cnfStyle w:val="000000100000" w:firstRow="0" w:lastRow="0" w:firstColumn="0" w:lastColumn="0" w:oddVBand="0" w:evenVBand="0" w:oddHBand="1" w:evenHBand="0" w:firstRowFirstColumn="0" w:firstRowLastColumn="0" w:lastRowFirstColumn="0" w:lastRowLastColumn="0"/>
              <w:rPr>
                <w:rFonts w:cs="Arial"/>
                <w:sz w:val="18"/>
              </w:rPr>
            </w:pPr>
          </w:p>
        </w:tc>
        <w:tc>
          <w:tcPr>
            <w:tcW w:w="2179" w:type="dxa"/>
            <w:tcBorders>
              <w:top w:val="single" w:sz="4" w:space="0" w:color="D5DCE4" w:themeColor="text2" w:themeTint="33"/>
              <w:left w:val="nil"/>
              <w:bottom w:val="single" w:sz="4" w:space="0" w:color="D5DCE4" w:themeColor="text2" w:themeTint="33"/>
              <w:right w:val="nil"/>
            </w:tcBorders>
          </w:tcPr>
          <w:p w14:paraId="0E6B2A72" w14:textId="32C81BBD" w:rsidR="00556AF4" w:rsidRPr="00BF6611" w:rsidRDefault="00556AF4" w:rsidP="0070380F">
            <w:pPr>
              <w:jc w:val="left"/>
              <w:cnfStyle w:val="000000100000" w:firstRow="0" w:lastRow="0" w:firstColumn="0" w:lastColumn="0" w:oddVBand="0" w:evenVBand="0" w:oddHBand="1" w:evenHBand="0" w:firstRowFirstColumn="0" w:firstRowLastColumn="0" w:lastRowFirstColumn="0" w:lastRowLastColumn="0"/>
              <w:rPr>
                <w:rFonts w:cs="Arial"/>
                <w:sz w:val="18"/>
              </w:rPr>
            </w:pPr>
            <w:r w:rsidRPr="008F6164">
              <w:rPr>
                <w:rFonts w:cs="Arial"/>
                <w:sz w:val="18"/>
              </w:rPr>
              <w:t>Cremators</w:t>
            </w:r>
          </w:p>
        </w:tc>
        <w:tc>
          <w:tcPr>
            <w:tcW w:w="933" w:type="dxa"/>
            <w:tcBorders>
              <w:top w:val="single" w:sz="4" w:space="0" w:color="D5DCE4" w:themeColor="text2" w:themeTint="33"/>
              <w:left w:val="nil"/>
              <w:right w:val="nil"/>
            </w:tcBorders>
          </w:tcPr>
          <w:p w14:paraId="4047FFF3" w14:textId="41DCF07C" w:rsidR="00556AF4" w:rsidRDefault="00556AF4" w:rsidP="0070380F">
            <w:pPr>
              <w:jc w:val="right"/>
              <w:cnfStyle w:val="000000100000" w:firstRow="0" w:lastRow="0" w:firstColumn="0" w:lastColumn="0" w:oddVBand="0" w:evenVBand="0" w:oddHBand="1" w:evenHBand="0" w:firstRowFirstColumn="0" w:firstRowLastColumn="0" w:lastRowFirstColumn="0" w:lastRowLastColumn="0"/>
              <w:rPr>
                <w:rFonts w:cstheme="minorHAnsi"/>
                <w:sz w:val="18"/>
              </w:rPr>
            </w:pPr>
            <w:r>
              <w:rPr>
                <w:rFonts w:cstheme="minorHAnsi"/>
                <w:sz w:val="18"/>
              </w:rPr>
              <w:t>18</w:t>
            </w:r>
          </w:p>
        </w:tc>
        <w:tc>
          <w:tcPr>
            <w:tcW w:w="3114" w:type="dxa"/>
            <w:tcBorders>
              <w:top w:val="single" w:sz="4" w:space="0" w:color="D5DCE4" w:themeColor="text2" w:themeTint="33"/>
              <w:left w:val="nil"/>
              <w:right w:val="nil"/>
            </w:tcBorders>
          </w:tcPr>
          <w:p w14:paraId="2532F162" w14:textId="15F51C6A" w:rsidR="00556AF4" w:rsidRPr="00BF6611" w:rsidRDefault="00556AF4" w:rsidP="0070380F">
            <w:pPr>
              <w:jc w:val="left"/>
              <w:cnfStyle w:val="000000100000" w:firstRow="0" w:lastRow="0" w:firstColumn="0" w:lastColumn="0" w:oddVBand="0" w:evenVBand="0" w:oddHBand="1" w:evenHBand="0" w:firstRowFirstColumn="0" w:firstRowLastColumn="0" w:lastRowFirstColumn="0" w:lastRowLastColumn="0"/>
              <w:rPr>
                <w:rFonts w:cstheme="minorHAnsi"/>
                <w:sz w:val="18"/>
              </w:rPr>
            </w:pPr>
          </w:p>
        </w:tc>
      </w:tr>
      <w:tr w:rsidR="00556AF4" w:rsidRPr="00BF6611" w14:paraId="28DABDA6" w14:textId="77777777" w:rsidTr="00E06186">
        <w:trPr>
          <w:cnfStyle w:val="000000010000" w:firstRow="0" w:lastRow="0" w:firstColumn="0" w:lastColumn="0" w:oddVBand="0" w:evenVBand="0" w:oddHBand="0" w:evenHBand="1" w:firstRowFirstColumn="0" w:firstRowLastColumn="0" w:lastRowFirstColumn="0" w:lastRowLastColumn="0"/>
          <w:cantSplit/>
          <w:trHeight w:val="260"/>
          <w:jc w:val="center"/>
        </w:trPr>
        <w:tc>
          <w:tcPr>
            <w:cnfStyle w:val="001000000000" w:firstRow="0" w:lastRow="0" w:firstColumn="1" w:lastColumn="0" w:oddVBand="0" w:evenVBand="0" w:oddHBand="0" w:evenHBand="0" w:firstRowFirstColumn="0" w:firstRowLastColumn="0" w:lastRowFirstColumn="0" w:lastRowLastColumn="0"/>
            <w:tcW w:w="1658" w:type="dxa"/>
            <w:vMerge/>
            <w:tcBorders>
              <w:left w:val="nil"/>
              <w:right w:val="nil"/>
            </w:tcBorders>
          </w:tcPr>
          <w:p w14:paraId="5BB95394" w14:textId="3B7D17D9" w:rsidR="00556AF4" w:rsidRPr="00BF6611" w:rsidRDefault="00556AF4" w:rsidP="002B6C05">
            <w:pPr>
              <w:jc w:val="center"/>
              <w:rPr>
                <w:rFonts w:ascii="Arial" w:hAnsi="Arial" w:cs="Arial"/>
                <w:sz w:val="18"/>
              </w:rPr>
            </w:pPr>
          </w:p>
        </w:tc>
        <w:tc>
          <w:tcPr>
            <w:tcW w:w="1566" w:type="dxa"/>
            <w:vMerge/>
            <w:tcBorders>
              <w:left w:val="nil"/>
              <w:right w:val="nil"/>
            </w:tcBorders>
          </w:tcPr>
          <w:p w14:paraId="6FC837E5" w14:textId="093197D8" w:rsidR="00556AF4" w:rsidRPr="00BF6611" w:rsidRDefault="00556AF4" w:rsidP="002B6C05">
            <w:pPr>
              <w:jc w:val="center"/>
              <w:cnfStyle w:val="000000010000" w:firstRow="0" w:lastRow="0" w:firstColumn="0" w:lastColumn="0" w:oddVBand="0" w:evenVBand="0" w:oddHBand="0" w:evenHBand="1" w:firstRowFirstColumn="0" w:firstRowLastColumn="0" w:lastRowFirstColumn="0" w:lastRowLastColumn="0"/>
              <w:rPr>
                <w:rFonts w:cs="Arial"/>
                <w:sz w:val="18"/>
              </w:rPr>
            </w:pPr>
          </w:p>
        </w:tc>
        <w:tc>
          <w:tcPr>
            <w:tcW w:w="2179" w:type="dxa"/>
            <w:tcBorders>
              <w:top w:val="single" w:sz="4" w:space="0" w:color="D5DCE4" w:themeColor="text2" w:themeTint="33"/>
              <w:left w:val="nil"/>
              <w:bottom w:val="single" w:sz="4" w:space="0" w:color="D5DCE4" w:themeColor="text2" w:themeTint="33"/>
              <w:right w:val="nil"/>
            </w:tcBorders>
          </w:tcPr>
          <w:p w14:paraId="6F1531F1" w14:textId="5402A22F" w:rsidR="00556AF4" w:rsidRPr="00BF6611" w:rsidRDefault="00556AF4" w:rsidP="0070380F">
            <w:pPr>
              <w:jc w:val="left"/>
              <w:cnfStyle w:val="000000010000" w:firstRow="0" w:lastRow="0" w:firstColumn="0" w:lastColumn="0" w:oddVBand="0" w:evenVBand="0" w:oddHBand="0" w:evenHBand="1" w:firstRowFirstColumn="0" w:firstRowLastColumn="0" w:lastRowFirstColumn="0" w:lastRowLastColumn="0"/>
              <w:rPr>
                <w:rFonts w:cs="Arial"/>
                <w:sz w:val="18"/>
              </w:rPr>
            </w:pPr>
            <w:r w:rsidRPr="008F6164">
              <w:rPr>
                <w:rFonts w:cs="Arial"/>
                <w:sz w:val="18"/>
              </w:rPr>
              <w:t>Steam Generators</w:t>
            </w:r>
          </w:p>
        </w:tc>
        <w:tc>
          <w:tcPr>
            <w:tcW w:w="933" w:type="dxa"/>
            <w:tcBorders>
              <w:top w:val="single" w:sz="4" w:space="0" w:color="D5DCE4" w:themeColor="text2" w:themeTint="33"/>
              <w:left w:val="nil"/>
              <w:right w:val="nil"/>
            </w:tcBorders>
          </w:tcPr>
          <w:p w14:paraId="1B29DE2B" w14:textId="0414B673" w:rsidR="00556AF4" w:rsidRDefault="00556AF4" w:rsidP="0070380F">
            <w:pPr>
              <w:jc w:val="right"/>
              <w:cnfStyle w:val="000000010000" w:firstRow="0" w:lastRow="0" w:firstColumn="0" w:lastColumn="0" w:oddVBand="0" w:evenVBand="0" w:oddHBand="0" w:evenHBand="1" w:firstRowFirstColumn="0" w:firstRowLastColumn="0" w:lastRowFirstColumn="0" w:lastRowLastColumn="0"/>
              <w:rPr>
                <w:rFonts w:cstheme="minorHAnsi"/>
                <w:sz w:val="18"/>
              </w:rPr>
            </w:pPr>
            <w:r>
              <w:rPr>
                <w:rFonts w:cstheme="minorHAnsi"/>
                <w:sz w:val="18"/>
              </w:rPr>
              <w:t>20</w:t>
            </w:r>
          </w:p>
        </w:tc>
        <w:tc>
          <w:tcPr>
            <w:tcW w:w="3114" w:type="dxa"/>
            <w:tcBorders>
              <w:top w:val="single" w:sz="4" w:space="0" w:color="D5DCE4" w:themeColor="text2" w:themeTint="33"/>
              <w:left w:val="nil"/>
              <w:right w:val="nil"/>
            </w:tcBorders>
          </w:tcPr>
          <w:p w14:paraId="303CD597" w14:textId="774FCCB2" w:rsidR="00556AF4" w:rsidRPr="00BF6611" w:rsidRDefault="00556AF4" w:rsidP="0070380F">
            <w:pPr>
              <w:jc w:val="left"/>
              <w:cnfStyle w:val="000000010000" w:firstRow="0" w:lastRow="0" w:firstColumn="0" w:lastColumn="0" w:oddVBand="0" w:evenVBand="0" w:oddHBand="0" w:evenHBand="1" w:firstRowFirstColumn="0" w:firstRowLastColumn="0" w:lastRowFirstColumn="0" w:lastRowLastColumn="0"/>
              <w:rPr>
                <w:rFonts w:cstheme="minorHAnsi"/>
                <w:sz w:val="18"/>
              </w:rPr>
            </w:pPr>
          </w:p>
        </w:tc>
      </w:tr>
      <w:tr w:rsidR="00556AF4" w:rsidRPr="00BF6611" w14:paraId="3EDD57FF" w14:textId="77777777" w:rsidTr="00E06186">
        <w:trPr>
          <w:cnfStyle w:val="000000100000" w:firstRow="0" w:lastRow="0" w:firstColumn="0" w:lastColumn="0" w:oddVBand="0" w:evenVBand="0" w:oddHBand="1" w:evenHBand="0" w:firstRowFirstColumn="0" w:firstRowLastColumn="0" w:lastRowFirstColumn="0" w:lastRowLastColumn="0"/>
          <w:cantSplit/>
          <w:trHeight w:val="422"/>
          <w:jc w:val="center"/>
        </w:trPr>
        <w:tc>
          <w:tcPr>
            <w:cnfStyle w:val="001000000000" w:firstRow="0" w:lastRow="0" w:firstColumn="1" w:lastColumn="0" w:oddVBand="0" w:evenVBand="0" w:oddHBand="0" w:evenHBand="0" w:firstRowFirstColumn="0" w:firstRowLastColumn="0" w:lastRowFirstColumn="0" w:lastRowLastColumn="0"/>
            <w:tcW w:w="1658" w:type="dxa"/>
            <w:vMerge/>
            <w:tcBorders>
              <w:left w:val="nil"/>
              <w:right w:val="nil"/>
            </w:tcBorders>
          </w:tcPr>
          <w:p w14:paraId="687BE8B3" w14:textId="7D25FEF9" w:rsidR="00556AF4" w:rsidRPr="00BF6611" w:rsidRDefault="00556AF4" w:rsidP="002B6C05">
            <w:pPr>
              <w:jc w:val="center"/>
              <w:rPr>
                <w:rFonts w:ascii="Arial" w:hAnsi="Arial" w:cs="Arial"/>
                <w:sz w:val="18"/>
              </w:rPr>
            </w:pPr>
          </w:p>
        </w:tc>
        <w:tc>
          <w:tcPr>
            <w:tcW w:w="1566" w:type="dxa"/>
            <w:vMerge/>
            <w:tcBorders>
              <w:left w:val="nil"/>
              <w:right w:val="nil"/>
            </w:tcBorders>
          </w:tcPr>
          <w:p w14:paraId="749B1B87" w14:textId="729BBA1F" w:rsidR="00556AF4" w:rsidRPr="00BF6611" w:rsidRDefault="00556AF4" w:rsidP="002B6C05">
            <w:pPr>
              <w:jc w:val="center"/>
              <w:cnfStyle w:val="000000100000" w:firstRow="0" w:lastRow="0" w:firstColumn="0" w:lastColumn="0" w:oddVBand="0" w:evenVBand="0" w:oddHBand="1" w:evenHBand="0" w:firstRowFirstColumn="0" w:firstRowLastColumn="0" w:lastRowFirstColumn="0" w:lastRowLastColumn="0"/>
              <w:rPr>
                <w:rFonts w:cs="Arial"/>
                <w:sz w:val="18"/>
              </w:rPr>
            </w:pPr>
          </w:p>
        </w:tc>
        <w:tc>
          <w:tcPr>
            <w:tcW w:w="2179" w:type="dxa"/>
            <w:tcBorders>
              <w:top w:val="single" w:sz="4" w:space="0" w:color="D5DCE4" w:themeColor="text2" w:themeTint="33"/>
              <w:left w:val="nil"/>
              <w:bottom w:val="single" w:sz="4" w:space="0" w:color="D5DCE4" w:themeColor="text2" w:themeTint="33"/>
              <w:right w:val="nil"/>
            </w:tcBorders>
          </w:tcPr>
          <w:p w14:paraId="7D7BF796" w14:textId="29A8174C" w:rsidR="00556AF4" w:rsidRPr="00BF6611" w:rsidRDefault="00556AF4" w:rsidP="0070380F">
            <w:pPr>
              <w:jc w:val="left"/>
              <w:cnfStyle w:val="000000100000" w:firstRow="0" w:lastRow="0" w:firstColumn="0" w:lastColumn="0" w:oddVBand="0" w:evenVBand="0" w:oddHBand="1" w:evenHBand="0" w:firstRowFirstColumn="0" w:firstRowLastColumn="0" w:lastRowFirstColumn="0" w:lastRowLastColumn="0"/>
              <w:rPr>
                <w:rFonts w:cs="Arial"/>
                <w:sz w:val="18"/>
              </w:rPr>
            </w:pPr>
            <w:r w:rsidRPr="00BE68BA">
              <w:rPr>
                <w:rFonts w:cs="Arial"/>
                <w:sz w:val="18"/>
              </w:rPr>
              <w:t>Boiler Blowdown Controls</w:t>
            </w:r>
          </w:p>
        </w:tc>
        <w:tc>
          <w:tcPr>
            <w:tcW w:w="933" w:type="dxa"/>
            <w:tcBorders>
              <w:top w:val="single" w:sz="4" w:space="0" w:color="D5DCE4" w:themeColor="text2" w:themeTint="33"/>
              <w:left w:val="nil"/>
              <w:right w:val="nil"/>
            </w:tcBorders>
          </w:tcPr>
          <w:p w14:paraId="17D624EA" w14:textId="309276F5" w:rsidR="00556AF4" w:rsidRDefault="00556AF4" w:rsidP="0070380F">
            <w:pPr>
              <w:jc w:val="right"/>
              <w:cnfStyle w:val="000000100000" w:firstRow="0" w:lastRow="0" w:firstColumn="0" w:lastColumn="0" w:oddVBand="0" w:evenVBand="0" w:oddHBand="1" w:evenHBand="0" w:firstRowFirstColumn="0" w:firstRowLastColumn="0" w:lastRowFirstColumn="0" w:lastRowLastColumn="0"/>
              <w:rPr>
                <w:rFonts w:cstheme="minorHAnsi"/>
                <w:sz w:val="18"/>
              </w:rPr>
            </w:pPr>
            <w:r>
              <w:rPr>
                <w:rFonts w:cstheme="minorHAnsi"/>
                <w:sz w:val="18"/>
              </w:rPr>
              <w:t>25</w:t>
            </w:r>
          </w:p>
        </w:tc>
        <w:tc>
          <w:tcPr>
            <w:tcW w:w="3114" w:type="dxa"/>
            <w:tcBorders>
              <w:top w:val="single" w:sz="4" w:space="0" w:color="D5DCE4" w:themeColor="text2" w:themeTint="33"/>
              <w:left w:val="nil"/>
              <w:right w:val="nil"/>
            </w:tcBorders>
          </w:tcPr>
          <w:p w14:paraId="0D52DC62" w14:textId="4B6CBFBA" w:rsidR="00556AF4" w:rsidRPr="00BF6611" w:rsidRDefault="00556AF4" w:rsidP="0070380F">
            <w:pPr>
              <w:jc w:val="left"/>
              <w:cnfStyle w:val="000000100000" w:firstRow="0" w:lastRow="0" w:firstColumn="0" w:lastColumn="0" w:oddVBand="0" w:evenVBand="0" w:oddHBand="1" w:evenHBand="0" w:firstRowFirstColumn="0" w:firstRowLastColumn="0" w:lastRowFirstColumn="0" w:lastRowLastColumn="0"/>
              <w:rPr>
                <w:rFonts w:cstheme="minorHAnsi"/>
                <w:sz w:val="18"/>
              </w:rPr>
            </w:pPr>
          </w:p>
        </w:tc>
      </w:tr>
      <w:tr w:rsidR="00556AF4" w:rsidRPr="00BF6611" w14:paraId="2B518854" w14:textId="77777777" w:rsidTr="00E06186">
        <w:trPr>
          <w:cnfStyle w:val="000000010000" w:firstRow="0" w:lastRow="0" w:firstColumn="0" w:lastColumn="0" w:oddVBand="0" w:evenVBand="0" w:oddHBand="0" w:evenHBand="1" w:firstRowFirstColumn="0" w:firstRowLastColumn="0" w:lastRowFirstColumn="0" w:lastRowLastColumn="0"/>
          <w:cantSplit/>
          <w:trHeight w:val="377"/>
          <w:jc w:val="center"/>
        </w:trPr>
        <w:tc>
          <w:tcPr>
            <w:cnfStyle w:val="001000000000" w:firstRow="0" w:lastRow="0" w:firstColumn="1" w:lastColumn="0" w:oddVBand="0" w:evenVBand="0" w:oddHBand="0" w:evenHBand="0" w:firstRowFirstColumn="0" w:firstRowLastColumn="0" w:lastRowFirstColumn="0" w:lastRowLastColumn="0"/>
            <w:tcW w:w="1658" w:type="dxa"/>
            <w:vMerge/>
            <w:tcBorders>
              <w:left w:val="nil"/>
              <w:right w:val="nil"/>
            </w:tcBorders>
          </w:tcPr>
          <w:p w14:paraId="3CCFABA8" w14:textId="50055C94" w:rsidR="00556AF4" w:rsidRPr="00BF6611" w:rsidRDefault="00556AF4" w:rsidP="002B6C05">
            <w:pPr>
              <w:jc w:val="center"/>
              <w:rPr>
                <w:rFonts w:ascii="Arial" w:hAnsi="Arial" w:cs="Arial"/>
                <w:sz w:val="18"/>
              </w:rPr>
            </w:pPr>
          </w:p>
        </w:tc>
        <w:tc>
          <w:tcPr>
            <w:tcW w:w="1566" w:type="dxa"/>
            <w:vMerge/>
            <w:tcBorders>
              <w:left w:val="nil"/>
              <w:right w:val="nil"/>
            </w:tcBorders>
          </w:tcPr>
          <w:p w14:paraId="05F916F7" w14:textId="302781AE" w:rsidR="00556AF4" w:rsidRPr="00BF6611" w:rsidRDefault="00556AF4" w:rsidP="002B6C05">
            <w:pPr>
              <w:jc w:val="center"/>
              <w:cnfStyle w:val="000000010000" w:firstRow="0" w:lastRow="0" w:firstColumn="0" w:lastColumn="0" w:oddVBand="0" w:evenVBand="0" w:oddHBand="0" w:evenHBand="1" w:firstRowFirstColumn="0" w:firstRowLastColumn="0" w:lastRowFirstColumn="0" w:lastRowLastColumn="0"/>
              <w:rPr>
                <w:rFonts w:cs="Arial"/>
                <w:sz w:val="18"/>
              </w:rPr>
            </w:pPr>
          </w:p>
        </w:tc>
        <w:tc>
          <w:tcPr>
            <w:tcW w:w="2179" w:type="dxa"/>
            <w:tcBorders>
              <w:top w:val="single" w:sz="4" w:space="0" w:color="D5DCE4" w:themeColor="text2" w:themeTint="33"/>
              <w:left w:val="nil"/>
              <w:bottom w:val="single" w:sz="4" w:space="0" w:color="D5DCE4" w:themeColor="text2" w:themeTint="33"/>
              <w:right w:val="nil"/>
            </w:tcBorders>
          </w:tcPr>
          <w:p w14:paraId="3FF2A76B" w14:textId="7DEA5F41" w:rsidR="00556AF4" w:rsidRPr="00BF6611" w:rsidRDefault="00556AF4" w:rsidP="0070380F">
            <w:pPr>
              <w:jc w:val="left"/>
              <w:cnfStyle w:val="000000010000" w:firstRow="0" w:lastRow="0" w:firstColumn="0" w:lastColumn="0" w:oddVBand="0" w:evenVBand="0" w:oddHBand="0" w:evenHBand="1" w:firstRowFirstColumn="0" w:firstRowLastColumn="0" w:lastRowFirstColumn="0" w:lastRowLastColumn="0"/>
              <w:rPr>
                <w:rFonts w:cs="Arial"/>
                <w:sz w:val="18"/>
              </w:rPr>
            </w:pPr>
            <w:r w:rsidRPr="00BE68BA">
              <w:rPr>
                <w:rFonts w:cs="Arial"/>
                <w:sz w:val="18"/>
              </w:rPr>
              <w:t>Reverse Osmosis (RO) System</w:t>
            </w:r>
          </w:p>
        </w:tc>
        <w:tc>
          <w:tcPr>
            <w:tcW w:w="933" w:type="dxa"/>
            <w:tcBorders>
              <w:top w:val="single" w:sz="4" w:space="0" w:color="D5DCE4" w:themeColor="text2" w:themeTint="33"/>
              <w:left w:val="nil"/>
              <w:right w:val="nil"/>
            </w:tcBorders>
          </w:tcPr>
          <w:p w14:paraId="5B0D9BB8" w14:textId="2355410B" w:rsidR="00556AF4" w:rsidRDefault="00556AF4" w:rsidP="0070380F">
            <w:pPr>
              <w:jc w:val="right"/>
              <w:cnfStyle w:val="000000010000" w:firstRow="0" w:lastRow="0" w:firstColumn="0" w:lastColumn="0" w:oddVBand="0" w:evenVBand="0" w:oddHBand="0" w:evenHBand="1" w:firstRowFirstColumn="0" w:firstRowLastColumn="0" w:lastRowFirstColumn="0" w:lastRowLastColumn="0"/>
              <w:rPr>
                <w:rFonts w:cstheme="minorHAnsi"/>
                <w:sz w:val="18"/>
              </w:rPr>
            </w:pPr>
            <w:r>
              <w:rPr>
                <w:rFonts w:cstheme="minorHAnsi"/>
                <w:sz w:val="18"/>
              </w:rPr>
              <w:t>15</w:t>
            </w:r>
          </w:p>
        </w:tc>
        <w:tc>
          <w:tcPr>
            <w:tcW w:w="3114" w:type="dxa"/>
            <w:tcBorders>
              <w:top w:val="single" w:sz="4" w:space="0" w:color="D5DCE4" w:themeColor="text2" w:themeTint="33"/>
              <w:left w:val="nil"/>
              <w:right w:val="nil"/>
            </w:tcBorders>
          </w:tcPr>
          <w:p w14:paraId="341BD89B" w14:textId="26040E2D" w:rsidR="00556AF4" w:rsidRPr="00BF6611" w:rsidRDefault="00556AF4" w:rsidP="0070380F">
            <w:pPr>
              <w:jc w:val="left"/>
              <w:cnfStyle w:val="000000010000" w:firstRow="0" w:lastRow="0" w:firstColumn="0" w:lastColumn="0" w:oddVBand="0" w:evenVBand="0" w:oddHBand="0" w:evenHBand="1" w:firstRowFirstColumn="0" w:firstRowLastColumn="0" w:lastRowFirstColumn="0" w:lastRowLastColumn="0"/>
              <w:rPr>
                <w:rFonts w:cstheme="minorHAnsi"/>
                <w:sz w:val="18"/>
              </w:rPr>
            </w:pPr>
          </w:p>
        </w:tc>
      </w:tr>
      <w:tr w:rsidR="00556AF4" w:rsidRPr="00BF6611" w14:paraId="4F80C429" w14:textId="77777777" w:rsidTr="00E06186">
        <w:trPr>
          <w:cnfStyle w:val="000000100000" w:firstRow="0" w:lastRow="0" w:firstColumn="0" w:lastColumn="0" w:oddVBand="0" w:evenVBand="0" w:oddHBand="1" w:evenHBand="0" w:firstRowFirstColumn="0" w:firstRowLastColumn="0" w:lastRowFirstColumn="0" w:lastRowLastColumn="0"/>
          <w:cantSplit/>
          <w:trHeight w:val="1015"/>
          <w:jc w:val="center"/>
        </w:trPr>
        <w:tc>
          <w:tcPr>
            <w:cnfStyle w:val="001000000000" w:firstRow="0" w:lastRow="0" w:firstColumn="1" w:lastColumn="0" w:oddVBand="0" w:evenVBand="0" w:oddHBand="0" w:evenHBand="0" w:firstRowFirstColumn="0" w:firstRowLastColumn="0" w:lastRowFirstColumn="0" w:lastRowLastColumn="0"/>
            <w:tcW w:w="1658" w:type="dxa"/>
            <w:vMerge/>
            <w:tcBorders>
              <w:left w:val="nil"/>
              <w:right w:val="nil"/>
            </w:tcBorders>
            <w:hideMark/>
          </w:tcPr>
          <w:p w14:paraId="35C67FE7" w14:textId="76965598" w:rsidR="00556AF4" w:rsidRPr="00BF6611" w:rsidRDefault="00556AF4" w:rsidP="002B6C05">
            <w:pPr>
              <w:jc w:val="center"/>
              <w:rPr>
                <w:rFonts w:ascii="Arial" w:hAnsi="Arial" w:cs="Arial"/>
                <w:sz w:val="18"/>
              </w:rPr>
            </w:pPr>
          </w:p>
        </w:tc>
        <w:tc>
          <w:tcPr>
            <w:tcW w:w="1566" w:type="dxa"/>
            <w:vMerge/>
            <w:tcBorders>
              <w:left w:val="nil"/>
              <w:right w:val="nil"/>
            </w:tcBorders>
            <w:hideMark/>
          </w:tcPr>
          <w:p w14:paraId="1B2597EA" w14:textId="63BFAEC5" w:rsidR="00556AF4" w:rsidRPr="00BF6611" w:rsidRDefault="00556AF4" w:rsidP="002B6C05">
            <w:pPr>
              <w:jc w:val="center"/>
              <w:cnfStyle w:val="000000100000" w:firstRow="0" w:lastRow="0" w:firstColumn="0" w:lastColumn="0" w:oddVBand="0" w:evenVBand="0" w:oddHBand="1" w:evenHBand="0" w:firstRowFirstColumn="0" w:firstRowLastColumn="0" w:lastRowFirstColumn="0" w:lastRowLastColumn="0"/>
              <w:rPr>
                <w:rFonts w:cs="Arial"/>
                <w:sz w:val="18"/>
              </w:rPr>
            </w:pPr>
          </w:p>
        </w:tc>
        <w:tc>
          <w:tcPr>
            <w:tcW w:w="2179" w:type="dxa"/>
            <w:tcBorders>
              <w:top w:val="single" w:sz="4" w:space="0" w:color="D5DCE4" w:themeColor="text2" w:themeTint="33"/>
              <w:left w:val="nil"/>
              <w:bottom w:val="single" w:sz="4" w:space="0" w:color="D5DCE4" w:themeColor="text2" w:themeTint="33"/>
              <w:right w:val="nil"/>
            </w:tcBorders>
          </w:tcPr>
          <w:p w14:paraId="0C419B11" w14:textId="77777777" w:rsidR="00556AF4" w:rsidRPr="00BF6611" w:rsidRDefault="00556AF4" w:rsidP="002B6C05">
            <w:pPr>
              <w:jc w:val="left"/>
              <w:cnfStyle w:val="000000100000" w:firstRow="0" w:lastRow="0" w:firstColumn="0" w:lastColumn="0" w:oddVBand="0" w:evenVBand="0" w:oddHBand="1" w:evenHBand="0" w:firstRowFirstColumn="0" w:firstRowLastColumn="0" w:lastRowFirstColumn="0" w:lastRowLastColumn="0"/>
              <w:rPr>
                <w:rFonts w:cs="Arial"/>
                <w:sz w:val="18"/>
              </w:rPr>
            </w:pPr>
            <w:r w:rsidRPr="00BF6611">
              <w:rPr>
                <w:rFonts w:cs="Arial"/>
                <w:sz w:val="18"/>
              </w:rPr>
              <w:t>Barrel Wraps for Injection Molders and Extruders</w:t>
            </w:r>
          </w:p>
        </w:tc>
        <w:tc>
          <w:tcPr>
            <w:tcW w:w="933" w:type="dxa"/>
            <w:vMerge w:val="restart"/>
            <w:tcBorders>
              <w:top w:val="single" w:sz="4" w:space="0" w:color="D5DCE4" w:themeColor="text2" w:themeTint="33"/>
              <w:left w:val="nil"/>
              <w:right w:val="nil"/>
            </w:tcBorders>
            <w:hideMark/>
          </w:tcPr>
          <w:p w14:paraId="4BE69159" w14:textId="77777777" w:rsidR="00556AF4" w:rsidRPr="00BF6611" w:rsidRDefault="00556AF4" w:rsidP="002B6C05">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18"/>
              </w:rPr>
            </w:pPr>
            <w:r>
              <w:rPr>
                <w:rFonts w:cstheme="minorHAnsi"/>
                <w:sz w:val="18"/>
              </w:rPr>
              <w:t>Custom</w:t>
            </w:r>
          </w:p>
        </w:tc>
        <w:tc>
          <w:tcPr>
            <w:tcW w:w="3114" w:type="dxa"/>
            <w:vMerge w:val="restart"/>
            <w:tcBorders>
              <w:top w:val="single" w:sz="4" w:space="0" w:color="D5DCE4" w:themeColor="text2" w:themeTint="33"/>
              <w:left w:val="nil"/>
              <w:right w:val="nil"/>
            </w:tcBorders>
            <w:hideMark/>
          </w:tcPr>
          <w:p w14:paraId="6762E9AF" w14:textId="77777777" w:rsidR="00556AF4" w:rsidRDefault="00556AF4" w:rsidP="002B6C05">
            <w:pPr>
              <w:jc w:val="left"/>
              <w:cnfStyle w:val="000000100000" w:firstRow="0" w:lastRow="0" w:firstColumn="0" w:lastColumn="0" w:oddVBand="0" w:evenVBand="0" w:oddHBand="1" w:evenHBand="0" w:firstRowFirstColumn="0" w:firstRowLastColumn="0" w:lastRowFirstColumn="0" w:lastRowLastColumn="0"/>
              <w:rPr>
                <w:rFonts w:cstheme="minorHAnsi"/>
                <w:sz w:val="18"/>
              </w:rPr>
            </w:pPr>
            <w:r w:rsidRPr="00BF6611">
              <w:rPr>
                <w:rFonts w:cstheme="minorHAnsi"/>
                <w:sz w:val="18"/>
              </w:rPr>
              <w:t xml:space="preserve">This category is intended to capture unique, one-off projects/measures that do not fall under the other recommended end-use categories. </w:t>
            </w:r>
            <w:r>
              <w:rPr>
                <w:rFonts w:cstheme="minorHAnsi"/>
                <w:sz w:val="18"/>
              </w:rPr>
              <w:t>E</w:t>
            </w:r>
            <w:r w:rsidRPr="00BF6611">
              <w:rPr>
                <w:rFonts w:cstheme="minorHAnsi"/>
                <w:sz w:val="18"/>
              </w:rPr>
              <w:t xml:space="preserve">ach project/measure </w:t>
            </w:r>
            <w:r>
              <w:rPr>
                <w:rFonts w:cstheme="minorHAnsi"/>
                <w:sz w:val="18"/>
              </w:rPr>
              <w:t>should</w:t>
            </w:r>
            <w:r w:rsidRPr="00BF6611">
              <w:rPr>
                <w:rFonts w:cstheme="minorHAnsi"/>
                <w:sz w:val="18"/>
              </w:rPr>
              <w:t xml:space="preserve"> have a custom EUL. To achieve this, the implementer will provide an </w:t>
            </w:r>
            <w:proofErr w:type="gramStart"/>
            <w:r w:rsidRPr="00BF6611">
              <w:rPr>
                <w:rFonts w:cstheme="minorHAnsi"/>
                <w:sz w:val="18"/>
              </w:rPr>
              <w:t>ex ante</w:t>
            </w:r>
            <w:proofErr w:type="gramEnd"/>
            <w:r w:rsidRPr="00BF6611">
              <w:rPr>
                <w:rFonts w:cstheme="minorHAnsi"/>
                <w:sz w:val="18"/>
              </w:rPr>
              <w:t xml:space="preserve"> EUL for the project/measure and the evaluator will assess it for reasonableness and revise as necessary.</w:t>
            </w:r>
          </w:p>
          <w:p w14:paraId="58ABBD0F" w14:textId="19C28741" w:rsidR="00556AF4" w:rsidRPr="00BF6611" w:rsidRDefault="00556AF4" w:rsidP="002B6C05">
            <w:pPr>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18"/>
              </w:rPr>
            </w:pPr>
            <w:r>
              <w:rPr>
                <w:rFonts w:cstheme="minorHAnsi"/>
                <w:sz w:val="18"/>
              </w:rPr>
              <w:t xml:space="preserve">As a last resort where there is no basis for a custom EUL a default of 13 years is provided and is deemed appropriate for electric measures, and a default of 17.4 years is provided and is deemed appropriate for natural gas measures.   </w:t>
            </w:r>
          </w:p>
        </w:tc>
      </w:tr>
      <w:tr w:rsidR="00556AF4" w:rsidRPr="00BF6611" w14:paraId="69014F39" w14:textId="77777777" w:rsidTr="002B6C05">
        <w:trPr>
          <w:cnfStyle w:val="000000010000" w:firstRow="0" w:lastRow="0" w:firstColumn="0" w:lastColumn="0" w:oddVBand="0" w:evenVBand="0" w:oddHBand="0" w:evenHBand="1" w:firstRowFirstColumn="0" w:firstRowLastColumn="0" w:lastRowFirstColumn="0" w:lastRowLastColumn="0"/>
          <w:cantSplit/>
          <w:trHeight w:val="512"/>
          <w:jc w:val="center"/>
        </w:trPr>
        <w:tc>
          <w:tcPr>
            <w:cnfStyle w:val="001000000000" w:firstRow="0" w:lastRow="0" w:firstColumn="1" w:lastColumn="0" w:oddVBand="0" w:evenVBand="0" w:oddHBand="0" w:evenHBand="0" w:firstRowFirstColumn="0" w:firstRowLastColumn="0" w:lastRowFirstColumn="0" w:lastRowLastColumn="0"/>
            <w:tcW w:w="1658" w:type="dxa"/>
            <w:vMerge/>
            <w:tcBorders>
              <w:left w:val="nil"/>
              <w:right w:val="nil"/>
            </w:tcBorders>
          </w:tcPr>
          <w:p w14:paraId="19F23F53" w14:textId="77777777" w:rsidR="00556AF4" w:rsidRPr="00BF6611" w:rsidRDefault="00556AF4" w:rsidP="002B6C05">
            <w:pPr>
              <w:jc w:val="left"/>
              <w:rPr>
                <w:rFonts w:ascii="Arial" w:hAnsi="Arial" w:cs="Arial"/>
                <w:sz w:val="18"/>
              </w:rPr>
            </w:pPr>
          </w:p>
        </w:tc>
        <w:tc>
          <w:tcPr>
            <w:tcW w:w="1566" w:type="dxa"/>
            <w:vMerge/>
            <w:tcBorders>
              <w:left w:val="nil"/>
              <w:right w:val="nil"/>
            </w:tcBorders>
          </w:tcPr>
          <w:p w14:paraId="7D74123D" w14:textId="77777777" w:rsidR="00556AF4" w:rsidRPr="00BF6611" w:rsidRDefault="00556AF4" w:rsidP="002B6C05">
            <w:pPr>
              <w:jc w:val="left"/>
              <w:cnfStyle w:val="000000010000" w:firstRow="0" w:lastRow="0" w:firstColumn="0" w:lastColumn="0" w:oddVBand="0" w:evenVBand="0" w:oddHBand="0" w:evenHBand="1" w:firstRowFirstColumn="0" w:firstRowLastColumn="0" w:lastRowFirstColumn="0" w:lastRowLastColumn="0"/>
              <w:rPr>
                <w:rFonts w:cs="Arial"/>
                <w:sz w:val="18"/>
              </w:rPr>
            </w:pPr>
          </w:p>
        </w:tc>
        <w:tc>
          <w:tcPr>
            <w:tcW w:w="2179" w:type="dxa"/>
            <w:tcBorders>
              <w:top w:val="single" w:sz="4" w:space="0" w:color="D5DCE4" w:themeColor="text2" w:themeTint="33"/>
              <w:left w:val="nil"/>
              <w:bottom w:val="single" w:sz="4" w:space="0" w:color="D5DCE4" w:themeColor="text2" w:themeTint="33"/>
              <w:right w:val="nil"/>
            </w:tcBorders>
          </w:tcPr>
          <w:p w14:paraId="68ECAC1D" w14:textId="77777777" w:rsidR="00556AF4" w:rsidRPr="00BF6611" w:rsidRDefault="00556AF4" w:rsidP="002B6C05">
            <w:pPr>
              <w:jc w:val="left"/>
              <w:cnfStyle w:val="000000010000" w:firstRow="0" w:lastRow="0" w:firstColumn="0" w:lastColumn="0" w:oddVBand="0" w:evenVBand="0" w:oddHBand="0" w:evenHBand="1" w:firstRowFirstColumn="0" w:firstRowLastColumn="0" w:lastRowFirstColumn="0" w:lastRowLastColumn="0"/>
              <w:rPr>
                <w:rFonts w:cs="Arial"/>
                <w:sz w:val="18"/>
              </w:rPr>
            </w:pPr>
            <w:r w:rsidRPr="00BF6611">
              <w:rPr>
                <w:rFonts w:cs="Arial"/>
                <w:sz w:val="18"/>
              </w:rPr>
              <w:t>Blowers</w:t>
            </w:r>
          </w:p>
        </w:tc>
        <w:tc>
          <w:tcPr>
            <w:tcW w:w="933" w:type="dxa"/>
            <w:vMerge/>
            <w:tcBorders>
              <w:left w:val="nil"/>
              <w:right w:val="nil"/>
            </w:tcBorders>
          </w:tcPr>
          <w:p w14:paraId="5A93BB69" w14:textId="77777777" w:rsidR="00556AF4" w:rsidRPr="00BF6611" w:rsidRDefault="00556AF4" w:rsidP="002B6C05">
            <w:pPr>
              <w:jc w:val="right"/>
              <w:cnfStyle w:val="000000010000" w:firstRow="0" w:lastRow="0" w:firstColumn="0" w:lastColumn="0" w:oddVBand="0" w:evenVBand="0" w:oddHBand="0" w:evenHBand="1" w:firstRowFirstColumn="0" w:firstRowLastColumn="0" w:lastRowFirstColumn="0" w:lastRowLastColumn="0"/>
              <w:rPr>
                <w:rFonts w:cstheme="minorHAnsi"/>
                <w:sz w:val="18"/>
              </w:rPr>
            </w:pPr>
          </w:p>
        </w:tc>
        <w:tc>
          <w:tcPr>
            <w:tcW w:w="3114" w:type="dxa"/>
            <w:vMerge/>
            <w:tcBorders>
              <w:left w:val="nil"/>
              <w:right w:val="nil"/>
            </w:tcBorders>
          </w:tcPr>
          <w:p w14:paraId="7089940B" w14:textId="77777777" w:rsidR="00556AF4" w:rsidRPr="00BF6611" w:rsidRDefault="00556AF4" w:rsidP="002B6C05">
            <w:pPr>
              <w:jc w:val="left"/>
              <w:cnfStyle w:val="000000010000" w:firstRow="0" w:lastRow="0" w:firstColumn="0" w:lastColumn="0" w:oddVBand="0" w:evenVBand="0" w:oddHBand="0" w:evenHBand="1" w:firstRowFirstColumn="0" w:firstRowLastColumn="0" w:lastRowFirstColumn="0" w:lastRowLastColumn="0"/>
              <w:rPr>
                <w:rFonts w:cstheme="minorHAnsi"/>
                <w:sz w:val="18"/>
              </w:rPr>
            </w:pPr>
          </w:p>
        </w:tc>
      </w:tr>
      <w:tr w:rsidR="00556AF4" w:rsidRPr="00BF6611" w14:paraId="0BD5ECD4" w14:textId="77777777" w:rsidTr="002B6C05">
        <w:trPr>
          <w:cnfStyle w:val="000000100000" w:firstRow="0" w:lastRow="0" w:firstColumn="0" w:lastColumn="0" w:oddVBand="0" w:evenVBand="0" w:oddHBand="1" w:evenHBand="0" w:firstRowFirstColumn="0" w:firstRowLastColumn="0" w:lastRowFirstColumn="0" w:lastRowLastColumn="0"/>
          <w:cantSplit/>
          <w:trHeight w:val="530"/>
          <w:jc w:val="center"/>
        </w:trPr>
        <w:tc>
          <w:tcPr>
            <w:cnfStyle w:val="001000000000" w:firstRow="0" w:lastRow="0" w:firstColumn="1" w:lastColumn="0" w:oddVBand="0" w:evenVBand="0" w:oddHBand="0" w:evenHBand="0" w:firstRowFirstColumn="0" w:firstRowLastColumn="0" w:lastRowFirstColumn="0" w:lastRowLastColumn="0"/>
            <w:tcW w:w="1658" w:type="dxa"/>
            <w:vMerge/>
            <w:tcBorders>
              <w:left w:val="nil"/>
              <w:right w:val="nil"/>
            </w:tcBorders>
          </w:tcPr>
          <w:p w14:paraId="724926D4" w14:textId="77777777" w:rsidR="00556AF4" w:rsidRPr="00BF6611" w:rsidRDefault="00556AF4" w:rsidP="002B6C05">
            <w:pPr>
              <w:jc w:val="left"/>
              <w:rPr>
                <w:rFonts w:ascii="Arial" w:hAnsi="Arial" w:cs="Arial"/>
                <w:sz w:val="18"/>
              </w:rPr>
            </w:pPr>
          </w:p>
        </w:tc>
        <w:tc>
          <w:tcPr>
            <w:tcW w:w="1566" w:type="dxa"/>
            <w:vMerge/>
            <w:tcBorders>
              <w:left w:val="nil"/>
              <w:right w:val="nil"/>
            </w:tcBorders>
          </w:tcPr>
          <w:p w14:paraId="7B638D25" w14:textId="77777777" w:rsidR="00556AF4" w:rsidRPr="00BF6611" w:rsidRDefault="00556AF4" w:rsidP="002B6C05">
            <w:pPr>
              <w:jc w:val="left"/>
              <w:cnfStyle w:val="000000100000" w:firstRow="0" w:lastRow="0" w:firstColumn="0" w:lastColumn="0" w:oddVBand="0" w:evenVBand="0" w:oddHBand="1" w:evenHBand="0" w:firstRowFirstColumn="0" w:firstRowLastColumn="0" w:lastRowFirstColumn="0" w:lastRowLastColumn="0"/>
              <w:rPr>
                <w:rFonts w:cs="Arial"/>
                <w:sz w:val="18"/>
              </w:rPr>
            </w:pPr>
          </w:p>
        </w:tc>
        <w:tc>
          <w:tcPr>
            <w:tcW w:w="2179" w:type="dxa"/>
            <w:tcBorders>
              <w:top w:val="single" w:sz="4" w:space="0" w:color="D5DCE4" w:themeColor="text2" w:themeTint="33"/>
              <w:left w:val="nil"/>
              <w:bottom w:val="single" w:sz="4" w:space="0" w:color="D5DCE4" w:themeColor="text2" w:themeTint="33"/>
              <w:right w:val="nil"/>
            </w:tcBorders>
          </w:tcPr>
          <w:p w14:paraId="352AC7A4" w14:textId="77777777" w:rsidR="00556AF4" w:rsidRPr="00BF6611" w:rsidRDefault="00556AF4" w:rsidP="002B6C05">
            <w:pPr>
              <w:jc w:val="left"/>
              <w:cnfStyle w:val="000000100000" w:firstRow="0" w:lastRow="0" w:firstColumn="0" w:lastColumn="0" w:oddVBand="0" w:evenVBand="0" w:oddHBand="1" w:evenHBand="0" w:firstRowFirstColumn="0" w:firstRowLastColumn="0" w:lastRowFirstColumn="0" w:lastRowLastColumn="0"/>
              <w:rPr>
                <w:rFonts w:cs="Arial"/>
                <w:sz w:val="18"/>
              </w:rPr>
            </w:pPr>
            <w:r w:rsidRPr="00BF6611">
              <w:rPr>
                <w:rFonts w:cs="Arial"/>
                <w:sz w:val="18"/>
              </w:rPr>
              <w:t>Building Envelope</w:t>
            </w:r>
          </w:p>
        </w:tc>
        <w:tc>
          <w:tcPr>
            <w:tcW w:w="933" w:type="dxa"/>
            <w:vMerge/>
            <w:tcBorders>
              <w:left w:val="nil"/>
              <w:right w:val="nil"/>
            </w:tcBorders>
          </w:tcPr>
          <w:p w14:paraId="4539BA84" w14:textId="77777777" w:rsidR="00556AF4" w:rsidRPr="00BF6611" w:rsidRDefault="00556AF4" w:rsidP="002B6C05">
            <w:pPr>
              <w:jc w:val="right"/>
              <w:cnfStyle w:val="000000100000" w:firstRow="0" w:lastRow="0" w:firstColumn="0" w:lastColumn="0" w:oddVBand="0" w:evenVBand="0" w:oddHBand="1" w:evenHBand="0" w:firstRowFirstColumn="0" w:firstRowLastColumn="0" w:lastRowFirstColumn="0" w:lastRowLastColumn="0"/>
              <w:rPr>
                <w:rFonts w:cstheme="minorHAnsi"/>
                <w:sz w:val="18"/>
              </w:rPr>
            </w:pPr>
          </w:p>
        </w:tc>
        <w:tc>
          <w:tcPr>
            <w:tcW w:w="3114" w:type="dxa"/>
            <w:vMerge/>
            <w:tcBorders>
              <w:left w:val="nil"/>
              <w:right w:val="nil"/>
            </w:tcBorders>
          </w:tcPr>
          <w:p w14:paraId="52B52EEC" w14:textId="77777777" w:rsidR="00556AF4" w:rsidRPr="00BF6611" w:rsidRDefault="00556AF4" w:rsidP="002B6C05">
            <w:pPr>
              <w:jc w:val="left"/>
              <w:cnfStyle w:val="000000100000" w:firstRow="0" w:lastRow="0" w:firstColumn="0" w:lastColumn="0" w:oddVBand="0" w:evenVBand="0" w:oddHBand="1" w:evenHBand="0" w:firstRowFirstColumn="0" w:firstRowLastColumn="0" w:lastRowFirstColumn="0" w:lastRowLastColumn="0"/>
              <w:rPr>
                <w:rFonts w:cstheme="minorHAnsi"/>
                <w:sz w:val="18"/>
              </w:rPr>
            </w:pPr>
          </w:p>
        </w:tc>
      </w:tr>
      <w:tr w:rsidR="00556AF4" w:rsidRPr="00BF6611" w14:paraId="674E2A0E" w14:textId="77777777" w:rsidTr="002B6C05">
        <w:trPr>
          <w:cnfStyle w:val="000000010000" w:firstRow="0" w:lastRow="0" w:firstColumn="0" w:lastColumn="0" w:oddVBand="0" w:evenVBand="0" w:oddHBand="0" w:evenHBand="1" w:firstRowFirstColumn="0" w:firstRowLastColumn="0" w:lastRowFirstColumn="0" w:lastRowLastColumn="0"/>
          <w:cantSplit/>
          <w:trHeight w:val="521"/>
          <w:jc w:val="center"/>
        </w:trPr>
        <w:tc>
          <w:tcPr>
            <w:cnfStyle w:val="001000000000" w:firstRow="0" w:lastRow="0" w:firstColumn="1" w:lastColumn="0" w:oddVBand="0" w:evenVBand="0" w:oddHBand="0" w:evenHBand="0" w:firstRowFirstColumn="0" w:firstRowLastColumn="0" w:lastRowFirstColumn="0" w:lastRowLastColumn="0"/>
            <w:tcW w:w="1658" w:type="dxa"/>
            <w:vMerge/>
            <w:tcBorders>
              <w:left w:val="nil"/>
              <w:right w:val="nil"/>
            </w:tcBorders>
          </w:tcPr>
          <w:p w14:paraId="28EB335F" w14:textId="77777777" w:rsidR="00556AF4" w:rsidRPr="00BF6611" w:rsidRDefault="00556AF4" w:rsidP="002B6C05">
            <w:pPr>
              <w:jc w:val="left"/>
              <w:rPr>
                <w:rFonts w:ascii="Arial" w:hAnsi="Arial" w:cs="Arial"/>
                <w:sz w:val="18"/>
              </w:rPr>
            </w:pPr>
          </w:p>
        </w:tc>
        <w:tc>
          <w:tcPr>
            <w:tcW w:w="1566" w:type="dxa"/>
            <w:vMerge/>
            <w:tcBorders>
              <w:left w:val="nil"/>
              <w:right w:val="nil"/>
            </w:tcBorders>
          </w:tcPr>
          <w:p w14:paraId="621E7962" w14:textId="77777777" w:rsidR="00556AF4" w:rsidRPr="00BF6611" w:rsidRDefault="00556AF4" w:rsidP="002B6C05">
            <w:pPr>
              <w:jc w:val="left"/>
              <w:cnfStyle w:val="000000010000" w:firstRow="0" w:lastRow="0" w:firstColumn="0" w:lastColumn="0" w:oddVBand="0" w:evenVBand="0" w:oddHBand="0" w:evenHBand="1" w:firstRowFirstColumn="0" w:firstRowLastColumn="0" w:lastRowFirstColumn="0" w:lastRowLastColumn="0"/>
              <w:rPr>
                <w:rFonts w:cs="Arial"/>
                <w:sz w:val="18"/>
              </w:rPr>
            </w:pPr>
          </w:p>
        </w:tc>
        <w:tc>
          <w:tcPr>
            <w:tcW w:w="2179" w:type="dxa"/>
            <w:tcBorders>
              <w:top w:val="single" w:sz="4" w:space="0" w:color="D5DCE4" w:themeColor="text2" w:themeTint="33"/>
              <w:left w:val="nil"/>
              <w:bottom w:val="single" w:sz="4" w:space="0" w:color="D5DCE4" w:themeColor="text2" w:themeTint="33"/>
              <w:right w:val="nil"/>
            </w:tcBorders>
          </w:tcPr>
          <w:p w14:paraId="46239572" w14:textId="77777777" w:rsidR="00556AF4" w:rsidRPr="00BF6611" w:rsidRDefault="00556AF4" w:rsidP="002B6C05">
            <w:pPr>
              <w:jc w:val="left"/>
              <w:cnfStyle w:val="000000010000" w:firstRow="0" w:lastRow="0" w:firstColumn="0" w:lastColumn="0" w:oddVBand="0" w:evenVBand="0" w:oddHBand="0" w:evenHBand="1" w:firstRowFirstColumn="0" w:firstRowLastColumn="0" w:lastRowFirstColumn="0" w:lastRowLastColumn="0"/>
              <w:rPr>
                <w:rFonts w:cs="Arial"/>
                <w:sz w:val="18"/>
              </w:rPr>
            </w:pPr>
            <w:r w:rsidRPr="00BF6611">
              <w:rPr>
                <w:rFonts w:cs="Arial"/>
                <w:sz w:val="18"/>
              </w:rPr>
              <w:t>Controls</w:t>
            </w:r>
          </w:p>
        </w:tc>
        <w:tc>
          <w:tcPr>
            <w:tcW w:w="933" w:type="dxa"/>
            <w:vMerge/>
            <w:tcBorders>
              <w:left w:val="nil"/>
              <w:right w:val="nil"/>
            </w:tcBorders>
          </w:tcPr>
          <w:p w14:paraId="5E28FF05" w14:textId="77777777" w:rsidR="00556AF4" w:rsidRPr="00BF6611" w:rsidRDefault="00556AF4" w:rsidP="002B6C05">
            <w:pPr>
              <w:jc w:val="right"/>
              <w:cnfStyle w:val="000000010000" w:firstRow="0" w:lastRow="0" w:firstColumn="0" w:lastColumn="0" w:oddVBand="0" w:evenVBand="0" w:oddHBand="0" w:evenHBand="1" w:firstRowFirstColumn="0" w:firstRowLastColumn="0" w:lastRowFirstColumn="0" w:lastRowLastColumn="0"/>
              <w:rPr>
                <w:rFonts w:cstheme="minorHAnsi"/>
                <w:sz w:val="18"/>
              </w:rPr>
            </w:pPr>
          </w:p>
        </w:tc>
        <w:tc>
          <w:tcPr>
            <w:tcW w:w="3114" w:type="dxa"/>
            <w:vMerge/>
            <w:tcBorders>
              <w:left w:val="nil"/>
              <w:right w:val="nil"/>
            </w:tcBorders>
          </w:tcPr>
          <w:p w14:paraId="65CC3D07" w14:textId="77777777" w:rsidR="00556AF4" w:rsidRPr="00BF6611" w:rsidRDefault="00556AF4" w:rsidP="002B6C05">
            <w:pPr>
              <w:jc w:val="left"/>
              <w:cnfStyle w:val="000000010000" w:firstRow="0" w:lastRow="0" w:firstColumn="0" w:lastColumn="0" w:oddVBand="0" w:evenVBand="0" w:oddHBand="0" w:evenHBand="1" w:firstRowFirstColumn="0" w:firstRowLastColumn="0" w:lastRowFirstColumn="0" w:lastRowLastColumn="0"/>
              <w:rPr>
                <w:rFonts w:cstheme="minorHAnsi"/>
                <w:sz w:val="18"/>
              </w:rPr>
            </w:pPr>
          </w:p>
        </w:tc>
      </w:tr>
      <w:tr w:rsidR="00556AF4" w:rsidRPr="00BF6611" w14:paraId="6DB75FCD" w14:textId="77777777" w:rsidTr="002B6C05">
        <w:trPr>
          <w:cnfStyle w:val="000000100000" w:firstRow="0" w:lastRow="0" w:firstColumn="0" w:lastColumn="0" w:oddVBand="0" w:evenVBand="0" w:oddHBand="1" w:evenHBand="0" w:firstRowFirstColumn="0" w:firstRowLastColumn="0" w:lastRowFirstColumn="0" w:lastRowLastColumn="0"/>
          <w:cantSplit/>
          <w:trHeight w:val="809"/>
          <w:jc w:val="center"/>
        </w:trPr>
        <w:tc>
          <w:tcPr>
            <w:cnfStyle w:val="001000000000" w:firstRow="0" w:lastRow="0" w:firstColumn="1" w:lastColumn="0" w:oddVBand="0" w:evenVBand="0" w:oddHBand="0" w:evenHBand="0" w:firstRowFirstColumn="0" w:firstRowLastColumn="0" w:lastRowFirstColumn="0" w:lastRowLastColumn="0"/>
            <w:tcW w:w="1658" w:type="dxa"/>
            <w:vMerge/>
            <w:tcBorders>
              <w:left w:val="nil"/>
              <w:right w:val="nil"/>
            </w:tcBorders>
          </w:tcPr>
          <w:p w14:paraId="3CB0463C" w14:textId="77777777" w:rsidR="00556AF4" w:rsidRPr="00BF6611" w:rsidRDefault="00556AF4" w:rsidP="002B6C05">
            <w:pPr>
              <w:jc w:val="left"/>
              <w:rPr>
                <w:rFonts w:ascii="Arial" w:hAnsi="Arial" w:cs="Arial"/>
                <w:sz w:val="18"/>
              </w:rPr>
            </w:pPr>
          </w:p>
        </w:tc>
        <w:tc>
          <w:tcPr>
            <w:tcW w:w="1566" w:type="dxa"/>
            <w:vMerge/>
            <w:tcBorders>
              <w:left w:val="nil"/>
              <w:right w:val="nil"/>
            </w:tcBorders>
          </w:tcPr>
          <w:p w14:paraId="51833BE5" w14:textId="77777777" w:rsidR="00556AF4" w:rsidRPr="00BF6611" w:rsidRDefault="00556AF4" w:rsidP="002B6C05">
            <w:pPr>
              <w:jc w:val="left"/>
              <w:cnfStyle w:val="000000100000" w:firstRow="0" w:lastRow="0" w:firstColumn="0" w:lastColumn="0" w:oddVBand="0" w:evenVBand="0" w:oddHBand="1" w:evenHBand="0" w:firstRowFirstColumn="0" w:firstRowLastColumn="0" w:lastRowFirstColumn="0" w:lastRowLastColumn="0"/>
              <w:rPr>
                <w:rFonts w:cs="Arial"/>
                <w:sz w:val="18"/>
              </w:rPr>
            </w:pPr>
          </w:p>
        </w:tc>
        <w:tc>
          <w:tcPr>
            <w:tcW w:w="2179" w:type="dxa"/>
            <w:tcBorders>
              <w:top w:val="single" w:sz="4" w:space="0" w:color="D5DCE4" w:themeColor="text2" w:themeTint="33"/>
              <w:left w:val="nil"/>
              <w:bottom w:val="single" w:sz="4" w:space="0" w:color="D5DCE4" w:themeColor="text2" w:themeTint="33"/>
              <w:right w:val="nil"/>
            </w:tcBorders>
          </w:tcPr>
          <w:p w14:paraId="329DA0B3" w14:textId="77777777" w:rsidR="00556AF4" w:rsidRPr="00BF6611" w:rsidRDefault="00556AF4" w:rsidP="002B6C05">
            <w:pPr>
              <w:jc w:val="left"/>
              <w:cnfStyle w:val="000000100000" w:firstRow="0" w:lastRow="0" w:firstColumn="0" w:lastColumn="0" w:oddVBand="0" w:evenVBand="0" w:oddHBand="1" w:evenHBand="0" w:firstRowFirstColumn="0" w:firstRowLastColumn="0" w:lastRowFirstColumn="0" w:lastRowLastColumn="0"/>
              <w:rPr>
                <w:rFonts w:cs="Arial"/>
                <w:sz w:val="18"/>
              </w:rPr>
            </w:pPr>
            <w:r w:rsidRPr="00BF6611">
              <w:rPr>
                <w:rFonts w:cs="Arial"/>
                <w:sz w:val="18"/>
              </w:rPr>
              <w:t>Cooling Tower/Heat Exchanger</w:t>
            </w:r>
          </w:p>
        </w:tc>
        <w:tc>
          <w:tcPr>
            <w:tcW w:w="933" w:type="dxa"/>
            <w:vMerge/>
            <w:tcBorders>
              <w:left w:val="nil"/>
              <w:right w:val="nil"/>
            </w:tcBorders>
          </w:tcPr>
          <w:p w14:paraId="642ACB11" w14:textId="77777777" w:rsidR="00556AF4" w:rsidRPr="00BF6611" w:rsidRDefault="00556AF4" w:rsidP="002B6C05">
            <w:pPr>
              <w:jc w:val="right"/>
              <w:cnfStyle w:val="000000100000" w:firstRow="0" w:lastRow="0" w:firstColumn="0" w:lastColumn="0" w:oddVBand="0" w:evenVBand="0" w:oddHBand="1" w:evenHBand="0" w:firstRowFirstColumn="0" w:firstRowLastColumn="0" w:lastRowFirstColumn="0" w:lastRowLastColumn="0"/>
              <w:rPr>
                <w:rFonts w:cstheme="minorHAnsi"/>
                <w:sz w:val="18"/>
              </w:rPr>
            </w:pPr>
          </w:p>
        </w:tc>
        <w:tc>
          <w:tcPr>
            <w:tcW w:w="3114" w:type="dxa"/>
            <w:vMerge/>
            <w:tcBorders>
              <w:left w:val="nil"/>
              <w:right w:val="nil"/>
            </w:tcBorders>
          </w:tcPr>
          <w:p w14:paraId="58BD356C" w14:textId="77777777" w:rsidR="00556AF4" w:rsidRPr="00BF6611" w:rsidRDefault="00556AF4" w:rsidP="002B6C05">
            <w:pPr>
              <w:jc w:val="left"/>
              <w:cnfStyle w:val="000000100000" w:firstRow="0" w:lastRow="0" w:firstColumn="0" w:lastColumn="0" w:oddVBand="0" w:evenVBand="0" w:oddHBand="1" w:evenHBand="0" w:firstRowFirstColumn="0" w:firstRowLastColumn="0" w:lastRowFirstColumn="0" w:lastRowLastColumn="0"/>
              <w:rPr>
                <w:rFonts w:cstheme="minorHAnsi"/>
                <w:sz w:val="18"/>
              </w:rPr>
            </w:pPr>
          </w:p>
        </w:tc>
      </w:tr>
      <w:tr w:rsidR="00556AF4" w:rsidRPr="00BF6611" w14:paraId="5C4960E4" w14:textId="77777777" w:rsidTr="002B6C05">
        <w:trPr>
          <w:cnfStyle w:val="000000010000" w:firstRow="0" w:lastRow="0" w:firstColumn="0" w:lastColumn="0" w:oddVBand="0" w:evenVBand="0" w:oddHBand="0" w:evenHBand="1" w:firstRowFirstColumn="0" w:firstRowLastColumn="0" w:lastRowFirstColumn="0" w:lastRowLastColumn="0"/>
          <w:cantSplit/>
          <w:trHeight w:val="431"/>
          <w:jc w:val="center"/>
        </w:trPr>
        <w:tc>
          <w:tcPr>
            <w:cnfStyle w:val="001000000000" w:firstRow="0" w:lastRow="0" w:firstColumn="1" w:lastColumn="0" w:oddVBand="0" w:evenVBand="0" w:oddHBand="0" w:evenHBand="0" w:firstRowFirstColumn="0" w:firstRowLastColumn="0" w:lastRowFirstColumn="0" w:lastRowLastColumn="0"/>
            <w:tcW w:w="1658" w:type="dxa"/>
            <w:vMerge/>
            <w:tcBorders>
              <w:left w:val="nil"/>
              <w:right w:val="nil"/>
            </w:tcBorders>
          </w:tcPr>
          <w:p w14:paraId="2EE32712" w14:textId="77777777" w:rsidR="00556AF4" w:rsidRPr="00BF6611" w:rsidRDefault="00556AF4" w:rsidP="002B6C05">
            <w:pPr>
              <w:jc w:val="left"/>
              <w:rPr>
                <w:rFonts w:ascii="Arial" w:hAnsi="Arial" w:cs="Arial"/>
                <w:sz w:val="18"/>
              </w:rPr>
            </w:pPr>
          </w:p>
        </w:tc>
        <w:tc>
          <w:tcPr>
            <w:tcW w:w="1566" w:type="dxa"/>
            <w:vMerge/>
            <w:tcBorders>
              <w:left w:val="nil"/>
              <w:right w:val="nil"/>
            </w:tcBorders>
          </w:tcPr>
          <w:p w14:paraId="5B5EB115" w14:textId="77777777" w:rsidR="00556AF4" w:rsidRPr="00BF6611" w:rsidRDefault="00556AF4" w:rsidP="002B6C05">
            <w:pPr>
              <w:jc w:val="left"/>
              <w:cnfStyle w:val="000000010000" w:firstRow="0" w:lastRow="0" w:firstColumn="0" w:lastColumn="0" w:oddVBand="0" w:evenVBand="0" w:oddHBand="0" w:evenHBand="1" w:firstRowFirstColumn="0" w:firstRowLastColumn="0" w:lastRowFirstColumn="0" w:lastRowLastColumn="0"/>
              <w:rPr>
                <w:rFonts w:cs="Arial"/>
                <w:sz w:val="18"/>
              </w:rPr>
            </w:pPr>
          </w:p>
        </w:tc>
        <w:tc>
          <w:tcPr>
            <w:tcW w:w="2179" w:type="dxa"/>
            <w:tcBorders>
              <w:top w:val="single" w:sz="4" w:space="0" w:color="D5DCE4" w:themeColor="text2" w:themeTint="33"/>
              <w:left w:val="nil"/>
              <w:bottom w:val="single" w:sz="4" w:space="0" w:color="D5DCE4" w:themeColor="text2" w:themeTint="33"/>
              <w:right w:val="nil"/>
            </w:tcBorders>
          </w:tcPr>
          <w:p w14:paraId="5ABC60C6" w14:textId="77777777" w:rsidR="00556AF4" w:rsidRPr="00BF6611" w:rsidRDefault="00556AF4" w:rsidP="002B6C05">
            <w:pPr>
              <w:jc w:val="left"/>
              <w:cnfStyle w:val="000000010000" w:firstRow="0" w:lastRow="0" w:firstColumn="0" w:lastColumn="0" w:oddVBand="0" w:evenVBand="0" w:oddHBand="0" w:evenHBand="1" w:firstRowFirstColumn="0" w:firstRowLastColumn="0" w:lastRowFirstColumn="0" w:lastRowLastColumn="0"/>
              <w:rPr>
                <w:rFonts w:cs="Arial"/>
                <w:sz w:val="18"/>
              </w:rPr>
            </w:pPr>
            <w:r w:rsidRPr="00BF6611">
              <w:rPr>
                <w:rFonts w:cs="Arial"/>
                <w:sz w:val="18"/>
              </w:rPr>
              <w:t>Filter</w:t>
            </w:r>
          </w:p>
        </w:tc>
        <w:tc>
          <w:tcPr>
            <w:tcW w:w="933" w:type="dxa"/>
            <w:vMerge/>
            <w:tcBorders>
              <w:left w:val="nil"/>
              <w:right w:val="nil"/>
            </w:tcBorders>
          </w:tcPr>
          <w:p w14:paraId="07D96639" w14:textId="77777777" w:rsidR="00556AF4" w:rsidRPr="00BF6611" w:rsidRDefault="00556AF4" w:rsidP="002B6C05">
            <w:pPr>
              <w:jc w:val="right"/>
              <w:cnfStyle w:val="000000010000" w:firstRow="0" w:lastRow="0" w:firstColumn="0" w:lastColumn="0" w:oddVBand="0" w:evenVBand="0" w:oddHBand="0" w:evenHBand="1" w:firstRowFirstColumn="0" w:firstRowLastColumn="0" w:lastRowFirstColumn="0" w:lastRowLastColumn="0"/>
              <w:rPr>
                <w:rFonts w:cstheme="minorHAnsi"/>
                <w:sz w:val="18"/>
              </w:rPr>
            </w:pPr>
          </w:p>
        </w:tc>
        <w:tc>
          <w:tcPr>
            <w:tcW w:w="3114" w:type="dxa"/>
            <w:vMerge/>
            <w:tcBorders>
              <w:left w:val="nil"/>
              <w:right w:val="nil"/>
            </w:tcBorders>
          </w:tcPr>
          <w:p w14:paraId="3A334777" w14:textId="77777777" w:rsidR="00556AF4" w:rsidRPr="00BF6611" w:rsidRDefault="00556AF4" w:rsidP="002B6C05">
            <w:pPr>
              <w:jc w:val="left"/>
              <w:cnfStyle w:val="000000010000" w:firstRow="0" w:lastRow="0" w:firstColumn="0" w:lastColumn="0" w:oddVBand="0" w:evenVBand="0" w:oddHBand="0" w:evenHBand="1" w:firstRowFirstColumn="0" w:firstRowLastColumn="0" w:lastRowFirstColumn="0" w:lastRowLastColumn="0"/>
              <w:rPr>
                <w:rFonts w:cstheme="minorHAnsi"/>
                <w:sz w:val="18"/>
              </w:rPr>
            </w:pPr>
          </w:p>
        </w:tc>
      </w:tr>
      <w:tr w:rsidR="00556AF4" w:rsidRPr="00BF6611" w14:paraId="1A4C601C" w14:textId="77777777" w:rsidTr="002B6C05">
        <w:trPr>
          <w:cnfStyle w:val="000000100000" w:firstRow="0" w:lastRow="0" w:firstColumn="0" w:lastColumn="0" w:oddVBand="0" w:evenVBand="0" w:oddHBand="1" w:evenHBand="0" w:firstRowFirstColumn="0" w:firstRowLastColumn="0" w:lastRowFirstColumn="0" w:lastRowLastColumn="0"/>
          <w:cantSplit/>
          <w:trHeight w:val="719"/>
          <w:jc w:val="center"/>
        </w:trPr>
        <w:tc>
          <w:tcPr>
            <w:cnfStyle w:val="001000000000" w:firstRow="0" w:lastRow="0" w:firstColumn="1" w:lastColumn="0" w:oddVBand="0" w:evenVBand="0" w:oddHBand="0" w:evenHBand="0" w:firstRowFirstColumn="0" w:firstRowLastColumn="0" w:lastRowFirstColumn="0" w:lastRowLastColumn="0"/>
            <w:tcW w:w="1658" w:type="dxa"/>
            <w:vMerge/>
            <w:tcBorders>
              <w:left w:val="nil"/>
              <w:right w:val="nil"/>
            </w:tcBorders>
          </w:tcPr>
          <w:p w14:paraId="061701AB" w14:textId="77777777" w:rsidR="00556AF4" w:rsidRPr="00BF6611" w:rsidRDefault="00556AF4" w:rsidP="002B6C05">
            <w:pPr>
              <w:jc w:val="left"/>
              <w:rPr>
                <w:rFonts w:ascii="Arial" w:hAnsi="Arial" w:cs="Arial"/>
                <w:sz w:val="18"/>
              </w:rPr>
            </w:pPr>
          </w:p>
        </w:tc>
        <w:tc>
          <w:tcPr>
            <w:tcW w:w="1566" w:type="dxa"/>
            <w:vMerge/>
            <w:tcBorders>
              <w:left w:val="nil"/>
              <w:right w:val="nil"/>
            </w:tcBorders>
          </w:tcPr>
          <w:p w14:paraId="3BA7B3BF" w14:textId="77777777" w:rsidR="00556AF4" w:rsidRPr="00BF6611" w:rsidRDefault="00556AF4" w:rsidP="002B6C05">
            <w:pPr>
              <w:jc w:val="left"/>
              <w:cnfStyle w:val="000000100000" w:firstRow="0" w:lastRow="0" w:firstColumn="0" w:lastColumn="0" w:oddVBand="0" w:evenVBand="0" w:oddHBand="1" w:evenHBand="0" w:firstRowFirstColumn="0" w:firstRowLastColumn="0" w:lastRowFirstColumn="0" w:lastRowLastColumn="0"/>
              <w:rPr>
                <w:rFonts w:cs="Arial"/>
                <w:sz w:val="18"/>
              </w:rPr>
            </w:pPr>
          </w:p>
        </w:tc>
        <w:tc>
          <w:tcPr>
            <w:tcW w:w="2179" w:type="dxa"/>
            <w:tcBorders>
              <w:top w:val="single" w:sz="4" w:space="0" w:color="D5DCE4" w:themeColor="text2" w:themeTint="33"/>
              <w:left w:val="nil"/>
              <w:bottom w:val="single" w:sz="4" w:space="0" w:color="D5DCE4" w:themeColor="text2" w:themeTint="33"/>
              <w:right w:val="nil"/>
            </w:tcBorders>
          </w:tcPr>
          <w:p w14:paraId="2BA769D3" w14:textId="77777777" w:rsidR="00556AF4" w:rsidRPr="00BF6611" w:rsidRDefault="00556AF4" w:rsidP="002B6C05">
            <w:pPr>
              <w:jc w:val="left"/>
              <w:cnfStyle w:val="000000100000" w:firstRow="0" w:lastRow="0" w:firstColumn="0" w:lastColumn="0" w:oddVBand="0" w:evenVBand="0" w:oddHBand="1" w:evenHBand="0" w:firstRowFirstColumn="0" w:firstRowLastColumn="0" w:lastRowFirstColumn="0" w:lastRowLastColumn="0"/>
              <w:rPr>
                <w:rFonts w:cs="Arial"/>
                <w:sz w:val="18"/>
              </w:rPr>
            </w:pPr>
            <w:r w:rsidRPr="00BF6611">
              <w:rPr>
                <w:rFonts w:cs="Arial"/>
                <w:sz w:val="18"/>
              </w:rPr>
              <w:t>Injection Molding Machine</w:t>
            </w:r>
          </w:p>
        </w:tc>
        <w:tc>
          <w:tcPr>
            <w:tcW w:w="933" w:type="dxa"/>
            <w:vMerge/>
            <w:tcBorders>
              <w:left w:val="nil"/>
              <w:right w:val="nil"/>
            </w:tcBorders>
          </w:tcPr>
          <w:p w14:paraId="50938969" w14:textId="77777777" w:rsidR="00556AF4" w:rsidRPr="00BF6611" w:rsidRDefault="00556AF4" w:rsidP="002B6C05">
            <w:pPr>
              <w:jc w:val="right"/>
              <w:cnfStyle w:val="000000100000" w:firstRow="0" w:lastRow="0" w:firstColumn="0" w:lastColumn="0" w:oddVBand="0" w:evenVBand="0" w:oddHBand="1" w:evenHBand="0" w:firstRowFirstColumn="0" w:firstRowLastColumn="0" w:lastRowFirstColumn="0" w:lastRowLastColumn="0"/>
              <w:rPr>
                <w:rFonts w:cstheme="minorHAnsi"/>
                <w:sz w:val="18"/>
              </w:rPr>
            </w:pPr>
          </w:p>
        </w:tc>
        <w:tc>
          <w:tcPr>
            <w:tcW w:w="3114" w:type="dxa"/>
            <w:vMerge/>
            <w:tcBorders>
              <w:left w:val="nil"/>
              <w:right w:val="nil"/>
            </w:tcBorders>
          </w:tcPr>
          <w:p w14:paraId="470B5F1B" w14:textId="77777777" w:rsidR="00556AF4" w:rsidRPr="00BF6611" w:rsidRDefault="00556AF4" w:rsidP="002B6C05">
            <w:pPr>
              <w:jc w:val="left"/>
              <w:cnfStyle w:val="000000100000" w:firstRow="0" w:lastRow="0" w:firstColumn="0" w:lastColumn="0" w:oddVBand="0" w:evenVBand="0" w:oddHBand="1" w:evenHBand="0" w:firstRowFirstColumn="0" w:firstRowLastColumn="0" w:lastRowFirstColumn="0" w:lastRowLastColumn="0"/>
              <w:rPr>
                <w:rFonts w:cstheme="minorHAnsi"/>
                <w:sz w:val="18"/>
              </w:rPr>
            </w:pPr>
          </w:p>
        </w:tc>
      </w:tr>
      <w:tr w:rsidR="00556AF4" w:rsidRPr="00BF6611" w14:paraId="2C9CDF0D" w14:textId="77777777" w:rsidTr="002B6C05">
        <w:trPr>
          <w:cnfStyle w:val="000000010000" w:firstRow="0" w:lastRow="0" w:firstColumn="0" w:lastColumn="0" w:oddVBand="0" w:evenVBand="0" w:oddHBand="0" w:evenHBand="1" w:firstRowFirstColumn="0" w:firstRowLastColumn="0" w:lastRowFirstColumn="0" w:lastRowLastColumn="0"/>
          <w:cantSplit/>
          <w:trHeight w:val="1015"/>
          <w:jc w:val="center"/>
        </w:trPr>
        <w:tc>
          <w:tcPr>
            <w:cnfStyle w:val="001000000000" w:firstRow="0" w:lastRow="0" w:firstColumn="1" w:lastColumn="0" w:oddVBand="0" w:evenVBand="0" w:oddHBand="0" w:evenHBand="0" w:firstRowFirstColumn="0" w:firstRowLastColumn="0" w:lastRowFirstColumn="0" w:lastRowLastColumn="0"/>
            <w:tcW w:w="1658" w:type="dxa"/>
            <w:vMerge/>
            <w:tcBorders>
              <w:left w:val="nil"/>
              <w:right w:val="nil"/>
            </w:tcBorders>
          </w:tcPr>
          <w:p w14:paraId="7F0FC8B7" w14:textId="77777777" w:rsidR="00556AF4" w:rsidRPr="00BF6611" w:rsidRDefault="00556AF4" w:rsidP="002B6C05">
            <w:pPr>
              <w:jc w:val="left"/>
              <w:rPr>
                <w:rFonts w:ascii="Arial" w:hAnsi="Arial" w:cs="Arial"/>
                <w:sz w:val="18"/>
              </w:rPr>
            </w:pPr>
          </w:p>
        </w:tc>
        <w:tc>
          <w:tcPr>
            <w:tcW w:w="1566" w:type="dxa"/>
            <w:vMerge/>
            <w:tcBorders>
              <w:left w:val="nil"/>
              <w:right w:val="nil"/>
            </w:tcBorders>
          </w:tcPr>
          <w:p w14:paraId="1B941DAD" w14:textId="77777777" w:rsidR="00556AF4" w:rsidRPr="00BF6611" w:rsidRDefault="00556AF4" w:rsidP="002B6C05">
            <w:pPr>
              <w:jc w:val="left"/>
              <w:cnfStyle w:val="000000010000" w:firstRow="0" w:lastRow="0" w:firstColumn="0" w:lastColumn="0" w:oddVBand="0" w:evenVBand="0" w:oddHBand="0" w:evenHBand="1" w:firstRowFirstColumn="0" w:firstRowLastColumn="0" w:lastRowFirstColumn="0" w:lastRowLastColumn="0"/>
              <w:rPr>
                <w:rFonts w:cs="Arial"/>
                <w:sz w:val="18"/>
              </w:rPr>
            </w:pPr>
          </w:p>
        </w:tc>
        <w:tc>
          <w:tcPr>
            <w:tcW w:w="2179" w:type="dxa"/>
            <w:tcBorders>
              <w:top w:val="single" w:sz="4" w:space="0" w:color="D5DCE4" w:themeColor="text2" w:themeTint="33"/>
              <w:left w:val="nil"/>
              <w:bottom w:val="single" w:sz="4" w:space="0" w:color="D5DCE4" w:themeColor="text2" w:themeTint="33"/>
              <w:right w:val="nil"/>
            </w:tcBorders>
          </w:tcPr>
          <w:p w14:paraId="1C433FCE" w14:textId="77777777" w:rsidR="00556AF4" w:rsidRPr="00BF6611" w:rsidRDefault="00556AF4" w:rsidP="002B6C05">
            <w:pPr>
              <w:jc w:val="left"/>
              <w:cnfStyle w:val="000000010000" w:firstRow="0" w:lastRow="0" w:firstColumn="0" w:lastColumn="0" w:oddVBand="0" w:evenVBand="0" w:oddHBand="0" w:evenHBand="1" w:firstRowFirstColumn="0" w:firstRowLastColumn="0" w:lastRowFirstColumn="0" w:lastRowLastColumn="0"/>
              <w:rPr>
                <w:rFonts w:cs="Arial"/>
                <w:sz w:val="18"/>
              </w:rPr>
            </w:pPr>
            <w:r w:rsidRPr="00BF6611">
              <w:rPr>
                <w:rFonts w:cs="Arial"/>
                <w:sz w:val="18"/>
              </w:rPr>
              <w:t>Low Pressure Drop High Efficiency (Non-HEPA) Air Filters</w:t>
            </w:r>
          </w:p>
        </w:tc>
        <w:tc>
          <w:tcPr>
            <w:tcW w:w="933" w:type="dxa"/>
            <w:vMerge/>
            <w:tcBorders>
              <w:left w:val="nil"/>
              <w:right w:val="nil"/>
            </w:tcBorders>
          </w:tcPr>
          <w:p w14:paraId="5AF38006" w14:textId="77777777" w:rsidR="00556AF4" w:rsidRPr="00BF6611" w:rsidRDefault="00556AF4" w:rsidP="002B6C05">
            <w:pPr>
              <w:jc w:val="right"/>
              <w:cnfStyle w:val="000000010000" w:firstRow="0" w:lastRow="0" w:firstColumn="0" w:lastColumn="0" w:oddVBand="0" w:evenVBand="0" w:oddHBand="0" w:evenHBand="1" w:firstRowFirstColumn="0" w:firstRowLastColumn="0" w:lastRowFirstColumn="0" w:lastRowLastColumn="0"/>
              <w:rPr>
                <w:rFonts w:cstheme="minorHAnsi"/>
                <w:sz w:val="18"/>
              </w:rPr>
            </w:pPr>
          </w:p>
        </w:tc>
        <w:tc>
          <w:tcPr>
            <w:tcW w:w="3114" w:type="dxa"/>
            <w:vMerge/>
            <w:tcBorders>
              <w:left w:val="nil"/>
              <w:right w:val="nil"/>
            </w:tcBorders>
          </w:tcPr>
          <w:p w14:paraId="4A835D3E" w14:textId="77777777" w:rsidR="00556AF4" w:rsidRPr="00BF6611" w:rsidRDefault="00556AF4" w:rsidP="002B6C05">
            <w:pPr>
              <w:jc w:val="left"/>
              <w:cnfStyle w:val="000000010000" w:firstRow="0" w:lastRow="0" w:firstColumn="0" w:lastColumn="0" w:oddVBand="0" w:evenVBand="0" w:oddHBand="0" w:evenHBand="1" w:firstRowFirstColumn="0" w:firstRowLastColumn="0" w:lastRowFirstColumn="0" w:lastRowLastColumn="0"/>
              <w:rPr>
                <w:rFonts w:cstheme="minorHAnsi"/>
                <w:sz w:val="18"/>
              </w:rPr>
            </w:pPr>
          </w:p>
        </w:tc>
      </w:tr>
      <w:tr w:rsidR="00556AF4" w:rsidRPr="00BF6611" w14:paraId="20D768D4" w14:textId="77777777" w:rsidTr="002B6C05">
        <w:trPr>
          <w:cnfStyle w:val="000000100000" w:firstRow="0" w:lastRow="0" w:firstColumn="0" w:lastColumn="0" w:oddVBand="0" w:evenVBand="0" w:oddHBand="1" w:evenHBand="0" w:firstRowFirstColumn="0" w:firstRowLastColumn="0" w:lastRowFirstColumn="0" w:lastRowLastColumn="0"/>
          <w:cantSplit/>
          <w:trHeight w:val="575"/>
          <w:jc w:val="center"/>
        </w:trPr>
        <w:tc>
          <w:tcPr>
            <w:cnfStyle w:val="001000000000" w:firstRow="0" w:lastRow="0" w:firstColumn="1" w:lastColumn="0" w:oddVBand="0" w:evenVBand="0" w:oddHBand="0" w:evenHBand="0" w:firstRowFirstColumn="0" w:firstRowLastColumn="0" w:lastRowFirstColumn="0" w:lastRowLastColumn="0"/>
            <w:tcW w:w="1658" w:type="dxa"/>
            <w:vMerge/>
            <w:tcBorders>
              <w:left w:val="nil"/>
              <w:right w:val="nil"/>
            </w:tcBorders>
          </w:tcPr>
          <w:p w14:paraId="1925D329" w14:textId="77777777" w:rsidR="00556AF4" w:rsidRPr="00BF6611" w:rsidRDefault="00556AF4" w:rsidP="002B6C05">
            <w:pPr>
              <w:jc w:val="left"/>
              <w:rPr>
                <w:rFonts w:ascii="Arial" w:hAnsi="Arial" w:cs="Arial"/>
                <w:sz w:val="18"/>
              </w:rPr>
            </w:pPr>
          </w:p>
        </w:tc>
        <w:tc>
          <w:tcPr>
            <w:tcW w:w="1566" w:type="dxa"/>
            <w:vMerge/>
            <w:tcBorders>
              <w:left w:val="nil"/>
              <w:right w:val="nil"/>
            </w:tcBorders>
          </w:tcPr>
          <w:p w14:paraId="5B2292C6" w14:textId="77777777" w:rsidR="00556AF4" w:rsidRPr="00BF6611" w:rsidRDefault="00556AF4" w:rsidP="002B6C05">
            <w:pPr>
              <w:jc w:val="left"/>
              <w:cnfStyle w:val="000000100000" w:firstRow="0" w:lastRow="0" w:firstColumn="0" w:lastColumn="0" w:oddVBand="0" w:evenVBand="0" w:oddHBand="1" w:evenHBand="0" w:firstRowFirstColumn="0" w:firstRowLastColumn="0" w:lastRowFirstColumn="0" w:lastRowLastColumn="0"/>
              <w:rPr>
                <w:rFonts w:cs="Arial"/>
                <w:sz w:val="18"/>
              </w:rPr>
            </w:pPr>
          </w:p>
        </w:tc>
        <w:tc>
          <w:tcPr>
            <w:tcW w:w="2179" w:type="dxa"/>
            <w:tcBorders>
              <w:top w:val="single" w:sz="4" w:space="0" w:color="D5DCE4" w:themeColor="text2" w:themeTint="33"/>
              <w:left w:val="nil"/>
              <w:bottom w:val="single" w:sz="4" w:space="0" w:color="D5DCE4" w:themeColor="text2" w:themeTint="33"/>
              <w:right w:val="nil"/>
            </w:tcBorders>
          </w:tcPr>
          <w:p w14:paraId="5865AFB0" w14:textId="77777777" w:rsidR="00556AF4" w:rsidRPr="00BF6611" w:rsidRDefault="00556AF4" w:rsidP="002B6C05">
            <w:pPr>
              <w:jc w:val="left"/>
              <w:cnfStyle w:val="000000100000" w:firstRow="0" w:lastRow="0" w:firstColumn="0" w:lastColumn="0" w:oddVBand="0" w:evenVBand="0" w:oddHBand="1" w:evenHBand="0" w:firstRowFirstColumn="0" w:firstRowLastColumn="0" w:lastRowFirstColumn="0" w:lastRowLastColumn="0"/>
              <w:rPr>
                <w:rFonts w:cs="Arial"/>
                <w:sz w:val="18"/>
              </w:rPr>
            </w:pPr>
            <w:r w:rsidRPr="00BF6611">
              <w:rPr>
                <w:rFonts w:cs="Arial"/>
                <w:sz w:val="18"/>
              </w:rPr>
              <w:t>Piping/Duct Modification</w:t>
            </w:r>
          </w:p>
        </w:tc>
        <w:tc>
          <w:tcPr>
            <w:tcW w:w="933" w:type="dxa"/>
            <w:vMerge/>
            <w:tcBorders>
              <w:left w:val="nil"/>
              <w:right w:val="nil"/>
            </w:tcBorders>
          </w:tcPr>
          <w:p w14:paraId="5011D325" w14:textId="77777777" w:rsidR="00556AF4" w:rsidRPr="00BF6611" w:rsidRDefault="00556AF4" w:rsidP="002B6C05">
            <w:pPr>
              <w:jc w:val="right"/>
              <w:cnfStyle w:val="000000100000" w:firstRow="0" w:lastRow="0" w:firstColumn="0" w:lastColumn="0" w:oddVBand="0" w:evenVBand="0" w:oddHBand="1" w:evenHBand="0" w:firstRowFirstColumn="0" w:firstRowLastColumn="0" w:lastRowFirstColumn="0" w:lastRowLastColumn="0"/>
              <w:rPr>
                <w:rFonts w:cstheme="minorHAnsi"/>
                <w:sz w:val="18"/>
              </w:rPr>
            </w:pPr>
          </w:p>
        </w:tc>
        <w:tc>
          <w:tcPr>
            <w:tcW w:w="3114" w:type="dxa"/>
            <w:vMerge/>
            <w:tcBorders>
              <w:left w:val="nil"/>
              <w:right w:val="nil"/>
            </w:tcBorders>
          </w:tcPr>
          <w:p w14:paraId="56DE14F9" w14:textId="77777777" w:rsidR="00556AF4" w:rsidRPr="00BF6611" w:rsidRDefault="00556AF4" w:rsidP="002B6C05">
            <w:pPr>
              <w:jc w:val="left"/>
              <w:cnfStyle w:val="000000100000" w:firstRow="0" w:lastRow="0" w:firstColumn="0" w:lastColumn="0" w:oddVBand="0" w:evenVBand="0" w:oddHBand="1" w:evenHBand="0" w:firstRowFirstColumn="0" w:firstRowLastColumn="0" w:lastRowFirstColumn="0" w:lastRowLastColumn="0"/>
              <w:rPr>
                <w:rFonts w:cstheme="minorHAnsi"/>
                <w:sz w:val="18"/>
              </w:rPr>
            </w:pPr>
          </w:p>
        </w:tc>
      </w:tr>
      <w:tr w:rsidR="00556AF4" w:rsidRPr="00BF6611" w14:paraId="65335E44" w14:textId="77777777" w:rsidTr="002B6C05">
        <w:trPr>
          <w:cnfStyle w:val="000000010000" w:firstRow="0" w:lastRow="0" w:firstColumn="0" w:lastColumn="0" w:oddVBand="0" w:evenVBand="0" w:oddHBand="0" w:evenHBand="1" w:firstRowFirstColumn="0" w:firstRowLastColumn="0" w:lastRowFirstColumn="0" w:lastRowLastColumn="0"/>
          <w:cantSplit/>
          <w:trHeight w:val="764"/>
          <w:jc w:val="center"/>
        </w:trPr>
        <w:tc>
          <w:tcPr>
            <w:cnfStyle w:val="001000000000" w:firstRow="0" w:lastRow="0" w:firstColumn="1" w:lastColumn="0" w:oddVBand="0" w:evenVBand="0" w:oddHBand="0" w:evenHBand="0" w:firstRowFirstColumn="0" w:firstRowLastColumn="0" w:lastRowFirstColumn="0" w:lastRowLastColumn="0"/>
            <w:tcW w:w="1658" w:type="dxa"/>
            <w:vMerge/>
            <w:tcBorders>
              <w:left w:val="nil"/>
              <w:right w:val="nil"/>
            </w:tcBorders>
          </w:tcPr>
          <w:p w14:paraId="02DD54BA" w14:textId="77777777" w:rsidR="00556AF4" w:rsidRPr="00BF6611" w:rsidRDefault="00556AF4" w:rsidP="002B6C05">
            <w:pPr>
              <w:jc w:val="left"/>
              <w:rPr>
                <w:rFonts w:ascii="Arial" w:hAnsi="Arial" w:cs="Arial"/>
                <w:sz w:val="18"/>
              </w:rPr>
            </w:pPr>
          </w:p>
        </w:tc>
        <w:tc>
          <w:tcPr>
            <w:tcW w:w="1566" w:type="dxa"/>
            <w:vMerge/>
            <w:tcBorders>
              <w:left w:val="nil"/>
              <w:right w:val="nil"/>
            </w:tcBorders>
          </w:tcPr>
          <w:p w14:paraId="00081088" w14:textId="77777777" w:rsidR="00556AF4" w:rsidRPr="00BF6611" w:rsidRDefault="00556AF4" w:rsidP="002B6C05">
            <w:pPr>
              <w:jc w:val="left"/>
              <w:cnfStyle w:val="000000010000" w:firstRow="0" w:lastRow="0" w:firstColumn="0" w:lastColumn="0" w:oddVBand="0" w:evenVBand="0" w:oddHBand="0" w:evenHBand="1" w:firstRowFirstColumn="0" w:firstRowLastColumn="0" w:lastRowFirstColumn="0" w:lastRowLastColumn="0"/>
              <w:rPr>
                <w:rFonts w:cs="Arial"/>
                <w:sz w:val="18"/>
              </w:rPr>
            </w:pPr>
          </w:p>
        </w:tc>
        <w:tc>
          <w:tcPr>
            <w:tcW w:w="2179" w:type="dxa"/>
            <w:tcBorders>
              <w:top w:val="single" w:sz="4" w:space="0" w:color="D5DCE4" w:themeColor="text2" w:themeTint="33"/>
              <w:left w:val="nil"/>
              <w:bottom w:val="single" w:sz="4" w:space="0" w:color="D5DCE4" w:themeColor="text2" w:themeTint="33"/>
              <w:right w:val="nil"/>
            </w:tcBorders>
          </w:tcPr>
          <w:p w14:paraId="506EE449" w14:textId="77777777" w:rsidR="00556AF4" w:rsidRPr="00BF6611" w:rsidRDefault="00556AF4" w:rsidP="002B6C05">
            <w:pPr>
              <w:jc w:val="left"/>
              <w:cnfStyle w:val="000000010000" w:firstRow="0" w:lastRow="0" w:firstColumn="0" w:lastColumn="0" w:oddVBand="0" w:evenVBand="0" w:oddHBand="0" w:evenHBand="1" w:firstRowFirstColumn="0" w:firstRowLastColumn="0" w:lastRowFirstColumn="0" w:lastRowLastColumn="0"/>
              <w:rPr>
                <w:rFonts w:cs="Arial"/>
                <w:sz w:val="18"/>
              </w:rPr>
            </w:pPr>
            <w:r w:rsidRPr="00BF6611">
              <w:rPr>
                <w:rFonts w:cs="Arial"/>
                <w:sz w:val="18"/>
              </w:rPr>
              <w:t>Pump/Fan Replacement</w:t>
            </w:r>
          </w:p>
        </w:tc>
        <w:tc>
          <w:tcPr>
            <w:tcW w:w="933" w:type="dxa"/>
            <w:vMerge/>
            <w:tcBorders>
              <w:left w:val="nil"/>
              <w:right w:val="nil"/>
            </w:tcBorders>
          </w:tcPr>
          <w:p w14:paraId="49389BCE" w14:textId="77777777" w:rsidR="00556AF4" w:rsidRPr="00BF6611" w:rsidRDefault="00556AF4" w:rsidP="002B6C05">
            <w:pPr>
              <w:jc w:val="right"/>
              <w:cnfStyle w:val="000000010000" w:firstRow="0" w:lastRow="0" w:firstColumn="0" w:lastColumn="0" w:oddVBand="0" w:evenVBand="0" w:oddHBand="0" w:evenHBand="1" w:firstRowFirstColumn="0" w:firstRowLastColumn="0" w:lastRowFirstColumn="0" w:lastRowLastColumn="0"/>
              <w:rPr>
                <w:rFonts w:cstheme="minorHAnsi"/>
                <w:sz w:val="18"/>
              </w:rPr>
            </w:pPr>
          </w:p>
        </w:tc>
        <w:tc>
          <w:tcPr>
            <w:tcW w:w="3114" w:type="dxa"/>
            <w:vMerge/>
            <w:tcBorders>
              <w:left w:val="nil"/>
              <w:right w:val="nil"/>
            </w:tcBorders>
          </w:tcPr>
          <w:p w14:paraId="1BBE0E32" w14:textId="77777777" w:rsidR="00556AF4" w:rsidRPr="00BF6611" w:rsidRDefault="00556AF4" w:rsidP="002B6C05">
            <w:pPr>
              <w:jc w:val="left"/>
              <w:cnfStyle w:val="000000010000" w:firstRow="0" w:lastRow="0" w:firstColumn="0" w:lastColumn="0" w:oddVBand="0" w:evenVBand="0" w:oddHBand="0" w:evenHBand="1" w:firstRowFirstColumn="0" w:firstRowLastColumn="0" w:lastRowFirstColumn="0" w:lastRowLastColumn="0"/>
              <w:rPr>
                <w:rFonts w:cstheme="minorHAnsi"/>
                <w:sz w:val="18"/>
              </w:rPr>
            </w:pPr>
          </w:p>
        </w:tc>
      </w:tr>
      <w:tr w:rsidR="00556AF4" w:rsidRPr="00BF6611" w14:paraId="5605547F" w14:textId="77777777" w:rsidTr="002B6C05">
        <w:trPr>
          <w:cnfStyle w:val="000000100000" w:firstRow="0" w:lastRow="0" w:firstColumn="0" w:lastColumn="0" w:oddVBand="0" w:evenVBand="0" w:oddHBand="1" w:evenHBand="0" w:firstRowFirstColumn="0" w:firstRowLastColumn="0" w:lastRowFirstColumn="0" w:lastRowLastColumn="0"/>
          <w:cantSplit/>
          <w:trHeight w:val="521"/>
          <w:jc w:val="center"/>
        </w:trPr>
        <w:tc>
          <w:tcPr>
            <w:cnfStyle w:val="001000000000" w:firstRow="0" w:lastRow="0" w:firstColumn="1" w:lastColumn="0" w:oddVBand="0" w:evenVBand="0" w:oddHBand="0" w:evenHBand="0" w:firstRowFirstColumn="0" w:firstRowLastColumn="0" w:lastRowFirstColumn="0" w:lastRowLastColumn="0"/>
            <w:tcW w:w="1658" w:type="dxa"/>
            <w:vMerge/>
            <w:tcBorders>
              <w:left w:val="nil"/>
              <w:right w:val="nil"/>
            </w:tcBorders>
          </w:tcPr>
          <w:p w14:paraId="7EB44931" w14:textId="77777777" w:rsidR="00556AF4" w:rsidRPr="00BF6611" w:rsidRDefault="00556AF4" w:rsidP="002B6C05">
            <w:pPr>
              <w:jc w:val="left"/>
              <w:rPr>
                <w:rFonts w:ascii="Arial" w:hAnsi="Arial" w:cs="Arial"/>
                <w:sz w:val="18"/>
              </w:rPr>
            </w:pPr>
          </w:p>
        </w:tc>
        <w:tc>
          <w:tcPr>
            <w:tcW w:w="1566" w:type="dxa"/>
            <w:vMerge/>
            <w:tcBorders>
              <w:left w:val="nil"/>
              <w:right w:val="nil"/>
            </w:tcBorders>
          </w:tcPr>
          <w:p w14:paraId="6568CB9E" w14:textId="77777777" w:rsidR="00556AF4" w:rsidRPr="00BF6611" w:rsidRDefault="00556AF4" w:rsidP="002B6C05">
            <w:pPr>
              <w:jc w:val="left"/>
              <w:cnfStyle w:val="000000100000" w:firstRow="0" w:lastRow="0" w:firstColumn="0" w:lastColumn="0" w:oddVBand="0" w:evenVBand="0" w:oddHBand="1" w:evenHBand="0" w:firstRowFirstColumn="0" w:firstRowLastColumn="0" w:lastRowFirstColumn="0" w:lastRowLastColumn="0"/>
              <w:rPr>
                <w:rFonts w:cs="Arial"/>
                <w:sz w:val="18"/>
              </w:rPr>
            </w:pPr>
          </w:p>
        </w:tc>
        <w:tc>
          <w:tcPr>
            <w:tcW w:w="2179" w:type="dxa"/>
            <w:tcBorders>
              <w:top w:val="single" w:sz="4" w:space="0" w:color="D5DCE4" w:themeColor="text2" w:themeTint="33"/>
              <w:left w:val="nil"/>
              <w:bottom w:val="single" w:sz="4" w:space="0" w:color="auto"/>
              <w:right w:val="nil"/>
            </w:tcBorders>
          </w:tcPr>
          <w:p w14:paraId="00585F1E" w14:textId="77777777" w:rsidR="00556AF4" w:rsidRPr="00BF6611" w:rsidRDefault="00556AF4" w:rsidP="002B6C05">
            <w:pPr>
              <w:jc w:val="left"/>
              <w:cnfStyle w:val="000000100000" w:firstRow="0" w:lastRow="0" w:firstColumn="0" w:lastColumn="0" w:oddVBand="0" w:evenVBand="0" w:oddHBand="1" w:evenHBand="0" w:firstRowFirstColumn="0" w:firstRowLastColumn="0" w:lastRowFirstColumn="0" w:lastRowLastColumn="0"/>
              <w:rPr>
                <w:rFonts w:cs="Arial"/>
                <w:sz w:val="18"/>
              </w:rPr>
            </w:pPr>
            <w:r w:rsidRPr="00BF6611">
              <w:rPr>
                <w:rFonts w:cs="Arial"/>
                <w:sz w:val="18"/>
              </w:rPr>
              <w:t>Vacuum System</w:t>
            </w:r>
          </w:p>
        </w:tc>
        <w:tc>
          <w:tcPr>
            <w:tcW w:w="933" w:type="dxa"/>
            <w:vMerge/>
            <w:tcBorders>
              <w:left w:val="nil"/>
              <w:right w:val="nil"/>
            </w:tcBorders>
          </w:tcPr>
          <w:p w14:paraId="5945B8E5" w14:textId="77777777" w:rsidR="00556AF4" w:rsidRPr="00BF6611" w:rsidRDefault="00556AF4" w:rsidP="002B6C05">
            <w:pPr>
              <w:jc w:val="right"/>
              <w:cnfStyle w:val="000000100000" w:firstRow="0" w:lastRow="0" w:firstColumn="0" w:lastColumn="0" w:oddVBand="0" w:evenVBand="0" w:oddHBand="1" w:evenHBand="0" w:firstRowFirstColumn="0" w:firstRowLastColumn="0" w:lastRowFirstColumn="0" w:lastRowLastColumn="0"/>
              <w:rPr>
                <w:rFonts w:cstheme="minorHAnsi"/>
                <w:sz w:val="18"/>
              </w:rPr>
            </w:pPr>
          </w:p>
        </w:tc>
        <w:tc>
          <w:tcPr>
            <w:tcW w:w="3114" w:type="dxa"/>
            <w:vMerge/>
            <w:tcBorders>
              <w:left w:val="nil"/>
              <w:right w:val="nil"/>
            </w:tcBorders>
          </w:tcPr>
          <w:p w14:paraId="62D30F78" w14:textId="77777777" w:rsidR="00556AF4" w:rsidRPr="00BF6611" w:rsidRDefault="00556AF4" w:rsidP="002B6C05">
            <w:pPr>
              <w:jc w:val="left"/>
              <w:cnfStyle w:val="000000100000" w:firstRow="0" w:lastRow="0" w:firstColumn="0" w:lastColumn="0" w:oddVBand="0" w:evenVBand="0" w:oddHBand="1" w:evenHBand="0" w:firstRowFirstColumn="0" w:firstRowLastColumn="0" w:lastRowFirstColumn="0" w:lastRowLastColumn="0"/>
              <w:rPr>
                <w:rFonts w:cstheme="minorHAnsi"/>
                <w:sz w:val="18"/>
              </w:rPr>
            </w:pPr>
          </w:p>
        </w:tc>
      </w:tr>
    </w:tbl>
    <w:p w14:paraId="2587672D" w14:textId="0E2A600A" w:rsidR="004D0A65" w:rsidRDefault="004D0A65" w:rsidP="004D0A65">
      <w:pPr>
        <w:rPr>
          <w:rFonts w:ascii="Arial" w:hAnsi="Arial" w:cs="Arial"/>
        </w:rPr>
      </w:pPr>
    </w:p>
    <w:p w14:paraId="0AB32638" w14:textId="77777777" w:rsidR="002C2944" w:rsidRPr="00126D8B" w:rsidRDefault="002C2944" w:rsidP="004D0A65">
      <w:pPr>
        <w:rPr>
          <w:rFonts w:ascii="Arial" w:hAnsi="Arial" w:cs="Arial"/>
        </w:rPr>
      </w:pPr>
    </w:p>
    <w:p w14:paraId="1F053E17" w14:textId="56CB98B6" w:rsidR="002C2944" w:rsidRPr="00F81F5D" w:rsidRDefault="002C2944" w:rsidP="002C2944">
      <w:pPr>
        <w:pStyle w:val="Caption"/>
        <w:ind w:left="1440" w:right="1440"/>
      </w:pPr>
      <w:r w:rsidRPr="00754EA2">
        <w:lastRenderedPageBreak/>
        <w:t xml:space="preserve">Table </w:t>
      </w:r>
      <w:r>
        <w:t>1-</w:t>
      </w:r>
      <w:r w:rsidRPr="00904A61">
        <w:fldChar w:fldCharType="begin"/>
      </w:r>
      <w:r w:rsidRPr="001775B3">
        <w:instrText xml:space="preserve"> SEQ Table \* ARABIC </w:instrText>
      </w:r>
      <w:r w:rsidRPr="00904A61">
        <w:fldChar w:fldCharType="separate"/>
      </w:r>
      <w:r w:rsidR="00506A44">
        <w:rPr>
          <w:noProof/>
        </w:rPr>
        <w:t>4</w:t>
      </w:r>
      <w:r w:rsidRPr="00904A61">
        <w:fldChar w:fldCharType="end"/>
      </w:r>
      <w:r w:rsidRPr="00904A61">
        <w:t xml:space="preserve">. </w:t>
      </w:r>
      <w:r>
        <w:t xml:space="preserve">Residential </w:t>
      </w:r>
      <w:r w:rsidRPr="00B9278F">
        <w:t>Custom Measure End-Use Categories, Subcategories and Effective Useful Life Values</w:t>
      </w:r>
    </w:p>
    <w:tbl>
      <w:tblPr>
        <w:tblStyle w:val="EnergyTable"/>
        <w:tblW w:w="9450" w:type="dxa"/>
        <w:jc w:val="center"/>
        <w:tblInd w:w="0" w:type="dxa"/>
        <w:tblLook w:val="04A0" w:firstRow="1" w:lastRow="0" w:firstColumn="1" w:lastColumn="0" w:noHBand="0" w:noVBand="1"/>
      </w:tblPr>
      <w:tblGrid>
        <w:gridCol w:w="1658"/>
        <w:gridCol w:w="1566"/>
        <w:gridCol w:w="2179"/>
        <w:gridCol w:w="933"/>
        <w:gridCol w:w="3114"/>
      </w:tblGrid>
      <w:tr w:rsidR="00826B7C" w:rsidRPr="00BF6611" w14:paraId="253AF6E8" w14:textId="77777777" w:rsidTr="00061B97">
        <w:trPr>
          <w:cnfStyle w:val="100000000000" w:firstRow="1" w:lastRow="0" w:firstColumn="0" w:lastColumn="0" w:oddVBand="0" w:evenVBand="0" w:oddHBand="0" w:evenHBand="0" w:firstRowFirstColumn="0" w:firstRowLastColumn="0" w:lastRowFirstColumn="0" w:lastRowLastColumn="0"/>
          <w:cantSplit/>
          <w:trHeight w:val="300"/>
          <w:tblHeader/>
          <w:jc w:val="center"/>
        </w:trPr>
        <w:tc>
          <w:tcPr>
            <w:cnfStyle w:val="001000000000" w:firstRow="0" w:lastRow="0" w:firstColumn="1" w:lastColumn="0" w:oddVBand="0" w:evenVBand="0" w:oddHBand="0" w:evenHBand="0" w:firstRowFirstColumn="0" w:firstRowLastColumn="0" w:lastRowFirstColumn="0" w:lastRowLastColumn="0"/>
            <w:tcW w:w="1658" w:type="dxa"/>
            <w:hideMark/>
          </w:tcPr>
          <w:p w14:paraId="272BC682" w14:textId="77777777" w:rsidR="002C2944" w:rsidRPr="00BF6611" w:rsidRDefault="002C2944" w:rsidP="00061B97">
            <w:pPr>
              <w:jc w:val="left"/>
              <w:rPr>
                <w:rFonts w:asciiTheme="minorHAnsi" w:hAnsiTheme="minorHAnsi" w:cstheme="minorHAnsi"/>
                <w:b w:val="0"/>
                <w:color w:val="FFFFFF"/>
                <w:sz w:val="18"/>
              </w:rPr>
            </w:pPr>
            <w:r w:rsidRPr="00BF6611">
              <w:rPr>
                <w:rFonts w:cstheme="minorHAnsi"/>
                <w:color w:val="FFFFFF"/>
                <w:sz w:val="18"/>
              </w:rPr>
              <w:t>Program/End-Use Category</w:t>
            </w:r>
          </w:p>
        </w:tc>
        <w:tc>
          <w:tcPr>
            <w:tcW w:w="1566" w:type="dxa"/>
            <w:hideMark/>
          </w:tcPr>
          <w:p w14:paraId="556B2E02" w14:textId="77777777" w:rsidR="002C2944" w:rsidRPr="00BF6611" w:rsidRDefault="002C2944" w:rsidP="00061B97">
            <w:pPr>
              <w:jc w:val="left"/>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color w:val="FFFFFF"/>
                <w:sz w:val="18"/>
              </w:rPr>
            </w:pPr>
            <w:r w:rsidRPr="00BF6611">
              <w:rPr>
                <w:rFonts w:cstheme="minorHAnsi"/>
                <w:color w:val="FFFFFF"/>
                <w:sz w:val="18"/>
              </w:rPr>
              <w:t>End-Use Subcategory</w:t>
            </w:r>
          </w:p>
        </w:tc>
        <w:tc>
          <w:tcPr>
            <w:tcW w:w="2179" w:type="dxa"/>
          </w:tcPr>
          <w:p w14:paraId="0BD0F931" w14:textId="77777777" w:rsidR="002C2944" w:rsidRPr="00BF6611" w:rsidRDefault="002C2944" w:rsidP="00061B97">
            <w:pPr>
              <w:jc w:val="left"/>
              <w:cnfStyle w:val="100000000000" w:firstRow="1" w:lastRow="0" w:firstColumn="0" w:lastColumn="0" w:oddVBand="0" w:evenVBand="0" w:oddHBand="0" w:evenHBand="0" w:firstRowFirstColumn="0" w:firstRowLastColumn="0" w:lastRowFirstColumn="0" w:lastRowLastColumn="0"/>
              <w:rPr>
                <w:rFonts w:cstheme="minorHAnsi"/>
                <w:color w:val="FFFFFF"/>
                <w:sz w:val="18"/>
              </w:rPr>
            </w:pPr>
            <w:r w:rsidRPr="00BF6611">
              <w:rPr>
                <w:rFonts w:cstheme="minorHAnsi"/>
                <w:color w:val="FFFFFF"/>
                <w:sz w:val="18"/>
              </w:rPr>
              <w:t xml:space="preserve">Sample Mapped Measures </w:t>
            </w:r>
          </w:p>
        </w:tc>
        <w:tc>
          <w:tcPr>
            <w:tcW w:w="933" w:type="dxa"/>
            <w:hideMark/>
          </w:tcPr>
          <w:p w14:paraId="6AF486F1" w14:textId="77777777" w:rsidR="002C2944" w:rsidRPr="00BF6611" w:rsidRDefault="002C2944" w:rsidP="00061B97">
            <w:pPr>
              <w:jc w:val="right"/>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color w:val="FFFFFF"/>
                <w:sz w:val="18"/>
              </w:rPr>
            </w:pPr>
            <w:r w:rsidRPr="00BF6611">
              <w:rPr>
                <w:rFonts w:cstheme="minorHAnsi"/>
                <w:color w:val="FFFFFF"/>
                <w:sz w:val="18"/>
              </w:rPr>
              <w:t xml:space="preserve">EUL </w:t>
            </w:r>
          </w:p>
          <w:p w14:paraId="41E9C9F4" w14:textId="77777777" w:rsidR="002C2944" w:rsidRPr="00BF6611" w:rsidRDefault="002C2944" w:rsidP="00061B97">
            <w:pPr>
              <w:jc w:val="right"/>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color w:val="FFFFFF"/>
                <w:sz w:val="18"/>
              </w:rPr>
            </w:pPr>
            <w:r w:rsidRPr="00BF6611">
              <w:rPr>
                <w:rFonts w:cstheme="minorHAnsi"/>
                <w:color w:val="FFFFFF"/>
                <w:sz w:val="18"/>
              </w:rPr>
              <w:t>(years)</w:t>
            </w:r>
          </w:p>
        </w:tc>
        <w:tc>
          <w:tcPr>
            <w:tcW w:w="3114" w:type="dxa"/>
            <w:hideMark/>
          </w:tcPr>
          <w:p w14:paraId="40F57FF7" w14:textId="77777777" w:rsidR="002C2944" w:rsidRPr="00BF6611" w:rsidRDefault="002C2944" w:rsidP="00061B97">
            <w:pPr>
              <w:jc w:val="left"/>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color w:val="FFFFFF"/>
                <w:sz w:val="18"/>
              </w:rPr>
            </w:pPr>
            <w:r w:rsidRPr="00BF6611">
              <w:rPr>
                <w:rFonts w:cstheme="minorHAnsi"/>
                <w:color w:val="FFFFFF"/>
                <w:sz w:val="18"/>
              </w:rPr>
              <w:t>Notes</w:t>
            </w:r>
          </w:p>
        </w:tc>
      </w:tr>
      <w:tr w:rsidR="002C2944" w:rsidRPr="00BF6611" w14:paraId="5D71E2A7" w14:textId="77777777" w:rsidTr="00061B97">
        <w:trPr>
          <w:cnfStyle w:val="000000100000" w:firstRow="0" w:lastRow="0" w:firstColumn="0" w:lastColumn="0" w:oddVBand="0" w:evenVBand="0" w:oddHBand="1" w:evenHBand="0" w:firstRowFirstColumn="0" w:firstRowLastColumn="0" w:lastRowFirstColumn="0" w:lastRowLastColumn="0"/>
          <w:cantSplit/>
          <w:trHeight w:val="755"/>
          <w:jc w:val="center"/>
        </w:trPr>
        <w:tc>
          <w:tcPr>
            <w:cnfStyle w:val="001000000000" w:firstRow="0" w:lastRow="0" w:firstColumn="1" w:lastColumn="0" w:oddVBand="0" w:evenVBand="0" w:oddHBand="0" w:evenHBand="0" w:firstRowFirstColumn="0" w:firstRowLastColumn="0" w:lastRowFirstColumn="0" w:lastRowLastColumn="0"/>
            <w:tcW w:w="1658" w:type="dxa"/>
            <w:tcBorders>
              <w:top w:val="single" w:sz="4" w:space="0" w:color="D5DCE4" w:themeColor="text2" w:themeTint="33"/>
              <w:left w:val="nil"/>
              <w:bottom w:val="single" w:sz="4" w:space="0" w:color="D5DCE4" w:themeColor="text2" w:themeTint="33"/>
              <w:right w:val="nil"/>
            </w:tcBorders>
          </w:tcPr>
          <w:p w14:paraId="621EE364" w14:textId="77777777" w:rsidR="002C2944" w:rsidRPr="00BF6611" w:rsidRDefault="002C2944" w:rsidP="00061B97">
            <w:pPr>
              <w:jc w:val="center"/>
              <w:rPr>
                <w:rFonts w:ascii="Arial" w:hAnsi="Arial" w:cs="Arial"/>
                <w:sz w:val="18"/>
              </w:rPr>
            </w:pPr>
            <w:r>
              <w:rPr>
                <w:rFonts w:ascii="Arial" w:hAnsi="Arial" w:cs="Arial"/>
                <w:sz w:val="18"/>
              </w:rPr>
              <w:t>HVAC</w:t>
            </w:r>
          </w:p>
        </w:tc>
        <w:tc>
          <w:tcPr>
            <w:tcW w:w="1566" w:type="dxa"/>
            <w:tcBorders>
              <w:top w:val="single" w:sz="4" w:space="0" w:color="D5DCE4" w:themeColor="text2" w:themeTint="33"/>
              <w:left w:val="nil"/>
              <w:right w:val="nil"/>
            </w:tcBorders>
          </w:tcPr>
          <w:p w14:paraId="56066D9C" w14:textId="77777777" w:rsidR="002C2944" w:rsidRPr="00BF6611" w:rsidRDefault="002C2944" w:rsidP="00061B97">
            <w:pPr>
              <w:jc w:val="center"/>
              <w:cnfStyle w:val="000000100000" w:firstRow="0" w:lastRow="0" w:firstColumn="0" w:lastColumn="0" w:oddVBand="0" w:evenVBand="0" w:oddHBand="1" w:evenHBand="0" w:firstRowFirstColumn="0" w:firstRowLastColumn="0" w:lastRowFirstColumn="0" w:lastRowLastColumn="0"/>
              <w:rPr>
                <w:rFonts w:cs="Arial"/>
                <w:sz w:val="18"/>
              </w:rPr>
            </w:pPr>
            <w:r>
              <w:rPr>
                <w:rFonts w:cstheme="minorHAnsi"/>
                <w:sz w:val="18"/>
              </w:rPr>
              <w:t>Thermostat Optimization</w:t>
            </w:r>
          </w:p>
        </w:tc>
        <w:tc>
          <w:tcPr>
            <w:tcW w:w="2179" w:type="dxa"/>
            <w:tcBorders>
              <w:top w:val="single" w:sz="4" w:space="0" w:color="D5DCE4" w:themeColor="text2" w:themeTint="33"/>
              <w:left w:val="nil"/>
              <w:bottom w:val="single" w:sz="4" w:space="0" w:color="D5DCE4" w:themeColor="text2" w:themeTint="33"/>
              <w:right w:val="nil"/>
            </w:tcBorders>
          </w:tcPr>
          <w:p w14:paraId="4FA7E44B" w14:textId="77777777" w:rsidR="002C2944" w:rsidRPr="00BF6611" w:rsidRDefault="002C2944" w:rsidP="00061B97">
            <w:pPr>
              <w:jc w:val="left"/>
              <w:cnfStyle w:val="000000100000" w:firstRow="0" w:lastRow="0" w:firstColumn="0" w:lastColumn="0" w:oddVBand="0" w:evenVBand="0" w:oddHBand="1" w:evenHBand="0" w:firstRowFirstColumn="0" w:firstRowLastColumn="0" w:lastRowFirstColumn="0" w:lastRowLastColumn="0"/>
              <w:rPr>
                <w:rFonts w:cs="Arial"/>
                <w:sz w:val="18"/>
              </w:rPr>
            </w:pPr>
            <w:r>
              <w:rPr>
                <w:rFonts w:cstheme="minorHAnsi"/>
                <w:sz w:val="18"/>
              </w:rPr>
              <w:t>Thermostat Optimization</w:t>
            </w:r>
          </w:p>
        </w:tc>
        <w:tc>
          <w:tcPr>
            <w:tcW w:w="933" w:type="dxa"/>
            <w:tcBorders>
              <w:top w:val="single" w:sz="4" w:space="0" w:color="D5DCE4" w:themeColor="text2" w:themeTint="33"/>
              <w:left w:val="nil"/>
              <w:right w:val="nil"/>
            </w:tcBorders>
          </w:tcPr>
          <w:p w14:paraId="76EDFD4A" w14:textId="77777777" w:rsidR="002C2944" w:rsidRPr="00BF6611" w:rsidRDefault="002C2944" w:rsidP="00061B97">
            <w:pPr>
              <w:jc w:val="right"/>
              <w:cnfStyle w:val="000000100000" w:firstRow="0" w:lastRow="0" w:firstColumn="0" w:lastColumn="0" w:oddVBand="0" w:evenVBand="0" w:oddHBand="1" w:evenHBand="0" w:firstRowFirstColumn="0" w:firstRowLastColumn="0" w:lastRowFirstColumn="0" w:lastRowLastColumn="0"/>
              <w:rPr>
                <w:rFonts w:cstheme="minorHAnsi"/>
                <w:sz w:val="18"/>
              </w:rPr>
            </w:pPr>
            <w:r>
              <w:rPr>
                <w:rFonts w:cstheme="minorHAnsi"/>
                <w:sz w:val="18"/>
              </w:rPr>
              <w:t>2</w:t>
            </w:r>
          </w:p>
        </w:tc>
        <w:tc>
          <w:tcPr>
            <w:tcW w:w="3114" w:type="dxa"/>
            <w:tcBorders>
              <w:top w:val="single" w:sz="4" w:space="0" w:color="D5DCE4" w:themeColor="text2" w:themeTint="33"/>
              <w:left w:val="nil"/>
              <w:bottom w:val="single" w:sz="4" w:space="0" w:color="D5DCE4" w:themeColor="text2" w:themeTint="33"/>
              <w:right w:val="nil"/>
            </w:tcBorders>
          </w:tcPr>
          <w:p w14:paraId="231AFD3D" w14:textId="77777777" w:rsidR="002C2944" w:rsidRPr="00BF6611" w:rsidRDefault="002C2944" w:rsidP="00061B97">
            <w:pPr>
              <w:jc w:val="left"/>
              <w:cnfStyle w:val="000000100000" w:firstRow="0" w:lastRow="0" w:firstColumn="0" w:lastColumn="0" w:oddVBand="0" w:evenVBand="0" w:oddHBand="1" w:evenHBand="0" w:firstRowFirstColumn="0" w:firstRowLastColumn="0" w:lastRowFirstColumn="0" w:lastRowLastColumn="0"/>
              <w:rPr>
                <w:rFonts w:cstheme="minorHAnsi"/>
                <w:sz w:val="18"/>
              </w:rPr>
            </w:pPr>
            <w:r>
              <w:rPr>
                <w:rFonts w:cstheme="minorHAnsi"/>
                <w:sz w:val="18"/>
              </w:rPr>
              <w:t xml:space="preserve">For up to two year’s application of the optimization to the same customers. A </w:t>
            </w:r>
            <w:proofErr w:type="gramStart"/>
            <w:r>
              <w:rPr>
                <w:rFonts w:cstheme="minorHAnsi"/>
                <w:sz w:val="18"/>
              </w:rPr>
              <w:t>third or more year</w:t>
            </w:r>
            <w:proofErr w:type="gramEnd"/>
            <w:r>
              <w:rPr>
                <w:rFonts w:cstheme="minorHAnsi"/>
                <w:sz w:val="18"/>
              </w:rPr>
              <w:t xml:space="preserve"> applications would have a one year measure life until evidence of persistence is available.</w:t>
            </w:r>
            <w:r>
              <w:rPr>
                <w:rStyle w:val="FootnoteReference"/>
              </w:rPr>
              <w:footnoteReference w:id="120"/>
            </w:r>
          </w:p>
        </w:tc>
      </w:tr>
      <w:tr w:rsidR="002C2944" w:rsidRPr="00BF6611" w14:paraId="7B3B5E7D" w14:textId="77777777" w:rsidTr="00061B97">
        <w:trPr>
          <w:cnfStyle w:val="000000010000" w:firstRow="0" w:lastRow="0" w:firstColumn="0" w:lastColumn="0" w:oddVBand="0" w:evenVBand="0" w:oddHBand="0" w:evenHBand="1" w:firstRowFirstColumn="0" w:firstRowLastColumn="0" w:lastRowFirstColumn="0" w:lastRowLastColumn="0"/>
          <w:cantSplit/>
          <w:trHeight w:val="240"/>
          <w:jc w:val="center"/>
        </w:trPr>
        <w:tc>
          <w:tcPr>
            <w:cnfStyle w:val="001000000000" w:firstRow="0" w:lastRow="0" w:firstColumn="1" w:lastColumn="0" w:oddVBand="0" w:evenVBand="0" w:oddHBand="0" w:evenHBand="0" w:firstRowFirstColumn="0" w:firstRowLastColumn="0" w:lastRowFirstColumn="0" w:lastRowLastColumn="0"/>
            <w:tcW w:w="1658" w:type="dxa"/>
            <w:vMerge w:val="restart"/>
            <w:tcBorders>
              <w:top w:val="single" w:sz="4" w:space="0" w:color="D5DCE4" w:themeColor="text2" w:themeTint="33"/>
              <w:left w:val="nil"/>
              <w:bottom w:val="single" w:sz="4" w:space="0" w:color="D5DCE4" w:themeColor="text2" w:themeTint="33"/>
              <w:right w:val="nil"/>
            </w:tcBorders>
            <w:hideMark/>
          </w:tcPr>
          <w:p w14:paraId="7511042B" w14:textId="77777777" w:rsidR="002C2944" w:rsidRPr="00BF6611" w:rsidRDefault="002C2944" w:rsidP="00061B97">
            <w:pPr>
              <w:jc w:val="center"/>
              <w:rPr>
                <w:rFonts w:ascii="Arial" w:hAnsi="Arial" w:cs="Arial"/>
                <w:sz w:val="18"/>
              </w:rPr>
            </w:pPr>
            <w:r w:rsidRPr="00BF6611">
              <w:rPr>
                <w:rFonts w:ascii="Arial" w:hAnsi="Arial" w:cs="Arial"/>
                <w:sz w:val="18"/>
              </w:rPr>
              <w:t>Res New Construction</w:t>
            </w:r>
            <w:r>
              <w:rPr>
                <w:rFonts w:ascii="Arial" w:hAnsi="Arial" w:cs="Arial"/>
                <w:sz w:val="18"/>
              </w:rPr>
              <w:t xml:space="preserve"> </w:t>
            </w:r>
          </w:p>
        </w:tc>
        <w:tc>
          <w:tcPr>
            <w:tcW w:w="1566" w:type="dxa"/>
            <w:tcBorders>
              <w:top w:val="single" w:sz="4" w:space="0" w:color="D5DCE4" w:themeColor="text2" w:themeTint="33"/>
              <w:left w:val="nil"/>
              <w:bottom w:val="single" w:sz="4" w:space="0" w:color="D5DCE4" w:themeColor="text2" w:themeTint="33"/>
              <w:right w:val="nil"/>
            </w:tcBorders>
            <w:hideMark/>
          </w:tcPr>
          <w:p w14:paraId="28D9EE38" w14:textId="77777777" w:rsidR="002C2944" w:rsidRPr="00BF6611" w:rsidRDefault="002C2944" w:rsidP="00061B97">
            <w:pPr>
              <w:jc w:val="center"/>
              <w:cnfStyle w:val="000000010000" w:firstRow="0" w:lastRow="0" w:firstColumn="0" w:lastColumn="0" w:oddVBand="0" w:evenVBand="0" w:oddHBand="0" w:evenHBand="1" w:firstRowFirstColumn="0" w:firstRowLastColumn="0" w:lastRowFirstColumn="0" w:lastRowLastColumn="0"/>
              <w:rPr>
                <w:rFonts w:cs="Arial"/>
                <w:sz w:val="18"/>
              </w:rPr>
            </w:pPr>
            <w:r w:rsidRPr="00BF6611">
              <w:rPr>
                <w:rFonts w:cs="Arial"/>
                <w:sz w:val="18"/>
              </w:rPr>
              <w:t>Res New Construction</w:t>
            </w:r>
          </w:p>
        </w:tc>
        <w:tc>
          <w:tcPr>
            <w:tcW w:w="2179" w:type="dxa"/>
            <w:tcBorders>
              <w:top w:val="single" w:sz="4" w:space="0" w:color="D5DCE4" w:themeColor="text2" w:themeTint="33"/>
              <w:left w:val="nil"/>
              <w:bottom w:val="single" w:sz="4" w:space="0" w:color="D5DCE4" w:themeColor="text2" w:themeTint="33"/>
              <w:right w:val="nil"/>
            </w:tcBorders>
          </w:tcPr>
          <w:p w14:paraId="4B9492EA" w14:textId="77777777" w:rsidR="002C2944" w:rsidRPr="00BF6611" w:rsidRDefault="002C2944" w:rsidP="00061B97">
            <w:pPr>
              <w:jc w:val="left"/>
              <w:cnfStyle w:val="000000010000" w:firstRow="0" w:lastRow="0" w:firstColumn="0" w:lastColumn="0" w:oddVBand="0" w:evenVBand="0" w:oddHBand="0" w:evenHBand="1" w:firstRowFirstColumn="0" w:firstRowLastColumn="0" w:lastRowFirstColumn="0" w:lastRowLastColumn="0"/>
              <w:rPr>
                <w:rFonts w:cs="Arial"/>
                <w:sz w:val="18"/>
              </w:rPr>
            </w:pPr>
            <w:r w:rsidRPr="00BF6611">
              <w:rPr>
                <w:rFonts w:cs="Arial"/>
                <w:sz w:val="18"/>
              </w:rPr>
              <w:t>New Construction</w:t>
            </w:r>
            <w:r>
              <w:rPr>
                <w:rFonts w:cs="Arial"/>
                <w:sz w:val="18"/>
              </w:rPr>
              <w:t xml:space="preserve"> Electric Measures</w:t>
            </w:r>
          </w:p>
        </w:tc>
        <w:tc>
          <w:tcPr>
            <w:tcW w:w="933" w:type="dxa"/>
            <w:tcBorders>
              <w:top w:val="single" w:sz="4" w:space="0" w:color="D5DCE4" w:themeColor="text2" w:themeTint="33"/>
              <w:left w:val="nil"/>
              <w:bottom w:val="single" w:sz="4" w:space="0" w:color="D5DCE4" w:themeColor="text2" w:themeTint="33"/>
              <w:right w:val="nil"/>
            </w:tcBorders>
            <w:hideMark/>
          </w:tcPr>
          <w:p w14:paraId="1DD4FA2B" w14:textId="77777777" w:rsidR="002C2944" w:rsidRPr="00BF6611" w:rsidRDefault="002C2944" w:rsidP="00061B97">
            <w:pPr>
              <w:jc w:val="right"/>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sz w:val="18"/>
              </w:rPr>
            </w:pPr>
            <w:r w:rsidRPr="00BF6611">
              <w:rPr>
                <w:rFonts w:cstheme="minorHAnsi"/>
                <w:sz w:val="18"/>
              </w:rPr>
              <w:t>18</w:t>
            </w:r>
          </w:p>
        </w:tc>
        <w:tc>
          <w:tcPr>
            <w:tcW w:w="3114" w:type="dxa"/>
            <w:tcBorders>
              <w:top w:val="single" w:sz="4" w:space="0" w:color="D5DCE4" w:themeColor="text2" w:themeTint="33"/>
              <w:left w:val="nil"/>
              <w:bottom w:val="single" w:sz="4" w:space="0" w:color="D5DCE4" w:themeColor="text2" w:themeTint="33"/>
              <w:right w:val="nil"/>
            </w:tcBorders>
          </w:tcPr>
          <w:p w14:paraId="0E8E1153" w14:textId="77777777" w:rsidR="002C2944" w:rsidRPr="00BF6611" w:rsidRDefault="002C2944" w:rsidP="00061B97">
            <w:pP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sz w:val="18"/>
              </w:rPr>
            </w:pPr>
          </w:p>
        </w:tc>
      </w:tr>
      <w:tr w:rsidR="002C2944" w:rsidRPr="00BF6611" w14:paraId="0E684BC9" w14:textId="77777777" w:rsidTr="00061B97">
        <w:trPr>
          <w:cnfStyle w:val="000000100000" w:firstRow="0" w:lastRow="0" w:firstColumn="0" w:lastColumn="0" w:oddVBand="0" w:evenVBand="0" w:oddHBand="1" w:evenHBand="0" w:firstRowFirstColumn="0" w:firstRowLastColumn="0" w:lastRowFirstColumn="0" w:lastRowLastColumn="0"/>
          <w:cantSplit/>
          <w:trHeight w:val="240"/>
          <w:jc w:val="center"/>
        </w:trPr>
        <w:tc>
          <w:tcPr>
            <w:cnfStyle w:val="001000000000" w:firstRow="0" w:lastRow="0" w:firstColumn="1" w:lastColumn="0" w:oddVBand="0" w:evenVBand="0" w:oddHBand="0" w:evenHBand="0" w:firstRowFirstColumn="0" w:firstRowLastColumn="0" w:lastRowFirstColumn="0" w:lastRowLastColumn="0"/>
            <w:tcW w:w="1658" w:type="dxa"/>
            <w:vMerge/>
            <w:tcBorders>
              <w:top w:val="single" w:sz="4" w:space="0" w:color="D5DCE4" w:themeColor="text2" w:themeTint="33"/>
              <w:left w:val="nil"/>
              <w:bottom w:val="single" w:sz="4" w:space="0" w:color="D5DCE4" w:themeColor="text2" w:themeTint="33"/>
              <w:right w:val="nil"/>
            </w:tcBorders>
            <w:hideMark/>
          </w:tcPr>
          <w:p w14:paraId="2FA4CA3C" w14:textId="77777777" w:rsidR="002C2944" w:rsidRPr="00BF6611" w:rsidRDefault="002C2944" w:rsidP="00061B97">
            <w:pPr>
              <w:spacing w:before="0" w:after="0"/>
              <w:jc w:val="center"/>
              <w:rPr>
                <w:rFonts w:ascii="Arial" w:eastAsiaTheme="minorHAnsi" w:hAnsi="Arial" w:cs="Arial"/>
                <w:sz w:val="18"/>
              </w:rPr>
            </w:pPr>
          </w:p>
        </w:tc>
        <w:tc>
          <w:tcPr>
            <w:tcW w:w="1566" w:type="dxa"/>
            <w:tcBorders>
              <w:top w:val="single" w:sz="4" w:space="0" w:color="D5DCE4" w:themeColor="text2" w:themeTint="33"/>
              <w:left w:val="nil"/>
              <w:bottom w:val="single" w:sz="4" w:space="0" w:color="D5DCE4" w:themeColor="text2" w:themeTint="33"/>
              <w:right w:val="nil"/>
            </w:tcBorders>
            <w:hideMark/>
          </w:tcPr>
          <w:p w14:paraId="5FEF3E21" w14:textId="77777777" w:rsidR="002C2944" w:rsidRPr="00BF6611" w:rsidRDefault="002C2944" w:rsidP="00061B97">
            <w:pPr>
              <w:jc w:val="center"/>
              <w:cnfStyle w:val="000000100000" w:firstRow="0" w:lastRow="0" w:firstColumn="0" w:lastColumn="0" w:oddVBand="0" w:evenVBand="0" w:oddHBand="1" w:evenHBand="0" w:firstRowFirstColumn="0" w:firstRowLastColumn="0" w:lastRowFirstColumn="0" w:lastRowLastColumn="0"/>
              <w:rPr>
                <w:rFonts w:cs="Arial"/>
                <w:sz w:val="18"/>
              </w:rPr>
            </w:pPr>
            <w:r w:rsidRPr="00BF6611">
              <w:rPr>
                <w:rFonts w:cs="Arial"/>
                <w:sz w:val="18"/>
              </w:rPr>
              <w:t>Affordable Housing New Construction</w:t>
            </w:r>
          </w:p>
        </w:tc>
        <w:tc>
          <w:tcPr>
            <w:tcW w:w="2179" w:type="dxa"/>
            <w:tcBorders>
              <w:top w:val="single" w:sz="4" w:space="0" w:color="D5DCE4" w:themeColor="text2" w:themeTint="33"/>
              <w:left w:val="nil"/>
              <w:bottom w:val="single" w:sz="4" w:space="0" w:color="D5DCE4" w:themeColor="text2" w:themeTint="33"/>
              <w:right w:val="nil"/>
            </w:tcBorders>
          </w:tcPr>
          <w:p w14:paraId="782F6C20" w14:textId="77777777" w:rsidR="002C2944" w:rsidRPr="00BF6611" w:rsidRDefault="002C2944" w:rsidP="00061B97">
            <w:pPr>
              <w:jc w:val="left"/>
              <w:cnfStyle w:val="000000100000" w:firstRow="0" w:lastRow="0" w:firstColumn="0" w:lastColumn="0" w:oddVBand="0" w:evenVBand="0" w:oddHBand="1" w:evenHBand="0" w:firstRowFirstColumn="0" w:firstRowLastColumn="0" w:lastRowFirstColumn="0" w:lastRowLastColumn="0"/>
              <w:rPr>
                <w:rFonts w:cs="Arial"/>
                <w:sz w:val="18"/>
              </w:rPr>
            </w:pPr>
            <w:r w:rsidRPr="00BF6611">
              <w:rPr>
                <w:rFonts w:cs="Arial"/>
                <w:sz w:val="18"/>
              </w:rPr>
              <w:t>Affordable Housing New Construction</w:t>
            </w:r>
            <w:r>
              <w:rPr>
                <w:rFonts w:cs="Arial"/>
                <w:sz w:val="18"/>
              </w:rPr>
              <w:t xml:space="preserve"> </w:t>
            </w:r>
          </w:p>
        </w:tc>
        <w:tc>
          <w:tcPr>
            <w:tcW w:w="933" w:type="dxa"/>
            <w:tcBorders>
              <w:top w:val="single" w:sz="4" w:space="0" w:color="D5DCE4" w:themeColor="text2" w:themeTint="33"/>
              <w:left w:val="nil"/>
              <w:bottom w:val="single" w:sz="4" w:space="0" w:color="D5DCE4" w:themeColor="text2" w:themeTint="33"/>
              <w:right w:val="nil"/>
            </w:tcBorders>
            <w:hideMark/>
          </w:tcPr>
          <w:p w14:paraId="4E53F64B" w14:textId="77777777" w:rsidR="002C2944" w:rsidRPr="00BF6611" w:rsidRDefault="002C2944" w:rsidP="00061B97">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18"/>
              </w:rPr>
            </w:pPr>
            <w:r w:rsidRPr="00BF6611">
              <w:rPr>
                <w:rFonts w:cstheme="minorHAnsi"/>
                <w:sz w:val="18"/>
              </w:rPr>
              <w:t>-</w:t>
            </w:r>
          </w:p>
        </w:tc>
        <w:tc>
          <w:tcPr>
            <w:tcW w:w="3114" w:type="dxa"/>
            <w:tcBorders>
              <w:top w:val="single" w:sz="4" w:space="0" w:color="D5DCE4" w:themeColor="text2" w:themeTint="33"/>
              <w:left w:val="nil"/>
              <w:bottom w:val="single" w:sz="4" w:space="0" w:color="D5DCE4" w:themeColor="text2" w:themeTint="33"/>
              <w:right w:val="nil"/>
            </w:tcBorders>
            <w:hideMark/>
          </w:tcPr>
          <w:p w14:paraId="061C8007" w14:textId="77777777" w:rsidR="002C2944" w:rsidRPr="00BF6611" w:rsidRDefault="002C2944" w:rsidP="00061B97">
            <w:pPr>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18"/>
              </w:rPr>
            </w:pPr>
            <w:r w:rsidRPr="00BF6611">
              <w:rPr>
                <w:rFonts w:cstheme="minorHAnsi"/>
                <w:sz w:val="18"/>
              </w:rPr>
              <w:t>Varies by project based on implemented measures</w:t>
            </w:r>
          </w:p>
        </w:tc>
      </w:tr>
    </w:tbl>
    <w:p w14:paraId="0474AD84" w14:textId="77777777" w:rsidR="002C2944" w:rsidRDefault="002C2944" w:rsidP="004D0A65">
      <w:pPr>
        <w:rPr>
          <w:rFonts w:cstheme="minorHAnsi"/>
        </w:rPr>
      </w:pPr>
    </w:p>
    <w:p w14:paraId="16E37856" w14:textId="77777777" w:rsidR="002966A8" w:rsidRPr="000C6311" w:rsidRDefault="002966A8" w:rsidP="002966A8">
      <w:pPr>
        <w:jc w:val="left"/>
        <w:rPr>
          <w:rFonts w:cstheme="minorHAnsi"/>
          <w:b/>
          <w:bCs/>
        </w:rPr>
      </w:pPr>
      <w:r w:rsidRPr="000C6311">
        <w:rPr>
          <w:rFonts w:cstheme="minorHAnsi"/>
          <w:b/>
          <w:bCs/>
        </w:rPr>
        <w:t>Guidance for EUL Research</w:t>
      </w:r>
    </w:p>
    <w:p w14:paraId="2F8C2A13" w14:textId="5BAE6CFE" w:rsidR="002966A8" w:rsidRPr="001775B3" w:rsidRDefault="002966A8" w:rsidP="002966A8">
      <w:pPr>
        <w:jc w:val="left"/>
        <w:rPr>
          <w:rFonts w:cstheme="minorHAnsi"/>
        </w:rPr>
      </w:pPr>
      <w:r w:rsidRPr="001775B3">
        <w:rPr>
          <w:rFonts w:cstheme="minorHAnsi"/>
        </w:rPr>
        <w:t>The complexities of the various approaches for custom-like programs require a program</w:t>
      </w:r>
      <w:r>
        <w:rPr>
          <w:rFonts w:cstheme="minorHAnsi"/>
        </w:rPr>
        <w:t>-</w:t>
      </w:r>
      <w:r w:rsidRPr="001775B3">
        <w:rPr>
          <w:rFonts w:cstheme="minorHAnsi"/>
        </w:rPr>
        <w:t>by</w:t>
      </w:r>
      <w:r>
        <w:rPr>
          <w:rFonts w:cstheme="minorHAnsi"/>
        </w:rPr>
        <w:t>-</w:t>
      </w:r>
      <w:r w:rsidRPr="001775B3">
        <w:rPr>
          <w:rFonts w:cstheme="minorHAnsi"/>
        </w:rPr>
        <w:t xml:space="preserve">program perspective. The following process should be used </w:t>
      </w:r>
      <w:r>
        <w:rPr>
          <w:rFonts w:cstheme="minorHAnsi"/>
        </w:rPr>
        <w:t xml:space="preserve">when researching a new </w:t>
      </w:r>
      <w:r w:rsidRPr="001775B3">
        <w:rPr>
          <w:rFonts w:cstheme="minorHAnsi"/>
        </w:rPr>
        <w:t>EUL value for custom measures. Similar to first year energy savings calculations, appropriate documentation should be provided to support the EUL value which may include references, approach, and reasons.</w:t>
      </w:r>
    </w:p>
    <w:p w14:paraId="2F36E289" w14:textId="77777777" w:rsidR="002966A8" w:rsidRPr="001775B3" w:rsidRDefault="002966A8" w:rsidP="0092016D">
      <w:pPr>
        <w:widowControl/>
        <w:numPr>
          <w:ilvl w:val="0"/>
          <w:numId w:val="96"/>
        </w:numPr>
        <w:spacing w:after="60"/>
        <w:jc w:val="left"/>
        <w:rPr>
          <w:rFonts w:cstheme="minorHAnsi"/>
        </w:rPr>
      </w:pPr>
      <w:r w:rsidRPr="001775B3">
        <w:rPr>
          <w:rFonts w:cstheme="minorHAnsi"/>
        </w:rPr>
        <w:t>Identify the non-TRM measure and consider if there are similar measures with high quality EUL values already in the TRM. This initial step provides a benchmark for the EUL value.</w:t>
      </w:r>
    </w:p>
    <w:p w14:paraId="679D6E1F" w14:textId="77777777" w:rsidR="002966A8" w:rsidRPr="001775B3" w:rsidRDefault="002966A8" w:rsidP="0092016D">
      <w:pPr>
        <w:widowControl/>
        <w:numPr>
          <w:ilvl w:val="0"/>
          <w:numId w:val="96"/>
        </w:numPr>
        <w:spacing w:after="60"/>
        <w:jc w:val="left"/>
        <w:rPr>
          <w:rFonts w:cstheme="minorHAnsi"/>
        </w:rPr>
      </w:pPr>
      <w:r w:rsidRPr="001775B3">
        <w:rPr>
          <w:rFonts w:cstheme="minorHAnsi"/>
        </w:rPr>
        <w:t xml:space="preserve">Review the sources used to determine the EUL values for those similar measures. See </w:t>
      </w:r>
      <w:r w:rsidRPr="001775B3">
        <w:rPr>
          <w:rFonts w:cstheme="minorHAnsi"/>
        </w:rPr>
        <w:fldChar w:fldCharType="begin"/>
      </w:r>
      <w:r w:rsidRPr="001775B3">
        <w:rPr>
          <w:rFonts w:cstheme="minorHAnsi"/>
        </w:rPr>
        <w:instrText xml:space="preserve"> REF _Ref514333084 \h  \* MERGEFORMAT </w:instrText>
      </w:r>
      <w:r w:rsidRPr="001775B3">
        <w:rPr>
          <w:rFonts w:cstheme="minorHAnsi"/>
        </w:rPr>
      </w:r>
      <w:r w:rsidRPr="001775B3">
        <w:rPr>
          <w:rFonts w:cstheme="minorHAnsi"/>
        </w:rPr>
        <w:fldChar w:fldCharType="separate"/>
      </w:r>
      <w:r w:rsidRPr="00506A44">
        <w:rPr>
          <w:rFonts w:cstheme="minorHAnsi"/>
        </w:rPr>
        <w:t>Table 1-3</w:t>
      </w:r>
      <w:r w:rsidRPr="001775B3">
        <w:rPr>
          <w:rFonts w:cstheme="minorHAnsi"/>
        </w:rPr>
        <w:fldChar w:fldCharType="end"/>
      </w:r>
      <w:r>
        <w:rPr>
          <w:rFonts w:cstheme="minorHAnsi"/>
        </w:rPr>
        <w:t xml:space="preserve"> and Table 1-4</w:t>
      </w:r>
      <w:r w:rsidRPr="001775B3">
        <w:rPr>
          <w:rFonts w:cstheme="minorHAnsi"/>
        </w:rPr>
        <w:t>.</w:t>
      </w:r>
    </w:p>
    <w:p w14:paraId="1D9678A0" w14:textId="77777777" w:rsidR="002966A8" w:rsidRPr="001775B3" w:rsidRDefault="002966A8" w:rsidP="0092016D">
      <w:pPr>
        <w:widowControl/>
        <w:numPr>
          <w:ilvl w:val="0"/>
          <w:numId w:val="96"/>
        </w:numPr>
        <w:spacing w:after="60"/>
        <w:jc w:val="left"/>
        <w:rPr>
          <w:rFonts w:cstheme="minorHAnsi"/>
        </w:rPr>
      </w:pPr>
      <w:r w:rsidRPr="001775B3">
        <w:rPr>
          <w:rFonts w:cstheme="minorHAnsi"/>
        </w:rPr>
        <w:t xml:space="preserve">If the sources do not have EUL documentation for the non-TRM measure, research additional sources. The level of research effort should be commensurate with the savings potential for the non-TRM measure. </w:t>
      </w:r>
    </w:p>
    <w:p w14:paraId="309E520A" w14:textId="2BAF64A6" w:rsidR="002966A8" w:rsidRPr="001775B3" w:rsidRDefault="002966A8" w:rsidP="0092016D">
      <w:pPr>
        <w:widowControl/>
        <w:numPr>
          <w:ilvl w:val="0"/>
          <w:numId w:val="96"/>
        </w:numPr>
        <w:spacing w:after="60"/>
        <w:jc w:val="left"/>
        <w:rPr>
          <w:rFonts w:cstheme="minorHAnsi"/>
        </w:rPr>
      </w:pPr>
      <w:r>
        <w:rPr>
          <w:rFonts w:cstheme="minorHAnsi"/>
        </w:rPr>
        <w:t xml:space="preserve">Submit the recommended </w:t>
      </w:r>
      <w:r w:rsidRPr="001775B3">
        <w:rPr>
          <w:rFonts w:cstheme="minorHAnsi"/>
        </w:rPr>
        <w:t xml:space="preserve">EUL </w:t>
      </w:r>
      <w:r>
        <w:rPr>
          <w:rFonts w:cstheme="minorHAnsi"/>
        </w:rPr>
        <w:t xml:space="preserve">value and </w:t>
      </w:r>
      <w:r w:rsidRPr="001775B3">
        <w:rPr>
          <w:rFonts w:cstheme="minorHAnsi"/>
        </w:rPr>
        <w:t xml:space="preserve">documentation for the non-TRM measure </w:t>
      </w:r>
      <w:r>
        <w:rPr>
          <w:rFonts w:cstheme="minorHAnsi"/>
        </w:rPr>
        <w:t xml:space="preserve">to the TRM Technical Advisory Committee for review through the annual TRM update process. </w:t>
      </w:r>
      <w:r w:rsidRPr="001775B3">
        <w:rPr>
          <w:rFonts w:cstheme="minorHAnsi"/>
        </w:rPr>
        <w:t xml:space="preserve"> </w:t>
      </w:r>
    </w:p>
    <w:p w14:paraId="7FA60470" w14:textId="77777777" w:rsidR="002C2944" w:rsidRDefault="002C2944" w:rsidP="004D0A65">
      <w:pPr>
        <w:rPr>
          <w:rFonts w:cstheme="minorHAnsi"/>
        </w:rPr>
      </w:pPr>
    </w:p>
    <w:p w14:paraId="718EE345" w14:textId="7C238E3A" w:rsidR="003F195D" w:rsidRPr="001775B3" w:rsidRDefault="004D0A65" w:rsidP="004D0A65">
      <w:pPr>
        <w:rPr>
          <w:rFonts w:cstheme="minorHAnsi"/>
        </w:rPr>
      </w:pPr>
      <w:r w:rsidRPr="001775B3">
        <w:rPr>
          <w:rFonts w:cstheme="minorHAnsi"/>
        </w:rPr>
        <w:t xml:space="preserve">Source quality will be determined using hierarchy to describe the strength of the identified source as shown in </w:t>
      </w:r>
      <w:r w:rsidR="002966A8" w:rsidRPr="001775B3">
        <w:rPr>
          <w:rFonts w:cstheme="minorHAnsi"/>
          <w:highlight w:val="yellow"/>
        </w:rPr>
        <w:fldChar w:fldCharType="begin"/>
      </w:r>
      <w:r w:rsidR="002966A8" w:rsidRPr="001775B3">
        <w:rPr>
          <w:rFonts w:cstheme="minorHAnsi"/>
        </w:rPr>
        <w:instrText xml:space="preserve"> REF _Ref514333084 \h </w:instrText>
      </w:r>
      <w:r w:rsidR="002966A8">
        <w:rPr>
          <w:rFonts w:cstheme="minorHAnsi"/>
          <w:highlight w:val="yellow"/>
        </w:rPr>
        <w:instrText xml:space="preserve"> \* MERGEFORMAT </w:instrText>
      </w:r>
      <w:r w:rsidR="002966A8" w:rsidRPr="001775B3">
        <w:rPr>
          <w:rFonts w:cstheme="minorHAnsi"/>
          <w:highlight w:val="yellow"/>
        </w:rPr>
      </w:r>
      <w:r w:rsidR="002966A8" w:rsidRPr="001775B3">
        <w:rPr>
          <w:rFonts w:cstheme="minorHAnsi"/>
          <w:highlight w:val="yellow"/>
        </w:rPr>
        <w:fldChar w:fldCharType="separate"/>
      </w:r>
      <w:r w:rsidR="002966A8">
        <w:rPr>
          <w:rFonts w:cstheme="minorHAnsi"/>
        </w:rPr>
        <w:t>the table</w:t>
      </w:r>
      <w:r w:rsidR="002966A8" w:rsidRPr="001775B3">
        <w:rPr>
          <w:rFonts w:cstheme="minorHAnsi"/>
          <w:highlight w:val="yellow"/>
        </w:rPr>
        <w:fldChar w:fldCharType="end"/>
      </w:r>
      <w:r w:rsidRPr="001775B3">
        <w:rPr>
          <w:rFonts w:cstheme="minorHAnsi"/>
        </w:rPr>
        <w:t xml:space="preserve"> below. In cases where a range of values are provided by a source versus an absolute EUL, the median value should be used. In other cases, if more than one high quality source is available with conflicting values, the one with primary research data with strong confidence in the findings should prevail, otherwise, the average EUL should be calculated.</w:t>
      </w:r>
    </w:p>
    <w:p w14:paraId="1F59CE6A" w14:textId="5DAB82C0" w:rsidR="004D0A65" w:rsidRPr="00B9278F" w:rsidRDefault="004D0A65" w:rsidP="0021790A">
      <w:pPr>
        <w:pStyle w:val="TableHeading"/>
      </w:pPr>
    </w:p>
    <w:tbl>
      <w:tblPr>
        <w:tblStyle w:val="EnergyTable1"/>
        <w:tblW w:w="5000" w:type="pct"/>
        <w:jc w:val="center"/>
        <w:tblInd w:w="0" w:type="dxa"/>
        <w:tblLayout w:type="fixed"/>
        <w:tblLook w:val="04A0" w:firstRow="1" w:lastRow="0" w:firstColumn="1" w:lastColumn="0" w:noHBand="0" w:noVBand="1"/>
      </w:tblPr>
      <w:tblGrid>
        <w:gridCol w:w="539"/>
        <w:gridCol w:w="1531"/>
        <w:gridCol w:w="7290"/>
      </w:tblGrid>
      <w:tr w:rsidR="004D0A65" w:rsidRPr="00D66E97" w14:paraId="3D152022" w14:textId="77777777" w:rsidTr="002B6C05">
        <w:trPr>
          <w:cnfStyle w:val="100000000000" w:firstRow="1" w:lastRow="0" w:firstColumn="0" w:lastColumn="0" w:oddVBand="0" w:evenVBand="0" w:oddHBand="0" w:evenHBand="0" w:firstRowFirstColumn="0" w:firstRowLastColumn="0" w:lastRowFirstColumn="0" w:lastRowLastColumn="0"/>
          <w:cantSplit/>
          <w:trHeight w:val="300"/>
          <w:tblHeader/>
          <w:jc w:val="center"/>
        </w:trPr>
        <w:tc>
          <w:tcPr>
            <w:cnfStyle w:val="001000000000" w:firstRow="0" w:lastRow="0" w:firstColumn="1" w:lastColumn="0" w:oddVBand="0" w:evenVBand="0" w:oddHBand="0" w:evenHBand="0" w:firstRowFirstColumn="0" w:firstRowLastColumn="0" w:lastRowFirstColumn="0" w:lastRowLastColumn="0"/>
            <w:tcW w:w="288" w:type="pct"/>
            <w:tcBorders>
              <w:top w:val="none" w:sz="0" w:space="0" w:color="auto"/>
              <w:left w:val="none" w:sz="0" w:space="0" w:color="auto"/>
              <w:bottom w:val="none" w:sz="0" w:space="0" w:color="auto"/>
              <w:right w:val="none" w:sz="0" w:space="0" w:color="auto"/>
              <w:tl2br w:val="none" w:sz="0" w:space="0" w:color="auto"/>
              <w:tr2bl w:val="none" w:sz="0" w:space="0" w:color="auto"/>
            </w:tcBorders>
          </w:tcPr>
          <w:p w14:paraId="53508CBA" w14:textId="77777777" w:rsidR="004D0A65" w:rsidRPr="001775B3" w:rsidRDefault="004D0A65" w:rsidP="002B6C05">
            <w:pPr>
              <w:rPr>
                <w:rFonts w:asciiTheme="minorHAnsi" w:hAnsiTheme="minorHAnsi" w:cstheme="minorHAnsi"/>
                <w:sz w:val="18"/>
                <w:szCs w:val="18"/>
              </w:rPr>
            </w:pPr>
          </w:p>
        </w:tc>
        <w:tc>
          <w:tcPr>
            <w:tcW w:w="818" w:type="pct"/>
            <w:tcBorders>
              <w:top w:val="none" w:sz="0" w:space="0" w:color="auto"/>
              <w:left w:val="none" w:sz="0" w:space="0" w:color="auto"/>
              <w:bottom w:val="none" w:sz="0" w:space="0" w:color="auto"/>
              <w:right w:val="none" w:sz="0" w:space="0" w:color="auto"/>
              <w:tl2br w:val="none" w:sz="0" w:space="0" w:color="auto"/>
              <w:tr2bl w:val="none" w:sz="0" w:space="0" w:color="auto"/>
            </w:tcBorders>
            <w:hideMark/>
          </w:tcPr>
          <w:p w14:paraId="54339BB4" w14:textId="77777777" w:rsidR="004D0A65" w:rsidRPr="001775B3" w:rsidRDefault="004D0A65" w:rsidP="002B6C05">
            <w:pPr>
              <w:jc w:val="left"/>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 w:val="18"/>
                <w:szCs w:val="18"/>
              </w:rPr>
            </w:pPr>
            <w:r w:rsidRPr="00D66E97">
              <w:rPr>
                <w:rFonts w:cstheme="minorHAnsi"/>
                <w:sz w:val="18"/>
                <w:szCs w:val="18"/>
              </w:rPr>
              <w:t>Source Name</w:t>
            </w:r>
          </w:p>
        </w:tc>
        <w:tc>
          <w:tcPr>
            <w:tcW w:w="3894" w:type="pct"/>
            <w:tcBorders>
              <w:top w:val="none" w:sz="0" w:space="0" w:color="auto"/>
              <w:left w:val="none" w:sz="0" w:space="0" w:color="auto"/>
              <w:bottom w:val="none" w:sz="0" w:space="0" w:color="auto"/>
              <w:right w:val="none" w:sz="0" w:space="0" w:color="auto"/>
              <w:tl2br w:val="none" w:sz="0" w:space="0" w:color="auto"/>
              <w:tr2bl w:val="none" w:sz="0" w:space="0" w:color="auto"/>
            </w:tcBorders>
            <w:hideMark/>
          </w:tcPr>
          <w:p w14:paraId="5AE923F4" w14:textId="77777777" w:rsidR="004D0A65" w:rsidRPr="001775B3" w:rsidRDefault="004D0A65" w:rsidP="002B6C05">
            <w:pPr>
              <w:jc w:val="left"/>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 w:val="18"/>
                <w:szCs w:val="18"/>
              </w:rPr>
            </w:pPr>
            <w:r w:rsidRPr="00D66E97">
              <w:rPr>
                <w:rFonts w:cstheme="minorHAnsi"/>
                <w:sz w:val="18"/>
                <w:szCs w:val="18"/>
              </w:rPr>
              <w:t>Description</w:t>
            </w:r>
          </w:p>
        </w:tc>
      </w:tr>
      <w:tr w:rsidR="004D0A65" w:rsidRPr="00D66E97" w14:paraId="2AC2576E" w14:textId="77777777" w:rsidTr="002B6C05">
        <w:trPr>
          <w:cnfStyle w:val="000000100000" w:firstRow="0" w:lastRow="0" w:firstColumn="0" w:lastColumn="0" w:oddVBand="0" w:evenVBand="0" w:oddHBand="1" w:evenHBand="0" w:firstRowFirstColumn="0" w:firstRowLastColumn="0" w:lastRowFirstColumn="0" w:lastRowLastColumn="0"/>
          <w:cantSplit/>
          <w:trHeight w:val="510"/>
          <w:jc w:val="center"/>
        </w:trPr>
        <w:tc>
          <w:tcPr>
            <w:cnfStyle w:val="001000000000" w:firstRow="0" w:lastRow="0" w:firstColumn="1" w:lastColumn="0" w:oddVBand="0" w:evenVBand="0" w:oddHBand="0" w:evenHBand="0" w:firstRowFirstColumn="0" w:firstRowLastColumn="0" w:lastRowFirstColumn="0" w:lastRowLastColumn="0"/>
            <w:tcW w:w="5000" w:type="pct"/>
            <w:gridSpan w:val="3"/>
            <w:tcBorders>
              <w:top w:val="single" w:sz="4" w:space="0" w:color="D5DCE4" w:themeColor="text2" w:themeTint="33"/>
              <w:left w:val="nil"/>
              <w:bottom w:val="single" w:sz="4" w:space="0" w:color="D5DCE4" w:themeColor="text2" w:themeTint="33"/>
              <w:right w:val="nil"/>
            </w:tcBorders>
            <w:hideMark/>
          </w:tcPr>
          <w:p w14:paraId="6E7E7FAE" w14:textId="77777777" w:rsidR="004D0A65" w:rsidRPr="001775B3" w:rsidRDefault="004D0A65" w:rsidP="002B6C05">
            <w:pPr>
              <w:jc w:val="left"/>
              <w:rPr>
                <w:rFonts w:asciiTheme="minorHAnsi" w:eastAsia="Calibri" w:hAnsiTheme="minorHAnsi" w:cstheme="minorHAnsi"/>
                <w:b/>
                <w:sz w:val="18"/>
                <w:szCs w:val="18"/>
              </w:rPr>
            </w:pPr>
            <w:r w:rsidRPr="001775B3">
              <w:rPr>
                <w:rFonts w:asciiTheme="minorHAnsi" w:eastAsia="Calibri" w:hAnsiTheme="minorHAnsi" w:cstheme="minorHAnsi"/>
                <w:b/>
                <w:sz w:val="18"/>
                <w:szCs w:val="18"/>
              </w:rPr>
              <w:t xml:space="preserve">TYPE 1: Sources identified as highest strength: </w:t>
            </w:r>
          </w:p>
          <w:p w14:paraId="05F5336C" w14:textId="77777777" w:rsidR="004D0A65" w:rsidRPr="001775B3" w:rsidRDefault="004D0A65" w:rsidP="002B6C05">
            <w:pPr>
              <w:jc w:val="left"/>
              <w:rPr>
                <w:rFonts w:asciiTheme="minorHAnsi" w:eastAsia="Calibri" w:hAnsiTheme="minorHAnsi" w:cstheme="minorHAnsi"/>
                <w:b/>
                <w:sz w:val="18"/>
                <w:szCs w:val="18"/>
              </w:rPr>
            </w:pPr>
            <w:r w:rsidRPr="001775B3">
              <w:rPr>
                <w:rFonts w:asciiTheme="minorHAnsi" w:eastAsia="Calibri" w:hAnsiTheme="minorHAnsi" w:cstheme="minorHAnsi"/>
                <w:sz w:val="18"/>
                <w:szCs w:val="18"/>
              </w:rPr>
              <w:t>Primary research conducted or vetted by third-party entities such as trade organizations, national labs, or government organizations</w:t>
            </w:r>
          </w:p>
        </w:tc>
      </w:tr>
      <w:tr w:rsidR="004D0A65" w:rsidRPr="00D66E97" w14:paraId="75C66588" w14:textId="77777777" w:rsidTr="002B6C05">
        <w:trPr>
          <w:cnfStyle w:val="000000010000" w:firstRow="0" w:lastRow="0" w:firstColumn="0" w:lastColumn="0" w:oddVBand="0" w:evenVBand="0" w:oddHBand="0" w:evenHBand="1" w:firstRowFirstColumn="0" w:firstRowLastColumn="0" w:lastRowFirstColumn="0" w:lastRowLastColumn="0"/>
          <w:cantSplit/>
          <w:trHeight w:val="510"/>
          <w:jc w:val="center"/>
        </w:trPr>
        <w:tc>
          <w:tcPr>
            <w:cnfStyle w:val="001000000000" w:firstRow="0" w:lastRow="0" w:firstColumn="1" w:lastColumn="0" w:oddVBand="0" w:evenVBand="0" w:oddHBand="0" w:evenHBand="0" w:firstRowFirstColumn="0" w:firstRowLastColumn="0" w:lastRowFirstColumn="0" w:lastRowLastColumn="0"/>
            <w:tcW w:w="288" w:type="pct"/>
            <w:tcBorders>
              <w:top w:val="single" w:sz="4" w:space="0" w:color="D5DCE4" w:themeColor="text2" w:themeTint="33"/>
              <w:left w:val="nil"/>
              <w:bottom w:val="single" w:sz="4" w:space="0" w:color="D5DCE4" w:themeColor="text2" w:themeTint="33"/>
              <w:right w:val="nil"/>
            </w:tcBorders>
            <w:hideMark/>
          </w:tcPr>
          <w:p w14:paraId="7CA0DC57" w14:textId="77777777" w:rsidR="004D0A65" w:rsidRPr="001775B3" w:rsidRDefault="004D0A65" w:rsidP="002B6C05">
            <w:pPr>
              <w:jc w:val="left"/>
              <w:rPr>
                <w:rFonts w:asciiTheme="minorHAnsi" w:eastAsia="Symbol" w:hAnsiTheme="minorHAnsi" w:cstheme="minorHAnsi"/>
                <w:color w:val="000000"/>
                <w:sz w:val="18"/>
                <w:szCs w:val="18"/>
              </w:rPr>
            </w:pPr>
            <w:r w:rsidRPr="001775B3">
              <w:rPr>
                <w:rFonts w:asciiTheme="minorHAnsi" w:eastAsia="Calibri" w:hAnsiTheme="minorHAnsi" w:cstheme="minorHAnsi"/>
                <w:sz w:val="18"/>
                <w:szCs w:val="18"/>
              </w:rPr>
              <w:lastRenderedPageBreak/>
              <w:t>1.1</w:t>
            </w:r>
          </w:p>
        </w:tc>
        <w:tc>
          <w:tcPr>
            <w:tcW w:w="818" w:type="pct"/>
            <w:tcBorders>
              <w:top w:val="single" w:sz="4" w:space="0" w:color="D5DCE4" w:themeColor="text2" w:themeTint="33"/>
              <w:left w:val="nil"/>
              <w:bottom w:val="single" w:sz="4" w:space="0" w:color="D5DCE4" w:themeColor="text2" w:themeTint="33"/>
              <w:right w:val="nil"/>
            </w:tcBorders>
            <w:hideMark/>
          </w:tcPr>
          <w:p w14:paraId="4231FD73" w14:textId="77777777" w:rsidR="004D0A65" w:rsidRPr="001775B3" w:rsidRDefault="004D0A65" w:rsidP="002B6C05">
            <w:pPr>
              <w:jc w:val="left"/>
              <w:cnfStyle w:val="000000010000" w:firstRow="0" w:lastRow="0" w:firstColumn="0" w:lastColumn="0" w:oddVBand="0" w:evenVBand="0" w:oddHBand="0" w:evenHBand="1" w:firstRowFirstColumn="0" w:firstRowLastColumn="0" w:lastRowFirstColumn="0" w:lastRowLastColumn="0"/>
              <w:rPr>
                <w:rFonts w:asciiTheme="minorHAnsi" w:eastAsiaTheme="minorHAnsi" w:hAnsiTheme="minorHAnsi" w:cstheme="minorHAnsi"/>
                <w:color w:val="000000"/>
                <w:sz w:val="18"/>
                <w:szCs w:val="18"/>
              </w:rPr>
            </w:pPr>
            <w:r w:rsidRPr="00D66E97">
              <w:rPr>
                <w:rFonts w:eastAsia="Symbol" w:cstheme="minorHAnsi"/>
                <w:color w:val="000000"/>
                <w:sz w:val="18"/>
                <w:szCs w:val="18"/>
              </w:rPr>
              <w:t>U.S. Department of Energy Federal Energy Conservation Standards</w:t>
            </w:r>
          </w:p>
        </w:tc>
        <w:tc>
          <w:tcPr>
            <w:tcW w:w="3894" w:type="pct"/>
            <w:tcBorders>
              <w:top w:val="single" w:sz="4" w:space="0" w:color="D5DCE4" w:themeColor="text2" w:themeTint="33"/>
              <w:left w:val="nil"/>
              <w:bottom w:val="single" w:sz="4" w:space="0" w:color="D5DCE4" w:themeColor="text2" w:themeTint="33"/>
              <w:right w:val="nil"/>
            </w:tcBorders>
          </w:tcPr>
          <w:p w14:paraId="12D50AC2" w14:textId="77777777" w:rsidR="004D0A65" w:rsidRPr="001775B3" w:rsidRDefault="004D0A65" w:rsidP="002B6C05">
            <w:pPr>
              <w:spacing w:before="0" w:after="0"/>
              <w:jc w:val="left"/>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000000"/>
                <w:sz w:val="18"/>
                <w:szCs w:val="18"/>
              </w:rPr>
            </w:pPr>
            <w:r w:rsidRPr="00D66E97">
              <w:rPr>
                <w:rFonts w:eastAsia="Calibri" w:cstheme="minorHAnsi"/>
                <w:sz w:val="18"/>
                <w:szCs w:val="18"/>
              </w:rPr>
              <w:t>The U.S. Department of Energy (DOE) produces Technical Support Documents (TSD) detailing the analysis behind the federal conservation standards established for each product it regulates. Each TSD contains a chapter, often titled “Life Cycle Cost and Payback Period Analysis”, that offers DOE’s EUL estimate for the product and explains how this value was derived. Although the method depends on the data available for a given product, DOE’s analysis generally relies on some combination of primary research, seco</w:t>
            </w:r>
            <w:r w:rsidRPr="00904A61">
              <w:rPr>
                <w:rFonts w:eastAsia="Calibri" w:cstheme="minorHAnsi"/>
                <w:sz w:val="18"/>
                <w:szCs w:val="18"/>
              </w:rPr>
              <w:t xml:space="preserve">ndary research, modeling, and/or input from industry experts. The TSDs are linked from DOE’s </w:t>
            </w:r>
            <w:r w:rsidRPr="00B9278F">
              <w:rPr>
                <w:rFonts w:eastAsia="Calibri" w:cstheme="minorHAnsi"/>
                <w:sz w:val="18"/>
                <w:szCs w:val="18"/>
              </w:rPr>
              <w:t xml:space="preserve">rulemaking page for each product, </w:t>
            </w:r>
            <w:r w:rsidRPr="00F81F5D">
              <w:rPr>
                <w:rFonts w:eastAsia="Calibri" w:cstheme="minorHAnsi"/>
                <w:color w:val="006579"/>
                <w:sz w:val="18"/>
                <w:szCs w:val="18"/>
                <w:u w:val="single"/>
              </w:rPr>
              <w:t>https://energy.gov/eere/buildings/standards-and-test-procedures</w:t>
            </w:r>
            <w:r w:rsidRPr="00A91B94">
              <w:rPr>
                <w:rFonts w:eastAsia="Calibri" w:cstheme="minorHAnsi"/>
                <w:sz w:val="18"/>
                <w:szCs w:val="18"/>
              </w:rPr>
              <w:t>.</w:t>
            </w:r>
            <w:r w:rsidRPr="00A91B94">
              <w:rPr>
                <w:rFonts w:cstheme="minorHAnsi"/>
                <w:color w:val="000000"/>
                <w:sz w:val="18"/>
                <w:szCs w:val="18"/>
              </w:rPr>
              <w:t> </w:t>
            </w:r>
          </w:p>
          <w:p w14:paraId="120A701F" w14:textId="77777777" w:rsidR="004D0A65" w:rsidRPr="001775B3" w:rsidRDefault="004D0A65" w:rsidP="002B6C05">
            <w:pP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sz w:val="18"/>
                <w:szCs w:val="18"/>
              </w:rPr>
            </w:pPr>
          </w:p>
          <w:p w14:paraId="357C1F38" w14:textId="77777777" w:rsidR="004D0A65" w:rsidRPr="001775B3" w:rsidRDefault="004D0A65" w:rsidP="002B6C05">
            <w:pPr>
              <w:spacing w:before="0" w:after="0"/>
              <w:jc w:val="left"/>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000000"/>
                <w:sz w:val="18"/>
                <w:szCs w:val="18"/>
              </w:rPr>
            </w:pPr>
            <w:r w:rsidRPr="00D66E97">
              <w:rPr>
                <w:rFonts w:cstheme="minorHAnsi"/>
                <w:sz w:val="18"/>
                <w:szCs w:val="18"/>
              </w:rPr>
              <w:t>The TSD measure life values are based on shipment data, secondary literature research and primary research which include discussions with industry experts. Navigant considers as high quality because of the stakeholder review process and due diligence required to create these documents. Only the best available sources are used to support the EUL values used in life-cycle cost analysis for DOE federal equipment standards.</w:t>
            </w:r>
          </w:p>
        </w:tc>
      </w:tr>
      <w:tr w:rsidR="004D0A65" w:rsidRPr="00D66E97" w14:paraId="11D7F13F" w14:textId="77777777" w:rsidTr="002B6C05">
        <w:trPr>
          <w:cnfStyle w:val="000000100000" w:firstRow="0" w:lastRow="0" w:firstColumn="0" w:lastColumn="0" w:oddVBand="0" w:evenVBand="0" w:oddHBand="1" w:evenHBand="0" w:firstRowFirstColumn="0" w:firstRowLastColumn="0" w:lastRowFirstColumn="0" w:lastRowLastColumn="0"/>
          <w:cantSplit/>
          <w:trHeight w:val="300"/>
          <w:jc w:val="center"/>
        </w:trPr>
        <w:tc>
          <w:tcPr>
            <w:cnfStyle w:val="001000000000" w:firstRow="0" w:lastRow="0" w:firstColumn="1" w:lastColumn="0" w:oddVBand="0" w:evenVBand="0" w:oddHBand="0" w:evenHBand="0" w:firstRowFirstColumn="0" w:firstRowLastColumn="0" w:lastRowFirstColumn="0" w:lastRowLastColumn="0"/>
            <w:tcW w:w="288" w:type="pct"/>
            <w:tcBorders>
              <w:top w:val="single" w:sz="4" w:space="0" w:color="D5DCE4" w:themeColor="text2" w:themeTint="33"/>
              <w:left w:val="nil"/>
              <w:bottom w:val="single" w:sz="4" w:space="0" w:color="D5DCE4" w:themeColor="text2" w:themeTint="33"/>
              <w:right w:val="nil"/>
            </w:tcBorders>
            <w:hideMark/>
          </w:tcPr>
          <w:p w14:paraId="57320977" w14:textId="77777777" w:rsidR="004D0A65" w:rsidRPr="001775B3" w:rsidRDefault="004D0A65" w:rsidP="002B6C05">
            <w:pPr>
              <w:jc w:val="left"/>
              <w:rPr>
                <w:rFonts w:asciiTheme="minorHAnsi" w:eastAsia="Symbol" w:hAnsiTheme="minorHAnsi" w:cstheme="minorHAnsi"/>
                <w:color w:val="000000"/>
                <w:sz w:val="18"/>
                <w:szCs w:val="18"/>
              </w:rPr>
            </w:pPr>
            <w:r w:rsidRPr="001775B3">
              <w:rPr>
                <w:rFonts w:asciiTheme="minorHAnsi" w:eastAsia="Symbol" w:hAnsiTheme="minorHAnsi" w:cstheme="minorHAnsi"/>
                <w:color w:val="000000"/>
                <w:sz w:val="18"/>
                <w:szCs w:val="18"/>
              </w:rPr>
              <w:t>1.2</w:t>
            </w:r>
          </w:p>
        </w:tc>
        <w:tc>
          <w:tcPr>
            <w:tcW w:w="818" w:type="pct"/>
            <w:tcBorders>
              <w:top w:val="single" w:sz="4" w:space="0" w:color="D5DCE4" w:themeColor="text2" w:themeTint="33"/>
              <w:left w:val="nil"/>
              <w:bottom w:val="single" w:sz="4" w:space="0" w:color="D5DCE4" w:themeColor="text2" w:themeTint="33"/>
              <w:right w:val="nil"/>
            </w:tcBorders>
            <w:hideMark/>
          </w:tcPr>
          <w:p w14:paraId="35A20C33" w14:textId="77777777" w:rsidR="004D0A65" w:rsidRPr="001775B3" w:rsidRDefault="004D0A65" w:rsidP="002B6C05">
            <w:pPr>
              <w:jc w:val="left"/>
              <w:cnfStyle w:val="000000100000" w:firstRow="0" w:lastRow="0" w:firstColumn="0" w:lastColumn="0" w:oddVBand="0" w:evenVBand="0" w:oddHBand="1" w:evenHBand="0" w:firstRowFirstColumn="0" w:firstRowLastColumn="0" w:lastRowFirstColumn="0" w:lastRowLastColumn="0"/>
              <w:rPr>
                <w:rFonts w:asciiTheme="minorHAnsi" w:eastAsiaTheme="minorHAnsi" w:hAnsiTheme="minorHAnsi" w:cstheme="minorHAnsi"/>
                <w:color w:val="000000"/>
                <w:sz w:val="18"/>
                <w:szCs w:val="18"/>
                <w:highlight w:val="yellow"/>
              </w:rPr>
            </w:pPr>
            <w:r w:rsidRPr="00D66E97">
              <w:rPr>
                <w:rFonts w:eastAsia="Symbol" w:cstheme="minorHAnsi"/>
                <w:color w:val="000000"/>
                <w:sz w:val="18"/>
                <w:szCs w:val="18"/>
              </w:rPr>
              <w:t>LED lighting reports prepared by Navigant</w:t>
            </w:r>
          </w:p>
        </w:tc>
        <w:tc>
          <w:tcPr>
            <w:tcW w:w="3894" w:type="pct"/>
            <w:tcBorders>
              <w:top w:val="single" w:sz="4" w:space="0" w:color="D5DCE4" w:themeColor="text2" w:themeTint="33"/>
              <w:left w:val="nil"/>
              <w:bottom w:val="single" w:sz="4" w:space="0" w:color="D5DCE4" w:themeColor="text2" w:themeTint="33"/>
              <w:right w:val="nil"/>
            </w:tcBorders>
            <w:noWrap/>
            <w:hideMark/>
          </w:tcPr>
          <w:p w14:paraId="24BABE92" w14:textId="77777777" w:rsidR="004D0A65" w:rsidRPr="001775B3" w:rsidRDefault="004D0A65" w:rsidP="002B6C05">
            <w:pPr>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18"/>
                <w:szCs w:val="18"/>
              </w:rPr>
            </w:pPr>
            <w:r w:rsidRPr="00D66E97">
              <w:rPr>
                <w:rFonts w:cstheme="minorHAnsi"/>
                <w:color w:val="000000"/>
                <w:sz w:val="18"/>
                <w:szCs w:val="18"/>
              </w:rPr>
              <w:t>Navigant has performed extensive market research on the state of LED lighting for the US. DOE Solid State Lighting Program most recently published in 2016. It includes typical lifetime operating hours for each lamp type by sector.</w:t>
            </w:r>
          </w:p>
          <w:p w14:paraId="2B2DA9CD" w14:textId="77777777" w:rsidR="004D0A65" w:rsidRPr="001775B3" w:rsidRDefault="004D0A65" w:rsidP="002B6C05">
            <w:pPr>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18"/>
                <w:szCs w:val="18"/>
              </w:rPr>
            </w:pPr>
            <w:r w:rsidRPr="00D66E97">
              <w:rPr>
                <w:rFonts w:eastAsia="Calibri" w:cstheme="minorHAnsi"/>
                <w:color w:val="006579"/>
                <w:sz w:val="18"/>
                <w:szCs w:val="18"/>
                <w:u w:val="single"/>
              </w:rPr>
              <w:t>https://energy.gov/sites/prod/files/2016/09/f33/energysavingsforecast16_2.pdf</w:t>
            </w:r>
          </w:p>
        </w:tc>
      </w:tr>
      <w:tr w:rsidR="004D0A65" w:rsidRPr="00D66E97" w14:paraId="0F424233" w14:textId="77777777" w:rsidTr="002B6C05">
        <w:trPr>
          <w:cnfStyle w:val="000000010000" w:firstRow="0" w:lastRow="0" w:firstColumn="0" w:lastColumn="0" w:oddVBand="0" w:evenVBand="0" w:oddHBand="0" w:evenHBand="1" w:firstRowFirstColumn="0" w:firstRowLastColumn="0" w:lastRowFirstColumn="0" w:lastRowLastColumn="0"/>
          <w:cantSplit/>
          <w:trHeight w:val="300"/>
          <w:jc w:val="center"/>
        </w:trPr>
        <w:tc>
          <w:tcPr>
            <w:cnfStyle w:val="001000000000" w:firstRow="0" w:lastRow="0" w:firstColumn="1" w:lastColumn="0" w:oddVBand="0" w:evenVBand="0" w:oddHBand="0" w:evenHBand="0" w:firstRowFirstColumn="0" w:firstRowLastColumn="0" w:lastRowFirstColumn="0" w:lastRowLastColumn="0"/>
            <w:tcW w:w="288" w:type="pct"/>
            <w:tcBorders>
              <w:top w:val="single" w:sz="4" w:space="0" w:color="D5DCE4" w:themeColor="text2" w:themeTint="33"/>
              <w:left w:val="nil"/>
              <w:bottom w:val="single" w:sz="4" w:space="0" w:color="D5DCE4" w:themeColor="text2" w:themeTint="33"/>
              <w:right w:val="nil"/>
            </w:tcBorders>
            <w:hideMark/>
          </w:tcPr>
          <w:p w14:paraId="244EB436" w14:textId="77777777" w:rsidR="004D0A65" w:rsidRPr="001775B3" w:rsidRDefault="004D0A65" w:rsidP="002B6C05">
            <w:pPr>
              <w:jc w:val="left"/>
              <w:rPr>
                <w:rFonts w:asciiTheme="minorHAnsi" w:eastAsia="Symbol" w:hAnsiTheme="minorHAnsi" w:cstheme="minorHAnsi"/>
                <w:color w:val="000000"/>
                <w:sz w:val="18"/>
                <w:szCs w:val="18"/>
              </w:rPr>
            </w:pPr>
            <w:r w:rsidRPr="001775B3">
              <w:rPr>
                <w:rFonts w:asciiTheme="minorHAnsi" w:eastAsia="Symbol" w:hAnsiTheme="minorHAnsi" w:cstheme="minorHAnsi"/>
                <w:color w:val="000000"/>
                <w:sz w:val="18"/>
                <w:szCs w:val="18"/>
              </w:rPr>
              <w:t>1.3</w:t>
            </w:r>
          </w:p>
        </w:tc>
        <w:tc>
          <w:tcPr>
            <w:tcW w:w="818" w:type="pct"/>
            <w:tcBorders>
              <w:top w:val="single" w:sz="4" w:space="0" w:color="D5DCE4" w:themeColor="text2" w:themeTint="33"/>
              <w:left w:val="nil"/>
              <w:bottom w:val="single" w:sz="4" w:space="0" w:color="D5DCE4" w:themeColor="text2" w:themeTint="33"/>
              <w:right w:val="nil"/>
            </w:tcBorders>
            <w:hideMark/>
          </w:tcPr>
          <w:p w14:paraId="7A64498A" w14:textId="77777777" w:rsidR="004D0A65" w:rsidRPr="001775B3" w:rsidRDefault="004D0A65" w:rsidP="002B6C05">
            <w:pPr>
              <w:jc w:val="left"/>
              <w:cnfStyle w:val="000000010000" w:firstRow="0" w:lastRow="0" w:firstColumn="0" w:lastColumn="0" w:oddVBand="0" w:evenVBand="0" w:oddHBand="0" w:evenHBand="1" w:firstRowFirstColumn="0" w:firstRowLastColumn="0" w:lastRowFirstColumn="0" w:lastRowLastColumn="0"/>
              <w:rPr>
                <w:rFonts w:asciiTheme="minorHAnsi" w:eastAsiaTheme="minorHAnsi" w:hAnsiTheme="minorHAnsi" w:cstheme="minorHAnsi"/>
                <w:color w:val="000000"/>
                <w:sz w:val="18"/>
                <w:szCs w:val="18"/>
              </w:rPr>
            </w:pPr>
            <w:r w:rsidRPr="00D66E97">
              <w:rPr>
                <w:rFonts w:eastAsia="Symbol" w:cstheme="minorHAnsi"/>
                <w:color w:val="000000"/>
                <w:sz w:val="18"/>
                <w:szCs w:val="18"/>
              </w:rPr>
              <w:t>Appliance Magazine </w:t>
            </w:r>
          </w:p>
        </w:tc>
        <w:tc>
          <w:tcPr>
            <w:tcW w:w="3894" w:type="pct"/>
            <w:tcBorders>
              <w:top w:val="single" w:sz="4" w:space="0" w:color="D5DCE4" w:themeColor="text2" w:themeTint="33"/>
              <w:left w:val="nil"/>
              <w:bottom w:val="single" w:sz="4" w:space="0" w:color="D5DCE4" w:themeColor="text2" w:themeTint="33"/>
              <w:right w:val="nil"/>
            </w:tcBorders>
            <w:noWrap/>
            <w:hideMark/>
          </w:tcPr>
          <w:p w14:paraId="74662FBC" w14:textId="77777777" w:rsidR="004D0A65" w:rsidRPr="001775B3" w:rsidRDefault="004D0A65" w:rsidP="002B6C05">
            <w:pPr>
              <w:jc w:val="left"/>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000000"/>
                <w:sz w:val="18"/>
                <w:szCs w:val="18"/>
              </w:rPr>
            </w:pPr>
            <w:r w:rsidRPr="00D66E97">
              <w:rPr>
                <w:rFonts w:eastAsia="Calibri" w:cstheme="minorHAnsi"/>
                <w:sz w:val="18"/>
                <w:szCs w:val="18"/>
              </w:rPr>
              <w:t>Appliance Magazine publishes an annual report on the market value, life expectancy, and expected unit replacements for a range of consumer appliances. The appliances listed in this report change from year to year, so older versions of the report may be referenced for products no longer listed. As noted in the report, these EUL estimates represent the expert judgment of magazine staff based on input obtained from many sources. Portrait of the U.S. Appliance Industry (2001-2009). U.S. Appliance Industry: Market Share, Life Expe</w:t>
            </w:r>
            <w:r w:rsidRPr="00904A61">
              <w:rPr>
                <w:rFonts w:eastAsia="Calibri" w:cstheme="minorHAnsi"/>
                <w:sz w:val="18"/>
                <w:szCs w:val="18"/>
              </w:rPr>
              <w:t>ctancy and &amp; Replacement Market, and Saturation Levels (2010). U.S. Appliance Industry: Market V</w:t>
            </w:r>
            <w:r w:rsidRPr="00B9278F">
              <w:rPr>
                <w:rFonts w:eastAsia="Calibri" w:cstheme="minorHAnsi"/>
                <w:sz w:val="18"/>
                <w:szCs w:val="18"/>
              </w:rPr>
              <w:t>alue, Life Expectancy and Replacement Picture (2011-2014).</w:t>
            </w:r>
            <w:r w:rsidRPr="00F81F5D">
              <w:rPr>
                <w:rFonts w:cstheme="minorHAnsi"/>
                <w:color w:val="000000"/>
                <w:sz w:val="18"/>
                <w:szCs w:val="18"/>
              </w:rPr>
              <w:t> </w:t>
            </w:r>
          </w:p>
        </w:tc>
      </w:tr>
      <w:tr w:rsidR="004D0A65" w:rsidRPr="00D66E97" w14:paraId="5EE1D249" w14:textId="77777777" w:rsidTr="002B6C05">
        <w:trPr>
          <w:cnfStyle w:val="000000100000" w:firstRow="0" w:lastRow="0" w:firstColumn="0" w:lastColumn="0" w:oddVBand="0" w:evenVBand="0" w:oddHBand="1" w:evenHBand="0" w:firstRowFirstColumn="0" w:firstRowLastColumn="0" w:lastRowFirstColumn="0" w:lastRowLastColumn="0"/>
          <w:cantSplit/>
          <w:trHeight w:val="300"/>
          <w:jc w:val="center"/>
        </w:trPr>
        <w:tc>
          <w:tcPr>
            <w:cnfStyle w:val="001000000000" w:firstRow="0" w:lastRow="0" w:firstColumn="1" w:lastColumn="0" w:oddVBand="0" w:evenVBand="0" w:oddHBand="0" w:evenHBand="0" w:firstRowFirstColumn="0" w:firstRowLastColumn="0" w:lastRowFirstColumn="0" w:lastRowLastColumn="0"/>
            <w:tcW w:w="288" w:type="pct"/>
            <w:tcBorders>
              <w:top w:val="single" w:sz="4" w:space="0" w:color="D5DCE4" w:themeColor="text2" w:themeTint="33"/>
              <w:left w:val="nil"/>
              <w:bottom w:val="single" w:sz="4" w:space="0" w:color="D5DCE4" w:themeColor="text2" w:themeTint="33"/>
              <w:right w:val="nil"/>
            </w:tcBorders>
            <w:hideMark/>
          </w:tcPr>
          <w:p w14:paraId="7BF25E96" w14:textId="77777777" w:rsidR="004D0A65" w:rsidRPr="001775B3" w:rsidRDefault="004D0A65" w:rsidP="002B6C05">
            <w:pPr>
              <w:rPr>
                <w:rFonts w:asciiTheme="minorHAnsi" w:eastAsia="Symbol" w:hAnsiTheme="minorHAnsi" w:cstheme="minorHAnsi"/>
                <w:color w:val="000000"/>
                <w:sz w:val="18"/>
                <w:szCs w:val="18"/>
              </w:rPr>
            </w:pPr>
            <w:r w:rsidRPr="001775B3">
              <w:rPr>
                <w:rFonts w:asciiTheme="minorHAnsi" w:eastAsia="Symbol" w:hAnsiTheme="minorHAnsi" w:cstheme="minorHAnsi"/>
                <w:color w:val="000000"/>
                <w:sz w:val="18"/>
                <w:szCs w:val="18"/>
              </w:rPr>
              <w:t xml:space="preserve">1.4 </w:t>
            </w:r>
          </w:p>
        </w:tc>
        <w:tc>
          <w:tcPr>
            <w:tcW w:w="818" w:type="pct"/>
            <w:tcBorders>
              <w:top w:val="single" w:sz="4" w:space="0" w:color="D5DCE4" w:themeColor="text2" w:themeTint="33"/>
              <w:left w:val="nil"/>
              <w:bottom w:val="single" w:sz="4" w:space="0" w:color="D5DCE4" w:themeColor="text2" w:themeTint="33"/>
              <w:right w:val="nil"/>
            </w:tcBorders>
            <w:hideMark/>
          </w:tcPr>
          <w:p w14:paraId="1C23AC50" w14:textId="77777777" w:rsidR="004D0A65" w:rsidRPr="001775B3" w:rsidRDefault="004D0A65" w:rsidP="002B6C05">
            <w:pPr>
              <w:jc w:val="left"/>
              <w:cnfStyle w:val="000000100000" w:firstRow="0" w:lastRow="0" w:firstColumn="0" w:lastColumn="0" w:oddVBand="0" w:evenVBand="0" w:oddHBand="1" w:evenHBand="0" w:firstRowFirstColumn="0" w:firstRowLastColumn="0" w:lastRowFirstColumn="0" w:lastRowLastColumn="0"/>
              <w:rPr>
                <w:rFonts w:asciiTheme="minorHAnsi" w:eastAsia="Symbol" w:hAnsiTheme="minorHAnsi" w:cstheme="minorHAnsi"/>
                <w:color w:val="000000"/>
                <w:sz w:val="18"/>
                <w:szCs w:val="18"/>
              </w:rPr>
            </w:pPr>
            <w:r w:rsidRPr="00D66E97">
              <w:rPr>
                <w:rFonts w:eastAsia="Symbol" w:cstheme="minorHAnsi"/>
                <w:color w:val="000000"/>
                <w:sz w:val="18"/>
                <w:szCs w:val="18"/>
              </w:rPr>
              <w:t xml:space="preserve">C&amp;I Measure Life and Persistence </w:t>
            </w:r>
          </w:p>
          <w:p w14:paraId="1F962A71" w14:textId="77777777" w:rsidR="004D0A65" w:rsidRPr="001775B3" w:rsidRDefault="004D0A65" w:rsidP="002B6C05">
            <w:pPr>
              <w:jc w:val="left"/>
              <w:cnfStyle w:val="000000100000" w:firstRow="0" w:lastRow="0" w:firstColumn="0" w:lastColumn="0" w:oddVBand="0" w:evenVBand="0" w:oddHBand="1" w:evenHBand="0" w:firstRowFirstColumn="0" w:firstRowLastColumn="0" w:lastRowFirstColumn="0" w:lastRowLastColumn="0"/>
              <w:rPr>
                <w:rFonts w:asciiTheme="minorHAnsi" w:eastAsia="Symbol" w:hAnsiTheme="minorHAnsi" w:cstheme="minorHAnsi"/>
                <w:color w:val="000000"/>
                <w:sz w:val="18"/>
                <w:szCs w:val="18"/>
                <w:highlight w:val="yellow"/>
              </w:rPr>
            </w:pPr>
            <w:r w:rsidRPr="00D66E97">
              <w:rPr>
                <w:rFonts w:eastAsia="Symbol" w:cstheme="minorHAnsi"/>
                <w:color w:val="000000"/>
                <w:sz w:val="18"/>
                <w:szCs w:val="18"/>
              </w:rPr>
              <w:t>Project</w:t>
            </w:r>
          </w:p>
        </w:tc>
        <w:tc>
          <w:tcPr>
            <w:tcW w:w="3894" w:type="pct"/>
            <w:tcBorders>
              <w:top w:val="single" w:sz="4" w:space="0" w:color="D5DCE4" w:themeColor="text2" w:themeTint="33"/>
              <w:left w:val="nil"/>
              <w:bottom w:val="single" w:sz="4" w:space="0" w:color="D5DCE4" w:themeColor="text2" w:themeTint="33"/>
              <w:right w:val="nil"/>
            </w:tcBorders>
            <w:noWrap/>
            <w:hideMark/>
          </w:tcPr>
          <w:p w14:paraId="5EE6FF6D" w14:textId="77777777" w:rsidR="004D0A65" w:rsidRPr="001775B3" w:rsidRDefault="004D0A65" w:rsidP="002B6C05">
            <w:pPr>
              <w:jc w:val="left"/>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cstheme="minorHAnsi"/>
                <w:sz w:val="18"/>
                <w:szCs w:val="18"/>
              </w:rPr>
            </w:pPr>
            <w:r w:rsidRPr="00D66E97">
              <w:rPr>
                <w:rFonts w:eastAsia="Calibri" w:cstheme="minorHAnsi"/>
                <w:sz w:val="18"/>
                <w:szCs w:val="18"/>
              </w:rPr>
              <w:t>In 2011, Northeast Energy Efficiency Partnership sponsored this study of EUL of commercial and industrial lighting. The primary objective of this study was to conduct primary and secondary research and analysis for estimates of measure lifetimes that included on-site verification of CFL bulbs and fixtures, LED exit signs, HID fixtures, and T8 fixtures. Installations occurred from 1999-2009. http://www.neep.org/sites/default/files/resources/NEEP_CI_Persistence_Report-FINAL.pdf</w:t>
            </w:r>
          </w:p>
        </w:tc>
      </w:tr>
      <w:tr w:rsidR="004D0A65" w:rsidRPr="00D66E97" w14:paraId="48B53762" w14:textId="77777777" w:rsidTr="002B6C05">
        <w:trPr>
          <w:cnfStyle w:val="000000010000" w:firstRow="0" w:lastRow="0" w:firstColumn="0" w:lastColumn="0" w:oddVBand="0" w:evenVBand="0" w:oddHBand="0" w:evenHBand="1" w:firstRowFirstColumn="0" w:firstRowLastColumn="0" w:lastRowFirstColumn="0" w:lastRowLastColumn="0"/>
          <w:cantSplit/>
          <w:trHeight w:val="300"/>
          <w:jc w:val="center"/>
        </w:trPr>
        <w:tc>
          <w:tcPr>
            <w:cnfStyle w:val="001000000000" w:firstRow="0" w:lastRow="0" w:firstColumn="1" w:lastColumn="0" w:oddVBand="0" w:evenVBand="0" w:oddHBand="0" w:evenHBand="0" w:firstRowFirstColumn="0" w:firstRowLastColumn="0" w:lastRowFirstColumn="0" w:lastRowLastColumn="0"/>
            <w:tcW w:w="5000" w:type="pct"/>
            <w:gridSpan w:val="3"/>
            <w:tcBorders>
              <w:top w:val="single" w:sz="4" w:space="0" w:color="D5DCE4" w:themeColor="text2" w:themeTint="33"/>
              <w:left w:val="nil"/>
              <w:bottom w:val="single" w:sz="4" w:space="0" w:color="D5DCE4" w:themeColor="text2" w:themeTint="33"/>
              <w:right w:val="nil"/>
            </w:tcBorders>
            <w:hideMark/>
          </w:tcPr>
          <w:p w14:paraId="184D249F" w14:textId="77777777" w:rsidR="004D0A65" w:rsidRPr="001775B3" w:rsidRDefault="004D0A65" w:rsidP="002B6C05">
            <w:pPr>
              <w:jc w:val="left"/>
              <w:rPr>
                <w:rFonts w:asciiTheme="minorHAnsi" w:eastAsia="Calibri" w:hAnsiTheme="minorHAnsi" w:cstheme="minorHAnsi"/>
                <w:b/>
                <w:sz w:val="18"/>
                <w:szCs w:val="18"/>
              </w:rPr>
            </w:pPr>
            <w:r w:rsidRPr="001775B3">
              <w:rPr>
                <w:rFonts w:asciiTheme="minorHAnsi" w:eastAsia="Calibri" w:hAnsiTheme="minorHAnsi" w:cstheme="minorHAnsi"/>
                <w:b/>
                <w:sz w:val="18"/>
                <w:szCs w:val="18"/>
              </w:rPr>
              <w:t xml:space="preserve">TYPE 2: Sources identified as medium-high strength: </w:t>
            </w:r>
          </w:p>
          <w:p w14:paraId="6282A307" w14:textId="77777777" w:rsidR="004D0A65" w:rsidRPr="001775B3" w:rsidRDefault="004D0A65" w:rsidP="002B6C05">
            <w:pPr>
              <w:jc w:val="left"/>
              <w:rPr>
                <w:rFonts w:asciiTheme="minorHAnsi" w:eastAsia="Calibri" w:hAnsiTheme="minorHAnsi" w:cstheme="minorHAnsi"/>
                <w:sz w:val="18"/>
                <w:szCs w:val="18"/>
              </w:rPr>
            </w:pPr>
            <w:r w:rsidRPr="001775B3">
              <w:rPr>
                <w:rFonts w:asciiTheme="minorHAnsi" w:eastAsia="Calibri" w:hAnsiTheme="minorHAnsi" w:cstheme="minorHAnsi"/>
                <w:sz w:val="18"/>
                <w:szCs w:val="18"/>
              </w:rPr>
              <w:t>Meta-analyses conducted by third-party organizations, that show some level of evaluating the studies that comprise the dataset</w:t>
            </w:r>
          </w:p>
        </w:tc>
      </w:tr>
      <w:tr w:rsidR="004D0A65" w:rsidRPr="00D66E97" w14:paraId="6447A6D2" w14:textId="77777777" w:rsidTr="002B6C05">
        <w:trPr>
          <w:cnfStyle w:val="000000100000" w:firstRow="0" w:lastRow="0" w:firstColumn="0" w:lastColumn="0" w:oddVBand="0" w:evenVBand="0" w:oddHBand="1" w:evenHBand="0" w:firstRowFirstColumn="0" w:firstRowLastColumn="0" w:lastRowFirstColumn="0" w:lastRowLastColumn="0"/>
          <w:cantSplit/>
          <w:trHeight w:val="300"/>
          <w:jc w:val="center"/>
        </w:trPr>
        <w:tc>
          <w:tcPr>
            <w:cnfStyle w:val="001000000000" w:firstRow="0" w:lastRow="0" w:firstColumn="1" w:lastColumn="0" w:oddVBand="0" w:evenVBand="0" w:oddHBand="0" w:evenHBand="0" w:firstRowFirstColumn="0" w:firstRowLastColumn="0" w:lastRowFirstColumn="0" w:lastRowLastColumn="0"/>
            <w:tcW w:w="288" w:type="pct"/>
            <w:tcBorders>
              <w:top w:val="single" w:sz="4" w:space="0" w:color="D5DCE4" w:themeColor="text2" w:themeTint="33"/>
              <w:left w:val="nil"/>
              <w:bottom w:val="single" w:sz="4" w:space="0" w:color="D5DCE4" w:themeColor="text2" w:themeTint="33"/>
              <w:right w:val="nil"/>
            </w:tcBorders>
            <w:hideMark/>
          </w:tcPr>
          <w:p w14:paraId="6B1A7D65" w14:textId="77777777" w:rsidR="004D0A65" w:rsidRPr="001775B3" w:rsidRDefault="004D0A65" w:rsidP="002B6C05">
            <w:pPr>
              <w:jc w:val="left"/>
              <w:rPr>
                <w:rFonts w:asciiTheme="minorHAnsi" w:eastAsia="Symbol" w:hAnsiTheme="minorHAnsi" w:cstheme="minorHAnsi"/>
                <w:color w:val="000000"/>
                <w:sz w:val="18"/>
                <w:szCs w:val="18"/>
              </w:rPr>
            </w:pPr>
            <w:r w:rsidRPr="001775B3">
              <w:rPr>
                <w:rFonts w:asciiTheme="minorHAnsi" w:eastAsia="Symbol" w:hAnsiTheme="minorHAnsi" w:cstheme="minorHAnsi"/>
                <w:color w:val="000000"/>
                <w:sz w:val="18"/>
                <w:szCs w:val="18"/>
              </w:rPr>
              <w:t>2.1</w:t>
            </w:r>
          </w:p>
        </w:tc>
        <w:tc>
          <w:tcPr>
            <w:tcW w:w="818" w:type="pct"/>
            <w:tcBorders>
              <w:top w:val="single" w:sz="4" w:space="0" w:color="D5DCE4" w:themeColor="text2" w:themeTint="33"/>
              <w:left w:val="nil"/>
              <w:bottom w:val="single" w:sz="4" w:space="0" w:color="D5DCE4" w:themeColor="text2" w:themeTint="33"/>
              <w:right w:val="nil"/>
            </w:tcBorders>
            <w:hideMark/>
          </w:tcPr>
          <w:p w14:paraId="724980E0" w14:textId="77777777" w:rsidR="004D0A65" w:rsidRPr="001775B3" w:rsidRDefault="004D0A65" w:rsidP="002B6C05">
            <w:pPr>
              <w:jc w:val="left"/>
              <w:cnfStyle w:val="000000100000" w:firstRow="0" w:lastRow="0" w:firstColumn="0" w:lastColumn="0" w:oddVBand="0" w:evenVBand="0" w:oddHBand="1" w:evenHBand="0" w:firstRowFirstColumn="0" w:firstRowLastColumn="0" w:lastRowFirstColumn="0" w:lastRowLastColumn="0"/>
              <w:rPr>
                <w:rFonts w:asciiTheme="minorHAnsi" w:eastAsia="Symbol" w:hAnsiTheme="minorHAnsi" w:cstheme="minorHAnsi"/>
                <w:color w:val="000000"/>
                <w:sz w:val="18"/>
                <w:szCs w:val="18"/>
                <w:highlight w:val="yellow"/>
              </w:rPr>
            </w:pPr>
            <w:r w:rsidRPr="00D66E97">
              <w:rPr>
                <w:rFonts w:eastAsia="Symbol" w:cstheme="minorHAnsi"/>
                <w:color w:val="000000"/>
                <w:sz w:val="18"/>
                <w:szCs w:val="18"/>
              </w:rPr>
              <w:t>California DEER</w:t>
            </w:r>
          </w:p>
        </w:tc>
        <w:tc>
          <w:tcPr>
            <w:tcW w:w="3894" w:type="pct"/>
            <w:tcBorders>
              <w:top w:val="single" w:sz="4" w:space="0" w:color="D5DCE4" w:themeColor="text2" w:themeTint="33"/>
              <w:left w:val="nil"/>
              <w:bottom w:val="single" w:sz="4" w:space="0" w:color="D5DCE4" w:themeColor="text2" w:themeTint="33"/>
              <w:right w:val="nil"/>
            </w:tcBorders>
            <w:noWrap/>
            <w:hideMark/>
          </w:tcPr>
          <w:p w14:paraId="08E214E1" w14:textId="77777777" w:rsidR="004D0A65" w:rsidRPr="001775B3" w:rsidRDefault="004D0A65" w:rsidP="002B6C05">
            <w:pPr>
              <w:jc w:val="left"/>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cstheme="minorHAnsi"/>
                <w:sz w:val="18"/>
                <w:szCs w:val="18"/>
              </w:rPr>
            </w:pPr>
            <w:r w:rsidRPr="00D66E97">
              <w:rPr>
                <w:rFonts w:cstheme="minorHAnsi"/>
                <w:color w:val="000000"/>
                <w:sz w:val="18"/>
                <w:szCs w:val="18"/>
              </w:rPr>
              <w:t>The most recent and comprehensive DEER documentation of EUL sources was from 2008 and 2014. The 2008 version identifies all the sources reviewed and justification for selected measure life. The 2014 measure list identifies the source used for the measure life. Many of the original references are from 2005, http://deeresources.com/files/deer2005/downloads/DEER2005UpdateFinalReport_I</w:t>
            </w:r>
            <w:r w:rsidRPr="00904A61">
              <w:rPr>
                <w:rFonts w:cstheme="minorHAnsi"/>
                <w:color w:val="000000"/>
                <w:sz w:val="18"/>
                <w:szCs w:val="18"/>
              </w:rPr>
              <w:t>tronVersion.pdf, p. 11-1.</w:t>
            </w:r>
          </w:p>
        </w:tc>
      </w:tr>
      <w:tr w:rsidR="004D0A65" w:rsidRPr="00D66E97" w14:paraId="1A5B4246" w14:textId="77777777" w:rsidTr="002B6C05">
        <w:trPr>
          <w:cnfStyle w:val="000000010000" w:firstRow="0" w:lastRow="0" w:firstColumn="0" w:lastColumn="0" w:oddVBand="0" w:evenVBand="0" w:oddHBand="0" w:evenHBand="1" w:firstRowFirstColumn="0" w:firstRowLastColumn="0" w:lastRowFirstColumn="0" w:lastRowLastColumn="0"/>
          <w:cantSplit/>
          <w:trHeight w:val="300"/>
          <w:jc w:val="center"/>
        </w:trPr>
        <w:tc>
          <w:tcPr>
            <w:cnfStyle w:val="001000000000" w:firstRow="0" w:lastRow="0" w:firstColumn="1" w:lastColumn="0" w:oddVBand="0" w:evenVBand="0" w:oddHBand="0" w:evenHBand="0" w:firstRowFirstColumn="0" w:firstRowLastColumn="0" w:lastRowFirstColumn="0" w:lastRowLastColumn="0"/>
            <w:tcW w:w="288" w:type="pct"/>
            <w:tcBorders>
              <w:top w:val="single" w:sz="4" w:space="0" w:color="D5DCE4" w:themeColor="text2" w:themeTint="33"/>
              <w:left w:val="nil"/>
              <w:bottom w:val="single" w:sz="4" w:space="0" w:color="D5DCE4" w:themeColor="text2" w:themeTint="33"/>
              <w:right w:val="nil"/>
            </w:tcBorders>
            <w:hideMark/>
          </w:tcPr>
          <w:p w14:paraId="2BD7B123" w14:textId="77777777" w:rsidR="004D0A65" w:rsidRPr="001775B3" w:rsidRDefault="004D0A65" w:rsidP="002B6C05">
            <w:pPr>
              <w:jc w:val="left"/>
              <w:rPr>
                <w:rFonts w:asciiTheme="minorHAnsi" w:eastAsia="Symbol" w:hAnsiTheme="minorHAnsi" w:cstheme="minorHAnsi"/>
                <w:color w:val="000000"/>
                <w:sz w:val="18"/>
                <w:szCs w:val="18"/>
              </w:rPr>
            </w:pPr>
            <w:r w:rsidRPr="001775B3">
              <w:rPr>
                <w:rFonts w:asciiTheme="minorHAnsi" w:eastAsia="Symbol" w:hAnsiTheme="minorHAnsi" w:cstheme="minorHAnsi"/>
                <w:color w:val="000000"/>
                <w:sz w:val="18"/>
                <w:szCs w:val="18"/>
              </w:rPr>
              <w:t>2.2</w:t>
            </w:r>
          </w:p>
        </w:tc>
        <w:tc>
          <w:tcPr>
            <w:tcW w:w="818" w:type="pct"/>
            <w:tcBorders>
              <w:top w:val="single" w:sz="4" w:space="0" w:color="D5DCE4" w:themeColor="text2" w:themeTint="33"/>
              <w:left w:val="nil"/>
              <w:bottom w:val="single" w:sz="4" w:space="0" w:color="D5DCE4" w:themeColor="text2" w:themeTint="33"/>
              <w:right w:val="nil"/>
            </w:tcBorders>
            <w:hideMark/>
          </w:tcPr>
          <w:p w14:paraId="0CB3664E" w14:textId="77777777" w:rsidR="004D0A65" w:rsidRPr="001775B3" w:rsidRDefault="004D0A65" w:rsidP="002B6C05">
            <w:pPr>
              <w:jc w:val="left"/>
              <w:cnfStyle w:val="000000010000" w:firstRow="0" w:lastRow="0" w:firstColumn="0" w:lastColumn="0" w:oddVBand="0" w:evenVBand="0" w:oddHBand="0" w:evenHBand="1" w:firstRowFirstColumn="0" w:firstRowLastColumn="0" w:lastRowFirstColumn="0" w:lastRowLastColumn="0"/>
              <w:rPr>
                <w:rFonts w:asciiTheme="minorHAnsi" w:eastAsia="Calibri" w:hAnsiTheme="minorHAnsi" w:cstheme="minorHAnsi"/>
                <w:sz w:val="18"/>
                <w:szCs w:val="18"/>
              </w:rPr>
            </w:pPr>
            <w:r w:rsidRPr="00D66E97">
              <w:rPr>
                <w:rFonts w:eastAsia="Calibri" w:cstheme="minorHAnsi"/>
                <w:sz w:val="18"/>
                <w:szCs w:val="18"/>
              </w:rPr>
              <w:t>Regional Technical Forum (RTF) reference workbook</w:t>
            </w:r>
          </w:p>
        </w:tc>
        <w:tc>
          <w:tcPr>
            <w:tcW w:w="3894" w:type="pct"/>
            <w:tcBorders>
              <w:top w:val="single" w:sz="4" w:space="0" w:color="D5DCE4" w:themeColor="text2" w:themeTint="33"/>
              <w:left w:val="nil"/>
              <w:bottom w:val="single" w:sz="4" w:space="0" w:color="D5DCE4" w:themeColor="text2" w:themeTint="33"/>
              <w:right w:val="nil"/>
            </w:tcBorders>
            <w:noWrap/>
            <w:hideMark/>
          </w:tcPr>
          <w:p w14:paraId="596888F7" w14:textId="77777777" w:rsidR="004D0A65" w:rsidRPr="001775B3" w:rsidRDefault="004D0A65" w:rsidP="002B6C05">
            <w:pPr>
              <w:jc w:val="left"/>
              <w:cnfStyle w:val="000000010000" w:firstRow="0" w:lastRow="0" w:firstColumn="0" w:lastColumn="0" w:oddVBand="0" w:evenVBand="0" w:oddHBand="0" w:evenHBand="1" w:firstRowFirstColumn="0" w:firstRowLastColumn="0" w:lastRowFirstColumn="0" w:lastRowLastColumn="0"/>
              <w:rPr>
                <w:rFonts w:asciiTheme="minorHAnsi" w:eastAsia="Calibri" w:hAnsiTheme="minorHAnsi" w:cstheme="minorHAnsi"/>
                <w:sz w:val="18"/>
                <w:szCs w:val="18"/>
              </w:rPr>
            </w:pPr>
            <w:r w:rsidRPr="00D66E97">
              <w:rPr>
                <w:rFonts w:eastAsia="Calibri" w:cstheme="minorHAnsi"/>
                <w:sz w:val="18"/>
                <w:szCs w:val="18"/>
              </w:rPr>
              <w:t>Ongoing revisions as measures undergo review. Similar to the 2008 DEER, the RTF identifies all the sources reviewed and justification for selected measure life.</w:t>
            </w:r>
          </w:p>
        </w:tc>
      </w:tr>
      <w:tr w:rsidR="004D0A65" w:rsidRPr="00D66E97" w14:paraId="6570D4A8" w14:textId="77777777" w:rsidTr="002B6C05">
        <w:trPr>
          <w:cnfStyle w:val="000000100000" w:firstRow="0" w:lastRow="0" w:firstColumn="0" w:lastColumn="0" w:oddVBand="0" w:evenVBand="0" w:oddHBand="1" w:evenHBand="0" w:firstRowFirstColumn="0" w:firstRowLastColumn="0" w:lastRowFirstColumn="0" w:lastRowLastColumn="0"/>
          <w:cantSplit/>
          <w:trHeight w:val="300"/>
          <w:jc w:val="center"/>
        </w:trPr>
        <w:tc>
          <w:tcPr>
            <w:cnfStyle w:val="001000000000" w:firstRow="0" w:lastRow="0" w:firstColumn="1" w:lastColumn="0" w:oddVBand="0" w:evenVBand="0" w:oddHBand="0" w:evenHBand="0" w:firstRowFirstColumn="0" w:firstRowLastColumn="0" w:lastRowFirstColumn="0" w:lastRowLastColumn="0"/>
            <w:tcW w:w="288" w:type="pct"/>
            <w:tcBorders>
              <w:top w:val="single" w:sz="4" w:space="0" w:color="D5DCE4" w:themeColor="text2" w:themeTint="33"/>
              <w:left w:val="nil"/>
              <w:bottom w:val="single" w:sz="4" w:space="0" w:color="D5DCE4" w:themeColor="text2" w:themeTint="33"/>
              <w:right w:val="nil"/>
            </w:tcBorders>
            <w:hideMark/>
          </w:tcPr>
          <w:p w14:paraId="3A0A4967" w14:textId="77777777" w:rsidR="004D0A65" w:rsidRPr="001775B3" w:rsidRDefault="004D0A65" w:rsidP="002B6C05">
            <w:pPr>
              <w:jc w:val="left"/>
              <w:rPr>
                <w:rFonts w:asciiTheme="minorHAnsi" w:eastAsia="Symbol" w:hAnsiTheme="minorHAnsi" w:cstheme="minorHAnsi"/>
                <w:color w:val="000000"/>
                <w:sz w:val="18"/>
                <w:szCs w:val="18"/>
              </w:rPr>
            </w:pPr>
            <w:r w:rsidRPr="001775B3">
              <w:rPr>
                <w:rFonts w:asciiTheme="minorHAnsi" w:eastAsia="Symbol" w:hAnsiTheme="minorHAnsi" w:cstheme="minorHAnsi"/>
                <w:color w:val="000000"/>
                <w:sz w:val="18"/>
                <w:szCs w:val="18"/>
              </w:rPr>
              <w:t>2.3</w:t>
            </w:r>
          </w:p>
        </w:tc>
        <w:tc>
          <w:tcPr>
            <w:tcW w:w="818" w:type="pct"/>
            <w:tcBorders>
              <w:top w:val="single" w:sz="4" w:space="0" w:color="D5DCE4" w:themeColor="text2" w:themeTint="33"/>
              <w:left w:val="nil"/>
              <w:bottom w:val="single" w:sz="4" w:space="0" w:color="D5DCE4" w:themeColor="text2" w:themeTint="33"/>
              <w:right w:val="nil"/>
            </w:tcBorders>
            <w:hideMark/>
          </w:tcPr>
          <w:p w14:paraId="37AEC351" w14:textId="77777777" w:rsidR="004D0A65" w:rsidRPr="001775B3" w:rsidRDefault="004D0A65" w:rsidP="002B6C05">
            <w:pPr>
              <w:jc w:val="left"/>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cstheme="minorHAnsi"/>
                <w:sz w:val="18"/>
                <w:szCs w:val="18"/>
              </w:rPr>
            </w:pPr>
            <w:r w:rsidRPr="00D66E97">
              <w:rPr>
                <w:rFonts w:eastAsia="Calibri" w:cstheme="minorHAnsi"/>
                <w:sz w:val="18"/>
                <w:szCs w:val="18"/>
              </w:rPr>
              <w:t>GDS Reports</w:t>
            </w:r>
          </w:p>
        </w:tc>
        <w:tc>
          <w:tcPr>
            <w:tcW w:w="3894" w:type="pct"/>
            <w:tcBorders>
              <w:top w:val="single" w:sz="4" w:space="0" w:color="D5DCE4" w:themeColor="text2" w:themeTint="33"/>
              <w:left w:val="nil"/>
              <w:bottom w:val="single" w:sz="4" w:space="0" w:color="D5DCE4" w:themeColor="text2" w:themeTint="33"/>
              <w:right w:val="nil"/>
            </w:tcBorders>
            <w:noWrap/>
            <w:hideMark/>
          </w:tcPr>
          <w:p w14:paraId="4687DE88" w14:textId="77777777" w:rsidR="004D0A65" w:rsidRPr="001775B3" w:rsidRDefault="004D0A65" w:rsidP="002B6C05">
            <w:pPr>
              <w:jc w:val="left"/>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cstheme="minorHAnsi"/>
                <w:sz w:val="18"/>
                <w:szCs w:val="18"/>
              </w:rPr>
            </w:pPr>
            <w:r w:rsidRPr="00D66E97">
              <w:rPr>
                <w:rFonts w:eastAsia="Calibri" w:cstheme="minorHAnsi"/>
                <w:sz w:val="18"/>
                <w:szCs w:val="18"/>
              </w:rPr>
              <w:t>GDS Measure Life Report Residential and Commercial/Industrial Lighting and HVAC Measures – 2007. This study used various data sources such as DEER, state TRMs, and evaluation studies with a working group to review and decide on each value.</w:t>
            </w:r>
          </w:p>
        </w:tc>
      </w:tr>
      <w:tr w:rsidR="004D0A65" w:rsidRPr="00D66E97" w14:paraId="31EF3624" w14:textId="77777777" w:rsidTr="002B6C05">
        <w:trPr>
          <w:cnfStyle w:val="000000010000" w:firstRow="0" w:lastRow="0" w:firstColumn="0" w:lastColumn="0" w:oddVBand="0" w:evenVBand="0" w:oddHBand="0" w:evenHBand="1" w:firstRowFirstColumn="0" w:firstRowLastColumn="0" w:lastRowFirstColumn="0" w:lastRowLastColumn="0"/>
          <w:cantSplit/>
          <w:trHeight w:val="300"/>
          <w:jc w:val="center"/>
        </w:trPr>
        <w:tc>
          <w:tcPr>
            <w:cnfStyle w:val="001000000000" w:firstRow="0" w:lastRow="0" w:firstColumn="1" w:lastColumn="0" w:oddVBand="0" w:evenVBand="0" w:oddHBand="0" w:evenHBand="0" w:firstRowFirstColumn="0" w:firstRowLastColumn="0" w:lastRowFirstColumn="0" w:lastRowLastColumn="0"/>
            <w:tcW w:w="288" w:type="pct"/>
            <w:tcBorders>
              <w:top w:val="single" w:sz="4" w:space="0" w:color="D5DCE4" w:themeColor="text2" w:themeTint="33"/>
              <w:left w:val="nil"/>
              <w:bottom w:val="single" w:sz="4" w:space="0" w:color="D5DCE4" w:themeColor="text2" w:themeTint="33"/>
              <w:right w:val="nil"/>
            </w:tcBorders>
            <w:hideMark/>
          </w:tcPr>
          <w:p w14:paraId="349B1549" w14:textId="77777777" w:rsidR="004D0A65" w:rsidRPr="001775B3" w:rsidRDefault="004D0A65" w:rsidP="002B6C05">
            <w:pPr>
              <w:jc w:val="left"/>
              <w:rPr>
                <w:rFonts w:asciiTheme="minorHAnsi" w:eastAsia="Symbol" w:hAnsiTheme="minorHAnsi" w:cstheme="minorHAnsi"/>
                <w:color w:val="000000"/>
                <w:sz w:val="18"/>
                <w:szCs w:val="18"/>
              </w:rPr>
            </w:pPr>
            <w:r w:rsidRPr="001775B3">
              <w:rPr>
                <w:rFonts w:asciiTheme="minorHAnsi" w:eastAsia="Symbol" w:hAnsiTheme="minorHAnsi" w:cstheme="minorHAnsi"/>
                <w:color w:val="000000"/>
                <w:sz w:val="18"/>
                <w:szCs w:val="18"/>
              </w:rPr>
              <w:lastRenderedPageBreak/>
              <w:t>2.4</w:t>
            </w:r>
          </w:p>
        </w:tc>
        <w:tc>
          <w:tcPr>
            <w:tcW w:w="818" w:type="pct"/>
            <w:tcBorders>
              <w:top w:val="single" w:sz="4" w:space="0" w:color="D5DCE4" w:themeColor="text2" w:themeTint="33"/>
              <w:left w:val="nil"/>
              <w:bottom w:val="single" w:sz="4" w:space="0" w:color="D5DCE4" w:themeColor="text2" w:themeTint="33"/>
              <w:right w:val="nil"/>
            </w:tcBorders>
            <w:hideMark/>
          </w:tcPr>
          <w:p w14:paraId="3C8C6CB5" w14:textId="77777777" w:rsidR="004D0A65" w:rsidRPr="001775B3" w:rsidRDefault="004D0A65" w:rsidP="002B6C05">
            <w:pPr>
              <w:jc w:val="left"/>
              <w:cnfStyle w:val="000000010000" w:firstRow="0" w:lastRow="0" w:firstColumn="0" w:lastColumn="0" w:oddVBand="0" w:evenVBand="0" w:oddHBand="0" w:evenHBand="1" w:firstRowFirstColumn="0" w:firstRowLastColumn="0" w:lastRowFirstColumn="0" w:lastRowLastColumn="0"/>
              <w:rPr>
                <w:rFonts w:asciiTheme="minorHAnsi" w:eastAsia="Calibri" w:hAnsiTheme="minorHAnsi" w:cstheme="minorHAnsi"/>
                <w:sz w:val="18"/>
                <w:szCs w:val="18"/>
              </w:rPr>
            </w:pPr>
            <w:r w:rsidRPr="00D66E97">
              <w:rPr>
                <w:rFonts w:eastAsia="Calibri" w:cstheme="minorHAnsi"/>
                <w:sz w:val="18"/>
                <w:szCs w:val="18"/>
              </w:rPr>
              <w:t>Focus on Energy Report</w:t>
            </w:r>
          </w:p>
        </w:tc>
        <w:tc>
          <w:tcPr>
            <w:tcW w:w="3894" w:type="pct"/>
            <w:tcBorders>
              <w:top w:val="single" w:sz="4" w:space="0" w:color="D5DCE4" w:themeColor="text2" w:themeTint="33"/>
              <w:left w:val="nil"/>
              <w:bottom w:val="single" w:sz="4" w:space="0" w:color="D5DCE4" w:themeColor="text2" w:themeTint="33"/>
              <w:right w:val="nil"/>
            </w:tcBorders>
            <w:noWrap/>
            <w:hideMark/>
          </w:tcPr>
          <w:p w14:paraId="723337C3" w14:textId="77777777" w:rsidR="004D0A65" w:rsidRPr="001775B3" w:rsidRDefault="004D0A65" w:rsidP="002B6C05">
            <w:pPr>
              <w:jc w:val="left"/>
              <w:cnfStyle w:val="000000010000" w:firstRow="0" w:lastRow="0" w:firstColumn="0" w:lastColumn="0" w:oddVBand="0" w:evenVBand="0" w:oddHBand="0" w:evenHBand="1" w:firstRowFirstColumn="0" w:firstRowLastColumn="0" w:lastRowFirstColumn="0" w:lastRowLastColumn="0"/>
              <w:rPr>
                <w:rFonts w:asciiTheme="minorHAnsi" w:eastAsia="Calibri" w:hAnsiTheme="minorHAnsi" w:cstheme="minorHAnsi"/>
                <w:sz w:val="18"/>
                <w:szCs w:val="18"/>
              </w:rPr>
            </w:pPr>
            <w:r w:rsidRPr="00D66E97">
              <w:rPr>
                <w:rFonts w:eastAsia="Calibri" w:cstheme="minorHAnsi"/>
                <w:sz w:val="18"/>
                <w:szCs w:val="18"/>
              </w:rPr>
              <w:t>Focus on Energy Evaluation Business Programs: Measure Life Study Final Report: August 25, 2009 – this is a critical review of studies, workpapers and technical guides including a review of the underlying sources or supporting research.</w:t>
            </w:r>
          </w:p>
        </w:tc>
      </w:tr>
      <w:tr w:rsidR="004D0A65" w:rsidRPr="00D66E97" w14:paraId="5E515FF0" w14:textId="77777777" w:rsidTr="002B6C05">
        <w:trPr>
          <w:cnfStyle w:val="000000100000" w:firstRow="0" w:lastRow="0" w:firstColumn="0" w:lastColumn="0" w:oddVBand="0" w:evenVBand="0" w:oddHBand="1" w:evenHBand="0" w:firstRowFirstColumn="0" w:firstRowLastColumn="0" w:lastRowFirstColumn="0" w:lastRowLastColumn="0"/>
          <w:cantSplit/>
          <w:trHeight w:val="300"/>
          <w:jc w:val="center"/>
        </w:trPr>
        <w:tc>
          <w:tcPr>
            <w:cnfStyle w:val="001000000000" w:firstRow="0" w:lastRow="0" w:firstColumn="1" w:lastColumn="0" w:oddVBand="0" w:evenVBand="0" w:oddHBand="0" w:evenHBand="0" w:firstRowFirstColumn="0" w:firstRowLastColumn="0" w:lastRowFirstColumn="0" w:lastRowLastColumn="0"/>
            <w:tcW w:w="288" w:type="pct"/>
            <w:tcBorders>
              <w:top w:val="single" w:sz="4" w:space="0" w:color="D5DCE4" w:themeColor="text2" w:themeTint="33"/>
              <w:left w:val="nil"/>
              <w:bottom w:val="single" w:sz="4" w:space="0" w:color="D5DCE4" w:themeColor="text2" w:themeTint="33"/>
              <w:right w:val="nil"/>
            </w:tcBorders>
            <w:hideMark/>
          </w:tcPr>
          <w:p w14:paraId="40FCD81F" w14:textId="77777777" w:rsidR="004D0A65" w:rsidRPr="001775B3" w:rsidRDefault="004D0A65" w:rsidP="002B6C05">
            <w:pPr>
              <w:jc w:val="left"/>
              <w:rPr>
                <w:rFonts w:asciiTheme="minorHAnsi" w:eastAsia="Symbol" w:hAnsiTheme="minorHAnsi" w:cstheme="minorHAnsi"/>
                <w:color w:val="000000"/>
                <w:sz w:val="18"/>
                <w:szCs w:val="18"/>
              </w:rPr>
            </w:pPr>
            <w:r w:rsidRPr="001775B3">
              <w:rPr>
                <w:rFonts w:asciiTheme="minorHAnsi" w:eastAsia="Symbol" w:hAnsiTheme="minorHAnsi" w:cstheme="minorHAnsi"/>
                <w:color w:val="000000"/>
                <w:sz w:val="18"/>
                <w:szCs w:val="18"/>
              </w:rPr>
              <w:t>2.5</w:t>
            </w:r>
          </w:p>
        </w:tc>
        <w:tc>
          <w:tcPr>
            <w:tcW w:w="818" w:type="pct"/>
            <w:tcBorders>
              <w:top w:val="single" w:sz="4" w:space="0" w:color="D5DCE4" w:themeColor="text2" w:themeTint="33"/>
              <w:left w:val="nil"/>
              <w:bottom w:val="single" w:sz="4" w:space="0" w:color="D5DCE4" w:themeColor="text2" w:themeTint="33"/>
              <w:right w:val="nil"/>
            </w:tcBorders>
            <w:hideMark/>
          </w:tcPr>
          <w:p w14:paraId="3EFBFD52" w14:textId="77777777" w:rsidR="004D0A65" w:rsidRPr="001775B3" w:rsidRDefault="004D0A65" w:rsidP="002B6C05">
            <w:pPr>
              <w:jc w:val="left"/>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cstheme="minorHAnsi"/>
                <w:sz w:val="18"/>
                <w:szCs w:val="18"/>
              </w:rPr>
            </w:pPr>
            <w:r w:rsidRPr="00D66E97">
              <w:rPr>
                <w:rFonts w:eastAsia="Calibri" w:cstheme="minorHAnsi"/>
                <w:sz w:val="18"/>
                <w:szCs w:val="18"/>
              </w:rPr>
              <w:t>ASHRAE </w:t>
            </w:r>
          </w:p>
        </w:tc>
        <w:tc>
          <w:tcPr>
            <w:tcW w:w="3894" w:type="pct"/>
            <w:tcBorders>
              <w:top w:val="single" w:sz="4" w:space="0" w:color="D5DCE4" w:themeColor="text2" w:themeTint="33"/>
              <w:left w:val="nil"/>
              <w:bottom w:val="single" w:sz="4" w:space="0" w:color="D5DCE4" w:themeColor="text2" w:themeTint="33"/>
              <w:right w:val="nil"/>
            </w:tcBorders>
            <w:noWrap/>
            <w:hideMark/>
          </w:tcPr>
          <w:p w14:paraId="64320762" w14:textId="77777777" w:rsidR="004D0A65" w:rsidRPr="001775B3" w:rsidRDefault="004D0A65" w:rsidP="002B6C05">
            <w:pPr>
              <w:jc w:val="left"/>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cstheme="minorHAnsi"/>
                <w:sz w:val="18"/>
                <w:szCs w:val="18"/>
              </w:rPr>
            </w:pPr>
            <w:r w:rsidRPr="00D66E97">
              <w:rPr>
                <w:rFonts w:eastAsia="Calibri" w:cstheme="minorHAnsi"/>
                <w:sz w:val="18"/>
                <w:szCs w:val="18"/>
              </w:rPr>
              <w:t xml:space="preserve">Original source is from Akalin, M.T. 1978. Equipment life and maintenance cost survey (RP-186). ASHRAE Transactions 84(2):94-106; </w:t>
            </w:r>
          </w:p>
          <w:p w14:paraId="6E521736" w14:textId="77777777" w:rsidR="004D0A65" w:rsidRPr="001775B3" w:rsidRDefault="004D0A65" w:rsidP="002B6C05">
            <w:pPr>
              <w:jc w:val="left"/>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cstheme="minorHAnsi"/>
                <w:sz w:val="18"/>
                <w:szCs w:val="18"/>
              </w:rPr>
            </w:pPr>
            <w:r w:rsidRPr="00D66E97">
              <w:rPr>
                <w:rFonts w:eastAsia="Calibri" w:cstheme="minorHAnsi"/>
                <w:sz w:val="18"/>
                <w:szCs w:val="18"/>
              </w:rPr>
              <w:t xml:space="preserve">Recent work is ASHRAE system life database (research project 1237-TRP) - which is a crowd-sourced approach to collecting actual system data. </w:t>
            </w:r>
            <w:hyperlink r:id="rId68" w:history="1">
              <w:r w:rsidRPr="00D66E97">
                <w:rPr>
                  <w:rStyle w:val="Hyperlink"/>
                  <w:rFonts w:eastAsia="Calibri" w:cstheme="minorHAnsi"/>
                  <w:sz w:val="18"/>
                  <w:szCs w:val="18"/>
                </w:rPr>
                <w:t>https://xp20.ashrae.org/publicdatabase/system_service_life.asp?selected_system_type=7</w:t>
              </w:r>
            </w:hyperlink>
          </w:p>
        </w:tc>
      </w:tr>
      <w:tr w:rsidR="004D0A65" w:rsidRPr="00D66E97" w14:paraId="79B600A4" w14:textId="77777777" w:rsidTr="002B6C05">
        <w:trPr>
          <w:cnfStyle w:val="000000010000" w:firstRow="0" w:lastRow="0" w:firstColumn="0" w:lastColumn="0" w:oddVBand="0" w:evenVBand="0" w:oddHBand="0" w:evenHBand="1" w:firstRowFirstColumn="0" w:firstRowLastColumn="0" w:lastRowFirstColumn="0" w:lastRowLastColumn="0"/>
          <w:cantSplit/>
          <w:trHeight w:val="300"/>
          <w:jc w:val="center"/>
        </w:trPr>
        <w:tc>
          <w:tcPr>
            <w:cnfStyle w:val="001000000000" w:firstRow="0" w:lastRow="0" w:firstColumn="1" w:lastColumn="0" w:oddVBand="0" w:evenVBand="0" w:oddHBand="0" w:evenHBand="0" w:firstRowFirstColumn="0" w:firstRowLastColumn="0" w:lastRowFirstColumn="0" w:lastRowLastColumn="0"/>
            <w:tcW w:w="5000" w:type="pct"/>
            <w:gridSpan w:val="3"/>
            <w:tcBorders>
              <w:top w:val="single" w:sz="4" w:space="0" w:color="D5DCE4" w:themeColor="text2" w:themeTint="33"/>
              <w:left w:val="nil"/>
              <w:bottom w:val="single" w:sz="4" w:space="0" w:color="D5DCE4" w:themeColor="text2" w:themeTint="33"/>
              <w:right w:val="nil"/>
            </w:tcBorders>
            <w:hideMark/>
          </w:tcPr>
          <w:p w14:paraId="72DA54A0" w14:textId="77777777" w:rsidR="004D0A65" w:rsidRPr="001775B3" w:rsidRDefault="004D0A65" w:rsidP="002B6C05">
            <w:pPr>
              <w:jc w:val="left"/>
              <w:rPr>
                <w:rFonts w:asciiTheme="minorHAnsi" w:eastAsia="Calibri" w:hAnsiTheme="minorHAnsi" w:cstheme="minorHAnsi"/>
                <w:b/>
                <w:sz w:val="18"/>
                <w:szCs w:val="18"/>
              </w:rPr>
            </w:pPr>
            <w:r w:rsidRPr="001775B3">
              <w:rPr>
                <w:rFonts w:asciiTheme="minorHAnsi" w:eastAsia="Calibri" w:hAnsiTheme="minorHAnsi" w:cstheme="minorHAnsi"/>
                <w:b/>
                <w:sz w:val="18"/>
                <w:szCs w:val="18"/>
              </w:rPr>
              <w:t xml:space="preserve">TYPE 3: Sources identified as medium strength: </w:t>
            </w:r>
          </w:p>
          <w:p w14:paraId="3CED612E" w14:textId="77777777" w:rsidR="004D0A65" w:rsidRPr="001775B3" w:rsidRDefault="004D0A65" w:rsidP="002B6C05">
            <w:pPr>
              <w:jc w:val="left"/>
              <w:rPr>
                <w:rFonts w:asciiTheme="minorHAnsi" w:eastAsia="Calibri" w:hAnsiTheme="minorHAnsi" w:cstheme="minorHAnsi"/>
                <w:sz w:val="18"/>
                <w:szCs w:val="18"/>
              </w:rPr>
            </w:pPr>
            <w:r w:rsidRPr="001775B3">
              <w:rPr>
                <w:rFonts w:asciiTheme="minorHAnsi" w:eastAsia="Calibri" w:hAnsiTheme="minorHAnsi" w:cstheme="minorHAnsi"/>
                <w:sz w:val="18"/>
                <w:szCs w:val="18"/>
              </w:rPr>
              <w:t>Compilations conducted by third-party organizations. Original sources should be cited, and locatable where applicable</w:t>
            </w:r>
          </w:p>
        </w:tc>
      </w:tr>
      <w:tr w:rsidR="004D0A65" w:rsidRPr="00D66E97" w14:paraId="458270D5" w14:textId="77777777" w:rsidTr="002B6C05">
        <w:trPr>
          <w:cnfStyle w:val="000000100000" w:firstRow="0" w:lastRow="0" w:firstColumn="0" w:lastColumn="0" w:oddVBand="0" w:evenVBand="0" w:oddHBand="1" w:evenHBand="0" w:firstRowFirstColumn="0" w:firstRowLastColumn="0" w:lastRowFirstColumn="0" w:lastRowLastColumn="0"/>
          <w:cantSplit/>
          <w:trHeight w:val="300"/>
          <w:jc w:val="center"/>
        </w:trPr>
        <w:tc>
          <w:tcPr>
            <w:cnfStyle w:val="001000000000" w:firstRow="0" w:lastRow="0" w:firstColumn="1" w:lastColumn="0" w:oddVBand="0" w:evenVBand="0" w:oddHBand="0" w:evenHBand="0" w:firstRowFirstColumn="0" w:firstRowLastColumn="0" w:lastRowFirstColumn="0" w:lastRowLastColumn="0"/>
            <w:tcW w:w="288" w:type="pct"/>
            <w:tcBorders>
              <w:top w:val="single" w:sz="4" w:space="0" w:color="D5DCE4" w:themeColor="text2" w:themeTint="33"/>
              <w:left w:val="nil"/>
              <w:bottom w:val="single" w:sz="4" w:space="0" w:color="D5DCE4" w:themeColor="text2" w:themeTint="33"/>
              <w:right w:val="nil"/>
            </w:tcBorders>
            <w:hideMark/>
          </w:tcPr>
          <w:p w14:paraId="56439919" w14:textId="77777777" w:rsidR="004D0A65" w:rsidRPr="001775B3" w:rsidRDefault="004D0A65" w:rsidP="002B6C05">
            <w:pPr>
              <w:jc w:val="left"/>
              <w:rPr>
                <w:rFonts w:asciiTheme="minorHAnsi" w:eastAsia="Symbol" w:hAnsiTheme="minorHAnsi" w:cstheme="minorHAnsi"/>
                <w:color w:val="000000"/>
                <w:sz w:val="18"/>
                <w:szCs w:val="18"/>
              </w:rPr>
            </w:pPr>
            <w:r w:rsidRPr="001775B3">
              <w:rPr>
                <w:rFonts w:asciiTheme="minorHAnsi" w:eastAsia="Symbol" w:hAnsiTheme="minorHAnsi" w:cstheme="minorHAnsi"/>
                <w:color w:val="000000"/>
                <w:sz w:val="18"/>
                <w:szCs w:val="18"/>
              </w:rPr>
              <w:t>3.1</w:t>
            </w:r>
          </w:p>
        </w:tc>
        <w:tc>
          <w:tcPr>
            <w:tcW w:w="818" w:type="pct"/>
            <w:tcBorders>
              <w:top w:val="single" w:sz="4" w:space="0" w:color="D5DCE4" w:themeColor="text2" w:themeTint="33"/>
              <w:left w:val="nil"/>
              <w:bottom w:val="single" w:sz="4" w:space="0" w:color="D5DCE4" w:themeColor="text2" w:themeTint="33"/>
              <w:right w:val="nil"/>
            </w:tcBorders>
            <w:hideMark/>
          </w:tcPr>
          <w:p w14:paraId="7A55484B" w14:textId="77777777" w:rsidR="004D0A65" w:rsidRPr="001775B3" w:rsidRDefault="004D0A65" w:rsidP="002B6C05">
            <w:pPr>
              <w:jc w:val="left"/>
              <w:cnfStyle w:val="000000100000" w:firstRow="0" w:lastRow="0" w:firstColumn="0" w:lastColumn="0" w:oddVBand="0" w:evenVBand="0" w:oddHBand="1" w:evenHBand="0" w:firstRowFirstColumn="0" w:firstRowLastColumn="0" w:lastRowFirstColumn="0" w:lastRowLastColumn="0"/>
              <w:rPr>
                <w:rFonts w:asciiTheme="minorHAnsi" w:eastAsia="Symbol" w:hAnsiTheme="minorHAnsi" w:cstheme="minorHAnsi"/>
                <w:color w:val="000000"/>
                <w:sz w:val="18"/>
                <w:szCs w:val="18"/>
                <w:highlight w:val="yellow"/>
              </w:rPr>
            </w:pPr>
            <w:r w:rsidRPr="00D66E97">
              <w:rPr>
                <w:rFonts w:eastAsia="Symbol" w:cstheme="minorHAnsi"/>
                <w:color w:val="000000"/>
                <w:sz w:val="18"/>
                <w:szCs w:val="18"/>
              </w:rPr>
              <w:t>State TRMs</w:t>
            </w:r>
          </w:p>
        </w:tc>
        <w:tc>
          <w:tcPr>
            <w:tcW w:w="3894" w:type="pct"/>
            <w:tcBorders>
              <w:top w:val="single" w:sz="4" w:space="0" w:color="D5DCE4" w:themeColor="text2" w:themeTint="33"/>
              <w:left w:val="nil"/>
              <w:bottom w:val="single" w:sz="4" w:space="0" w:color="D5DCE4" w:themeColor="text2" w:themeTint="33"/>
              <w:right w:val="nil"/>
            </w:tcBorders>
            <w:noWrap/>
            <w:hideMark/>
          </w:tcPr>
          <w:p w14:paraId="34C35AE2" w14:textId="77777777" w:rsidR="004D0A65" w:rsidRPr="001775B3" w:rsidRDefault="004D0A65" w:rsidP="002B6C05">
            <w:pPr>
              <w:jc w:val="left"/>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cstheme="minorHAnsi"/>
                <w:sz w:val="18"/>
                <w:szCs w:val="18"/>
              </w:rPr>
            </w:pPr>
            <w:r w:rsidRPr="00D66E97">
              <w:rPr>
                <w:rFonts w:cstheme="minorHAnsi"/>
                <w:color w:val="000000"/>
                <w:sz w:val="18"/>
                <w:szCs w:val="18"/>
              </w:rPr>
              <w:t>Many state TRMs reference each other and other sources of varying strength. Due diligence on reference documentation is not always present for the measure life. Many TRMs are reviewed via a stakeholder process.</w:t>
            </w:r>
          </w:p>
        </w:tc>
      </w:tr>
      <w:tr w:rsidR="004D0A65" w:rsidRPr="00D66E97" w14:paraId="08DA2967" w14:textId="77777777" w:rsidTr="002B6C05">
        <w:trPr>
          <w:cnfStyle w:val="000000010000" w:firstRow="0" w:lastRow="0" w:firstColumn="0" w:lastColumn="0" w:oddVBand="0" w:evenVBand="0" w:oddHBand="0" w:evenHBand="1" w:firstRowFirstColumn="0" w:firstRowLastColumn="0" w:lastRowFirstColumn="0" w:lastRowLastColumn="0"/>
          <w:cantSplit/>
          <w:trHeight w:val="300"/>
          <w:jc w:val="center"/>
        </w:trPr>
        <w:tc>
          <w:tcPr>
            <w:cnfStyle w:val="001000000000" w:firstRow="0" w:lastRow="0" w:firstColumn="1" w:lastColumn="0" w:oddVBand="0" w:evenVBand="0" w:oddHBand="0" w:evenHBand="0" w:firstRowFirstColumn="0" w:firstRowLastColumn="0" w:lastRowFirstColumn="0" w:lastRowLastColumn="0"/>
            <w:tcW w:w="288" w:type="pct"/>
            <w:tcBorders>
              <w:top w:val="single" w:sz="4" w:space="0" w:color="D5DCE4" w:themeColor="text2" w:themeTint="33"/>
              <w:left w:val="nil"/>
              <w:bottom w:val="single" w:sz="4" w:space="0" w:color="D5DCE4" w:themeColor="text2" w:themeTint="33"/>
              <w:right w:val="nil"/>
            </w:tcBorders>
            <w:hideMark/>
          </w:tcPr>
          <w:p w14:paraId="382F8853" w14:textId="77777777" w:rsidR="004D0A65" w:rsidRPr="001775B3" w:rsidRDefault="004D0A65" w:rsidP="002B6C05">
            <w:pPr>
              <w:jc w:val="left"/>
              <w:rPr>
                <w:rFonts w:asciiTheme="minorHAnsi" w:eastAsia="Symbol" w:hAnsiTheme="minorHAnsi" w:cstheme="minorHAnsi"/>
                <w:color w:val="000000"/>
                <w:sz w:val="18"/>
                <w:szCs w:val="18"/>
              </w:rPr>
            </w:pPr>
            <w:r w:rsidRPr="001775B3">
              <w:rPr>
                <w:rFonts w:asciiTheme="minorHAnsi" w:eastAsia="Symbol" w:hAnsiTheme="minorHAnsi" w:cstheme="minorHAnsi"/>
                <w:color w:val="000000"/>
                <w:sz w:val="18"/>
                <w:szCs w:val="18"/>
              </w:rPr>
              <w:t>3.2</w:t>
            </w:r>
          </w:p>
        </w:tc>
        <w:tc>
          <w:tcPr>
            <w:tcW w:w="818" w:type="pct"/>
            <w:tcBorders>
              <w:top w:val="single" w:sz="4" w:space="0" w:color="D5DCE4" w:themeColor="text2" w:themeTint="33"/>
              <w:left w:val="nil"/>
              <w:bottom w:val="single" w:sz="4" w:space="0" w:color="D5DCE4" w:themeColor="text2" w:themeTint="33"/>
              <w:right w:val="nil"/>
            </w:tcBorders>
            <w:hideMark/>
          </w:tcPr>
          <w:p w14:paraId="128DB60A" w14:textId="77777777" w:rsidR="004D0A65" w:rsidRPr="001775B3" w:rsidRDefault="004D0A65" w:rsidP="002B6C05">
            <w:pPr>
              <w:jc w:val="left"/>
              <w:cnfStyle w:val="000000010000" w:firstRow="0" w:lastRow="0" w:firstColumn="0" w:lastColumn="0" w:oddVBand="0" w:evenVBand="0" w:oddHBand="0" w:evenHBand="1" w:firstRowFirstColumn="0" w:firstRowLastColumn="0" w:lastRowFirstColumn="0" w:lastRowLastColumn="0"/>
              <w:rPr>
                <w:rFonts w:asciiTheme="minorHAnsi" w:eastAsia="Calibri" w:hAnsiTheme="minorHAnsi" w:cstheme="minorHAnsi"/>
                <w:sz w:val="18"/>
                <w:szCs w:val="18"/>
              </w:rPr>
            </w:pPr>
            <w:r w:rsidRPr="00D66E97">
              <w:rPr>
                <w:rFonts w:eastAsia="Calibri" w:cstheme="minorHAnsi"/>
                <w:sz w:val="18"/>
                <w:szCs w:val="18"/>
              </w:rPr>
              <w:t>ENERGY STAR calculators prepared by U.S. EPA and DOE (depending on the references used)</w:t>
            </w:r>
          </w:p>
        </w:tc>
        <w:tc>
          <w:tcPr>
            <w:tcW w:w="3894" w:type="pct"/>
            <w:tcBorders>
              <w:top w:val="single" w:sz="4" w:space="0" w:color="D5DCE4" w:themeColor="text2" w:themeTint="33"/>
              <w:left w:val="nil"/>
              <w:bottom w:val="single" w:sz="4" w:space="0" w:color="D5DCE4" w:themeColor="text2" w:themeTint="33"/>
              <w:right w:val="nil"/>
            </w:tcBorders>
            <w:noWrap/>
            <w:hideMark/>
          </w:tcPr>
          <w:p w14:paraId="618D67F6" w14:textId="77777777" w:rsidR="004D0A65" w:rsidRPr="001775B3" w:rsidRDefault="004D0A65" w:rsidP="002B6C05">
            <w:pPr>
              <w:jc w:val="left"/>
              <w:cnfStyle w:val="000000010000" w:firstRow="0" w:lastRow="0" w:firstColumn="0" w:lastColumn="0" w:oddVBand="0" w:evenVBand="0" w:oddHBand="0" w:evenHBand="1" w:firstRowFirstColumn="0" w:firstRowLastColumn="0" w:lastRowFirstColumn="0" w:lastRowLastColumn="0"/>
              <w:rPr>
                <w:rFonts w:asciiTheme="minorHAnsi" w:eastAsia="Calibri" w:hAnsiTheme="minorHAnsi" w:cstheme="minorHAnsi"/>
                <w:sz w:val="18"/>
                <w:szCs w:val="18"/>
              </w:rPr>
            </w:pPr>
            <w:r w:rsidRPr="00D66E97">
              <w:rPr>
                <w:rFonts w:eastAsia="Calibri" w:cstheme="minorHAnsi"/>
                <w:sz w:val="18"/>
                <w:szCs w:val="18"/>
              </w:rPr>
              <w:t xml:space="preserve">EPA’s Energy Star offers calculators to help consumers and businesses estimate the energy and cost savings that could be realized by choosing to buy Energy Star certified products. Within these calculators, Energy Star offers a typical EUL and cites the source. Energy Star generally cites a single high-quality source (e.g., DOE, Appliance Magazine) for each EUL value and offers no analysis or discussion of the selected value. Energy Star’s calculators can be accessed at </w:t>
            </w:r>
            <w:hyperlink r:id="rId69" w:history="1">
              <w:r w:rsidRPr="00D66E97">
                <w:rPr>
                  <w:rStyle w:val="Hyperlink"/>
                  <w:rFonts w:eastAsia="Calibri" w:cstheme="minorHAnsi"/>
                  <w:sz w:val="18"/>
                  <w:szCs w:val="18"/>
                </w:rPr>
                <w:t>www.energystar.gov</w:t>
              </w:r>
            </w:hyperlink>
            <w:r w:rsidRPr="00D66E97">
              <w:rPr>
                <w:rFonts w:eastAsia="Calibri" w:cstheme="minorHAnsi"/>
                <w:sz w:val="18"/>
                <w:szCs w:val="18"/>
              </w:rPr>
              <w:t xml:space="preserve">. For example, their appliance calculator is available at </w:t>
            </w:r>
            <w:hyperlink r:id="rId70" w:history="1">
              <w:r w:rsidRPr="00D66E97">
                <w:rPr>
                  <w:rStyle w:val="Hyperlink"/>
                  <w:rFonts w:eastAsia="Calibri" w:cstheme="minorHAnsi"/>
                  <w:sz w:val="18"/>
                  <w:szCs w:val="18"/>
                </w:rPr>
                <w:t>www.energystar.gov/sites/default/files/asset/document/appliance_calculator.xlsx</w:t>
              </w:r>
            </w:hyperlink>
            <w:r w:rsidRPr="00D66E97">
              <w:rPr>
                <w:rFonts w:eastAsia="Calibri" w:cstheme="minorHAnsi"/>
                <w:sz w:val="18"/>
                <w:szCs w:val="18"/>
              </w:rPr>
              <w:t>. </w:t>
            </w:r>
          </w:p>
        </w:tc>
      </w:tr>
      <w:tr w:rsidR="004D0A65" w:rsidRPr="00D66E97" w14:paraId="5776621A" w14:textId="77777777" w:rsidTr="002B6C05">
        <w:trPr>
          <w:cnfStyle w:val="000000100000" w:firstRow="0" w:lastRow="0" w:firstColumn="0" w:lastColumn="0" w:oddVBand="0" w:evenVBand="0" w:oddHBand="1" w:evenHBand="0" w:firstRowFirstColumn="0" w:firstRowLastColumn="0" w:lastRowFirstColumn="0" w:lastRowLastColumn="0"/>
          <w:cantSplit/>
          <w:trHeight w:val="300"/>
          <w:jc w:val="center"/>
        </w:trPr>
        <w:tc>
          <w:tcPr>
            <w:cnfStyle w:val="001000000000" w:firstRow="0" w:lastRow="0" w:firstColumn="1" w:lastColumn="0" w:oddVBand="0" w:evenVBand="0" w:oddHBand="0" w:evenHBand="0" w:firstRowFirstColumn="0" w:firstRowLastColumn="0" w:lastRowFirstColumn="0" w:lastRowLastColumn="0"/>
            <w:tcW w:w="5000" w:type="pct"/>
            <w:gridSpan w:val="3"/>
            <w:tcBorders>
              <w:top w:val="single" w:sz="4" w:space="0" w:color="D5DCE4" w:themeColor="text2" w:themeTint="33"/>
              <w:left w:val="nil"/>
              <w:bottom w:val="single" w:sz="4" w:space="0" w:color="D5DCE4" w:themeColor="text2" w:themeTint="33"/>
              <w:right w:val="nil"/>
            </w:tcBorders>
            <w:hideMark/>
          </w:tcPr>
          <w:p w14:paraId="34731083" w14:textId="77777777" w:rsidR="004D0A65" w:rsidRPr="001775B3" w:rsidRDefault="004D0A65" w:rsidP="002B6C05">
            <w:pPr>
              <w:keepNext/>
              <w:jc w:val="left"/>
              <w:rPr>
                <w:rFonts w:asciiTheme="minorHAnsi" w:eastAsia="Calibri" w:hAnsiTheme="minorHAnsi" w:cstheme="minorHAnsi"/>
                <w:b/>
                <w:sz w:val="18"/>
                <w:szCs w:val="18"/>
              </w:rPr>
            </w:pPr>
            <w:r w:rsidRPr="001775B3">
              <w:rPr>
                <w:rFonts w:asciiTheme="minorHAnsi" w:eastAsia="Calibri" w:hAnsiTheme="minorHAnsi" w:cstheme="minorHAnsi"/>
                <w:b/>
                <w:sz w:val="18"/>
                <w:szCs w:val="18"/>
              </w:rPr>
              <w:t xml:space="preserve">TYPE 4: Sources identified as medium-low strength: </w:t>
            </w:r>
          </w:p>
          <w:p w14:paraId="3D4D3EFE" w14:textId="77777777" w:rsidR="004D0A65" w:rsidRPr="001775B3" w:rsidRDefault="004D0A65" w:rsidP="002B6C05">
            <w:pPr>
              <w:keepNext/>
              <w:jc w:val="left"/>
              <w:rPr>
                <w:rFonts w:asciiTheme="minorHAnsi" w:eastAsia="Calibri" w:hAnsiTheme="minorHAnsi" w:cstheme="minorHAnsi"/>
                <w:sz w:val="18"/>
                <w:szCs w:val="18"/>
              </w:rPr>
            </w:pPr>
            <w:r w:rsidRPr="001775B3">
              <w:rPr>
                <w:rFonts w:asciiTheme="minorHAnsi" w:eastAsia="Calibri" w:hAnsiTheme="minorHAnsi" w:cstheme="minorHAnsi"/>
                <w:sz w:val="18"/>
                <w:szCs w:val="18"/>
              </w:rPr>
              <w:t>Primary research conducted by interested parties such as manufacturers, distributors, retailers or installers</w:t>
            </w:r>
          </w:p>
        </w:tc>
      </w:tr>
      <w:tr w:rsidR="004D0A65" w:rsidRPr="00D66E97" w14:paraId="21C9EF1D" w14:textId="77777777" w:rsidTr="002B6C05">
        <w:trPr>
          <w:cnfStyle w:val="000000010000" w:firstRow="0" w:lastRow="0" w:firstColumn="0" w:lastColumn="0" w:oddVBand="0" w:evenVBand="0" w:oddHBand="0" w:evenHBand="1" w:firstRowFirstColumn="0" w:firstRowLastColumn="0" w:lastRowFirstColumn="0" w:lastRowLastColumn="0"/>
          <w:cantSplit/>
          <w:trHeight w:val="300"/>
          <w:jc w:val="center"/>
        </w:trPr>
        <w:tc>
          <w:tcPr>
            <w:cnfStyle w:val="001000000000" w:firstRow="0" w:lastRow="0" w:firstColumn="1" w:lastColumn="0" w:oddVBand="0" w:evenVBand="0" w:oddHBand="0" w:evenHBand="0" w:firstRowFirstColumn="0" w:firstRowLastColumn="0" w:lastRowFirstColumn="0" w:lastRowLastColumn="0"/>
            <w:tcW w:w="288" w:type="pct"/>
            <w:tcBorders>
              <w:top w:val="single" w:sz="4" w:space="0" w:color="D5DCE4" w:themeColor="text2" w:themeTint="33"/>
              <w:left w:val="nil"/>
              <w:bottom w:val="single" w:sz="4" w:space="0" w:color="D5DCE4" w:themeColor="text2" w:themeTint="33"/>
              <w:right w:val="nil"/>
            </w:tcBorders>
            <w:hideMark/>
          </w:tcPr>
          <w:p w14:paraId="739E5263" w14:textId="77777777" w:rsidR="004D0A65" w:rsidRPr="001775B3" w:rsidRDefault="004D0A65" w:rsidP="002B6C05">
            <w:pPr>
              <w:jc w:val="left"/>
              <w:rPr>
                <w:rFonts w:asciiTheme="minorHAnsi" w:eastAsia="Symbol" w:hAnsiTheme="minorHAnsi" w:cstheme="minorHAnsi"/>
                <w:color w:val="000000"/>
                <w:sz w:val="18"/>
                <w:szCs w:val="18"/>
              </w:rPr>
            </w:pPr>
            <w:r w:rsidRPr="001775B3">
              <w:rPr>
                <w:rFonts w:asciiTheme="minorHAnsi" w:eastAsia="Symbol" w:hAnsiTheme="minorHAnsi" w:cstheme="minorHAnsi"/>
                <w:color w:val="000000"/>
                <w:sz w:val="18"/>
                <w:szCs w:val="18"/>
              </w:rPr>
              <w:t>4.1</w:t>
            </w:r>
          </w:p>
        </w:tc>
        <w:tc>
          <w:tcPr>
            <w:tcW w:w="818" w:type="pct"/>
            <w:tcBorders>
              <w:top w:val="single" w:sz="4" w:space="0" w:color="D5DCE4" w:themeColor="text2" w:themeTint="33"/>
              <w:left w:val="nil"/>
              <w:bottom w:val="single" w:sz="4" w:space="0" w:color="D5DCE4" w:themeColor="text2" w:themeTint="33"/>
              <w:right w:val="nil"/>
            </w:tcBorders>
            <w:hideMark/>
          </w:tcPr>
          <w:p w14:paraId="1BCBA318" w14:textId="77777777" w:rsidR="004D0A65" w:rsidRPr="001775B3" w:rsidRDefault="004D0A65" w:rsidP="002B6C05">
            <w:pPr>
              <w:jc w:val="left"/>
              <w:cnfStyle w:val="000000010000" w:firstRow="0" w:lastRow="0" w:firstColumn="0" w:lastColumn="0" w:oddVBand="0" w:evenVBand="0" w:oddHBand="0" w:evenHBand="1" w:firstRowFirstColumn="0" w:firstRowLastColumn="0" w:lastRowFirstColumn="0" w:lastRowLastColumn="0"/>
              <w:rPr>
                <w:rFonts w:asciiTheme="minorHAnsi" w:eastAsia="Symbol" w:hAnsiTheme="minorHAnsi" w:cstheme="minorHAnsi"/>
                <w:color w:val="000000"/>
                <w:sz w:val="18"/>
                <w:szCs w:val="18"/>
                <w:highlight w:val="yellow"/>
              </w:rPr>
            </w:pPr>
            <w:r w:rsidRPr="00D66E97">
              <w:rPr>
                <w:rFonts w:eastAsia="Symbol" w:cstheme="minorHAnsi"/>
                <w:color w:val="000000"/>
                <w:sz w:val="18"/>
                <w:szCs w:val="18"/>
              </w:rPr>
              <w:t>Interview with interested parties (with no statistical rigor or analysis)</w:t>
            </w:r>
          </w:p>
        </w:tc>
        <w:tc>
          <w:tcPr>
            <w:tcW w:w="3894" w:type="pct"/>
            <w:tcBorders>
              <w:top w:val="single" w:sz="4" w:space="0" w:color="D5DCE4" w:themeColor="text2" w:themeTint="33"/>
              <w:left w:val="nil"/>
              <w:bottom w:val="single" w:sz="4" w:space="0" w:color="D5DCE4" w:themeColor="text2" w:themeTint="33"/>
              <w:right w:val="nil"/>
            </w:tcBorders>
            <w:noWrap/>
            <w:hideMark/>
          </w:tcPr>
          <w:p w14:paraId="6E3C7E66" w14:textId="77777777" w:rsidR="004D0A65" w:rsidRPr="001775B3" w:rsidRDefault="004D0A65" w:rsidP="002B6C05">
            <w:pPr>
              <w:jc w:val="left"/>
              <w:cnfStyle w:val="000000010000" w:firstRow="0" w:lastRow="0" w:firstColumn="0" w:lastColumn="0" w:oddVBand="0" w:evenVBand="0" w:oddHBand="0" w:evenHBand="1" w:firstRowFirstColumn="0" w:firstRowLastColumn="0" w:lastRowFirstColumn="0" w:lastRowLastColumn="0"/>
              <w:rPr>
                <w:rFonts w:asciiTheme="minorHAnsi" w:eastAsia="Calibri" w:hAnsiTheme="minorHAnsi" w:cstheme="minorHAnsi"/>
                <w:sz w:val="18"/>
                <w:szCs w:val="18"/>
              </w:rPr>
            </w:pPr>
            <w:r w:rsidRPr="00D66E97">
              <w:rPr>
                <w:rFonts w:cstheme="minorHAnsi"/>
                <w:color w:val="000000"/>
                <w:sz w:val="18"/>
                <w:szCs w:val="18"/>
              </w:rPr>
              <w:t>Manufacturer, distributor, installer, etc. have a vested interest and may overstate the benefit.</w:t>
            </w:r>
          </w:p>
        </w:tc>
      </w:tr>
      <w:tr w:rsidR="004D0A65" w:rsidRPr="00D66E97" w14:paraId="5C1B84AF" w14:textId="77777777" w:rsidTr="002B6C05">
        <w:trPr>
          <w:cnfStyle w:val="000000100000" w:firstRow="0" w:lastRow="0" w:firstColumn="0" w:lastColumn="0" w:oddVBand="0" w:evenVBand="0" w:oddHBand="1" w:evenHBand="0" w:firstRowFirstColumn="0" w:firstRowLastColumn="0" w:lastRowFirstColumn="0" w:lastRowLastColumn="0"/>
          <w:cantSplit/>
          <w:trHeight w:val="300"/>
          <w:jc w:val="center"/>
        </w:trPr>
        <w:tc>
          <w:tcPr>
            <w:cnfStyle w:val="001000000000" w:firstRow="0" w:lastRow="0" w:firstColumn="1" w:lastColumn="0" w:oddVBand="0" w:evenVBand="0" w:oddHBand="0" w:evenHBand="0" w:firstRowFirstColumn="0" w:firstRowLastColumn="0" w:lastRowFirstColumn="0" w:lastRowLastColumn="0"/>
            <w:tcW w:w="5000" w:type="pct"/>
            <w:gridSpan w:val="3"/>
            <w:tcBorders>
              <w:top w:val="single" w:sz="4" w:space="0" w:color="D5DCE4" w:themeColor="text2" w:themeTint="33"/>
              <w:left w:val="nil"/>
              <w:bottom w:val="single" w:sz="4" w:space="0" w:color="D5DCE4" w:themeColor="text2" w:themeTint="33"/>
              <w:right w:val="nil"/>
            </w:tcBorders>
            <w:hideMark/>
          </w:tcPr>
          <w:p w14:paraId="5AE70047" w14:textId="77777777" w:rsidR="004D0A65" w:rsidRPr="001775B3" w:rsidRDefault="004D0A65" w:rsidP="002B6C05">
            <w:pPr>
              <w:jc w:val="left"/>
              <w:rPr>
                <w:rFonts w:asciiTheme="minorHAnsi" w:eastAsia="Calibri" w:hAnsiTheme="minorHAnsi" w:cstheme="minorHAnsi"/>
                <w:b/>
                <w:sz w:val="18"/>
                <w:szCs w:val="18"/>
              </w:rPr>
            </w:pPr>
            <w:r w:rsidRPr="001775B3">
              <w:rPr>
                <w:rFonts w:asciiTheme="minorHAnsi" w:eastAsia="Calibri" w:hAnsiTheme="minorHAnsi" w:cstheme="minorHAnsi"/>
                <w:b/>
                <w:sz w:val="18"/>
                <w:szCs w:val="18"/>
              </w:rPr>
              <w:t xml:space="preserve">TYPE 5: Sources identified as low strength: </w:t>
            </w:r>
          </w:p>
          <w:p w14:paraId="6B028E57" w14:textId="77777777" w:rsidR="004D0A65" w:rsidRPr="001775B3" w:rsidRDefault="004D0A65" w:rsidP="002B6C05">
            <w:pPr>
              <w:jc w:val="left"/>
              <w:rPr>
                <w:rFonts w:asciiTheme="minorHAnsi" w:eastAsia="Calibri" w:hAnsiTheme="minorHAnsi" w:cstheme="minorHAnsi"/>
                <w:sz w:val="18"/>
                <w:szCs w:val="18"/>
              </w:rPr>
            </w:pPr>
            <w:r w:rsidRPr="001775B3">
              <w:rPr>
                <w:rFonts w:asciiTheme="minorHAnsi" w:eastAsia="Calibri" w:hAnsiTheme="minorHAnsi" w:cstheme="minorHAnsi"/>
                <w:sz w:val="18"/>
                <w:szCs w:val="18"/>
              </w:rPr>
              <w:t>Source where the basis of measure life is anecdotal, based on design specs, warranty period, etc.</w:t>
            </w:r>
          </w:p>
        </w:tc>
      </w:tr>
      <w:tr w:rsidR="004D0A65" w:rsidRPr="00D66E97" w14:paraId="5D69D452" w14:textId="77777777" w:rsidTr="002B6C05">
        <w:trPr>
          <w:cnfStyle w:val="000000010000" w:firstRow="0" w:lastRow="0" w:firstColumn="0" w:lastColumn="0" w:oddVBand="0" w:evenVBand="0" w:oddHBand="0" w:evenHBand="1" w:firstRowFirstColumn="0" w:firstRowLastColumn="0" w:lastRowFirstColumn="0" w:lastRowLastColumn="0"/>
          <w:cantSplit/>
          <w:trHeight w:val="300"/>
          <w:jc w:val="center"/>
        </w:trPr>
        <w:tc>
          <w:tcPr>
            <w:cnfStyle w:val="001000000000" w:firstRow="0" w:lastRow="0" w:firstColumn="1" w:lastColumn="0" w:oddVBand="0" w:evenVBand="0" w:oddHBand="0" w:evenHBand="0" w:firstRowFirstColumn="0" w:firstRowLastColumn="0" w:lastRowFirstColumn="0" w:lastRowLastColumn="0"/>
            <w:tcW w:w="288" w:type="pct"/>
            <w:tcBorders>
              <w:top w:val="single" w:sz="4" w:space="0" w:color="D5DCE4" w:themeColor="text2" w:themeTint="33"/>
              <w:left w:val="nil"/>
              <w:bottom w:val="single" w:sz="8" w:space="0" w:color="44546A" w:themeColor="text2"/>
              <w:right w:val="nil"/>
            </w:tcBorders>
            <w:hideMark/>
          </w:tcPr>
          <w:p w14:paraId="26BE08C4" w14:textId="77777777" w:rsidR="004D0A65" w:rsidRPr="001775B3" w:rsidRDefault="004D0A65" w:rsidP="002B6C05">
            <w:pPr>
              <w:jc w:val="left"/>
              <w:rPr>
                <w:rFonts w:asciiTheme="minorHAnsi" w:eastAsia="Symbol" w:hAnsiTheme="minorHAnsi" w:cstheme="minorHAnsi"/>
                <w:color w:val="000000"/>
                <w:sz w:val="18"/>
                <w:szCs w:val="18"/>
              </w:rPr>
            </w:pPr>
            <w:r w:rsidRPr="001775B3">
              <w:rPr>
                <w:rFonts w:asciiTheme="minorHAnsi" w:eastAsia="Symbol" w:hAnsiTheme="minorHAnsi" w:cstheme="minorHAnsi"/>
                <w:color w:val="000000"/>
                <w:sz w:val="18"/>
                <w:szCs w:val="18"/>
              </w:rPr>
              <w:t>5.1</w:t>
            </w:r>
          </w:p>
        </w:tc>
        <w:tc>
          <w:tcPr>
            <w:tcW w:w="818" w:type="pct"/>
            <w:tcBorders>
              <w:top w:val="single" w:sz="4" w:space="0" w:color="D5DCE4" w:themeColor="text2" w:themeTint="33"/>
              <w:left w:val="nil"/>
              <w:bottom w:val="single" w:sz="8" w:space="0" w:color="44546A" w:themeColor="text2"/>
              <w:right w:val="nil"/>
            </w:tcBorders>
            <w:hideMark/>
          </w:tcPr>
          <w:p w14:paraId="6362FCDA" w14:textId="76CE7CA6" w:rsidR="004D0A65" w:rsidRPr="001775B3" w:rsidRDefault="004D0A65" w:rsidP="002B6C05">
            <w:pPr>
              <w:jc w:val="left"/>
              <w:cnfStyle w:val="000000010000" w:firstRow="0" w:lastRow="0" w:firstColumn="0" w:lastColumn="0" w:oddVBand="0" w:evenVBand="0" w:oddHBand="0" w:evenHBand="1" w:firstRowFirstColumn="0" w:firstRowLastColumn="0" w:lastRowFirstColumn="0" w:lastRowLastColumn="0"/>
              <w:rPr>
                <w:rFonts w:asciiTheme="minorHAnsi" w:eastAsia="Symbol" w:hAnsiTheme="minorHAnsi" w:cstheme="minorHAnsi"/>
                <w:color w:val="000000"/>
                <w:sz w:val="18"/>
                <w:szCs w:val="18"/>
                <w:highlight w:val="yellow"/>
              </w:rPr>
            </w:pPr>
            <w:r w:rsidRPr="00D66E97">
              <w:rPr>
                <w:rFonts w:eastAsia="Symbol" w:cstheme="minorHAnsi"/>
                <w:color w:val="000000"/>
                <w:sz w:val="18"/>
                <w:szCs w:val="18"/>
              </w:rPr>
              <w:t xml:space="preserve">Industry blogs, Implementer or </w:t>
            </w:r>
            <w:r w:rsidR="004827FE">
              <w:rPr>
                <w:rFonts w:eastAsia="Symbol" w:cstheme="minorHAnsi"/>
                <w:color w:val="000000"/>
                <w:sz w:val="18"/>
                <w:szCs w:val="18"/>
              </w:rPr>
              <w:t>evaluator</w:t>
            </w:r>
            <w:r w:rsidR="004827FE" w:rsidRPr="00D66E97">
              <w:rPr>
                <w:rFonts w:eastAsia="Symbol" w:cstheme="minorHAnsi"/>
                <w:color w:val="000000"/>
                <w:sz w:val="18"/>
                <w:szCs w:val="18"/>
              </w:rPr>
              <w:t xml:space="preserve"> </w:t>
            </w:r>
            <w:r w:rsidRPr="00D66E97">
              <w:rPr>
                <w:rFonts w:eastAsia="Symbol" w:cstheme="minorHAnsi"/>
                <w:color w:val="000000"/>
                <w:sz w:val="18"/>
                <w:szCs w:val="18"/>
              </w:rPr>
              <w:t>experience</w:t>
            </w:r>
          </w:p>
        </w:tc>
        <w:tc>
          <w:tcPr>
            <w:tcW w:w="3894" w:type="pct"/>
            <w:tcBorders>
              <w:top w:val="single" w:sz="4" w:space="0" w:color="D5DCE4" w:themeColor="text2" w:themeTint="33"/>
              <w:left w:val="nil"/>
              <w:bottom w:val="single" w:sz="8" w:space="0" w:color="44546A" w:themeColor="text2"/>
              <w:right w:val="nil"/>
            </w:tcBorders>
            <w:noWrap/>
            <w:hideMark/>
          </w:tcPr>
          <w:p w14:paraId="678B1321" w14:textId="77777777" w:rsidR="004D0A65" w:rsidRPr="001775B3" w:rsidRDefault="004D0A65" w:rsidP="002B6C05">
            <w:pPr>
              <w:jc w:val="left"/>
              <w:cnfStyle w:val="000000010000" w:firstRow="0" w:lastRow="0" w:firstColumn="0" w:lastColumn="0" w:oddVBand="0" w:evenVBand="0" w:oddHBand="0" w:evenHBand="1" w:firstRowFirstColumn="0" w:firstRowLastColumn="0" w:lastRowFirstColumn="0" w:lastRowLastColumn="0"/>
              <w:rPr>
                <w:rFonts w:asciiTheme="minorHAnsi" w:eastAsia="Calibri" w:hAnsiTheme="minorHAnsi" w:cstheme="minorHAnsi"/>
                <w:sz w:val="18"/>
                <w:szCs w:val="18"/>
              </w:rPr>
            </w:pPr>
            <w:r w:rsidRPr="00D66E97">
              <w:rPr>
                <w:rFonts w:cstheme="minorHAnsi"/>
                <w:color w:val="000000"/>
                <w:sz w:val="18"/>
                <w:szCs w:val="18"/>
              </w:rPr>
              <w:t xml:space="preserve">Typically based on professional judgment and not rooted in any data. </w:t>
            </w:r>
          </w:p>
        </w:tc>
      </w:tr>
    </w:tbl>
    <w:p w14:paraId="400326E1" w14:textId="77777777" w:rsidR="004D0A65" w:rsidRPr="001702D1" w:rsidRDefault="004D0A65" w:rsidP="004D0A65">
      <w:pPr>
        <w:rPr>
          <w:rFonts w:eastAsia="Franklin Gothic Book"/>
        </w:rPr>
      </w:pPr>
    </w:p>
    <w:p w14:paraId="3572AFEE" w14:textId="77777777" w:rsidR="001E3906" w:rsidRDefault="001E3906" w:rsidP="001702D1">
      <w:pPr>
        <w:rPr>
          <w:rFonts w:eastAsia="Franklin Gothic Book"/>
        </w:rPr>
        <w:sectPr w:rsidR="001E3906" w:rsidSect="003577EB">
          <w:headerReference w:type="default" r:id="rId71"/>
          <w:pgSz w:w="12240" w:h="15840"/>
          <w:pgMar w:top="1440" w:right="1440" w:bottom="1440" w:left="1440" w:header="720" w:footer="720" w:gutter="0"/>
          <w:cols w:space="720"/>
          <w:docGrid w:linePitch="360"/>
        </w:sectPr>
      </w:pPr>
    </w:p>
    <w:p w14:paraId="17AB18B4" w14:textId="7455781E" w:rsidR="00352468" w:rsidRDefault="00E641B8" w:rsidP="00BB2607">
      <w:pPr>
        <w:pStyle w:val="Heading1"/>
      </w:pPr>
      <w:bookmarkStart w:id="2121" w:name="_Toc113619851"/>
      <w:r w:rsidRPr="00500E4D">
        <w:lastRenderedPageBreak/>
        <w:t>Attachment C:</w:t>
      </w:r>
      <w:r w:rsidR="00BB2607">
        <w:t xml:space="preserve"> </w:t>
      </w:r>
      <w:r>
        <w:t xml:space="preserve">Framework for </w:t>
      </w:r>
      <w:r w:rsidRPr="00500E4D">
        <w:t>Counting Market Transformation Savings in Illinois</w:t>
      </w:r>
      <w:bookmarkEnd w:id="2121"/>
    </w:p>
    <w:p w14:paraId="4CED5690" w14:textId="77777777" w:rsidR="0030676F" w:rsidRPr="0008573F" w:rsidRDefault="0030676F" w:rsidP="0092016D">
      <w:pPr>
        <w:pStyle w:val="Heading1"/>
        <w:widowControl/>
        <w:numPr>
          <w:ilvl w:val="0"/>
          <w:numId w:val="82"/>
        </w:numPr>
        <w:tabs>
          <w:tab w:val="left" w:pos="720"/>
        </w:tabs>
        <w:spacing w:before="120" w:after="200"/>
        <w:ind w:left="0" w:firstLine="0"/>
      </w:pPr>
      <w:bookmarkStart w:id="2122" w:name="_Toc17451236"/>
      <w:bookmarkStart w:id="2123" w:name="_Toc113619852"/>
      <w:r>
        <w:t>Market Transformation Context</w:t>
      </w:r>
      <w:bookmarkEnd w:id="2122"/>
      <w:bookmarkEnd w:id="2123"/>
    </w:p>
    <w:p w14:paraId="4993148D" w14:textId="77777777" w:rsidR="00155ECA" w:rsidRDefault="00155ECA" w:rsidP="00155ECA">
      <w:r>
        <w:t xml:space="preserve">This Attachment was developed in 2019 within the Illinois Energy Efficiency Stakeholder Advisory Group (SAG) Market Transformation Savings Working Group, to describe a high-level framework for estimating savings from Market Transformation (MT) initiatives. MT protocols will need to be developed for individual MT initiatives as they are launched, and may be documented in the IL-TRM or by posting agreed-upon protocols to the SAG website.  The development and future inclusion of MT initiative-specific protocols in the IL-TRM will (1) help to ensure consistent evaluation approaches are used for similar MT initiatives that are offered throughout the state and (2) provide utilities with greater certainty as to how specific MT initiatives will be evaluated.  </w:t>
      </w:r>
    </w:p>
    <w:p w14:paraId="2A884535" w14:textId="77777777" w:rsidR="00155ECA" w:rsidRDefault="00155ECA" w:rsidP="00155ECA">
      <w:r>
        <w:t xml:space="preserve">This Attachment is divided into two sections.  The first gives the context of Market Transformation (MT) and describes some of its unique features that influence the estimation of savings. The second part describes high-level methodologies for determining savings from MT initiatives. </w:t>
      </w:r>
    </w:p>
    <w:p w14:paraId="761E3CA0" w14:textId="77777777" w:rsidR="0030676F" w:rsidRPr="00E230E9" w:rsidRDefault="0030676F" w:rsidP="0092016D">
      <w:pPr>
        <w:pStyle w:val="Heading2"/>
        <w:widowControl/>
        <w:numPr>
          <w:ilvl w:val="1"/>
          <w:numId w:val="82"/>
        </w:numPr>
        <w:jc w:val="left"/>
      </w:pPr>
      <w:bookmarkStart w:id="2124" w:name="_Toc50545350"/>
      <w:bookmarkStart w:id="2125" w:name="_Toc50556800"/>
      <w:bookmarkStart w:id="2126" w:name="_Toc50545351"/>
      <w:bookmarkStart w:id="2127" w:name="_Toc50556801"/>
      <w:bookmarkStart w:id="2128" w:name="_Toc17451237"/>
      <w:bookmarkStart w:id="2129" w:name="_Toc113619853"/>
      <w:bookmarkEnd w:id="2124"/>
      <w:bookmarkEnd w:id="2125"/>
      <w:bookmarkEnd w:id="2126"/>
      <w:bookmarkEnd w:id="2127"/>
      <w:r w:rsidRPr="00E230E9">
        <w:t>Market Transformation</w:t>
      </w:r>
      <w:r>
        <w:t xml:space="preserve"> Definition</w:t>
      </w:r>
      <w:bookmarkEnd w:id="2128"/>
      <w:bookmarkEnd w:id="2129"/>
    </w:p>
    <w:p w14:paraId="0108B8EB" w14:textId="77777777" w:rsidR="0030676F" w:rsidRPr="005F75ED" w:rsidRDefault="0030676F" w:rsidP="0030676F">
      <w:pPr>
        <w:rPr>
          <w:rFonts w:cstheme="minorHAnsi"/>
        </w:rPr>
      </w:pPr>
      <w:r w:rsidRPr="005F75ED">
        <w:rPr>
          <w:rFonts w:cstheme="minorHAnsi"/>
        </w:rPr>
        <w:t xml:space="preserve">This </w:t>
      </w:r>
      <w:r>
        <w:rPr>
          <w:rFonts w:cstheme="minorHAnsi"/>
        </w:rPr>
        <w:t>protocol</w:t>
      </w:r>
      <w:r w:rsidRPr="005F75ED">
        <w:rPr>
          <w:rFonts w:cstheme="minorHAnsi"/>
        </w:rPr>
        <w:t xml:space="preserve"> uses the following definition</w:t>
      </w:r>
      <w:r>
        <w:rPr>
          <w:rFonts w:cstheme="minorHAnsi"/>
        </w:rPr>
        <w:t xml:space="preserve"> for Market Transformation (MT) which is also used by the Midwest Market Transformation Collaborative and is very similar to definitions used by other organizations</w:t>
      </w:r>
      <w:r w:rsidRPr="005F75ED">
        <w:rPr>
          <w:rFonts w:cstheme="minorHAnsi"/>
        </w:rPr>
        <w:t xml:space="preserve">: </w:t>
      </w:r>
    </w:p>
    <w:p w14:paraId="46AACD56" w14:textId="77777777" w:rsidR="0030676F" w:rsidRPr="005F75ED" w:rsidRDefault="0030676F" w:rsidP="0030676F">
      <w:pPr>
        <w:ind w:left="720"/>
        <w:rPr>
          <w:rFonts w:cstheme="minorHAnsi"/>
          <w:i/>
        </w:rPr>
      </w:pPr>
      <w:r w:rsidRPr="005F75ED">
        <w:rPr>
          <w:rFonts w:cstheme="minorHAnsi"/>
          <w:i/>
        </w:rPr>
        <w:t xml:space="preserve">Market Transformation is the strategic process of intervening in a market to create lasting change that results in the accelerated adoption of energy efficient products, services and practices.  </w:t>
      </w:r>
    </w:p>
    <w:p w14:paraId="21943E67" w14:textId="77777777" w:rsidR="0030676F" w:rsidRPr="00E230E9" w:rsidRDefault="0030676F" w:rsidP="0092016D">
      <w:pPr>
        <w:pStyle w:val="Heading2"/>
        <w:widowControl/>
        <w:numPr>
          <w:ilvl w:val="1"/>
          <w:numId w:val="82"/>
        </w:numPr>
        <w:jc w:val="left"/>
      </w:pPr>
      <w:bookmarkStart w:id="2130" w:name="_Toc17451238"/>
      <w:bookmarkStart w:id="2131" w:name="_Toc113619854"/>
      <w:r w:rsidRPr="00E230E9">
        <w:t>Market Transformation</w:t>
      </w:r>
      <w:r w:rsidRPr="005F75ED">
        <w:rPr>
          <w:rFonts w:cstheme="minorHAnsi"/>
        </w:rPr>
        <w:t xml:space="preserve"> </w:t>
      </w:r>
      <w:r w:rsidRPr="00E230E9">
        <w:t>and Resource Acquisition</w:t>
      </w:r>
      <w:bookmarkEnd w:id="2130"/>
      <w:bookmarkEnd w:id="2131"/>
    </w:p>
    <w:p w14:paraId="4F2AB269" w14:textId="77777777" w:rsidR="0030676F" w:rsidRDefault="0030676F" w:rsidP="0030676F">
      <w:pPr>
        <w:rPr>
          <w:rFonts w:cstheme="minorHAnsi"/>
        </w:rPr>
      </w:pPr>
      <w:r>
        <w:rPr>
          <w:rFonts w:cstheme="minorHAnsi"/>
        </w:rPr>
        <w:t>An MT initiative</w:t>
      </w:r>
      <w:r w:rsidRPr="005F75ED">
        <w:rPr>
          <w:rFonts w:cstheme="minorHAnsi"/>
        </w:rPr>
        <w:t xml:space="preserve"> can include intervention activities similar to those implemented in standard </w:t>
      </w:r>
      <w:r>
        <w:rPr>
          <w:rFonts w:cstheme="minorHAnsi"/>
        </w:rPr>
        <w:t>Resource Acquisition</w:t>
      </w:r>
      <w:r>
        <w:rPr>
          <w:rStyle w:val="FootnoteReference"/>
          <w:rFonts w:cstheme="minorHAnsi"/>
        </w:rPr>
        <w:footnoteReference w:id="121"/>
      </w:r>
      <w:r>
        <w:rPr>
          <w:rFonts w:cstheme="minorHAnsi"/>
        </w:rPr>
        <w:t xml:space="preserve">  (RA)</w:t>
      </w:r>
      <w:r w:rsidRPr="005F75ED">
        <w:rPr>
          <w:rFonts w:cstheme="minorHAnsi"/>
        </w:rPr>
        <w:t xml:space="preserve"> programs, such as incentives that reduce first costs, training for trade allies, and marketing and case study materials</w:t>
      </w:r>
      <w:r w:rsidRPr="005F75ED">
        <w:rPr>
          <w:rStyle w:val="FootnoteReference"/>
          <w:rFonts w:cstheme="minorHAnsi"/>
        </w:rPr>
        <w:footnoteReference w:id="122"/>
      </w:r>
      <w:r w:rsidRPr="005F75ED">
        <w:rPr>
          <w:rFonts w:cstheme="minorHAnsi"/>
        </w:rPr>
        <w:t xml:space="preserve">. However, MT initiatives </w:t>
      </w:r>
      <w:r>
        <w:rPr>
          <w:rFonts w:cstheme="minorHAnsi"/>
        </w:rPr>
        <w:t>additionally</w:t>
      </w:r>
      <w:r w:rsidRPr="005F75ED">
        <w:rPr>
          <w:rFonts w:cstheme="minorHAnsi"/>
        </w:rPr>
        <w:t xml:space="preserve"> include activities that specifically seek to affect the long-term structure of a market in ways that are not easily undone. For example, working directly with manufacturers on product specifications and features</w:t>
      </w:r>
      <w:r>
        <w:rPr>
          <w:rFonts w:cstheme="minorHAnsi"/>
        </w:rPr>
        <w:t xml:space="preserve"> or </w:t>
      </w:r>
      <w:r w:rsidRPr="005F75ED">
        <w:rPr>
          <w:rFonts w:cstheme="minorHAnsi"/>
        </w:rPr>
        <w:t>engaging with ENERGY STAR and DOE on test procedures and rulemakings</w:t>
      </w:r>
      <w:r>
        <w:rPr>
          <w:rFonts w:cstheme="minorHAnsi"/>
        </w:rPr>
        <w:t>.</w:t>
      </w:r>
    </w:p>
    <w:p w14:paraId="340B3A71" w14:textId="77777777" w:rsidR="0030676F" w:rsidRDefault="0030676F" w:rsidP="0030676F">
      <w:pPr>
        <w:rPr>
          <w:rFonts w:cstheme="minorHAnsi"/>
        </w:rPr>
      </w:pPr>
      <w:r>
        <w:rPr>
          <w:rFonts w:cstheme="minorHAnsi"/>
        </w:rPr>
        <w:t>Figure 1 depicts the types of activities that might be included in an MT initiative.  There are a number of other process actions required to develop an initiative, such as discussions with stakeholders or setting up an evaluation plan, but this is not the subject of the figure.  An example of an MT initiative with multiple interventions is the Heat Pump Water Heater (HPWH) Initiative</w:t>
      </w:r>
      <w:r>
        <w:rPr>
          <w:rStyle w:val="FootnoteReference"/>
          <w:rFonts w:cstheme="minorHAnsi"/>
        </w:rPr>
        <w:footnoteReference w:id="123"/>
      </w:r>
      <w:r>
        <w:rPr>
          <w:rFonts w:cstheme="minorHAnsi"/>
        </w:rPr>
        <w:t xml:space="preserve"> in the Northwest.  Interventions include:  Technical support for development of ENERGY STAR specifications; Laboratory testing of new HPWH to prove performance claims; Upstream manufacturer engagement including incentives to encourage aggressive market pricing; Customer facing retail rebates; Providing technical information to the US DOE standards process in support of HPWHs being cost-effective for large tank sizes; and Working with local jurisdictions to develop code provisions that provide “extra-credit” for HPWH in new construction.  </w:t>
      </w:r>
    </w:p>
    <w:p w14:paraId="2DCDC1CA" w14:textId="77777777" w:rsidR="0030676F" w:rsidRDefault="0030676F" w:rsidP="0030676F">
      <w:pPr>
        <w:rPr>
          <w:rFonts w:cstheme="minorHAnsi"/>
        </w:rPr>
      </w:pPr>
    </w:p>
    <w:p w14:paraId="499039D3" w14:textId="77777777" w:rsidR="0030676F" w:rsidRDefault="0030676F" w:rsidP="0030676F">
      <w:pPr>
        <w:rPr>
          <w:rFonts w:cstheme="minorHAnsi"/>
        </w:rPr>
      </w:pPr>
    </w:p>
    <w:p w14:paraId="3D072C85" w14:textId="42D5B75F" w:rsidR="0030676F" w:rsidRPr="005F75ED" w:rsidRDefault="0030676F" w:rsidP="00D21F1A">
      <w:pPr>
        <w:pStyle w:val="Captions"/>
      </w:pPr>
      <w:bookmarkStart w:id="2132" w:name="_Toc83376845"/>
      <w:r w:rsidRPr="005F75ED">
        <w:lastRenderedPageBreak/>
        <w:t xml:space="preserve">Figure </w:t>
      </w:r>
      <w:r w:rsidR="00B30A83">
        <w:t>1-</w:t>
      </w:r>
      <w:r w:rsidRPr="005F75ED">
        <w:t xml:space="preserve">1:  </w:t>
      </w:r>
      <w:r>
        <w:t xml:space="preserve">Examples of Potential </w:t>
      </w:r>
      <w:r w:rsidRPr="005F75ED">
        <w:t>MT</w:t>
      </w:r>
      <w:r>
        <w:t xml:space="preserve"> Activities</w:t>
      </w:r>
      <w:r w:rsidRPr="005F75ED">
        <w:t xml:space="preserve"> </w:t>
      </w:r>
      <w:r>
        <w:t>Under</w:t>
      </w:r>
      <w:r w:rsidRPr="005F75ED">
        <w:t xml:space="preserve"> a “Theory Umbrella”</w:t>
      </w:r>
      <w:bookmarkEnd w:id="2132"/>
    </w:p>
    <w:p w14:paraId="5743AE20" w14:textId="77777777" w:rsidR="0030676F" w:rsidRPr="005F75ED" w:rsidRDefault="0030676F" w:rsidP="0030676F">
      <w:pPr>
        <w:jc w:val="center"/>
        <w:rPr>
          <w:rFonts w:cstheme="minorHAnsi"/>
        </w:rPr>
      </w:pPr>
      <w:r w:rsidRPr="005F75ED">
        <w:rPr>
          <w:rFonts w:cstheme="minorHAnsi"/>
          <w:noProof/>
        </w:rPr>
        <w:drawing>
          <wp:inline distT="0" distB="0" distL="0" distR="0" wp14:anchorId="1552257C" wp14:editId="0B74B9AD">
            <wp:extent cx="5555487" cy="3022330"/>
            <wp:effectExtent l="12700" t="12700" r="7620" b="1333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6022620" cy="3276463"/>
                    </a:xfrm>
                    <a:prstGeom prst="rect">
                      <a:avLst/>
                    </a:prstGeom>
                    <a:noFill/>
                    <a:ln>
                      <a:solidFill>
                        <a:schemeClr val="tx1"/>
                      </a:solidFill>
                    </a:ln>
                  </pic:spPr>
                </pic:pic>
              </a:graphicData>
            </a:graphic>
          </wp:inline>
        </w:drawing>
      </w:r>
    </w:p>
    <w:p w14:paraId="5A7BEA39" w14:textId="77777777" w:rsidR="0030676F" w:rsidRDefault="0030676F" w:rsidP="0030676F">
      <w:pPr>
        <w:rPr>
          <w:rFonts w:cstheme="minorHAnsi"/>
        </w:rPr>
      </w:pPr>
    </w:p>
    <w:p w14:paraId="5ED57C6C" w14:textId="77777777" w:rsidR="0030676F" w:rsidRPr="005F75ED" w:rsidRDefault="0030676F" w:rsidP="0030676F">
      <w:pPr>
        <w:rPr>
          <w:rFonts w:cstheme="minorHAnsi"/>
        </w:rPr>
      </w:pPr>
      <w:r w:rsidRPr="005F75ED">
        <w:rPr>
          <w:rFonts w:cstheme="minorHAnsi"/>
        </w:rPr>
        <w:t xml:space="preserve">Each MT initiative must establish its own unique overarching MT theory with an “umbrella hypothesis” under which a variety of </w:t>
      </w:r>
      <w:r>
        <w:rPr>
          <w:rFonts w:cstheme="minorHAnsi"/>
        </w:rPr>
        <w:t xml:space="preserve">strategic </w:t>
      </w:r>
      <w:r w:rsidRPr="005F75ED">
        <w:rPr>
          <w:rFonts w:cstheme="minorHAnsi"/>
        </w:rPr>
        <w:t>activities, including those that may be occurring through other parts of the utility or even other organizations</w:t>
      </w:r>
      <w:r>
        <w:rPr>
          <w:rFonts w:cstheme="minorHAnsi"/>
        </w:rPr>
        <w:t>,</w:t>
      </w:r>
      <w:r w:rsidRPr="005F75ED">
        <w:rPr>
          <w:rFonts w:cstheme="minorHAnsi"/>
        </w:rPr>
        <w:t xml:space="preserve"> can be combined </w:t>
      </w:r>
      <w:r>
        <w:rPr>
          <w:rFonts w:cstheme="minorHAnsi"/>
        </w:rPr>
        <w:t>to affect the desired market change.  The goal of this set of activities is</w:t>
      </w:r>
      <w:r w:rsidRPr="005F75ED">
        <w:rPr>
          <w:rFonts w:cstheme="minorHAnsi"/>
        </w:rPr>
        <w:t xml:space="preserve"> to reduce market barriers and leverage opportunities to create </w:t>
      </w:r>
      <w:r>
        <w:rPr>
          <w:rFonts w:cstheme="minorHAnsi"/>
        </w:rPr>
        <w:t xml:space="preserve">lasting </w:t>
      </w:r>
      <w:r w:rsidRPr="005F75ED">
        <w:rPr>
          <w:rFonts w:cstheme="minorHAnsi"/>
        </w:rPr>
        <w:t xml:space="preserve">market change.  </w:t>
      </w:r>
      <w:r>
        <w:rPr>
          <w:rFonts w:cstheme="minorHAnsi"/>
        </w:rPr>
        <w:t>The</w:t>
      </w:r>
      <w:r w:rsidRPr="005F75ED">
        <w:rPr>
          <w:rFonts w:cstheme="minorHAnsi"/>
        </w:rPr>
        <w:t xml:space="preserve"> entire set of activities </w:t>
      </w:r>
      <w:r>
        <w:rPr>
          <w:rFonts w:cstheme="minorHAnsi"/>
        </w:rPr>
        <w:t>are</w:t>
      </w:r>
      <w:r w:rsidRPr="005F75ED">
        <w:rPr>
          <w:rFonts w:cstheme="minorHAnsi"/>
        </w:rPr>
        <w:t xml:space="preserve"> incorporated in the overall MT initiative hypothesis</w:t>
      </w:r>
      <w:r>
        <w:rPr>
          <w:rFonts w:cstheme="minorHAnsi"/>
        </w:rPr>
        <w:t xml:space="preserve"> and logic model</w:t>
      </w:r>
      <w:r w:rsidRPr="005F75ED">
        <w:rPr>
          <w:rFonts w:cstheme="minorHAnsi"/>
        </w:rPr>
        <w:t xml:space="preserve">, even if some of those activities might be funded or implemented from different budgets or organizations.  </w:t>
      </w:r>
    </w:p>
    <w:p w14:paraId="3F1334C5" w14:textId="77777777" w:rsidR="0030676F" w:rsidRPr="005F75ED" w:rsidRDefault="0030676F" w:rsidP="0030676F">
      <w:pPr>
        <w:rPr>
          <w:rFonts w:cstheme="minorHAnsi"/>
        </w:rPr>
      </w:pPr>
      <w:r>
        <w:rPr>
          <w:rFonts w:cstheme="minorHAnsi"/>
        </w:rPr>
        <w:t>RA activities can also result in market changes</w:t>
      </w:r>
      <w:r>
        <w:rPr>
          <w:rStyle w:val="FootnoteReference"/>
          <w:rFonts w:cstheme="minorHAnsi"/>
        </w:rPr>
        <w:footnoteReference w:id="124"/>
      </w:r>
      <w:r>
        <w:rPr>
          <w:rFonts w:cstheme="minorHAnsi"/>
        </w:rPr>
        <w:t xml:space="preserve"> and RA savings approaches may also include documenting market effects for those programs independently from an MT initiative.  However, RA savings are normally measured through participation in a program rather than whole market effects. There are further differences between RA and MT that influence the methods for calculating savings and key difference are shown in table 1 below.  While this protocol addresses savings from initiatives identified as MT, RA savings approaches may also include documenting market effects for those programs independently from an MT initiative.  Accounting for overlap in MT and RA program savings is discussed in a later section of this paper.   </w:t>
      </w:r>
    </w:p>
    <w:p w14:paraId="5EDC34DE" w14:textId="77777777" w:rsidR="0030676F" w:rsidRDefault="0030676F" w:rsidP="0030676F">
      <w:pPr>
        <w:rPr>
          <w:rFonts w:cstheme="minorHAnsi"/>
        </w:rPr>
      </w:pPr>
      <w:r w:rsidRPr="005F75ED">
        <w:rPr>
          <w:rFonts w:cstheme="minorHAnsi"/>
        </w:rPr>
        <w:t xml:space="preserve">Although an MT initiative might include </w:t>
      </w:r>
      <w:r>
        <w:rPr>
          <w:rFonts w:cstheme="minorHAnsi"/>
        </w:rPr>
        <w:t>activities</w:t>
      </w:r>
      <w:r w:rsidRPr="005F75ED">
        <w:rPr>
          <w:rFonts w:cstheme="minorHAnsi"/>
        </w:rPr>
        <w:t xml:space="preserve"> similar to an RA program under the MT Theory Umbrella, the significant differences between MT and RA program types provide important context for planning, implementation and evaluation.  As summarized in Table 1 below, these differences include: the scale of the intervention, the target market, the ultimate goal, the fundamental program approach, the time frame over which cost effectiveness must be evaluated, the amount of program administrator (PA) control, and the set of activities that are tracked, measured and evaluated. </w:t>
      </w:r>
    </w:p>
    <w:p w14:paraId="3407054C" w14:textId="77777777" w:rsidR="0030676F" w:rsidRDefault="0030676F" w:rsidP="0030676F">
      <w:pPr>
        <w:rPr>
          <w:rFonts w:cstheme="minorHAnsi"/>
        </w:rPr>
      </w:pPr>
      <w:r>
        <w:rPr>
          <w:rFonts w:cstheme="minorHAnsi"/>
        </w:rPr>
        <w:br w:type="page"/>
      </w:r>
    </w:p>
    <w:p w14:paraId="0C62F906" w14:textId="77777777" w:rsidR="0030676F" w:rsidRDefault="0030676F" w:rsidP="0030676F">
      <w:pPr>
        <w:rPr>
          <w:rFonts w:cstheme="minorHAnsi"/>
        </w:rPr>
      </w:pPr>
    </w:p>
    <w:p w14:paraId="4BF80870" w14:textId="44145BC1" w:rsidR="0030676F" w:rsidRPr="000B3F84" w:rsidRDefault="0030676F" w:rsidP="0021790A">
      <w:pPr>
        <w:pStyle w:val="TableHeading"/>
        <w:rPr>
          <w:rFonts w:cstheme="minorHAnsi"/>
        </w:rPr>
      </w:pPr>
      <w:bookmarkStart w:id="2133" w:name="_Toc17815269"/>
      <w:bookmarkStart w:id="2134" w:name="_Toc83376860"/>
      <w:r w:rsidRPr="00F519DA">
        <w:t xml:space="preserve">Table </w:t>
      </w:r>
      <w:r w:rsidR="00B30A83" w:rsidRPr="00F519DA">
        <w:t>1-</w:t>
      </w:r>
      <w:r w:rsidRPr="00F519DA">
        <w:t>1: Comparing Resource Acquisition Programs and Market Transformation Initiatives</w:t>
      </w:r>
      <w:bookmarkEnd w:id="2133"/>
      <w:r w:rsidRPr="005F75ED">
        <w:rPr>
          <w:rFonts w:cstheme="minorHAnsi"/>
          <w:vertAlign w:val="superscript"/>
        </w:rPr>
        <w:footnoteReference w:id="125"/>
      </w:r>
      <w:bookmarkEnd w:id="2134"/>
    </w:p>
    <w:tbl>
      <w:tblPr>
        <w:tblStyle w:val="PlainTable21"/>
        <w:tblW w:w="8248" w:type="dxa"/>
        <w:jc w:val="center"/>
        <w:tblLook w:val="0420" w:firstRow="1" w:lastRow="0" w:firstColumn="0" w:lastColumn="0" w:noHBand="0" w:noVBand="1"/>
      </w:tblPr>
      <w:tblGrid>
        <w:gridCol w:w="2426"/>
        <w:gridCol w:w="2911"/>
        <w:gridCol w:w="2911"/>
      </w:tblGrid>
      <w:tr w:rsidR="0030676F" w:rsidRPr="005F75ED" w14:paraId="36980A3A" w14:textId="77777777" w:rsidTr="00D21F1A">
        <w:trPr>
          <w:cnfStyle w:val="100000000000" w:firstRow="1" w:lastRow="0" w:firstColumn="0" w:lastColumn="0" w:oddVBand="0" w:evenVBand="0" w:oddHBand="0" w:evenHBand="0" w:firstRowFirstColumn="0" w:firstRowLastColumn="0" w:lastRowFirstColumn="0" w:lastRowLastColumn="0"/>
          <w:trHeight w:val="197"/>
          <w:jc w:val="center"/>
        </w:trPr>
        <w:tc>
          <w:tcPr>
            <w:tcW w:w="2426" w:type="dxa"/>
            <w:tcBorders>
              <w:top w:val="single" w:sz="4" w:space="0" w:color="7F7F7F" w:themeColor="text1" w:themeTint="80"/>
            </w:tcBorders>
            <w:hideMark/>
          </w:tcPr>
          <w:p w14:paraId="05687F71" w14:textId="77777777" w:rsidR="0030676F" w:rsidRPr="005F75ED" w:rsidRDefault="0030676F" w:rsidP="002B6C05">
            <w:pPr>
              <w:spacing w:after="0"/>
              <w:jc w:val="center"/>
              <w:rPr>
                <w:rFonts w:cstheme="minorHAnsi"/>
                <w:b w:val="0"/>
                <w:bCs w:val="0"/>
                <w:color w:val="000000"/>
              </w:rPr>
            </w:pPr>
          </w:p>
        </w:tc>
        <w:tc>
          <w:tcPr>
            <w:tcW w:w="2911" w:type="dxa"/>
            <w:tcBorders>
              <w:top w:val="single" w:sz="4" w:space="0" w:color="7F7F7F" w:themeColor="text1" w:themeTint="80"/>
            </w:tcBorders>
            <w:hideMark/>
          </w:tcPr>
          <w:p w14:paraId="14EDC1DC" w14:textId="77777777" w:rsidR="0030676F" w:rsidRPr="005F75ED" w:rsidRDefault="0030676F" w:rsidP="002B6C05">
            <w:pPr>
              <w:spacing w:after="0"/>
              <w:rPr>
                <w:rFonts w:cstheme="minorHAnsi"/>
                <w:b w:val="0"/>
                <w:bCs w:val="0"/>
                <w:color w:val="000000"/>
              </w:rPr>
            </w:pPr>
            <w:r w:rsidRPr="005F75ED">
              <w:rPr>
                <w:rFonts w:cstheme="minorHAnsi"/>
                <w:b w:val="0"/>
                <w:bCs w:val="0"/>
                <w:color w:val="000000"/>
              </w:rPr>
              <w:t>Resource Acquisition</w:t>
            </w:r>
          </w:p>
        </w:tc>
        <w:tc>
          <w:tcPr>
            <w:tcW w:w="2911" w:type="dxa"/>
            <w:tcBorders>
              <w:top w:val="single" w:sz="4" w:space="0" w:color="7F7F7F" w:themeColor="text1" w:themeTint="80"/>
            </w:tcBorders>
            <w:hideMark/>
          </w:tcPr>
          <w:p w14:paraId="0032C40E" w14:textId="77777777" w:rsidR="0030676F" w:rsidRPr="005F75ED" w:rsidRDefault="0030676F" w:rsidP="002B6C05">
            <w:pPr>
              <w:spacing w:after="0"/>
              <w:rPr>
                <w:rFonts w:cstheme="minorHAnsi"/>
                <w:b w:val="0"/>
                <w:bCs w:val="0"/>
                <w:color w:val="000000"/>
              </w:rPr>
            </w:pPr>
            <w:r w:rsidRPr="005F75ED">
              <w:rPr>
                <w:rFonts w:cstheme="minorHAnsi"/>
                <w:b w:val="0"/>
                <w:bCs w:val="0"/>
                <w:color w:val="000000"/>
              </w:rPr>
              <w:t>Market Transformation</w:t>
            </w:r>
          </w:p>
        </w:tc>
      </w:tr>
      <w:tr w:rsidR="0030676F" w:rsidRPr="005F75ED" w14:paraId="4082BCDF" w14:textId="77777777" w:rsidTr="00D21F1A">
        <w:trPr>
          <w:cnfStyle w:val="000000100000" w:firstRow="0" w:lastRow="0" w:firstColumn="0" w:lastColumn="0" w:oddVBand="0" w:evenVBand="0" w:oddHBand="1" w:evenHBand="0" w:firstRowFirstColumn="0" w:firstRowLastColumn="0" w:lastRowFirstColumn="0" w:lastRowLastColumn="0"/>
          <w:trHeight w:val="67"/>
          <w:jc w:val="center"/>
        </w:trPr>
        <w:tc>
          <w:tcPr>
            <w:tcW w:w="2426" w:type="dxa"/>
            <w:hideMark/>
          </w:tcPr>
          <w:p w14:paraId="01CD354F" w14:textId="77777777" w:rsidR="0030676F" w:rsidRPr="005F75ED" w:rsidRDefault="0030676F" w:rsidP="002B6C05">
            <w:pPr>
              <w:spacing w:after="0"/>
              <w:rPr>
                <w:rFonts w:cstheme="minorHAnsi"/>
                <w:b/>
                <w:bCs/>
                <w:color w:val="000000"/>
                <w:sz w:val="22"/>
                <w:szCs w:val="22"/>
              </w:rPr>
            </w:pPr>
          </w:p>
        </w:tc>
        <w:tc>
          <w:tcPr>
            <w:tcW w:w="2911" w:type="dxa"/>
            <w:hideMark/>
          </w:tcPr>
          <w:p w14:paraId="3882B838" w14:textId="77777777" w:rsidR="0030676F" w:rsidRPr="005F75ED" w:rsidRDefault="0030676F" w:rsidP="002B6C05">
            <w:pPr>
              <w:spacing w:after="0"/>
              <w:rPr>
                <w:rFonts w:cstheme="minorHAnsi"/>
                <w:color w:val="000000"/>
                <w:sz w:val="22"/>
                <w:szCs w:val="22"/>
              </w:rPr>
            </w:pPr>
          </w:p>
        </w:tc>
        <w:tc>
          <w:tcPr>
            <w:tcW w:w="2911" w:type="dxa"/>
            <w:hideMark/>
          </w:tcPr>
          <w:p w14:paraId="09E20FBF" w14:textId="77777777" w:rsidR="0030676F" w:rsidRPr="005F75ED" w:rsidRDefault="0030676F" w:rsidP="002B6C05">
            <w:pPr>
              <w:spacing w:after="0"/>
              <w:rPr>
                <w:rFonts w:cstheme="minorHAnsi"/>
                <w:color w:val="000000"/>
                <w:sz w:val="22"/>
                <w:szCs w:val="22"/>
              </w:rPr>
            </w:pPr>
          </w:p>
        </w:tc>
      </w:tr>
      <w:tr w:rsidR="0030676F" w:rsidRPr="00AA75EC" w14:paraId="2F71AEB7" w14:textId="77777777" w:rsidTr="00D21F1A">
        <w:trPr>
          <w:trHeight w:val="181"/>
          <w:jc w:val="center"/>
        </w:trPr>
        <w:tc>
          <w:tcPr>
            <w:tcW w:w="0" w:type="dxa"/>
            <w:tcBorders>
              <w:top w:val="single" w:sz="4" w:space="0" w:color="7F7F7F" w:themeColor="text1" w:themeTint="80"/>
              <w:bottom w:val="single" w:sz="4" w:space="0" w:color="7F7F7F" w:themeColor="text1" w:themeTint="80"/>
            </w:tcBorders>
            <w:hideMark/>
          </w:tcPr>
          <w:p w14:paraId="72949079" w14:textId="77777777" w:rsidR="0030676F" w:rsidRPr="00675C00" w:rsidRDefault="0030676F" w:rsidP="002B6C05">
            <w:pPr>
              <w:jc w:val="left"/>
              <w:rPr>
                <w:rFonts w:cstheme="minorHAnsi"/>
                <w:b/>
                <w:bCs/>
                <w:color w:val="000000"/>
                <w:szCs w:val="20"/>
              </w:rPr>
            </w:pPr>
            <w:r w:rsidRPr="00675C00">
              <w:rPr>
                <w:rFonts w:cstheme="minorHAnsi"/>
                <w:b/>
                <w:color w:val="000000"/>
                <w:szCs w:val="20"/>
              </w:rPr>
              <w:t>Scale</w:t>
            </w:r>
          </w:p>
        </w:tc>
        <w:tc>
          <w:tcPr>
            <w:tcW w:w="0" w:type="dxa"/>
            <w:tcBorders>
              <w:top w:val="single" w:sz="4" w:space="0" w:color="7F7F7F" w:themeColor="text1" w:themeTint="80"/>
              <w:bottom w:val="single" w:sz="4" w:space="0" w:color="7F7F7F" w:themeColor="text1" w:themeTint="80"/>
            </w:tcBorders>
            <w:hideMark/>
          </w:tcPr>
          <w:p w14:paraId="48776D83" w14:textId="77777777" w:rsidR="0030676F" w:rsidRPr="00675C00" w:rsidRDefault="0030676F" w:rsidP="002B6C05">
            <w:pPr>
              <w:jc w:val="left"/>
              <w:rPr>
                <w:rFonts w:cstheme="minorHAnsi"/>
                <w:color w:val="000000"/>
                <w:szCs w:val="20"/>
              </w:rPr>
            </w:pPr>
            <w:r w:rsidRPr="00675C00">
              <w:rPr>
                <w:rFonts w:cstheme="minorHAnsi"/>
                <w:color w:val="000000"/>
                <w:szCs w:val="20"/>
              </w:rPr>
              <w:t>Program Administrator’s service territory</w:t>
            </w:r>
          </w:p>
        </w:tc>
        <w:tc>
          <w:tcPr>
            <w:tcW w:w="0" w:type="dxa"/>
            <w:tcBorders>
              <w:top w:val="single" w:sz="4" w:space="0" w:color="7F7F7F" w:themeColor="text1" w:themeTint="80"/>
              <w:bottom w:val="single" w:sz="4" w:space="0" w:color="7F7F7F" w:themeColor="text1" w:themeTint="80"/>
            </w:tcBorders>
            <w:hideMark/>
          </w:tcPr>
          <w:p w14:paraId="28B128A9" w14:textId="77777777" w:rsidR="0030676F" w:rsidRPr="00675C00" w:rsidRDefault="0030676F" w:rsidP="002B6C05">
            <w:pPr>
              <w:jc w:val="left"/>
              <w:rPr>
                <w:rFonts w:cstheme="minorHAnsi"/>
                <w:color w:val="000000"/>
                <w:szCs w:val="20"/>
              </w:rPr>
            </w:pPr>
            <w:r w:rsidRPr="00675C00">
              <w:rPr>
                <w:rFonts w:cstheme="minorHAnsi"/>
                <w:color w:val="000000"/>
                <w:szCs w:val="20"/>
              </w:rPr>
              <w:t>Entire defined market</w:t>
            </w:r>
          </w:p>
        </w:tc>
      </w:tr>
      <w:tr w:rsidR="0030676F" w:rsidRPr="00AA75EC" w14:paraId="40EB37A8" w14:textId="77777777" w:rsidTr="00D21F1A">
        <w:trPr>
          <w:cnfStyle w:val="000000100000" w:firstRow="0" w:lastRow="0" w:firstColumn="0" w:lastColumn="0" w:oddVBand="0" w:evenVBand="0" w:oddHBand="1" w:evenHBand="0" w:firstRowFirstColumn="0" w:firstRowLastColumn="0" w:lastRowFirstColumn="0" w:lastRowLastColumn="0"/>
          <w:trHeight w:val="181"/>
          <w:jc w:val="center"/>
        </w:trPr>
        <w:tc>
          <w:tcPr>
            <w:tcW w:w="0" w:type="dxa"/>
            <w:hideMark/>
          </w:tcPr>
          <w:p w14:paraId="37487BB9" w14:textId="77777777" w:rsidR="0030676F" w:rsidRPr="00675C00" w:rsidRDefault="0030676F" w:rsidP="002B6C05">
            <w:pPr>
              <w:jc w:val="left"/>
              <w:rPr>
                <w:rFonts w:cstheme="minorHAnsi"/>
                <w:b/>
                <w:bCs/>
                <w:color w:val="000000"/>
                <w:szCs w:val="20"/>
              </w:rPr>
            </w:pPr>
            <w:r w:rsidRPr="00675C00">
              <w:rPr>
                <w:rFonts w:cstheme="minorHAnsi"/>
                <w:b/>
                <w:bCs/>
                <w:color w:val="000000"/>
                <w:szCs w:val="20"/>
              </w:rPr>
              <w:t>Target</w:t>
            </w:r>
          </w:p>
        </w:tc>
        <w:tc>
          <w:tcPr>
            <w:tcW w:w="0" w:type="dxa"/>
            <w:hideMark/>
          </w:tcPr>
          <w:p w14:paraId="72BF287E" w14:textId="77777777" w:rsidR="0030676F" w:rsidRPr="00675C00" w:rsidRDefault="0030676F" w:rsidP="002B6C05">
            <w:pPr>
              <w:jc w:val="left"/>
              <w:rPr>
                <w:rFonts w:cstheme="minorHAnsi"/>
                <w:color w:val="000000"/>
                <w:szCs w:val="20"/>
              </w:rPr>
            </w:pPr>
            <w:r w:rsidRPr="00675C00">
              <w:rPr>
                <w:rFonts w:cstheme="minorHAnsi"/>
                <w:color w:val="000000"/>
                <w:szCs w:val="20"/>
              </w:rPr>
              <w:t>Whoever can be induced to participate</w:t>
            </w:r>
          </w:p>
        </w:tc>
        <w:tc>
          <w:tcPr>
            <w:tcW w:w="0" w:type="dxa"/>
            <w:hideMark/>
          </w:tcPr>
          <w:p w14:paraId="2A816422" w14:textId="77777777" w:rsidR="0030676F" w:rsidRPr="00675C00" w:rsidRDefault="0030676F" w:rsidP="002B6C05">
            <w:pPr>
              <w:jc w:val="left"/>
              <w:rPr>
                <w:rFonts w:cstheme="minorHAnsi"/>
                <w:color w:val="000000"/>
                <w:szCs w:val="20"/>
              </w:rPr>
            </w:pPr>
            <w:r w:rsidRPr="00675C00">
              <w:rPr>
                <w:rFonts w:cstheme="minorHAnsi"/>
                <w:color w:val="000000"/>
                <w:szCs w:val="20"/>
              </w:rPr>
              <w:t>All consumers of a particular product or service</w:t>
            </w:r>
          </w:p>
        </w:tc>
      </w:tr>
      <w:tr w:rsidR="0030676F" w:rsidRPr="00AA75EC" w14:paraId="3A631E1E" w14:textId="77777777" w:rsidTr="00D21F1A">
        <w:trPr>
          <w:trHeight w:val="364"/>
          <w:jc w:val="center"/>
        </w:trPr>
        <w:tc>
          <w:tcPr>
            <w:tcW w:w="0" w:type="dxa"/>
            <w:tcBorders>
              <w:top w:val="single" w:sz="4" w:space="0" w:color="7F7F7F" w:themeColor="text1" w:themeTint="80"/>
              <w:bottom w:val="single" w:sz="4" w:space="0" w:color="7F7F7F" w:themeColor="text1" w:themeTint="80"/>
            </w:tcBorders>
            <w:hideMark/>
          </w:tcPr>
          <w:p w14:paraId="1AC2F090" w14:textId="77777777" w:rsidR="0030676F" w:rsidRPr="00675C00" w:rsidRDefault="0030676F" w:rsidP="002B6C05">
            <w:pPr>
              <w:jc w:val="left"/>
              <w:rPr>
                <w:rFonts w:cstheme="minorHAnsi"/>
                <w:b/>
                <w:bCs/>
                <w:color w:val="000000"/>
                <w:szCs w:val="20"/>
              </w:rPr>
            </w:pPr>
            <w:r w:rsidRPr="00675C00">
              <w:rPr>
                <w:rFonts w:cstheme="minorHAnsi"/>
                <w:b/>
                <w:bCs/>
                <w:color w:val="000000"/>
                <w:szCs w:val="20"/>
              </w:rPr>
              <w:t>Goal</w:t>
            </w:r>
          </w:p>
        </w:tc>
        <w:tc>
          <w:tcPr>
            <w:tcW w:w="0" w:type="dxa"/>
            <w:tcBorders>
              <w:top w:val="single" w:sz="4" w:space="0" w:color="7F7F7F" w:themeColor="text1" w:themeTint="80"/>
              <w:bottom w:val="single" w:sz="4" w:space="0" w:color="7F7F7F" w:themeColor="text1" w:themeTint="80"/>
            </w:tcBorders>
            <w:hideMark/>
          </w:tcPr>
          <w:p w14:paraId="4393978F" w14:textId="77777777" w:rsidR="0030676F" w:rsidRPr="00675C00" w:rsidRDefault="0030676F" w:rsidP="002B6C05">
            <w:pPr>
              <w:jc w:val="left"/>
              <w:rPr>
                <w:rFonts w:cstheme="minorHAnsi"/>
                <w:color w:val="000000"/>
                <w:szCs w:val="20"/>
              </w:rPr>
            </w:pPr>
            <w:r w:rsidRPr="00675C00">
              <w:rPr>
                <w:rFonts w:cstheme="minorHAnsi"/>
                <w:color w:val="000000"/>
                <w:szCs w:val="20"/>
              </w:rPr>
              <w:t>Near-term savings</w:t>
            </w:r>
          </w:p>
        </w:tc>
        <w:tc>
          <w:tcPr>
            <w:tcW w:w="0" w:type="dxa"/>
            <w:tcBorders>
              <w:top w:val="single" w:sz="4" w:space="0" w:color="7F7F7F" w:themeColor="text1" w:themeTint="80"/>
              <w:bottom w:val="single" w:sz="4" w:space="0" w:color="7F7F7F" w:themeColor="text1" w:themeTint="80"/>
            </w:tcBorders>
            <w:hideMark/>
          </w:tcPr>
          <w:p w14:paraId="102A1B39" w14:textId="77777777" w:rsidR="0030676F" w:rsidRPr="00675C00" w:rsidRDefault="0030676F" w:rsidP="002B6C05">
            <w:pPr>
              <w:jc w:val="left"/>
              <w:rPr>
                <w:rFonts w:cstheme="minorHAnsi"/>
                <w:color w:val="000000"/>
                <w:szCs w:val="20"/>
              </w:rPr>
            </w:pPr>
            <w:r w:rsidRPr="00675C00">
              <w:rPr>
                <w:rFonts w:cstheme="minorHAnsi"/>
                <w:color w:val="000000"/>
                <w:szCs w:val="20"/>
              </w:rPr>
              <w:t>Structural changes in the market leading to long term savings</w:t>
            </w:r>
          </w:p>
        </w:tc>
      </w:tr>
      <w:tr w:rsidR="0030676F" w:rsidRPr="00AA75EC" w14:paraId="24DE1C77" w14:textId="77777777" w:rsidTr="00D21F1A">
        <w:trPr>
          <w:cnfStyle w:val="000000100000" w:firstRow="0" w:lastRow="0" w:firstColumn="0" w:lastColumn="0" w:oddVBand="0" w:evenVBand="0" w:oddHBand="1" w:evenHBand="0" w:firstRowFirstColumn="0" w:firstRowLastColumn="0" w:lastRowFirstColumn="0" w:lastRowLastColumn="0"/>
          <w:trHeight w:val="364"/>
          <w:jc w:val="center"/>
        </w:trPr>
        <w:tc>
          <w:tcPr>
            <w:tcW w:w="0" w:type="dxa"/>
            <w:hideMark/>
          </w:tcPr>
          <w:p w14:paraId="07873886" w14:textId="77777777" w:rsidR="0030676F" w:rsidRPr="00675C00" w:rsidRDefault="0030676F" w:rsidP="002B6C05">
            <w:pPr>
              <w:jc w:val="left"/>
              <w:rPr>
                <w:rFonts w:cstheme="minorHAnsi"/>
                <w:b/>
                <w:bCs/>
                <w:color w:val="000000"/>
                <w:szCs w:val="20"/>
              </w:rPr>
            </w:pPr>
            <w:r w:rsidRPr="00675C00">
              <w:rPr>
                <w:rFonts w:cstheme="minorHAnsi"/>
                <w:b/>
                <w:bCs/>
                <w:color w:val="000000"/>
                <w:szCs w:val="20"/>
              </w:rPr>
              <w:t>Approach</w:t>
            </w:r>
          </w:p>
        </w:tc>
        <w:tc>
          <w:tcPr>
            <w:tcW w:w="0" w:type="dxa"/>
            <w:hideMark/>
          </w:tcPr>
          <w:p w14:paraId="69901510" w14:textId="77777777" w:rsidR="0030676F" w:rsidRPr="00675C00" w:rsidRDefault="0030676F" w:rsidP="002B6C05">
            <w:pPr>
              <w:jc w:val="left"/>
              <w:rPr>
                <w:rFonts w:cstheme="minorHAnsi"/>
                <w:color w:val="000000"/>
                <w:szCs w:val="20"/>
              </w:rPr>
            </w:pPr>
            <w:r w:rsidRPr="00675C00">
              <w:rPr>
                <w:rFonts w:cstheme="minorHAnsi"/>
                <w:color w:val="000000"/>
                <w:szCs w:val="20"/>
              </w:rPr>
              <w:t>Save energy through customer participation</w:t>
            </w:r>
          </w:p>
        </w:tc>
        <w:tc>
          <w:tcPr>
            <w:tcW w:w="0" w:type="dxa"/>
            <w:hideMark/>
          </w:tcPr>
          <w:p w14:paraId="57850358" w14:textId="77777777" w:rsidR="0030676F" w:rsidRPr="00675C00" w:rsidRDefault="0030676F" w:rsidP="002B6C05">
            <w:pPr>
              <w:jc w:val="left"/>
              <w:rPr>
                <w:rFonts w:cstheme="minorHAnsi"/>
                <w:color w:val="000000"/>
                <w:szCs w:val="20"/>
              </w:rPr>
            </w:pPr>
            <w:r w:rsidRPr="00675C00">
              <w:rPr>
                <w:rFonts w:cstheme="minorHAnsi"/>
                <w:color w:val="000000"/>
                <w:szCs w:val="20"/>
              </w:rPr>
              <w:t>Save energy through mobilizing the market</w:t>
            </w:r>
          </w:p>
        </w:tc>
      </w:tr>
      <w:tr w:rsidR="0030676F" w:rsidRPr="00AA75EC" w14:paraId="01D2752B" w14:textId="77777777" w:rsidTr="00D21F1A">
        <w:trPr>
          <w:trHeight w:val="364"/>
          <w:jc w:val="center"/>
        </w:trPr>
        <w:tc>
          <w:tcPr>
            <w:tcW w:w="0" w:type="dxa"/>
            <w:tcBorders>
              <w:top w:val="single" w:sz="4" w:space="0" w:color="7F7F7F" w:themeColor="text1" w:themeTint="80"/>
              <w:bottom w:val="single" w:sz="4" w:space="0" w:color="7F7F7F" w:themeColor="text1" w:themeTint="80"/>
            </w:tcBorders>
            <w:hideMark/>
          </w:tcPr>
          <w:p w14:paraId="77F6BE5E" w14:textId="77777777" w:rsidR="0030676F" w:rsidRPr="00675C00" w:rsidRDefault="0030676F" w:rsidP="002B6C05">
            <w:pPr>
              <w:jc w:val="left"/>
              <w:rPr>
                <w:rFonts w:cstheme="minorHAnsi"/>
                <w:b/>
                <w:bCs/>
                <w:color w:val="000000"/>
                <w:szCs w:val="20"/>
              </w:rPr>
            </w:pPr>
            <w:r w:rsidRPr="00675C00">
              <w:rPr>
                <w:rFonts w:cstheme="minorHAnsi"/>
                <w:b/>
                <w:bCs/>
                <w:color w:val="000000"/>
                <w:szCs w:val="20"/>
              </w:rPr>
              <w:t>Scope of Effort</w:t>
            </w:r>
          </w:p>
        </w:tc>
        <w:tc>
          <w:tcPr>
            <w:tcW w:w="0" w:type="dxa"/>
            <w:tcBorders>
              <w:top w:val="single" w:sz="4" w:space="0" w:color="7F7F7F" w:themeColor="text1" w:themeTint="80"/>
              <w:bottom w:val="single" w:sz="4" w:space="0" w:color="7F7F7F" w:themeColor="text1" w:themeTint="80"/>
            </w:tcBorders>
            <w:hideMark/>
          </w:tcPr>
          <w:p w14:paraId="4FF224BE" w14:textId="77777777" w:rsidR="0030676F" w:rsidRPr="00675C00" w:rsidRDefault="0030676F" w:rsidP="002B6C05">
            <w:pPr>
              <w:jc w:val="left"/>
              <w:rPr>
                <w:rFonts w:cstheme="minorHAnsi"/>
                <w:color w:val="000000"/>
                <w:szCs w:val="20"/>
              </w:rPr>
            </w:pPr>
            <w:r w:rsidRPr="00675C00">
              <w:rPr>
                <w:rFonts w:cstheme="minorHAnsi"/>
                <w:color w:val="000000"/>
                <w:szCs w:val="20"/>
              </w:rPr>
              <w:t>Results from a single program</w:t>
            </w:r>
          </w:p>
        </w:tc>
        <w:tc>
          <w:tcPr>
            <w:tcW w:w="0" w:type="dxa"/>
            <w:tcBorders>
              <w:top w:val="single" w:sz="4" w:space="0" w:color="7F7F7F" w:themeColor="text1" w:themeTint="80"/>
              <w:bottom w:val="single" w:sz="4" w:space="0" w:color="7F7F7F" w:themeColor="text1" w:themeTint="80"/>
            </w:tcBorders>
            <w:hideMark/>
          </w:tcPr>
          <w:p w14:paraId="17786BF6" w14:textId="77777777" w:rsidR="0030676F" w:rsidRPr="00675C00" w:rsidRDefault="0030676F" w:rsidP="002B6C05">
            <w:pPr>
              <w:jc w:val="left"/>
              <w:rPr>
                <w:rFonts w:cstheme="minorHAnsi"/>
                <w:color w:val="000000"/>
                <w:szCs w:val="20"/>
              </w:rPr>
            </w:pPr>
            <w:r w:rsidRPr="00675C00">
              <w:rPr>
                <w:rFonts w:cstheme="minorHAnsi"/>
                <w:color w:val="000000"/>
                <w:szCs w:val="20"/>
              </w:rPr>
              <w:t>May result from effects of multiple programs or interventions</w:t>
            </w:r>
          </w:p>
        </w:tc>
      </w:tr>
      <w:tr w:rsidR="0030676F" w:rsidRPr="00AA75EC" w14:paraId="492F8B88" w14:textId="77777777" w:rsidTr="00D21F1A">
        <w:trPr>
          <w:cnfStyle w:val="000000100000" w:firstRow="0" w:lastRow="0" w:firstColumn="0" w:lastColumn="0" w:oddVBand="0" w:evenVBand="0" w:oddHBand="1" w:evenHBand="0" w:firstRowFirstColumn="0" w:firstRowLastColumn="0" w:lastRowFirstColumn="0" w:lastRowLastColumn="0"/>
          <w:trHeight w:val="729"/>
          <w:jc w:val="center"/>
        </w:trPr>
        <w:tc>
          <w:tcPr>
            <w:tcW w:w="0" w:type="dxa"/>
            <w:hideMark/>
          </w:tcPr>
          <w:p w14:paraId="01E599F6" w14:textId="77777777" w:rsidR="0030676F" w:rsidRPr="00675C00" w:rsidRDefault="0030676F" w:rsidP="002B6C05">
            <w:pPr>
              <w:jc w:val="left"/>
              <w:rPr>
                <w:rFonts w:cstheme="minorHAnsi"/>
                <w:b/>
                <w:bCs/>
                <w:color w:val="000000"/>
                <w:szCs w:val="20"/>
              </w:rPr>
            </w:pPr>
            <w:r w:rsidRPr="00675C00">
              <w:rPr>
                <w:rFonts w:cstheme="minorHAnsi"/>
                <w:b/>
                <w:bCs/>
                <w:color w:val="000000"/>
                <w:szCs w:val="20"/>
              </w:rPr>
              <w:t>Level of Program Administrator Control</w:t>
            </w:r>
          </w:p>
        </w:tc>
        <w:tc>
          <w:tcPr>
            <w:tcW w:w="0" w:type="dxa"/>
            <w:hideMark/>
          </w:tcPr>
          <w:p w14:paraId="605033B5" w14:textId="77777777" w:rsidR="0030676F" w:rsidRPr="00675C00" w:rsidRDefault="0030676F" w:rsidP="002B6C05">
            <w:pPr>
              <w:jc w:val="left"/>
              <w:rPr>
                <w:rFonts w:cstheme="minorHAnsi"/>
                <w:color w:val="000000"/>
                <w:szCs w:val="20"/>
              </w:rPr>
            </w:pPr>
            <w:r w:rsidRPr="00675C00">
              <w:rPr>
                <w:rFonts w:cstheme="minorHAnsi"/>
                <w:color w:val="000000"/>
                <w:szCs w:val="20"/>
              </w:rPr>
              <w:t xml:space="preserve">PAs can control the pace, scale, geographic location, and can </w:t>
            </w:r>
            <w:r>
              <w:rPr>
                <w:rFonts w:cstheme="minorHAnsi"/>
                <w:color w:val="000000"/>
                <w:szCs w:val="20"/>
              </w:rPr>
              <w:t xml:space="preserve">usually </w:t>
            </w:r>
            <w:r w:rsidRPr="00675C00">
              <w:rPr>
                <w:rFonts w:cstheme="minorHAnsi"/>
                <w:color w:val="000000"/>
                <w:szCs w:val="20"/>
              </w:rPr>
              <w:t xml:space="preserve">identify participants </w:t>
            </w:r>
          </w:p>
        </w:tc>
        <w:tc>
          <w:tcPr>
            <w:tcW w:w="0" w:type="dxa"/>
            <w:hideMark/>
          </w:tcPr>
          <w:p w14:paraId="7FDC8036" w14:textId="77777777" w:rsidR="0030676F" w:rsidRPr="00675C00" w:rsidRDefault="0030676F" w:rsidP="002B6C05">
            <w:pPr>
              <w:jc w:val="left"/>
              <w:rPr>
                <w:rFonts w:cstheme="minorHAnsi"/>
                <w:color w:val="000000"/>
                <w:szCs w:val="20"/>
              </w:rPr>
            </w:pPr>
            <w:r w:rsidRPr="00675C00">
              <w:rPr>
                <w:rFonts w:cstheme="minorHAnsi"/>
                <w:color w:val="000000"/>
                <w:szCs w:val="20"/>
              </w:rPr>
              <w:t xml:space="preserve">Markets are very dynamic, and the PAs are only one set of actors.  If, how, where, and when the impacts occur are usually beyond the </w:t>
            </w:r>
            <w:r>
              <w:rPr>
                <w:rFonts w:cstheme="minorHAnsi"/>
                <w:color w:val="000000"/>
                <w:szCs w:val="20"/>
              </w:rPr>
              <w:t xml:space="preserve">direct </w:t>
            </w:r>
            <w:r w:rsidRPr="00675C00">
              <w:rPr>
                <w:rFonts w:cstheme="minorHAnsi"/>
                <w:color w:val="000000"/>
                <w:szCs w:val="20"/>
              </w:rPr>
              <w:t>control of the program administrators</w:t>
            </w:r>
          </w:p>
        </w:tc>
      </w:tr>
      <w:tr w:rsidR="0030676F" w:rsidRPr="00AA75EC" w14:paraId="5DC716D4" w14:textId="77777777" w:rsidTr="00D21F1A">
        <w:trPr>
          <w:trHeight w:val="715"/>
          <w:jc w:val="center"/>
        </w:trPr>
        <w:tc>
          <w:tcPr>
            <w:tcW w:w="0" w:type="dxa"/>
            <w:tcBorders>
              <w:top w:val="single" w:sz="4" w:space="0" w:color="7F7F7F" w:themeColor="text1" w:themeTint="80"/>
              <w:bottom w:val="single" w:sz="4" w:space="0" w:color="7F7F7F" w:themeColor="text1" w:themeTint="80"/>
            </w:tcBorders>
            <w:hideMark/>
          </w:tcPr>
          <w:p w14:paraId="4008BA3F" w14:textId="77777777" w:rsidR="0030676F" w:rsidRPr="00675C00" w:rsidRDefault="0030676F" w:rsidP="002B6C05">
            <w:pPr>
              <w:jc w:val="left"/>
              <w:rPr>
                <w:rFonts w:cstheme="minorHAnsi"/>
                <w:b/>
                <w:bCs/>
                <w:color w:val="000000"/>
                <w:szCs w:val="20"/>
              </w:rPr>
            </w:pPr>
            <w:r w:rsidRPr="00675C00">
              <w:rPr>
                <w:rFonts w:cstheme="minorHAnsi"/>
                <w:b/>
                <w:bCs/>
                <w:color w:val="000000"/>
                <w:szCs w:val="20"/>
              </w:rPr>
              <w:t xml:space="preserve">Evaluation and Measurement </w:t>
            </w:r>
          </w:p>
        </w:tc>
        <w:tc>
          <w:tcPr>
            <w:tcW w:w="0" w:type="dxa"/>
            <w:tcBorders>
              <w:top w:val="single" w:sz="4" w:space="0" w:color="7F7F7F" w:themeColor="text1" w:themeTint="80"/>
              <w:bottom w:val="single" w:sz="4" w:space="0" w:color="7F7F7F" w:themeColor="text1" w:themeTint="80"/>
            </w:tcBorders>
            <w:hideMark/>
          </w:tcPr>
          <w:p w14:paraId="29DDD48F" w14:textId="77777777" w:rsidR="0030676F" w:rsidRPr="00675C00" w:rsidRDefault="0030676F" w:rsidP="002B6C05">
            <w:pPr>
              <w:jc w:val="left"/>
              <w:rPr>
                <w:rFonts w:cstheme="minorHAnsi"/>
                <w:color w:val="000000"/>
                <w:szCs w:val="20"/>
              </w:rPr>
            </w:pPr>
            <w:r w:rsidRPr="00675C00">
              <w:rPr>
                <w:rFonts w:cstheme="minorHAnsi"/>
                <w:color w:val="000000"/>
                <w:szCs w:val="20"/>
              </w:rPr>
              <w:t>Energy use and savings, participants, free-ridership, and sometimes spillover</w:t>
            </w:r>
          </w:p>
        </w:tc>
        <w:tc>
          <w:tcPr>
            <w:tcW w:w="0" w:type="dxa"/>
            <w:tcBorders>
              <w:top w:val="single" w:sz="4" w:space="0" w:color="7F7F7F" w:themeColor="text1" w:themeTint="80"/>
              <w:bottom w:val="single" w:sz="4" w:space="0" w:color="7F7F7F" w:themeColor="text1" w:themeTint="80"/>
            </w:tcBorders>
            <w:hideMark/>
          </w:tcPr>
          <w:p w14:paraId="3E304B57" w14:textId="77777777" w:rsidR="0030676F" w:rsidRPr="00675C00" w:rsidRDefault="0030676F" w:rsidP="002B6C05">
            <w:pPr>
              <w:jc w:val="left"/>
              <w:rPr>
                <w:rFonts w:cstheme="minorHAnsi"/>
                <w:color w:val="000000"/>
                <w:szCs w:val="20"/>
              </w:rPr>
            </w:pPr>
            <w:r w:rsidRPr="00675C00">
              <w:rPr>
                <w:rFonts w:cstheme="minorHAnsi"/>
                <w:color w:val="000000"/>
                <w:szCs w:val="20"/>
              </w:rPr>
              <w:t>Interim and long-term indicators of market progress and structural changes, attribution to the program, and cumulative energy impacts</w:t>
            </w:r>
          </w:p>
        </w:tc>
      </w:tr>
      <w:tr w:rsidR="0030676F" w:rsidRPr="00AA75EC" w14:paraId="02A0E594" w14:textId="77777777" w:rsidTr="00D21F1A">
        <w:trPr>
          <w:cnfStyle w:val="000000100000" w:firstRow="0" w:lastRow="0" w:firstColumn="0" w:lastColumn="0" w:oddVBand="0" w:evenVBand="0" w:oddHBand="1" w:evenHBand="0" w:firstRowFirstColumn="0" w:firstRowLastColumn="0" w:lastRowFirstColumn="0" w:lastRowLastColumn="0"/>
          <w:trHeight w:val="57"/>
          <w:jc w:val="center"/>
        </w:trPr>
        <w:tc>
          <w:tcPr>
            <w:tcW w:w="0" w:type="dxa"/>
            <w:hideMark/>
          </w:tcPr>
          <w:p w14:paraId="39C3B522" w14:textId="2209EA0A" w:rsidR="0030676F" w:rsidRPr="00675C00" w:rsidRDefault="0030676F" w:rsidP="002B6C05">
            <w:pPr>
              <w:jc w:val="left"/>
              <w:rPr>
                <w:rFonts w:cstheme="minorHAnsi"/>
                <w:b/>
                <w:bCs/>
                <w:color w:val="000000"/>
                <w:szCs w:val="20"/>
              </w:rPr>
            </w:pPr>
            <w:r w:rsidRPr="00675C00">
              <w:rPr>
                <w:rFonts w:cstheme="minorHAnsi"/>
                <w:b/>
                <w:bCs/>
                <w:color w:val="000000"/>
                <w:szCs w:val="20"/>
              </w:rPr>
              <w:t xml:space="preserve">Timeframe for planning, savings </w:t>
            </w:r>
            <w:r w:rsidR="00CE67C7" w:rsidRPr="00675C00">
              <w:rPr>
                <w:rFonts w:cstheme="minorHAnsi"/>
                <w:b/>
                <w:bCs/>
                <w:color w:val="000000"/>
                <w:szCs w:val="20"/>
              </w:rPr>
              <w:t>measurement,</w:t>
            </w:r>
            <w:r w:rsidRPr="00675C00">
              <w:rPr>
                <w:rFonts w:cstheme="minorHAnsi"/>
                <w:b/>
                <w:bCs/>
                <w:color w:val="000000"/>
                <w:szCs w:val="20"/>
              </w:rPr>
              <w:t xml:space="preserve"> and cost-effectiveness</w:t>
            </w:r>
          </w:p>
        </w:tc>
        <w:tc>
          <w:tcPr>
            <w:tcW w:w="0" w:type="dxa"/>
            <w:hideMark/>
          </w:tcPr>
          <w:p w14:paraId="2408A555" w14:textId="77777777" w:rsidR="0030676F" w:rsidRPr="00675C00" w:rsidRDefault="0030676F" w:rsidP="002B6C05">
            <w:pPr>
              <w:jc w:val="left"/>
              <w:rPr>
                <w:rFonts w:cstheme="minorHAnsi"/>
                <w:color w:val="000000"/>
                <w:szCs w:val="20"/>
              </w:rPr>
            </w:pPr>
            <w:r w:rsidRPr="00675C00">
              <w:rPr>
                <w:rFonts w:cstheme="minorHAnsi"/>
                <w:color w:val="000000"/>
                <w:szCs w:val="20"/>
              </w:rPr>
              <w:t>Typically based on annual or multi-year planning and reporting cycle savings</w:t>
            </w:r>
          </w:p>
        </w:tc>
        <w:tc>
          <w:tcPr>
            <w:tcW w:w="0" w:type="dxa"/>
            <w:hideMark/>
          </w:tcPr>
          <w:p w14:paraId="7ABB6865" w14:textId="77777777" w:rsidR="0030676F" w:rsidRPr="00675C00" w:rsidRDefault="0030676F" w:rsidP="002B6C05">
            <w:pPr>
              <w:jc w:val="left"/>
              <w:rPr>
                <w:rFonts w:cstheme="minorHAnsi"/>
                <w:color w:val="000000"/>
                <w:szCs w:val="20"/>
              </w:rPr>
            </w:pPr>
            <w:r w:rsidRPr="00675C00">
              <w:rPr>
                <w:rFonts w:cstheme="minorHAnsi"/>
                <w:color w:val="000000"/>
                <w:szCs w:val="20"/>
              </w:rPr>
              <w:t xml:space="preserve">Typically planned and implemented over a </w:t>
            </w:r>
            <w:proofErr w:type="gramStart"/>
            <w:r w:rsidRPr="00675C00">
              <w:rPr>
                <w:rFonts w:cstheme="minorHAnsi"/>
                <w:color w:val="000000"/>
                <w:szCs w:val="20"/>
              </w:rPr>
              <w:t>10-20 year</w:t>
            </w:r>
            <w:proofErr w:type="gramEnd"/>
            <w:r w:rsidRPr="00675C00">
              <w:rPr>
                <w:rFonts w:cstheme="minorHAnsi"/>
                <w:color w:val="000000"/>
                <w:szCs w:val="20"/>
              </w:rPr>
              <w:t xml:space="preserve"> timeframe</w:t>
            </w:r>
          </w:p>
        </w:tc>
      </w:tr>
    </w:tbl>
    <w:p w14:paraId="71940E0B" w14:textId="77777777" w:rsidR="0030676F" w:rsidRPr="00E230E9" w:rsidRDefault="0030676F" w:rsidP="0030676F">
      <w:pPr>
        <w:rPr>
          <w:rFonts w:eastAsia="MS Mincho"/>
        </w:rPr>
      </w:pPr>
    </w:p>
    <w:p w14:paraId="57EBAD70" w14:textId="77777777" w:rsidR="0030676F" w:rsidRDefault="0030676F" w:rsidP="0030676F">
      <w:pPr>
        <w:rPr>
          <w:rFonts w:cstheme="minorHAnsi"/>
        </w:rPr>
      </w:pPr>
      <w:r w:rsidRPr="005F75ED">
        <w:rPr>
          <w:rFonts w:cstheme="minorHAnsi"/>
        </w:rPr>
        <w:t>Historically, the differences between the two approaches have created challenges for MT initiatives to thrive in states where policy frameworks are strongly focused on resource acquisition</w:t>
      </w:r>
      <w:r>
        <w:rPr>
          <w:rStyle w:val="FootnoteReference"/>
          <w:rFonts w:cstheme="minorHAnsi"/>
        </w:rPr>
        <w:footnoteReference w:id="126"/>
      </w:r>
      <w:r w:rsidRPr="005F75ED">
        <w:rPr>
          <w:rFonts w:cstheme="minorHAnsi"/>
        </w:rPr>
        <w:t>.  The much longer time frame for MT initiatives and the lesser degree of program administrator control can be difficult to reconcile with policy rules that are focused largely on the precise quantification of annual savings.</w:t>
      </w:r>
      <w:r w:rsidRPr="005F75ED">
        <w:rPr>
          <w:rStyle w:val="FootnoteReference"/>
          <w:rFonts w:cstheme="minorHAnsi"/>
        </w:rPr>
        <w:footnoteReference w:id="127"/>
      </w:r>
      <w:r w:rsidRPr="005F75ED">
        <w:rPr>
          <w:rFonts w:cstheme="minorHAnsi"/>
        </w:rPr>
        <w:t xml:space="preserve">  Evaluation of net savings can be fraught in jurisdictions where financial incentives or penalties are determined based on evaluated results, and can be particularly challenging for MT initiatives, which require market analyses that introduce additional uncertainty.  Operating MT initiatives in this scenario requires upfront negotiation on evaluation processes to set clear expectations on measurement approaches.</w:t>
      </w:r>
      <w:r>
        <w:rPr>
          <w:rFonts w:cstheme="minorHAnsi"/>
        </w:rPr>
        <w:t xml:space="preserve">   </w:t>
      </w:r>
    </w:p>
    <w:p w14:paraId="076992C2" w14:textId="77777777" w:rsidR="0030676F" w:rsidRDefault="0030676F" w:rsidP="0092016D">
      <w:pPr>
        <w:pStyle w:val="Heading2"/>
        <w:widowControl/>
        <w:numPr>
          <w:ilvl w:val="1"/>
          <w:numId w:val="82"/>
        </w:numPr>
        <w:jc w:val="left"/>
      </w:pPr>
      <w:bookmarkStart w:id="2135" w:name="_Toc17451239"/>
      <w:bookmarkStart w:id="2136" w:name="_Toc113619855"/>
      <w:r>
        <w:t>Market Transformation and Attribution</w:t>
      </w:r>
      <w:bookmarkEnd w:id="2135"/>
      <w:bookmarkEnd w:id="2136"/>
      <w:r>
        <w:t xml:space="preserve">  </w:t>
      </w:r>
    </w:p>
    <w:p w14:paraId="782FD39F" w14:textId="77777777" w:rsidR="0030676F" w:rsidRPr="005F75ED" w:rsidRDefault="0030676F" w:rsidP="0030676F">
      <w:pPr>
        <w:rPr>
          <w:rFonts w:cstheme="minorHAnsi"/>
        </w:rPr>
      </w:pPr>
      <w:r w:rsidRPr="005F75ED">
        <w:rPr>
          <w:rFonts w:cstheme="minorHAnsi"/>
        </w:rPr>
        <w:t>The concept of attribution</w:t>
      </w:r>
      <w:r w:rsidRPr="005F75ED">
        <w:rPr>
          <w:rFonts w:cstheme="minorHAnsi"/>
          <w:i/>
        </w:rPr>
        <w:t xml:space="preserve"> - </w:t>
      </w:r>
      <w:r w:rsidRPr="005F75ED">
        <w:rPr>
          <w:rFonts w:cstheme="minorHAnsi"/>
        </w:rPr>
        <w:t xml:space="preserve">or the attempt to assess the extent to which observed outcomes </w:t>
      </w:r>
      <w:r>
        <w:rPr>
          <w:rFonts w:cstheme="minorHAnsi"/>
        </w:rPr>
        <w:t>are</w:t>
      </w:r>
      <w:r w:rsidRPr="005F75ED">
        <w:rPr>
          <w:rFonts w:cstheme="minorHAnsi"/>
        </w:rPr>
        <w:t xml:space="preserve"> caused by the </w:t>
      </w:r>
      <w:r w:rsidRPr="005F75ED">
        <w:rPr>
          <w:rFonts w:cstheme="minorHAnsi"/>
        </w:rPr>
        <w:lastRenderedPageBreak/>
        <w:t>program(s) of interest as opposed to events that would have happened regardless of any intervention - is fundamental to the evaluation of energy efficiency programs</w:t>
      </w:r>
      <w:r>
        <w:rPr>
          <w:rStyle w:val="FootnoteReference"/>
          <w:rFonts w:cstheme="minorHAnsi"/>
        </w:rPr>
        <w:footnoteReference w:id="128"/>
      </w:r>
      <w:r w:rsidRPr="005F75ED">
        <w:rPr>
          <w:rFonts w:cstheme="minorHAnsi"/>
        </w:rPr>
        <w:t>. Without attribution, it is difficult to understand the success or failure of a program – and to improve (or to justify continued public funding for) a program whose success or failure is not understood.</w:t>
      </w:r>
    </w:p>
    <w:p w14:paraId="5DD66EF9" w14:textId="77777777" w:rsidR="0030676F" w:rsidRDefault="0030676F" w:rsidP="0030676F">
      <w:pPr>
        <w:rPr>
          <w:rFonts w:cstheme="minorHAnsi"/>
        </w:rPr>
      </w:pPr>
      <w:r w:rsidRPr="005F75ED">
        <w:rPr>
          <w:rFonts w:cstheme="minorHAnsi"/>
        </w:rPr>
        <w:t>While attribution is relevant to both market transformation initiatives and resource acquisition programs, there are important differences to approaching attribution between the two types of programs.   For resource acquisition programs, it has long been the norm in much of the US to treat attribution as a continuous variable that can be quantitatively scored (often in the form of a net-to-gross ratio that adjusts for free ridership</w:t>
      </w:r>
      <w:r>
        <w:rPr>
          <w:rFonts w:cstheme="minorHAnsi"/>
        </w:rPr>
        <w:t xml:space="preserve"> and spillover</w:t>
      </w:r>
      <w:r w:rsidRPr="005F75ED">
        <w:rPr>
          <w:rFonts w:cstheme="minorHAnsi"/>
        </w:rPr>
        <w:t xml:space="preserve">) and applied to savings claims at frequent intervals with relative granularity.  </w:t>
      </w:r>
      <w:r>
        <w:rPr>
          <w:rFonts w:cstheme="minorHAnsi"/>
        </w:rPr>
        <w:t xml:space="preserve">RA programs can ask questions directly of actual participants to ascertain attribution.  </w:t>
      </w:r>
      <w:r w:rsidRPr="005F75ED">
        <w:rPr>
          <w:rFonts w:cstheme="minorHAnsi"/>
        </w:rPr>
        <w:t xml:space="preserve">However, MT initiatives typically do not lend themselves to this type of quantitative approach.  More often than not, there is too much elapsed time over the lifecycle of a market transformation initiative and too many other market forces at work for a quantitative attribution score to be meaningful.  </w:t>
      </w:r>
      <w:r>
        <w:rPr>
          <w:rFonts w:cstheme="minorHAnsi"/>
        </w:rPr>
        <w:t>So i</w:t>
      </w:r>
      <w:r w:rsidRPr="005F75ED">
        <w:rPr>
          <w:rFonts w:cstheme="minorHAnsi"/>
        </w:rPr>
        <w:t>nstead, market transformation paints a qualitative case as to whether the initiative was generally successful in causing the intended market changes.</w:t>
      </w:r>
      <w:r w:rsidRPr="005F75ED">
        <w:rPr>
          <w:rStyle w:val="FootnoteReference"/>
          <w:rFonts w:cstheme="minorHAnsi"/>
        </w:rPr>
        <w:footnoteReference w:id="129"/>
      </w:r>
    </w:p>
    <w:p w14:paraId="066C3C2C" w14:textId="77777777" w:rsidR="0030676F" w:rsidRDefault="0030676F" w:rsidP="0030676F">
      <w:pPr>
        <w:rPr>
          <w:rFonts w:cstheme="minorHAnsi"/>
        </w:rPr>
      </w:pPr>
      <w:r>
        <w:rPr>
          <w:rFonts w:cstheme="minorHAnsi"/>
        </w:rPr>
        <w:t>Successful incorporation of MT initiatives into a program portfolio that is dominated by resource acquisition programs generally requires that stakeholders accept these methodological differences between the two program approaches, and the fact that with MT initiatives, attribution can typically only be established qualitatively.</w:t>
      </w:r>
    </w:p>
    <w:p w14:paraId="014D252D" w14:textId="77777777" w:rsidR="0030676F" w:rsidRDefault="0030676F" w:rsidP="0030676F">
      <w:pPr>
        <w:rPr>
          <w:rFonts w:cstheme="minorHAnsi"/>
        </w:rPr>
      </w:pPr>
      <w:r>
        <w:t>It is important to note this does not imply that quantitative estimates of net savings should not be made for MT initiatives.  Fundamentally, all Illinois efficiency programs will need to quantitatively estimate savings so long as counting the savings toward goals and estimating cost-effectiveness is adopted policy.  It simply means that net savings for MT initiatives will be significantly less certain by nature than those for pure RA programs.</w:t>
      </w:r>
      <w:r>
        <w:rPr>
          <w:rFonts w:cstheme="minorHAnsi"/>
        </w:rPr>
        <w:t xml:space="preserve">  Defensible methods for dealing with the limits to quantifying attribution for MT initiatives are discussed at length in the second half of this paper.</w:t>
      </w:r>
    </w:p>
    <w:p w14:paraId="0797E3E0" w14:textId="77777777" w:rsidR="0030676F" w:rsidRPr="00612B1E" w:rsidRDefault="0030676F" w:rsidP="0092016D">
      <w:pPr>
        <w:pStyle w:val="Heading2"/>
        <w:widowControl/>
        <w:numPr>
          <w:ilvl w:val="1"/>
          <w:numId w:val="82"/>
        </w:numPr>
        <w:jc w:val="left"/>
      </w:pPr>
      <w:bookmarkStart w:id="2137" w:name="_Toc17451240"/>
      <w:bookmarkStart w:id="2138" w:name="_Toc113619856"/>
      <w:r w:rsidRPr="00612B1E">
        <w:t>What Makes an MT Initiative Recognizable?</w:t>
      </w:r>
      <w:bookmarkEnd w:id="2137"/>
      <w:bookmarkEnd w:id="2138"/>
      <w:r w:rsidRPr="00612B1E">
        <w:t xml:space="preserve">    </w:t>
      </w:r>
    </w:p>
    <w:p w14:paraId="690DC883" w14:textId="77777777" w:rsidR="0030676F" w:rsidRPr="005F75ED" w:rsidRDefault="0030676F" w:rsidP="0030676F">
      <w:pPr>
        <w:rPr>
          <w:rFonts w:cstheme="minorHAnsi"/>
        </w:rPr>
      </w:pPr>
      <w:r w:rsidRPr="005F75ED">
        <w:rPr>
          <w:rFonts w:cstheme="minorHAnsi"/>
        </w:rPr>
        <w:t xml:space="preserve">Because of the difference in evaluation approaches between an MT initiative and an RA program, it is important to first confirm whether </w:t>
      </w:r>
      <w:r>
        <w:rPr>
          <w:rFonts w:cstheme="minorHAnsi"/>
        </w:rPr>
        <w:t xml:space="preserve">an initiative </w:t>
      </w:r>
      <w:r w:rsidRPr="005F75ED">
        <w:rPr>
          <w:rFonts w:cstheme="minorHAnsi"/>
        </w:rPr>
        <w:t>falls into the MT category or the RA category</w:t>
      </w:r>
      <w:r>
        <w:rPr>
          <w:rFonts w:cstheme="minorHAnsi"/>
        </w:rPr>
        <w:t xml:space="preserve"> before developing savings estimates</w:t>
      </w:r>
      <w:r w:rsidRPr="005F75ED">
        <w:rPr>
          <w:rFonts w:cstheme="minorHAnsi"/>
        </w:rPr>
        <w:t xml:space="preserve">.  </w:t>
      </w:r>
    </w:p>
    <w:p w14:paraId="50D24183" w14:textId="77777777" w:rsidR="0030676F" w:rsidRPr="005F75ED" w:rsidRDefault="0030676F" w:rsidP="0030676F">
      <w:pPr>
        <w:rPr>
          <w:rFonts w:cstheme="minorHAnsi"/>
        </w:rPr>
      </w:pPr>
      <w:r w:rsidRPr="005F75ED">
        <w:rPr>
          <w:rFonts w:cstheme="minorHAnsi"/>
        </w:rPr>
        <w:t xml:space="preserve">To qualify as an MT initiative, there needs to be a </w:t>
      </w:r>
      <w:r>
        <w:rPr>
          <w:rFonts w:cstheme="minorHAnsi"/>
        </w:rPr>
        <w:t>clearly delineated target market</w:t>
      </w:r>
      <w:r>
        <w:rPr>
          <w:rStyle w:val="FootnoteReference"/>
          <w:rFonts w:cstheme="minorHAnsi"/>
        </w:rPr>
        <w:footnoteReference w:id="130"/>
      </w:r>
      <w:r>
        <w:rPr>
          <w:rFonts w:cstheme="minorHAnsi"/>
        </w:rPr>
        <w:t xml:space="preserve">, as well as a </w:t>
      </w:r>
      <w:r w:rsidRPr="005F75ED">
        <w:rPr>
          <w:rFonts w:cstheme="minorHAnsi"/>
        </w:rPr>
        <w:t>documented theory of change</w:t>
      </w:r>
      <w:r>
        <w:rPr>
          <w:rFonts w:cstheme="minorHAnsi"/>
        </w:rPr>
        <w:t xml:space="preserve"> in this market (or MT hypothesis) that is embedded in </w:t>
      </w:r>
      <w:r w:rsidRPr="005F75ED">
        <w:rPr>
          <w:rFonts w:cstheme="minorHAnsi"/>
        </w:rPr>
        <w:t>a defensible logic model,</w:t>
      </w:r>
      <w:r w:rsidRPr="005F75ED">
        <w:rPr>
          <w:rStyle w:val="FootnoteReference"/>
          <w:rFonts w:cstheme="minorHAnsi"/>
        </w:rPr>
        <w:footnoteReference w:id="131"/>
      </w:r>
      <w:r>
        <w:rPr>
          <w:rFonts w:cstheme="minorHAnsi"/>
        </w:rPr>
        <w:t xml:space="preserve">.  This logic model </w:t>
      </w:r>
      <w:r w:rsidRPr="005F75ED">
        <w:rPr>
          <w:rFonts w:cstheme="minorHAnsi"/>
        </w:rPr>
        <w:t xml:space="preserve">provides the linkages between program activities and the anticipated lasting market change that accelerates the adoption of energy efficiency.  </w:t>
      </w:r>
      <w:r>
        <w:rPr>
          <w:rFonts w:cstheme="minorHAnsi"/>
        </w:rPr>
        <w:t>The logic model is documented in the MT Business Plan</w:t>
      </w:r>
      <w:r w:rsidRPr="005F75ED">
        <w:rPr>
          <w:rStyle w:val="FootnoteReference"/>
          <w:rFonts w:cstheme="minorHAnsi"/>
        </w:rPr>
        <w:footnoteReference w:id="132"/>
      </w:r>
      <w:r>
        <w:rPr>
          <w:rFonts w:cstheme="minorHAnsi"/>
        </w:rPr>
        <w:t xml:space="preserve"> or similar document and is developed in advance of executing activities.  MT initiatives are not created by looking backwards and claiming credit for market changes from previous programs.   Nor are all “upstream” programs MT by default. For example, the upstream program may not result in any lasting change to the market and once the incentive is removed the market reverts to its prior condition.  </w:t>
      </w:r>
    </w:p>
    <w:p w14:paraId="2D2820BF" w14:textId="77777777" w:rsidR="0030676F" w:rsidRPr="00612B1E" w:rsidRDefault="0030676F" w:rsidP="0092016D">
      <w:pPr>
        <w:pStyle w:val="Heading2"/>
        <w:widowControl/>
        <w:numPr>
          <w:ilvl w:val="1"/>
          <w:numId w:val="82"/>
        </w:numPr>
        <w:jc w:val="left"/>
      </w:pPr>
      <w:bookmarkStart w:id="2139" w:name="_Toc17451241"/>
      <w:bookmarkStart w:id="2140" w:name="_Toc113619857"/>
      <w:r w:rsidRPr="00C7777A">
        <w:t>Evaluation</w:t>
      </w:r>
      <w:r w:rsidRPr="00612B1E">
        <w:t xml:space="preserve"> and </w:t>
      </w:r>
      <w:r w:rsidRPr="00E405B9">
        <w:t>Measurement</w:t>
      </w:r>
      <w:r w:rsidRPr="00612B1E">
        <w:t xml:space="preserve"> of Savings in MT Initiatives</w:t>
      </w:r>
      <w:bookmarkEnd w:id="2139"/>
      <w:bookmarkEnd w:id="2140"/>
    </w:p>
    <w:p w14:paraId="777D1746" w14:textId="77777777" w:rsidR="0030676F" w:rsidRPr="005F75ED" w:rsidRDefault="0030676F" w:rsidP="0030676F">
      <w:pPr>
        <w:rPr>
          <w:rFonts w:cstheme="minorHAnsi"/>
        </w:rPr>
      </w:pPr>
      <w:r w:rsidRPr="005F75ED">
        <w:rPr>
          <w:rFonts w:cstheme="minorHAnsi"/>
        </w:rPr>
        <w:t xml:space="preserve">Energy savings from MT initiatives are the end result of increased and accelerated market adoption over and above </w:t>
      </w:r>
      <w:r w:rsidRPr="005F75ED">
        <w:rPr>
          <w:rFonts w:cstheme="minorHAnsi"/>
        </w:rPr>
        <w:lastRenderedPageBreak/>
        <w:t>the hypothesized future that would have happened without the MT initiative.  Attributing savings to MT initiatives requires the assumption that some portion of the observed changes in market adoption are the direct result of a targeted, strategic market intervention that was designed and implemented to achieve that result.  The MT framework requires both validation of the MT initiative logic and an evaluation of program implementation and progress towards specific market progress</w:t>
      </w:r>
      <w:r>
        <w:rPr>
          <w:rFonts w:cstheme="minorHAnsi"/>
        </w:rPr>
        <w:t xml:space="preserve"> indicators</w:t>
      </w:r>
      <w:r w:rsidRPr="005F75ED">
        <w:rPr>
          <w:rFonts w:cstheme="minorHAnsi"/>
        </w:rPr>
        <w:t xml:space="preserve"> before savings can be estimated.  </w:t>
      </w:r>
    </w:p>
    <w:p w14:paraId="14F2DB1C" w14:textId="77777777" w:rsidR="0030676F" w:rsidRPr="005F75ED" w:rsidRDefault="0030676F" w:rsidP="0030676F">
      <w:pPr>
        <w:rPr>
          <w:rFonts w:cstheme="minorHAnsi"/>
        </w:rPr>
      </w:pPr>
      <w:r w:rsidRPr="005F75ED">
        <w:rPr>
          <w:rFonts w:cstheme="minorHAnsi"/>
        </w:rPr>
        <w:t>The following section discusses several core concepts specific to the evaluation of MT initiatives.</w:t>
      </w:r>
      <w:r w:rsidRPr="005F75ED">
        <w:rPr>
          <w:rStyle w:val="FootnoteReference"/>
          <w:rFonts w:cstheme="minorHAnsi"/>
        </w:rPr>
        <w:footnoteReference w:id="133"/>
      </w:r>
    </w:p>
    <w:p w14:paraId="43CC6C41" w14:textId="77777777" w:rsidR="0030676F" w:rsidRPr="00612B1E" w:rsidRDefault="0030676F" w:rsidP="0092016D">
      <w:pPr>
        <w:pStyle w:val="Heading3"/>
        <w:numPr>
          <w:ilvl w:val="2"/>
          <w:numId w:val="82"/>
        </w:numPr>
      </w:pPr>
      <w:bookmarkStart w:id="2141" w:name="_Toc17451242"/>
      <w:bookmarkStart w:id="2142" w:name="_Toc113619858"/>
      <w:r w:rsidRPr="00612B1E">
        <w:t>Evaluation Approach – Theory-based Evaluation</w:t>
      </w:r>
      <w:bookmarkEnd w:id="2141"/>
      <w:bookmarkEnd w:id="2142"/>
      <w:r w:rsidRPr="00612B1E">
        <w:t xml:space="preserve"> </w:t>
      </w:r>
    </w:p>
    <w:p w14:paraId="1461E477" w14:textId="77777777" w:rsidR="0030676F" w:rsidRPr="005F75ED" w:rsidRDefault="0030676F" w:rsidP="0030676F">
      <w:pPr>
        <w:rPr>
          <w:rFonts w:cstheme="minorHAnsi"/>
        </w:rPr>
      </w:pPr>
      <w:r w:rsidRPr="005F75ED">
        <w:rPr>
          <w:rFonts w:cstheme="minorHAnsi"/>
        </w:rPr>
        <w:t>Methodologically, MT evaluation tends to rely heavily on Theory-Based Evaluation (TBE).</w:t>
      </w:r>
      <w:r w:rsidRPr="005F75ED">
        <w:rPr>
          <w:rStyle w:val="FootnoteReference"/>
          <w:rFonts w:cstheme="minorHAnsi"/>
        </w:rPr>
        <w:footnoteReference w:id="134"/>
      </w:r>
      <w:r w:rsidRPr="005F75ED">
        <w:rPr>
          <w:rFonts w:cstheme="minorHAnsi"/>
        </w:rPr>
        <w:t xml:space="preserve">  TBE starts with a theory of change that explains how an intervention is expected to produce results.  This theory of change is embodied in the logic model that is the core of a</w:t>
      </w:r>
      <w:r>
        <w:rPr>
          <w:rFonts w:cstheme="minorHAnsi"/>
        </w:rPr>
        <w:t>n</w:t>
      </w:r>
      <w:r w:rsidRPr="005F75ED">
        <w:rPr>
          <w:rFonts w:cstheme="minorHAnsi"/>
        </w:rPr>
        <w:t xml:space="preserve"> MT initiative.  Theory-based evaluation </w:t>
      </w:r>
      <w:r>
        <w:rPr>
          <w:rFonts w:cstheme="minorHAnsi"/>
        </w:rPr>
        <w:t xml:space="preserve">1) </w:t>
      </w:r>
      <w:r w:rsidRPr="005F75ED">
        <w:rPr>
          <w:rFonts w:cstheme="minorHAnsi"/>
        </w:rPr>
        <w:t>attempts to understand if observed changes in the market are consistent with those that would be expected if the initiative were successful, and 2) seeks to understand an intervention’s contribution to those market changes.  Because the unit of analysis is an entire market not a single transaction, MT evaluations tend to require numerous pieces of evidence that 1) change is occurring; and 2) the program is influential in that change.</w:t>
      </w:r>
      <w:r>
        <w:rPr>
          <w:rStyle w:val="FootnoteReference"/>
          <w:rFonts w:cstheme="minorHAnsi"/>
        </w:rPr>
        <w:footnoteReference w:id="135"/>
      </w:r>
      <w:r w:rsidRPr="005F75ED">
        <w:rPr>
          <w:rFonts w:cstheme="minorHAnsi"/>
        </w:rPr>
        <w:t xml:space="preserve"> A preponderance of evidence approach</w:t>
      </w:r>
      <w:r>
        <w:rPr>
          <w:rFonts w:cstheme="minorHAnsi"/>
        </w:rPr>
        <w:t>,</w:t>
      </w:r>
      <w:r w:rsidRPr="005F75ED">
        <w:rPr>
          <w:rFonts w:cstheme="minorHAnsi"/>
        </w:rPr>
        <w:t xml:space="preserve"> rather than proof is most often required. It is important to note that “preponderance of evidence” does not require that all indicators show overwhelming evidence of programmatic influence, but rather that multiple indicators show consistent direction. This information can be qualitative (based on in-depth interviews or observational data collection) or quantitative (based on market share or production data).</w:t>
      </w:r>
    </w:p>
    <w:p w14:paraId="0A865D76" w14:textId="77777777" w:rsidR="0030676F" w:rsidRPr="005F75ED" w:rsidRDefault="0030676F" w:rsidP="0030676F">
      <w:pPr>
        <w:rPr>
          <w:rFonts w:cstheme="minorHAnsi"/>
        </w:rPr>
      </w:pPr>
      <w:r w:rsidRPr="005F75ED">
        <w:rPr>
          <w:rFonts w:cstheme="minorHAnsi"/>
        </w:rPr>
        <w:t>Under a TBE approach, it is important to assess the consistency of the changes observed in the market with those predicted by the program theory.  It can also be important to have a mix of leading indicators (such as early shifts in market share), which provide timely feedback on the near-term progress of the program and the market, as well as lagging indicators, (such as new entrants in the supply chain for the energy efficient product) which can be used to help assess longer-term outcomes.</w:t>
      </w:r>
    </w:p>
    <w:p w14:paraId="5FBC1C22" w14:textId="77777777" w:rsidR="0030676F" w:rsidRPr="00612B1E" w:rsidRDefault="0030676F" w:rsidP="0092016D">
      <w:pPr>
        <w:pStyle w:val="Heading3"/>
        <w:numPr>
          <w:ilvl w:val="2"/>
          <w:numId w:val="82"/>
        </w:numPr>
      </w:pPr>
      <w:bookmarkStart w:id="2143" w:name="_Toc17451243"/>
      <w:bookmarkStart w:id="2144" w:name="_Toc113619859"/>
      <w:r w:rsidRPr="00612B1E">
        <w:t>Evaluation Products</w:t>
      </w:r>
      <w:bookmarkEnd w:id="2143"/>
      <w:bookmarkEnd w:id="2144"/>
      <w:r w:rsidRPr="00612B1E">
        <w:t xml:space="preserve"> </w:t>
      </w:r>
    </w:p>
    <w:p w14:paraId="4E901AE5" w14:textId="77777777" w:rsidR="0030676F" w:rsidRPr="005F75ED" w:rsidRDefault="0030676F" w:rsidP="0030676F">
      <w:pPr>
        <w:rPr>
          <w:rFonts w:cstheme="minorHAnsi"/>
        </w:rPr>
      </w:pPr>
      <w:r w:rsidRPr="005F75ED">
        <w:rPr>
          <w:rFonts w:cstheme="minorHAnsi"/>
        </w:rPr>
        <w:t xml:space="preserve">To evaluate a market transformation initiative effectively, it is essential to </w:t>
      </w:r>
      <w:r>
        <w:rPr>
          <w:rFonts w:cstheme="minorHAnsi"/>
        </w:rPr>
        <w:t>conduct</w:t>
      </w:r>
      <w:r w:rsidRPr="005F75ED">
        <w:rPr>
          <w:rFonts w:cstheme="minorHAnsi"/>
        </w:rPr>
        <w:t xml:space="preserve"> regular</w:t>
      </w:r>
      <w:r>
        <w:rPr>
          <w:rFonts w:cstheme="minorHAnsi"/>
        </w:rPr>
        <w:t xml:space="preserve"> research</w:t>
      </w:r>
      <w:r w:rsidRPr="005F75ED">
        <w:rPr>
          <w:rFonts w:cstheme="minorHAnsi"/>
        </w:rPr>
        <w:t xml:space="preserve"> to understand market changes and </w:t>
      </w:r>
      <w:r>
        <w:rPr>
          <w:rFonts w:cstheme="minorHAnsi"/>
        </w:rPr>
        <w:t>implications</w:t>
      </w:r>
      <w:r w:rsidRPr="005F75ED">
        <w:rPr>
          <w:rFonts w:cstheme="minorHAnsi"/>
        </w:rPr>
        <w:t xml:space="preserve"> for </w:t>
      </w:r>
      <w:r>
        <w:rPr>
          <w:rFonts w:cstheme="minorHAnsi"/>
        </w:rPr>
        <w:t xml:space="preserve">program </w:t>
      </w:r>
      <w:r w:rsidRPr="005F75ED">
        <w:rPr>
          <w:rFonts w:cstheme="minorHAnsi"/>
        </w:rPr>
        <w:t>adapt</w:t>
      </w:r>
      <w:r>
        <w:rPr>
          <w:rFonts w:cstheme="minorHAnsi"/>
        </w:rPr>
        <w:t>ation</w:t>
      </w:r>
      <w:r w:rsidRPr="005F75ED">
        <w:rPr>
          <w:rFonts w:cstheme="minorHAnsi"/>
        </w:rPr>
        <w:t>. The Northwest Energy Efficiency Alliance (NEEA) refers to these regular evaluations as Market Progress Evaluation Reports (MPERs)</w:t>
      </w:r>
      <w:r>
        <w:rPr>
          <w:rFonts w:cstheme="minorHAnsi"/>
        </w:rPr>
        <w:t xml:space="preserve"> and typically executes one per initiative yearly</w:t>
      </w:r>
      <w:r w:rsidRPr="005F75ED">
        <w:rPr>
          <w:rFonts w:cstheme="minorHAnsi"/>
        </w:rPr>
        <w:t>.</w:t>
      </w:r>
      <w:r w:rsidRPr="005F75ED">
        <w:rPr>
          <w:rStyle w:val="FootnoteReference"/>
          <w:rFonts w:cstheme="minorHAnsi"/>
        </w:rPr>
        <w:footnoteReference w:id="136"/>
      </w:r>
      <w:r w:rsidRPr="005F75ED">
        <w:rPr>
          <w:rFonts w:cstheme="minorHAnsi"/>
        </w:rPr>
        <w:t xml:space="preserve"> MPERs include components of impact and process evaluation, market research, and planning and market assessment</w:t>
      </w:r>
      <w:r>
        <w:rPr>
          <w:rFonts w:cstheme="minorHAnsi"/>
        </w:rPr>
        <w:t xml:space="preserve">s and are designed to document </w:t>
      </w:r>
      <w:r w:rsidRPr="005F75ED">
        <w:rPr>
          <w:rFonts w:cstheme="minorHAnsi"/>
        </w:rPr>
        <w:t>progress and market change over the initiative’s life cycle.</w:t>
      </w:r>
      <w:r>
        <w:rPr>
          <w:rFonts w:cstheme="minorHAnsi"/>
        </w:rPr>
        <w:t xml:space="preserve"> It usually takes multiple MPERs over time to tell the complete story of an initiative. </w:t>
      </w:r>
      <w:r w:rsidRPr="005F75ED">
        <w:rPr>
          <w:rFonts w:cstheme="minorHAnsi"/>
        </w:rPr>
        <w:t xml:space="preserve"> </w:t>
      </w:r>
    </w:p>
    <w:p w14:paraId="0964952B" w14:textId="77777777" w:rsidR="0030676F" w:rsidRPr="005F75ED" w:rsidRDefault="0030676F" w:rsidP="0030676F">
      <w:pPr>
        <w:rPr>
          <w:rFonts w:cstheme="minorHAnsi"/>
        </w:rPr>
      </w:pPr>
      <w:r w:rsidRPr="005F75ED">
        <w:rPr>
          <w:rFonts w:cstheme="minorHAnsi"/>
        </w:rPr>
        <w:t xml:space="preserve">The MPER scope is centered around 1) an assessment of the strength of remaining barriers and 2) </w:t>
      </w:r>
      <w:r>
        <w:rPr>
          <w:rFonts w:cstheme="minorHAnsi"/>
        </w:rPr>
        <w:t>measurement of</w:t>
      </w:r>
      <w:r w:rsidRPr="005F75ED">
        <w:rPr>
          <w:rFonts w:cstheme="minorHAnsi"/>
        </w:rPr>
        <w:t xml:space="preserve"> </w:t>
      </w:r>
      <w:r w:rsidRPr="005F75ED">
        <w:rPr>
          <w:rFonts w:cstheme="minorHAnsi"/>
        </w:rPr>
        <w:lastRenderedPageBreak/>
        <w:t>Market Progress Indicators (MPIs).</w:t>
      </w:r>
      <w:r w:rsidRPr="005F75ED">
        <w:rPr>
          <w:rStyle w:val="FootnoteReference"/>
          <w:rFonts w:cstheme="minorHAnsi"/>
        </w:rPr>
        <w:footnoteReference w:id="137"/>
      </w:r>
      <w:r w:rsidRPr="005F75ED">
        <w:rPr>
          <w:rFonts w:cstheme="minorHAnsi"/>
        </w:rPr>
        <w:t xml:space="preserve"> MPIs are market-based milestones associated with progress hypothesized in the logic model and confirmed as appropriate real-world indicators of progress. </w:t>
      </w:r>
      <w:r>
        <w:rPr>
          <w:rFonts w:cstheme="minorHAnsi"/>
        </w:rPr>
        <w:t xml:space="preserve">Examples of MPIs include market share for the efficient option, changes in product availability, or evidence of promotional activity by affiliated or unaffiliated market actors. </w:t>
      </w:r>
      <w:r w:rsidRPr="005F75ED">
        <w:rPr>
          <w:rFonts w:cstheme="minorHAnsi"/>
        </w:rPr>
        <w:t>Regular assessment of MPI</w:t>
      </w:r>
      <w:r>
        <w:rPr>
          <w:rFonts w:cstheme="minorHAnsi"/>
        </w:rPr>
        <w:t xml:space="preserve"> progress</w:t>
      </w:r>
      <w:r w:rsidRPr="005F75ED">
        <w:rPr>
          <w:rFonts w:cstheme="minorHAnsi"/>
        </w:rPr>
        <w:t xml:space="preserve"> plays a central role in building a qualitative case for attribution over time via theory-based evaluation.</w:t>
      </w:r>
      <w:r>
        <w:rPr>
          <w:rFonts w:cstheme="minorHAnsi"/>
        </w:rPr>
        <w:t xml:space="preserve"> </w:t>
      </w:r>
    </w:p>
    <w:p w14:paraId="72BB3B28" w14:textId="77777777" w:rsidR="0030676F" w:rsidRDefault="0030676F" w:rsidP="0092016D">
      <w:pPr>
        <w:pStyle w:val="Heading2"/>
        <w:widowControl/>
        <w:numPr>
          <w:ilvl w:val="1"/>
          <w:numId w:val="82"/>
        </w:numPr>
        <w:jc w:val="left"/>
      </w:pPr>
      <w:bookmarkStart w:id="2145" w:name="_Toc17451244"/>
      <w:bookmarkStart w:id="2146" w:name="_Toc113619860"/>
      <w:r>
        <w:t>Uncertainty and Risk in MT Savings Estimates</w:t>
      </w:r>
      <w:bookmarkEnd w:id="2145"/>
      <w:bookmarkEnd w:id="2146"/>
    </w:p>
    <w:p w14:paraId="13D951A3" w14:textId="77777777" w:rsidR="0030676F" w:rsidRDefault="0030676F" w:rsidP="0030676F">
      <w:pPr>
        <w:rPr>
          <w:rFonts w:cstheme="minorHAnsi"/>
        </w:rPr>
      </w:pPr>
      <w:r w:rsidRPr="005F75ED">
        <w:rPr>
          <w:rFonts w:cstheme="minorHAnsi"/>
        </w:rPr>
        <w:t xml:space="preserve">It is also important to understand that MT interventions operate with a different level of certainty than many </w:t>
      </w:r>
      <w:proofErr w:type="gramStart"/>
      <w:r w:rsidRPr="005F75ED">
        <w:rPr>
          <w:rFonts w:cstheme="minorHAnsi"/>
        </w:rPr>
        <w:t>resource</w:t>
      </w:r>
      <w:proofErr w:type="gramEnd"/>
      <w:r w:rsidRPr="005F75ED">
        <w:rPr>
          <w:rFonts w:cstheme="minorHAnsi"/>
        </w:rPr>
        <w:t xml:space="preserve"> acquisition programs. </w:t>
      </w:r>
      <w:r>
        <w:rPr>
          <w:rFonts w:cstheme="minorHAnsi"/>
        </w:rPr>
        <w:t xml:space="preserve"> </w:t>
      </w:r>
      <w:r w:rsidRPr="005F75ED">
        <w:rPr>
          <w:rFonts w:cstheme="minorHAnsi"/>
        </w:rPr>
        <w:t xml:space="preserve">Experimental design and tight error bounds on realized energy savings are not realistic expectations for initiatives that seek to animate, but not control, market shifts. </w:t>
      </w:r>
      <w:r>
        <w:rPr>
          <w:rFonts w:cstheme="minorHAnsi"/>
        </w:rPr>
        <w:t xml:space="preserve"> One key reason for this greater uncertainty, as discussed above, is the greater difficulty of establishing attribution.  In addition, needed market data (particularly sales data) can be hard to obtain.  Finally, u</w:t>
      </w:r>
      <w:r w:rsidRPr="005F75ED">
        <w:rPr>
          <w:rFonts w:cstheme="minorHAnsi"/>
        </w:rPr>
        <w:t xml:space="preserve">ncertainty </w:t>
      </w:r>
      <w:r>
        <w:rPr>
          <w:rFonts w:cstheme="minorHAnsi"/>
        </w:rPr>
        <w:t>also stems from items</w:t>
      </w:r>
      <w:r w:rsidRPr="005F75ED">
        <w:rPr>
          <w:rFonts w:cstheme="minorHAnsi"/>
        </w:rPr>
        <w:t xml:space="preserve"> such as a rapidly changing product category or a reliance on the indirect influence of retail sales people.  </w:t>
      </w:r>
    </w:p>
    <w:p w14:paraId="131DA778" w14:textId="3850AF77" w:rsidR="0030676F" w:rsidRDefault="0030676F" w:rsidP="0030676F">
      <w:pPr>
        <w:rPr>
          <w:ins w:id="2147" w:author="Sam Dent" w:date="2022-09-08T11:53:00Z"/>
          <w:rFonts w:cstheme="minorHAnsi"/>
        </w:rPr>
      </w:pPr>
      <w:r w:rsidRPr="005F75ED">
        <w:rPr>
          <w:rFonts w:cstheme="minorHAnsi"/>
        </w:rPr>
        <w:t xml:space="preserve">To </w:t>
      </w:r>
      <w:r>
        <w:rPr>
          <w:rFonts w:cstheme="minorHAnsi"/>
        </w:rPr>
        <w:t>help stakeholders and utilities assess</w:t>
      </w:r>
      <w:r w:rsidRPr="005F75ED">
        <w:rPr>
          <w:rFonts w:cstheme="minorHAnsi"/>
        </w:rPr>
        <w:t xml:space="preserve"> the risks associated with this uncertainty, program designers should engage early with planning and evaluation professionals</w:t>
      </w:r>
      <w:r>
        <w:rPr>
          <w:rFonts w:cstheme="minorHAnsi"/>
        </w:rPr>
        <w:t xml:space="preserve"> with experience in market transformation. Establishing </w:t>
      </w:r>
      <w:r w:rsidRPr="005F75ED">
        <w:rPr>
          <w:rFonts w:cstheme="minorHAnsi"/>
        </w:rPr>
        <w:t xml:space="preserve">energy savings methods associated with the proposed intervention and </w:t>
      </w:r>
      <w:r>
        <w:rPr>
          <w:rFonts w:cstheme="minorHAnsi"/>
        </w:rPr>
        <w:t>gaining</w:t>
      </w:r>
      <w:r w:rsidRPr="005F75ED">
        <w:rPr>
          <w:rFonts w:cstheme="minorHAnsi"/>
        </w:rPr>
        <w:t xml:space="preserve"> acceptance for the proposed baseline</w:t>
      </w:r>
      <w:r>
        <w:rPr>
          <w:rFonts w:cstheme="minorHAnsi"/>
        </w:rPr>
        <w:t xml:space="preserve"> often requires multiple rounds of review and refinement as data and assumptions are vetted</w:t>
      </w:r>
      <w:r w:rsidRPr="005F75ED">
        <w:rPr>
          <w:rFonts w:cstheme="minorHAnsi"/>
        </w:rPr>
        <w:t xml:space="preserve">.  </w:t>
      </w:r>
      <w:r>
        <w:rPr>
          <w:rFonts w:cstheme="minorHAnsi"/>
        </w:rPr>
        <w:t xml:space="preserve">At the time of writing, it is anticipated that the Illinois Stakeholder Advisory Group Working Group on Market Transformation Savings will serve as a forum to effectively plan MT initiatives and navigate unexpected market events. </w:t>
      </w:r>
    </w:p>
    <w:p w14:paraId="5FEBE42A" w14:textId="77777777" w:rsidR="00A448EC" w:rsidRDefault="00A448EC" w:rsidP="00A448EC">
      <w:pPr>
        <w:pStyle w:val="Heading2"/>
        <w:widowControl/>
        <w:numPr>
          <w:ilvl w:val="1"/>
          <w:numId w:val="82"/>
        </w:numPr>
        <w:jc w:val="left"/>
        <w:rPr>
          <w:ins w:id="2148" w:author="Celia Johnson" w:date="2022-09-06T13:20:00Z"/>
        </w:rPr>
      </w:pPr>
      <w:bookmarkStart w:id="2149" w:name="_Toc113365541"/>
      <w:bookmarkStart w:id="2150" w:name="_Toc113619861"/>
      <w:ins w:id="2151" w:author="Celia Johnson" w:date="2022-09-06T13:20:00Z">
        <w:r>
          <w:t>Market Transformation Savings Protocol Process Recommendation</w:t>
        </w:r>
        <w:bookmarkEnd w:id="2149"/>
        <w:bookmarkEnd w:id="2150"/>
      </w:ins>
    </w:p>
    <w:p w14:paraId="779D0455" w14:textId="77777777" w:rsidR="00A448EC" w:rsidRPr="00346AC8" w:rsidRDefault="00A448EC" w:rsidP="00A448EC">
      <w:pPr>
        <w:rPr>
          <w:ins w:id="2152" w:author="Celia Johnson" w:date="2022-09-06T13:20:00Z"/>
          <w:rFonts w:cstheme="minorHAnsi"/>
        </w:rPr>
      </w:pPr>
      <w:ins w:id="2153" w:author="Celia Johnson" w:date="2022-09-06T13:20:00Z">
        <w:r w:rsidRPr="00346AC8">
          <w:rPr>
            <w:rFonts w:cstheme="minorHAnsi"/>
          </w:rPr>
          <w:t>In 2022, the SAG</w:t>
        </w:r>
      </w:ins>
      <w:ins w:id="2154" w:author="Celia Johnson" w:date="2022-09-06T13:21:00Z">
        <w:r>
          <w:rPr>
            <w:rFonts w:cstheme="minorHAnsi"/>
          </w:rPr>
          <w:t xml:space="preserve"> </w:t>
        </w:r>
      </w:ins>
      <w:ins w:id="2155" w:author="Celia Johnson" w:date="2022-09-06T13:20:00Z">
        <w:r w:rsidRPr="00346AC8">
          <w:rPr>
            <w:rFonts w:cstheme="minorHAnsi"/>
          </w:rPr>
          <w:t>Market Transformation Savings Working Group (SAG MT Savings Working Group) developed the Market Transformation Savings Protocol Process Recommendation which aims to:</w:t>
        </w:r>
      </w:ins>
    </w:p>
    <w:p w14:paraId="5DBC325A" w14:textId="77777777" w:rsidR="00A448EC" w:rsidRDefault="00A448EC">
      <w:pPr>
        <w:pStyle w:val="ListParagraph"/>
        <w:numPr>
          <w:ilvl w:val="0"/>
          <w:numId w:val="98"/>
        </w:numPr>
        <w:rPr>
          <w:ins w:id="2156" w:author="Celia Johnson" w:date="2022-09-06T13:20:00Z"/>
          <w:rFonts w:cstheme="minorHAnsi"/>
        </w:rPr>
      </w:pPr>
      <w:ins w:id="2157" w:author="Celia Johnson" w:date="2022-09-06T13:20:00Z">
        <w:r w:rsidRPr="00346AC8">
          <w:rPr>
            <w:rFonts w:cstheme="minorHAnsi"/>
          </w:rPr>
          <w:t>Formalize the MT process to streamline activities to reach consensus on MT Savings Protocols</w:t>
        </w:r>
      </w:ins>
    </w:p>
    <w:p w14:paraId="17E4A21B" w14:textId="77777777" w:rsidR="00A448EC" w:rsidRDefault="00A448EC">
      <w:pPr>
        <w:pStyle w:val="ListParagraph"/>
        <w:numPr>
          <w:ilvl w:val="0"/>
          <w:numId w:val="98"/>
        </w:numPr>
        <w:rPr>
          <w:ins w:id="2158" w:author="Celia Johnson" w:date="2022-09-06T13:20:00Z"/>
          <w:rFonts w:cstheme="minorHAnsi"/>
        </w:rPr>
      </w:pPr>
      <w:ins w:id="2159" w:author="Celia Johnson" w:date="2022-09-06T13:20:00Z">
        <w:r w:rsidRPr="00346AC8">
          <w:rPr>
            <w:rFonts w:cstheme="minorHAnsi"/>
          </w:rPr>
          <w:t>Define a set of recommended deliverables and work products that build to final MT Savings Protocols</w:t>
        </w:r>
      </w:ins>
    </w:p>
    <w:p w14:paraId="392B9F81" w14:textId="77777777" w:rsidR="00A448EC" w:rsidRDefault="00A448EC">
      <w:pPr>
        <w:pStyle w:val="ListParagraph"/>
        <w:numPr>
          <w:ilvl w:val="0"/>
          <w:numId w:val="98"/>
        </w:numPr>
        <w:rPr>
          <w:ins w:id="2160" w:author="Celia Johnson" w:date="2022-09-06T13:20:00Z"/>
          <w:rFonts w:cstheme="minorHAnsi"/>
        </w:rPr>
      </w:pPr>
      <w:ins w:id="2161" w:author="Celia Johnson" w:date="2022-09-06T13:20:00Z">
        <w:r w:rsidRPr="00346AC8">
          <w:rPr>
            <w:rFonts w:cstheme="minorHAnsi"/>
          </w:rPr>
          <w:t>Provide recommendations on the recommended order of operations by deliverables and work product</w:t>
        </w:r>
        <w:r>
          <w:rPr>
            <w:rFonts w:cstheme="minorHAnsi"/>
          </w:rPr>
          <w:t>s</w:t>
        </w:r>
      </w:ins>
    </w:p>
    <w:p w14:paraId="5992EC75" w14:textId="77777777" w:rsidR="00A448EC" w:rsidRDefault="00A448EC">
      <w:pPr>
        <w:pStyle w:val="ListParagraph"/>
        <w:numPr>
          <w:ilvl w:val="0"/>
          <w:numId w:val="98"/>
        </w:numPr>
        <w:rPr>
          <w:ins w:id="2162" w:author="Celia Johnson" w:date="2022-09-06T13:20:00Z"/>
          <w:rFonts w:cstheme="minorHAnsi"/>
        </w:rPr>
      </w:pPr>
      <w:ins w:id="2163" w:author="Celia Johnson" w:date="2022-09-06T13:20:00Z">
        <w:r w:rsidRPr="00346AC8">
          <w:rPr>
            <w:rFonts w:cstheme="minorHAnsi"/>
          </w:rPr>
          <w:t>Define a recommended set of activities and components</w:t>
        </w:r>
      </w:ins>
    </w:p>
    <w:p w14:paraId="7486211D" w14:textId="77777777" w:rsidR="00A448EC" w:rsidRPr="00346AC8" w:rsidRDefault="00A448EC">
      <w:pPr>
        <w:pStyle w:val="ListParagraph"/>
        <w:numPr>
          <w:ilvl w:val="0"/>
          <w:numId w:val="98"/>
        </w:numPr>
        <w:rPr>
          <w:ins w:id="2164" w:author="Celia Johnson" w:date="2022-09-06T13:20:00Z"/>
          <w:rFonts w:cstheme="minorHAnsi"/>
        </w:rPr>
      </w:pPr>
      <w:ins w:id="2165" w:author="Celia Johnson" w:date="2022-09-06T13:20:00Z">
        <w:r w:rsidRPr="00346AC8">
          <w:rPr>
            <w:rFonts w:cstheme="minorHAnsi"/>
          </w:rPr>
          <w:t>Define the development of a dashboard to provide regular updates to SAG MT Savings Working Group participants</w:t>
        </w:r>
      </w:ins>
    </w:p>
    <w:p w14:paraId="58B142DB" w14:textId="77777777" w:rsidR="00A448EC" w:rsidRPr="00346AC8" w:rsidRDefault="00A448EC" w:rsidP="00A448EC">
      <w:pPr>
        <w:rPr>
          <w:ins w:id="2166" w:author="Celia Johnson" w:date="2022-09-06T13:20:00Z"/>
          <w:rFonts w:cstheme="minorHAnsi"/>
        </w:rPr>
      </w:pPr>
      <w:ins w:id="2167" w:author="Celia Johnson" w:date="2022-09-06T13:20:00Z">
        <w:r w:rsidRPr="00346AC8">
          <w:rPr>
            <w:rFonts w:cstheme="minorHAnsi"/>
          </w:rPr>
          <w:t>The Process Recommendation document is posted on the SAG MT Savings Working Group webpage: https://www.ilsag.info/mt_savings_working_group/</w:t>
        </w:r>
      </w:ins>
    </w:p>
    <w:p w14:paraId="235EA600" w14:textId="77777777" w:rsidR="00A448EC" w:rsidRDefault="00A448EC" w:rsidP="00A448EC">
      <w:pPr>
        <w:rPr>
          <w:rFonts w:cstheme="minorHAnsi"/>
        </w:rPr>
      </w:pPr>
      <w:ins w:id="2168" w:author="Celia Johnson" w:date="2022-09-06T13:20:00Z">
        <w:r w:rsidRPr="00346AC8">
          <w:rPr>
            <w:rFonts w:cstheme="minorHAnsi"/>
          </w:rPr>
          <w:t>The processes outlined in this document are recommendations, to provide guidance for actors working on MT initiatives in Illinois. The Process Recommendations document is not meant to be a formal checklist, with a requirement to complete each step, but rather a recommendation of process to minimize the time necessary to reach consensus on MT Savings Protocols by developing a foundation of information and agreement on the components of MT Savings Protocols prior to utility implementation of a MT initiative. Process steps may differ by MT initiative.</w:t>
        </w:r>
      </w:ins>
    </w:p>
    <w:p w14:paraId="0A682C7E" w14:textId="77777777" w:rsidR="00A42A68" w:rsidRDefault="00A42A68" w:rsidP="0030676F">
      <w:pPr>
        <w:rPr>
          <w:rFonts w:cstheme="minorHAnsi"/>
        </w:rPr>
      </w:pPr>
    </w:p>
    <w:p w14:paraId="73AE647B" w14:textId="77777777" w:rsidR="0030676F" w:rsidRPr="00D677AD" w:rsidRDefault="0030676F" w:rsidP="0092016D">
      <w:pPr>
        <w:pStyle w:val="Heading1"/>
        <w:widowControl/>
        <w:numPr>
          <w:ilvl w:val="0"/>
          <w:numId w:val="82"/>
        </w:numPr>
        <w:tabs>
          <w:tab w:val="left" w:pos="720"/>
        </w:tabs>
        <w:spacing w:before="120" w:after="200"/>
        <w:ind w:left="0" w:firstLine="0"/>
      </w:pPr>
      <w:bookmarkStart w:id="2169" w:name="_Toc17451245"/>
      <w:bookmarkStart w:id="2170" w:name="_Toc113619862"/>
      <w:r w:rsidRPr="00D677AD">
        <w:t>Estimating Savings for MT Initiatives</w:t>
      </w:r>
      <w:bookmarkEnd w:id="2169"/>
      <w:bookmarkEnd w:id="2170"/>
    </w:p>
    <w:p w14:paraId="0451C43D" w14:textId="77777777" w:rsidR="0030676F" w:rsidRDefault="0030676F" w:rsidP="0092016D">
      <w:pPr>
        <w:pStyle w:val="Heading2"/>
        <w:widowControl/>
        <w:numPr>
          <w:ilvl w:val="1"/>
          <w:numId w:val="82"/>
        </w:numPr>
        <w:jc w:val="left"/>
      </w:pPr>
      <w:bookmarkStart w:id="2171" w:name="_Toc17451246"/>
      <w:bookmarkStart w:id="2172" w:name="_Toc113619863"/>
      <w:r>
        <w:t>Overall Approach</w:t>
      </w:r>
      <w:bookmarkEnd w:id="2171"/>
      <w:bookmarkEnd w:id="2172"/>
    </w:p>
    <w:p w14:paraId="4FE20DE2" w14:textId="77777777" w:rsidR="0030676F" w:rsidRDefault="0030676F" w:rsidP="0030676F">
      <w:r>
        <w:rPr>
          <w:rFonts w:cstheme="minorHAnsi"/>
        </w:rPr>
        <w:t xml:space="preserve">There are three key factors to consider when estimating MT savings.  The first is the Total Market Savings that result from the entire market adoption of energy efficiency products or services.  The second is the Natural Market Baseline, which is an estimate of the market as if there were no utility funded energy efficiency activity.  </w:t>
      </w:r>
      <w:r w:rsidRPr="005F75ED">
        <w:rPr>
          <w:rFonts w:cstheme="minorHAnsi"/>
        </w:rPr>
        <w:t xml:space="preserve">Figure 2 </w:t>
      </w:r>
      <w:r w:rsidRPr="005F75ED">
        <w:rPr>
          <w:rFonts w:cstheme="minorHAnsi"/>
        </w:rPr>
        <w:lastRenderedPageBreak/>
        <w:t xml:space="preserve">illustrates </w:t>
      </w:r>
      <w:r>
        <w:rPr>
          <w:rFonts w:cstheme="minorHAnsi"/>
        </w:rPr>
        <w:t>these two factors</w:t>
      </w:r>
      <w:r>
        <w:rPr>
          <w:rStyle w:val="FootnoteReference"/>
          <w:rFonts w:cstheme="minorHAnsi"/>
        </w:rPr>
        <w:footnoteReference w:id="138"/>
      </w:r>
      <w:r>
        <w:rPr>
          <w:rFonts w:cstheme="minorHAnsi"/>
        </w:rPr>
        <w:t xml:space="preserve">.   The third is the removal of savings specifically tied to RA programs operating in the same market to prevent double counting.  After </w:t>
      </w:r>
      <w:proofErr w:type="gramStart"/>
      <w:r>
        <w:rPr>
          <w:rFonts w:cstheme="minorHAnsi"/>
        </w:rPr>
        <w:t>all</w:t>
      </w:r>
      <w:proofErr w:type="gramEnd"/>
      <w:r>
        <w:rPr>
          <w:rFonts w:cstheme="minorHAnsi"/>
        </w:rPr>
        <w:t xml:space="preserve"> three factors are considered, then MT savings are typically allocated to individual service territories.  </w:t>
      </w:r>
    </w:p>
    <w:p w14:paraId="2E3B7A02" w14:textId="77777777" w:rsidR="0030676F" w:rsidRPr="006135F1" w:rsidRDefault="0030676F" w:rsidP="0030676F">
      <w:pPr>
        <w:spacing w:after="100"/>
        <w:rPr>
          <w:bCs/>
          <w:iCs/>
        </w:rPr>
      </w:pPr>
      <w:r>
        <w:rPr>
          <w:bCs/>
          <w:iCs/>
        </w:rPr>
        <w:t xml:space="preserve">The first step to estimate savings is to determine MT Units and Unit Energy Savings (UES).  MT Units is the result of subtracting Natural Market Baseline Units from Total Market Units.  MT UES is the result of subtracting the Unit Energy Consumption (UEC) of the efficient product/service from the UEC of the baseline product/service.  These are described more fully in the text below. </w:t>
      </w:r>
    </w:p>
    <w:p w14:paraId="3AC46F93" w14:textId="77777777" w:rsidR="0030676F" w:rsidRPr="006E7807" w:rsidRDefault="0030676F" w:rsidP="0030676F">
      <w:pPr>
        <w:spacing w:after="100"/>
        <w:rPr>
          <w:b/>
          <w:i/>
        </w:rPr>
      </w:pPr>
      <w:r w:rsidRPr="006E7807">
        <w:rPr>
          <w:b/>
          <w:i/>
        </w:rPr>
        <w:t xml:space="preserve">     MT Energy Savings = Unit Energy Savings (UES) x Number of MT Units (Units)</w:t>
      </w:r>
    </w:p>
    <w:p w14:paraId="1CF933DF" w14:textId="77777777" w:rsidR="0030676F" w:rsidRDefault="0030676F" w:rsidP="0030676F">
      <w:pPr>
        <w:spacing w:after="100"/>
        <w:ind w:firstLine="720"/>
        <w:rPr>
          <w:i/>
        </w:rPr>
      </w:pPr>
      <w:r>
        <w:rPr>
          <w:i/>
        </w:rPr>
        <w:t>Where:</w:t>
      </w:r>
    </w:p>
    <w:p w14:paraId="1F47A0D8" w14:textId="77777777" w:rsidR="0030676F" w:rsidRDefault="0030676F" w:rsidP="0092016D">
      <w:pPr>
        <w:pStyle w:val="ListParagraph"/>
        <w:widowControl/>
        <w:numPr>
          <w:ilvl w:val="0"/>
          <w:numId w:val="77"/>
        </w:numPr>
        <w:spacing w:after="100"/>
        <w:ind w:left="1080"/>
        <w:jc w:val="left"/>
        <w:rPr>
          <w:i/>
        </w:rPr>
      </w:pPr>
      <w:r>
        <w:rPr>
          <w:i/>
        </w:rPr>
        <w:t xml:space="preserve">Unit Energy Savings = Unit Energy Consumption (UEC) of baseline product/service – UEC of EE product </w:t>
      </w:r>
    </w:p>
    <w:p w14:paraId="19F2461A" w14:textId="77777777" w:rsidR="0030676F" w:rsidRPr="00936338" w:rsidRDefault="0030676F" w:rsidP="0092016D">
      <w:pPr>
        <w:pStyle w:val="ListParagraph"/>
        <w:widowControl/>
        <w:numPr>
          <w:ilvl w:val="0"/>
          <w:numId w:val="77"/>
        </w:numPr>
        <w:spacing w:after="100"/>
        <w:ind w:left="1080"/>
        <w:jc w:val="left"/>
        <w:rPr>
          <w:i/>
        </w:rPr>
      </w:pPr>
      <w:r>
        <w:rPr>
          <w:i/>
        </w:rPr>
        <w:t>Number of MT Units</w:t>
      </w:r>
      <w:r w:rsidRPr="00936338">
        <w:rPr>
          <w:i/>
        </w:rPr>
        <w:t xml:space="preserve"> = </w:t>
      </w:r>
      <w:r>
        <w:rPr>
          <w:i/>
        </w:rPr>
        <w:t>Total</w:t>
      </w:r>
      <w:r w:rsidRPr="00936338">
        <w:rPr>
          <w:i/>
        </w:rPr>
        <w:t xml:space="preserve"> Market Units </w:t>
      </w:r>
      <w:r>
        <w:rPr>
          <w:i/>
        </w:rPr>
        <w:t xml:space="preserve">minus </w:t>
      </w:r>
      <w:r w:rsidRPr="00936338">
        <w:rPr>
          <w:i/>
        </w:rPr>
        <w:t>Natural Market Baseline Units;</w:t>
      </w:r>
    </w:p>
    <w:p w14:paraId="7E781FCB" w14:textId="77777777" w:rsidR="0030676F" w:rsidRDefault="0030676F" w:rsidP="0030676F">
      <w:pPr>
        <w:spacing w:after="100"/>
        <w:ind w:left="720" w:firstLine="720"/>
        <w:jc w:val="left"/>
        <w:rPr>
          <w:iCs/>
        </w:rPr>
      </w:pPr>
      <w:r w:rsidRPr="00F60A06">
        <w:rPr>
          <w:iCs/>
        </w:rPr>
        <w:t>Note: Units are adjusted</w:t>
      </w:r>
      <w:r w:rsidRPr="006135F1">
        <w:rPr>
          <w:iCs/>
        </w:rPr>
        <w:t xml:space="preserve"> in a subsequent step</w:t>
      </w:r>
      <w:r w:rsidRPr="00F60A06">
        <w:rPr>
          <w:iCs/>
        </w:rPr>
        <w:t xml:space="preserve"> </w:t>
      </w:r>
      <w:r>
        <w:rPr>
          <w:iCs/>
        </w:rPr>
        <w:t>to account for any overlap between</w:t>
      </w:r>
      <w:r w:rsidRPr="00F60A06">
        <w:rPr>
          <w:iCs/>
        </w:rPr>
        <w:t xml:space="preserve"> RA and MT</w:t>
      </w:r>
      <w:r>
        <w:rPr>
          <w:iCs/>
        </w:rPr>
        <w:t>.</w:t>
      </w:r>
    </w:p>
    <w:p w14:paraId="6168B278" w14:textId="77777777" w:rsidR="0030676F" w:rsidRDefault="0030676F" w:rsidP="0030676F">
      <w:pPr>
        <w:spacing w:after="100"/>
        <w:jc w:val="left"/>
        <w:rPr>
          <w:iCs/>
        </w:rPr>
      </w:pPr>
    </w:p>
    <w:p w14:paraId="08938C06" w14:textId="77777777" w:rsidR="0030676F" w:rsidRDefault="0030676F" w:rsidP="0030676F">
      <w:pPr>
        <w:spacing w:after="100"/>
        <w:jc w:val="left"/>
        <w:rPr>
          <w:iCs/>
        </w:rPr>
      </w:pPr>
      <w:r>
        <w:rPr>
          <w:iCs/>
        </w:rPr>
        <w:t xml:space="preserve">Figure 2 illustrates the overall approach where Natural Market Baseline is subtracted from the Total Market to estimate MT savings.  </w:t>
      </w:r>
    </w:p>
    <w:p w14:paraId="1F6F8146" w14:textId="7164424B" w:rsidR="0030676F" w:rsidRPr="005F75ED" w:rsidRDefault="0030676F" w:rsidP="00D21F1A">
      <w:pPr>
        <w:pStyle w:val="Captions"/>
      </w:pPr>
      <w:bookmarkStart w:id="2173" w:name="_Toc83376846"/>
      <w:r w:rsidRPr="005F75ED">
        <w:t xml:space="preserve">Figure </w:t>
      </w:r>
      <w:r w:rsidR="003C23BE">
        <w:t>2-1</w:t>
      </w:r>
      <w:r w:rsidRPr="005F75ED">
        <w:t>: Framework for MT Savings</w:t>
      </w:r>
      <w:bookmarkEnd w:id="2173"/>
    </w:p>
    <w:p w14:paraId="13BF0BA9" w14:textId="77777777" w:rsidR="0030676F" w:rsidRPr="005F75ED" w:rsidRDefault="0030676F" w:rsidP="0030676F">
      <w:pPr>
        <w:jc w:val="center"/>
        <w:rPr>
          <w:rFonts w:cstheme="minorHAnsi"/>
        </w:rPr>
      </w:pPr>
      <w:r w:rsidRPr="00AB5FF2">
        <w:rPr>
          <w:noProof/>
        </w:rPr>
        <w:drawing>
          <wp:inline distT="0" distB="0" distL="0" distR="0" wp14:anchorId="1803DB18" wp14:editId="66F8F8DD">
            <wp:extent cx="4467853" cy="2514600"/>
            <wp:effectExtent l="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4513881" cy="2540506"/>
                    </a:xfrm>
                    <a:prstGeom prst="rect">
                      <a:avLst/>
                    </a:prstGeom>
                    <a:noFill/>
                    <a:ln>
                      <a:noFill/>
                    </a:ln>
                  </pic:spPr>
                </pic:pic>
              </a:graphicData>
            </a:graphic>
          </wp:inline>
        </w:drawing>
      </w:r>
    </w:p>
    <w:p w14:paraId="232F12D6" w14:textId="77777777" w:rsidR="0030676F" w:rsidRPr="006736D0" w:rsidRDefault="0030676F" w:rsidP="0092016D">
      <w:pPr>
        <w:pStyle w:val="Heading3"/>
        <w:numPr>
          <w:ilvl w:val="2"/>
          <w:numId w:val="82"/>
        </w:numPr>
      </w:pPr>
      <w:bookmarkStart w:id="2174" w:name="_Toc17451247"/>
      <w:bookmarkStart w:id="2175" w:name="_Toc113619864"/>
      <w:r w:rsidRPr="006736D0">
        <w:t>Unit Energy Savings</w:t>
      </w:r>
      <w:bookmarkEnd w:id="2174"/>
      <w:bookmarkEnd w:id="2175"/>
    </w:p>
    <w:p w14:paraId="5FF2574F" w14:textId="77777777" w:rsidR="0030676F" w:rsidRPr="00243B20" w:rsidRDefault="0030676F" w:rsidP="0092016D">
      <w:pPr>
        <w:pStyle w:val="Heading4"/>
        <w:numPr>
          <w:ilvl w:val="3"/>
          <w:numId w:val="82"/>
        </w:numPr>
      </w:pPr>
      <w:r w:rsidRPr="003A5A2E">
        <w:t>Theory</w:t>
      </w:r>
    </w:p>
    <w:p w14:paraId="6F0C5B0C" w14:textId="611F22DC" w:rsidR="0030676F" w:rsidRPr="005F75ED" w:rsidRDefault="0030676F" w:rsidP="0030676F">
      <w:pPr>
        <w:rPr>
          <w:rFonts w:cstheme="minorHAnsi"/>
        </w:rPr>
      </w:pPr>
      <w:r w:rsidRPr="005F75ED">
        <w:rPr>
          <w:rFonts w:cstheme="minorHAnsi"/>
        </w:rPr>
        <w:t>Estimating total market savings requires unit energy savings for each unit</w:t>
      </w:r>
      <w:r>
        <w:rPr>
          <w:rFonts w:cstheme="minorHAnsi"/>
        </w:rPr>
        <w:t>.</w:t>
      </w:r>
      <w:r w:rsidRPr="005F75ED">
        <w:rPr>
          <w:rFonts w:cstheme="minorHAnsi"/>
        </w:rPr>
        <w:t xml:space="preserve"> The definition of “units” will depend on the energy-efficient product or service that is the focal point for the MT initiative. </w:t>
      </w:r>
      <w:r>
        <w:rPr>
          <w:rFonts w:cstheme="minorHAnsi"/>
        </w:rPr>
        <w:t>U</w:t>
      </w:r>
      <w:r w:rsidRPr="005F75ED">
        <w:rPr>
          <w:rFonts w:cstheme="minorHAnsi"/>
        </w:rPr>
        <w:t xml:space="preserve">nits are defined upfront and typically </w:t>
      </w:r>
      <w:r>
        <w:rPr>
          <w:rFonts w:cstheme="minorHAnsi"/>
        </w:rPr>
        <w:t>are measured as</w:t>
      </w:r>
      <w:r w:rsidRPr="005F75ED">
        <w:rPr>
          <w:rFonts w:cstheme="minorHAnsi"/>
        </w:rPr>
        <w:t xml:space="preserve">: a device; square footage; </w:t>
      </w:r>
      <w:r>
        <w:rPr>
          <w:rFonts w:cstheme="minorHAnsi"/>
        </w:rPr>
        <w:t xml:space="preserve">number of housing units; </w:t>
      </w:r>
      <w:r w:rsidRPr="005F75ED">
        <w:rPr>
          <w:rFonts w:cstheme="minorHAnsi"/>
        </w:rPr>
        <w:t xml:space="preserve">number of operators; pound of product, etc. The appropriate unit definition will have been identified in the MT Business Plan. Savings are measured in kwh/unit, </w:t>
      </w:r>
      <w:proofErr w:type="spellStart"/>
      <w:r w:rsidRPr="005F75ED">
        <w:rPr>
          <w:rFonts w:cstheme="minorHAnsi"/>
        </w:rPr>
        <w:t>therms</w:t>
      </w:r>
      <w:proofErr w:type="spellEnd"/>
      <w:r w:rsidRPr="005F75ED">
        <w:rPr>
          <w:rFonts w:cstheme="minorHAnsi"/>
        </w:rPr>
        <w:t>/</w:t>
      </w:r>
      <w:r w:rsidR="00CE67C7" w:rsidRPr="005F75ED">
        <w:rPr>
          <w:rFonts w:cstheme="minorHAnsi"/>
        </w:rPr>
        <w:t>unit,</w:t>
      </w:r>
      <w:r w:rsidRPr="005F75ED">
        <w:rPr>
          <w:rFonts w:cstheme="minorHAnsi"/>
        </w:rPr>
        <w:t xml:space="preserve"> and kW/unit.   </w:t>
      </w:r>
      <w:r>
        <w:rPr>
          <w:rFonts w:cstheme="minorHAnsi"/>
        </w:rPr>
        <w:t xml:space="preserve">Note that the average savings per unit for that market likely will be the weighted average savings per unit for different categories of product (such as top-load or front-load clothes washer categories). In this paper unit energy savings reflect the weighted average of all the categories included in the target market.  </w:t>
      </w:r>
    </w:p>
    <w:p w14:paraId="480DC409" w14:textId="77777777" w:rsidR="0030676F" w:rsidRPr="006736D0" w:rsidRDefault="0030676F" w:rsidP="0092016D">
      <w:pPr>
        <w:pStyle w:val="Heading4"/>
        <w:numPr>
          <w:ilvl w:val="3"/>
          <w:numId w:val="82"/>
        </w:numPr>
      </w:pPr>
      <w:r w:rsidRPr="003A5A2E">
        <w:lastRenderedPageBreak/>
        <w:t>Practice</w:t>
      </w:r>
    </w:p>
    <w:p w14:paraId="53265DAB" w14:textId="77777777" w:rsidR="0030676F" w:rsidRDefault="0030676F" w:rsidP="0030676F">
      <w:pPr>
        <w:rPr>
          <w:rFonts w:cstheme="minorHAnsi"/>
        </w:rPr>
      </w:pPr>
      <w:r w:rsidRPr="005F75ED">
        <w:rPr>
          <w:rFonts w:cstheme="minorHAnsi"/>
        </w:rPr>
        <w:t>Savings per unit are derived from the delta between the unit energy consumption in the baseline product</w:t>
      </w:r>
      <w:r>
        <w:rPr>
          <w:rFonts w:cstheme="minorHAnsi"/>
        </w:rPr>
        <w:t xml:space="preserve"> or service</w:t>
      </w:r>
      <w:r w:rsidRPr="005F75ED">
        <w:rPr>
          <w:rFonts w:cstheme="minorHAnsi"/>
        </w:rPr>
        <w:t xml:space="preserve"> and that of the efficient </w:t>
      </w:r>
      <w:r>
        <w:rPr>
          <w:rFonts w:cstheme="minorHAnsi"/>
        </w:rPr>
        <w:t>one</w:t>
      </w:r>
      <w:r w:rsidRPr="005F75ED">
        <w:rPr>
          <w:rFonts w:cstheme="minorHAnsi"/>
        </w:rPr>
        <w:t xml:space="preserve">.  This savings delta can be a deemed value already included in </w:t>
      </w:r>
      <w:r>
        <w:rPr>
          <w:rFonts w:cstheme="minorHAnsi"/>
        </w:rPr>
        <w:t>the</w:t>
      </w:r>
      <w:r w:rsidRPr="005F75ED">
        <w:rPr>
          <w:rFonts w:cstheme="minorHAnsi"/>
        </w:rPr>
        <w:t xml:space="preserve"> TRM, it can be calculated as part of the planning and baseline work that informs typical MT programs</w:t>
      </w:r>
      <w:r>
        <w:rPr>
          <w:rFonts w:cstheme="minorHAnsi"/>
        </w:rPr>
        <w:t>, or it can be directly tracked or researched</w:t>
      </w:r>
      <w:r w:rsidRPr="005F75ED">
        <w:rPr>
          <w:rFonts w:cstheme="minorHAnsi"/>
        </w:rPr>
        <w:t xml:space="preserve">. </w:t>
      </w:r>
    </w:p>
    <w:p w14:paraId="01E43F25" w14:textId="77777777" w:rsidR="0030676F" w:rsidRPr="005F75ED" w:rsidRDefault="0030676F" w:rsidP="0030676F">
      <w:pPr>
        <w:rPr>
          <w:rFonts w:cstheme="minorHAnsi"/>
        </w:rPr>
      </w:pPr>
      <w:r w:rsidRPr="005F75ED">
        <w:rPr>
          <w:rFonts w:cstheme="minorHAnsi"/>
        </w:rPr>
        <w:t xml:space="preserve">For MT programs that rely on shifts in practice or sales mix, an appropriate approach to calculating savings can be using the energy consumption embodied in the “standard practice” or “average sales mix” as opposed to a single widget-based calculation.  When data is not available for the consumption of standard practice or average sales, modelling of an applicable energy code or standard can also be used.   </w:t>
      </w:r>
    </w:p>
    <w:p w14:paraId="2C570FA3" w14:textId="77777777" w:rsidR="0030676F" w:rsidRPr="005F75ED" w:rsidRDefault="0030676F" w:rsidP="0030676F">
      <w:pPr>
        <w:rPr>
          <w:rFonts w:cstheme="minorHAnsi"/>
        </w:rPr>
      </w:pPr>
      <w:r>
        <w:rPr>
          <w:rFonts w:cstheme="minorHAnsi"/>
        </w:rPr>
        <w:t>Analysts</w:t>
      </w:r>
      <w:r w:rsidRPr="005F75ED">
        <w:rPr>
          <w:rFonts w:cstheme="minorHAnsi"/>
        </w:rPr>
        <w:t xml:space="preserve"> can review existing sources of information for savings per unit (or base- and efficient- consumption) and use those estimates if they are applicable.  These sources could include </w:t>
      </w:r>
      <w:r>
        <w:rPr>
          <w:rFonts w:cstheme="minorHAnsi"/>
        </w:rPr>
        <w:t xml:space="preserve">the Business Plan for the initiative; </w:t>
      </w:r>
      <w:r w:rsidRPr="005F75ED">
        <w:rPr>
          <w:rFonts w:cstheme="minorHAnsi"/>
        </w:rPr>
        <w:t>prior evaluations; TRMs; load forecasts</w:t>
      </w:r>
      <w:r>
        <w:rPr>
          <w:rFonts w:cstheme="minorHAnsi"/>
        </w:rPr>
        <w:t xml:space="preserve">; </w:t>
      </w:r>
      <w:r w:rsidRPr="005F75ED">
        <w:rPr>
          <w:rFonts w:cstheme="minorHAnsi"/>
        </w:rPr>
        <w:t>existing energy efficiency programs within the utility; emerging technology/R&amp;D results; negotiated settlements on particular savings values, etc.</w:t>
      </w:r>
    </w:p>
    <w:p w14:paraId="22FFA59A" w14:textId="77777777" w:rsidR="0030676F" w:rsidRPr="005F75ED" w:rsidRDefault="0030676F" w:rsidP="0030676F">
      <w:pPr>
        <w:rPr>
          <w:rFonts w:cstheme="minorHAnsi"/>
        </w:rPr>
      </w:pPr>
      <w:r w:rsidRPr="005F75ED">
        <w:rPr>
          <w:rFonts w:cstheme="minorHAnsi"/>
        </w:rPr>
        <w:t xml:space="preserve">If existing sources </w:t>
      </w:r>
      <w:r>
        <w:rPr>
          <w:rFonts w:cstheme="minorHAnsi"/>
        </w:rPr>
        <w:t>aren’t available or don’t seem sufficiently reliable</w:t>
      </w:r>
      <w:r w:rsidRPr="005F75ED">
        <w:rPr>
          <w:rFonts w:cstheme="minorHAnsi"/>
        </w:rPr>
        <w:t xml:space="preserve">, the </w:t>
      </w:r>
      <w:r>
        <w:rPr>
          <w:rFonts w:cstheme="minorHAnsi"/>
        </w:rPr>
        <w:t>analyst</w:t>
      </w:r>
      <w:r w:rsidRPr="005F75ED">
        <w:rPr>
          <w:rFonts w:cstheme="minorHAnsi"/>
        </w:rPr>
        <w:t xml:space="preserve"> should develop and implement a plan for securing more information on savings per unit.  This may include product testing, piloting, or developing an agreed upon proxy for use in the near term with a plan for developing more robust savings estimates over the longer term.</w:t>
      </w:r>
    </w:p>
    <w:p w14:paraId="4480D711" w14:textId="77777777" w:rsidR="0030676F" w:rsidRPr="006736D0" w:rsidRDefault="0030676F" w:rsidP="0092016D">
      <w:pPr>
        <w:pStyle w:val="Heading3"/>
        <w:numPr>
          <w:ilvl w:val="2"/>
          <w:numId w:val="82"/>
        </w:numPr>
      </w:pPr>
      <w:bookmarkStart w:id="2176" w:name="_Toc17451248"/>
      <w:bookmarkStart w:id="2177" w:name="_Toc113619865"/>
      <w:r w:rsidRPr="006736D0">
        <w:t>Estimating Total Market Units</w:t>
      </w:r>
      <w:bookmarkEnd w:id="2176"/>
      <w:bookmarkEnd w:id="2177"/>
    </w:p>
    <w:p w14:paraId="1DC78404" w14:textId="77777777" w:rsidR="0030676F" w:rsidRPr="006736D0" w:rsidRDefault="0030676F" w:rsidP="0092016D">
      <w:pPr>
        <w:pStyle w:val="Heading4"/>
        <w:numPr>
          <w:ilvl w:val="3"/>
          <w:numId w:val="82"/>
        </w:numPr>
      </w:pPr>
      <w:r w:rsidRPr="006736D0">
        <w:t>Theory</w:t>
      </w:r>
    </w:p>
    <w:p w14:paraId="0A2042F5" w14:textId="77777777" w:rsidR="0030676F" w:rsidRPr="005F75ED" w:rsidRDefault="0030676F" w:rsidP="0030676F">
      <w:pPr>
        <w:rPr>
          <w:rFonts w:cstheme="minorHAnsi"/>
        </w:rPr>
      </w:pPr>
      <w:r w:rsidRPr="005F75ED">
        <w:rPr>
          <w:rFonts w:cstheme="minorHAnsi"/>
        </w:rPr>
        <w:t>Each market will have unique characteristics and data sources for tracking units in that market.  In many markets, extrapolations or approximations based on best available information will need to suffice.  Ideally, the initiative should try to track both the total number of units in the market and the portion of units that meet the efficiency specification in the MT initiative</w:t>
      </w:r>
      <w:r>
        <w:rPr>
          <w:rFonts w:cstheme="minorHAnsi"/>
        </w:rPr>
        <w:t xml:space="preserve"> (efficient units)</w:t>
      </w:r>
      <w:r w:rsidRPr="005F75ED">
        <w:rPr>
          <w:rFonts w:cstheme="minorHAnsi"/>
        </w:rPr>
        <w:t xml:space="preserve">.  Over time, Market Progress Evaluation Reports will </w:t>
      </w:r>
      <w:r>
        <w:rPr>
          <w:rFonts w:cstheme="minorHAnsi"/>
        </w:rPr>
        <w:t xml:space="preserve">work to </w:t>
      </w:r>
      <w:r w:rsidRPr="005F75ED">
        <w:rPr>
          <w:rFonts w:cstheme="minorHAnsi"/>
        </w:rPr>
        <w:t xml:space="preserve">track shifts in the relationship between efficient units and total units – which represents the market share of efficient units.  </w:t>
      </w:r>
    </w:p>
    <w:p w14:paraId="12B558A5" w14:textId="77777777" w:rsidR="0030676F" w:rsidRPr="005F75ED" w:rsidRDefault="0030676F" w:rsidP="0030676F">
      <w:pPr>
        <w:rPr>
          <w:rFonts w:cstheme="minorHAnsi"/>
        </w:rPr>
      </w:pPr>
      <w:r w:rsidRPr="005F75ED">
        <w:rPr>
          <w:rFonts w:cstheme="minorHAnsi"/>
        </w:rPr>
        <w:t xml:space="preserve">In the case of gas-heated new home construction, for example, Market Progress Evaluation Reports would collect public information on new gas-heated housing starts as well as track the number of new homes meeting a </w:t>
      </w:r>
      <w:r>
        <w:rPr>
          <w:rFonts w:cstheme="minorHAnsi"/>
        </w:rPr>
        <w:t>particular</w:t>
      </w:r>
      <w:r w:rsidRPr="005F75ED">
        <w:rPr>
          <w:rFonts w:cstheme="minorHAnsi"/>
        </w:rPr>
        <w:t xml:space="preserve"> efficiency specification.  In mass markets, like appliances and commercial food service equipment, the best market data often resides with key market actors, like large distributors or manufacturers.  In these cases, the design of the initiative should include a plan to secure sales data for the whole product category </w:t>
      </w:r>
      <w:r w:rsidRPr="00412F5F">
        <w:rPr>
          <w:rFonts w:cstheme="minorHAnsi"/>
        </w:rPr>
        <w:t>and</w:t>
      </w:r>
      <w:r w:rsidRPr="005F75ED">
        <w:rPr>
          <w:rFonts w:cstheme="minorHAnsi"/>
        </w:rPr>
        <w:t xml:space="preserve"> the efficient units as an inherent part of the initiative’s implementation.  </w:t>
      </w:r>
      <w:r>
        <w:rPr>
          <w:rFonts w:cstheme="minorHAnsi"/>
        </w:rPr>
        <w:t>If not secured at the beginning of an initiative, this data can be difficult or impossible to secure later. As a result, i</w:t>
      </w:r>
      <w:r w:rsidRPr="005F75ED">
        <w:rPr>
          <w:rFonts w:cstheme="minorHAnsi"/>
        </w:rPr>
        <w:t xml:space="preserve">t is optimal to design this data collection into the initiative when starting strategic partnerships with the market actors. </w:t>
      </w:r>
    </w:p>
    <w:p w14:paraId="521668CA" w14:textId="77777777" w:rsidR="0030676F" w:rsidRPr="005F75ED" w:rsidRDefault="0030676F" w:rsidP="0030676F">
      <w:pPr>
        <w:rPr>
          <w:rFonts w:cstheme="minorHAnsi"/>
        </w:rPr>
      </w:pPr>
      <w:r>
        <w:rPr>
          <w:rFonts w:cstheme="minorHAnsi"/>
        </w:rPr>
        <w:t>In many cases an</w:t>
      </w:r>
      <w:r w:rsidRPr="005F75ED">
        <w:rPr>
          <w:rFonts w:cstheme="minorHAnsi"/>
        </w:rPr>
        <w:t xml:space="preserve"> initiative </w:t>
      </w:r>
      <w:r>
        <w:rPr>
          <w:rFonts w:cstheme="minorHAnsi"/>
        </w:rPr>
        <w:t>is unlikely to</w:t>
      </w:r>
      <w:r w:rsidRPr="005F75ED">
        <w:rPr>
          <w:rFonts w:cstheme="minorHAnsi"/>
        </w:rPr>
        <w:t xml:space="preserve"> have participat</w:t>
      </w:r>
      <w:r>
        <w:rPr>
          <w:rFonts w:cstheme="minorHAnsi"/>
        </w:rPr>
        <w:t>ion from</w:t>
      </w:r>
      <w:r w:rsidRPr="005F75ED">
        <w:rPr>
          <w:rFonts w:cstheme="minorHAnsi"/>
        </w:rPr>
        <w:t xml:space="preserve"> distributors, manufacturers and/or retailers that cover sales in 100% of the market</w:t>
      </w:r>
      <w:r>
        <w:rPr>
          <w:rFonts w:cstheme="minorHAnsi"/>
        </w:rPr>
        <w:t>.  In this case</w:t>
      </w:r>
      <w:r w:rsidRPr="005F75ED">
        <w:rPr>
          <w:rFonts w:cstheme="minorHAnsi"/>
        </w:rPr>
        <w:t xml:space="preserve"> factors need to be developed to extrapolate the data that is available for a portion of the market to the rest of the market.  </w:t>
      </w:r>
    </w:p>
    <w:p w14:paraId="40BEE5B9" w14:textId="77777777" w:rsidR="0030676F" w:rsidRPr="006736D0" w:rsidRDefault="0030676F" w:rsidP="0092016D">
      <w:pPr>
        <w:pStyle w:val="Heading4"/>
        <w:numPr>
          <w:ilvl w:val="3"/>
          <w:numId w:val="82"/>
        </w:numPr>
      </w:pPr>
      <w:r w:rsidRPr="003A5A2E">
        <w:t>Practice</w:t>
      </w:r>
      <w:r w:rsidRPr="006736D0">
        <w:t xml:space="preserve">  </w:t>
      </w:r>
    </w:p>
    <w:p w14:paraId="767FC9F6" w14:textId="77777777" w:rsidR="0030676F" w:rsidRPr="005F75ED" w:rsidRDefault="0030676F" w:rsidP="0030676F">
      <w:pPr>
        <w:rPr>
          <w:rFonts w:cstheme="minorHAnsi"/>
        </w:rPr>
      </w:pPr>
      <w:r w:rsidRPr="005F75ED">
        <w:rPr>
          <w:rFonts w:cstheme="minorHAnsi"/>
        </w:rPr>
        <w:t xml:space="preserve">In practice, planning a market transformation initiative requires developing a plan for obtaining sufficient market data to enable the establishment of a reasonable baseline, as well as for on-going estimation of savings from the MT initiative. </w:t>
      </w:r>
      <w:r>
        <w:rPr>
          <w:rFonts w:cstheme="minorHAnsi"/>
        </w:rPr>
        <w:t>Below are a few of the</w:t>
      </w:r>
      <w:r w:rsidRPr="005F75ED">
        <w:rPr>
          <w:rFonts w:cstheme="minorHAnsi"/>
        </w:rPr>
        <w:t xml:space="preserve"> approaches to meet this requirement:</w:t>
      </w:r>
    </w:p>
    <w:p w14:paraId="1F73E7D1" w14:textId="77777777" w:rsidR="0030676F" w:rsidRPr="005F75ED" w:rsidRDefault="0030676F" w:rsidP="0092016D">
      <w:pPr>
        <w:pStyle w:val="ListParagraph"/>
        <w:widowControl/>
        <w:numPr>
          <w:ilvl w:val="0"/>
          <w:numId w:val="78"/>
        </w:numPr>
        <w:contextualSpacing w:val="0"/>
        <w:rPr>
          <w:rFonts w:cstheme="minorHAnsi"/>
        </w:rPr>
      </w:pPr>
      <w:r w:rsidRPr="005F75ED">
        <w:rPr>
          <w:rFonts w:cstheme="minorHAnsi"/>
          <w:b/>
        </w:rPr>
        <w:lastRenderedPageBreak/>
        <w:t>Full category sales</w:t>
      </w:r>
      <w:r>
        <w:rPr>
          <w:rStyle w:val="FootnoteReference"/>
          <w:rFonts w:cstheme="minorHAnsi"/>
          <w:b/>
        </w:rPr>
        <w:footnoteReference w:id="139"/>
      </w:r>
      <w:r>
        <w:rPr>
          <w:rFonts w:cstheme="minorHAnsi"/>
          <w:b/>
        </w:rPr>
        <w:t xml:space="preserve"> or market practice </w:t>
      </w:r>
      <w:r w:rsidRPr="005F75ED">
        <w:rPr>
          <w:rFonts w:cstheme="minorHAnsi"/>
          <w:b/>
        </w:rPr>
        <w:t>data</w:t>
      </w:r>
      <w:r w:rsidRPr="005F75ED">
        <w:rPr>
          <w:rStyle w:val="FootnoteReference"/>
          <w:rFonts w:cstheme="minorHAnsi"/>
        </w:rPr>
        <w:footnoteReference w:id="140"/>
      </w:r>
      <w:r w:rsidRPr="005F75ED">
        <w:rPr>
          <w:rFonts w:cstheme="minorHAnsi"/>
        </w:rPr>
        <w:t xml:space="preserve">. Market </w:t>
      </w:r>
      <w:proofErr w:type="spellStart"/>
      <w:r w:rsidRPr="005F75ED">
        <w:rPr>
          <w:rFonts w:cstheme="minorHAnsi"/>
        </w:rPr>
        <w:t>analyses</w:t>
      </w:r>
      <w:proofErr w:type="spellEnd"/>
      <w:r w:rsidRPr="005F75ED">
        <w:rPr>
          <w:rFonts w:cstheme="minorHAnsi"/>
        </w:rPr>
        <w:t xml:space="preserve"> are most comprehensive when they include full category data from </w:t>
      </w:r>
      <w:r>
        <w:rPr>
          <w:rFonts w:cstheme="minorHAnsi"/>
        </w:rPr>
        <w:t>key actors in the market</w:t>
      </w:r>
      <w:r w:rsidRPr="005F75ED">
        <w:rPr>
          <w:rFonts w:cstheme="minorHAnsi"/>
        </w:rPr>
        <w:t xml:space="preserve"> </w:t>
      </w:r>
      <w:r>
        <w:rPr>
          <w:rFonts w:cstheme="minorHAnsi"/>
        </w:rPr>
        <w:t xml:space="preserve">chain, such as retailers </w:t>
      </w:r>
      <w:r w:rsidRPr="005F75ED">
        <w:rPr>
          <w:rFonts w:cstheme="minorHAnsi"/>
        </w:rPr>
        <w:t>or distributors</w:t>
      </w:r>
      <w:r>
        <w:rPr>
          <w:rFonts w:cstheme="minorHAnsi"/>
        </w:rPr>
        <w:t xml:space="preserve">.  </w:t>
      </w:r>
      <w:r w:rsidRPr="005F75ED">
        <w:rPr>
          <w:rFonts w:cstheme="minorHAnsi"/>
        </w:rPr>
        <w:t xml:space="preserve">They can reveal unexpected trends in product categories that inform both trendlines and program interventions. </w:t>
      </w:r>
      <w:r>
        <w:rPr>
          <w:rFonts w:cstheme="minorHAnsi"/>
        </w:rPr>
        <w:t>These</w:t>
      </w:r>
      <w:r w:rsidRPr="005F75ED">
        <w:rPr>
          <w:rFonts w:cstheme="minorHAnsi"/>
        </w:rPr>
        <w:t xml:space="preserve"> data make it possible to understand the market share of the efficient product relative to its competitive set. </w:t>
      </w:r>
    </w:p>
    <w:p w14:paraId="3C9103BC" w14:textId="77777777" w:rsidR="0030676F" w:rsidRPr="005F75ED" w:rsidRDefault="0030676F" w:rsidP="0092016D">
      <w:pPr>
        <w:pStyle w:val="ListParagraph"/>
        <w:widowControl/>
        <w:numPr>
          <w:ilvl w:val="0"/>
          <w:numId w:val="78"/>
        </w:numPr>
        <w:contextualSpacing w:val="0"/>
        <w:rPr>
          <w:rFonts w:cstheme="minorHAnsi"/>
        </w:rPr>
      </w:pPr>
      <w:r w:rsidRPr="005F75ED">
        <w:rPr>
          <w:rFonts w:cstheme="minorHAnsi"/>
          <w:b/>
        </w:rPr>
        <w:t>Primary data collection and extrapolation.</w:t>
      </w:r>
      <w:r w:rsidRPr="005F75ED">
        <w:rPr>
          <w:rFonts w:cstheme="minorHAnsi"/>
        </w:rPr>
        <w:t xml:space="preserve"> Because full category data is </w:t>
      </w:r>
      <w:r>
        <w:rPr>
          <w:rFonts w:cstheme="minorHAnsi"/>
        </w:rPr>
        <w:t>rarely</w:t>
      </w:r>
      <w:r w:rsidRPr="005F75ED">
        <w:rPr>
          <w:rFonts w:cstheme="minorHAnsi"/>
        </w:rPr>
        <w:t xml:space="preserve"> available, primary research within the target market is frequently used to develop an understanding of the current level of market activity, including the portion consistent with the efficiency threshold sought by the program. Surveys with robust samples of trade allies, design professionals, and distributors can provide data on the square footage, sales in dollar value, project volume or denominator of interest. In cases where downstream rebate programs are operating in tandem with MT engagement, rebate processing data can provide a detailed look at a slice of the total market. </w:t>
      </w:r>
      <w:r>
        <w:rPr>
          <w:rFonts w:cstheme="minorHAnsi"/>
        </w:rPr>
        <w:t xml:space="preserve">Similarly, some upstream programs will be able to collect actual primary sales data on market share for some or all of the market.  </w:t>
      </w:r>
    </w:p>
    <w:p w14:paraId="22490FBA" w14:textId="77777777" w:rsidR="0030676F" w:rsidRDefault="0030676F" w:rsidP="0092016D">
      <w:pPr>
        <w:pStyle w:val="ListParagraph"/>
        <w:widowControl/>
        <w:numPr>
          <w:ilvl w:val="0"/>
          <w:numId w:val="78"/>
        </w:numPr>
        <w:contextualSpacing w:val="0"/>
      </w:pPr>
      <w:r w:rsidRPr="006135F1">
        <w:rPr>
          <w:rFonts w:cstheme="minorHAnsi"/>
          <w:b/>
          <w:bCs/>
        </w:rPr>
        <w:t>Secondary market data</w:t>
      </w:r>
      <w:r w:rsidRPr="005F3F38">
        <w:rPr>
          <w:rFonts w:cstheme="minorHAnsi"/>
        </w:rPr>
        <w:t xml:space="preserve">. Regardless of the data available to the program, it is also best practice to include a scan for other sources of market data that might be available outside of the energy efficiency community. Investment briefs, product trend analyses, JD Power or Consumer Reports data, and industry data often gathered by trade associations or similar organizations such as the Association of Home Appliance Manufacturers, NPD Group, Heating Air-conditioning Refrigeration Distributors International, etc. </w:t>
      </w:r>
    </w:p>
    <w:p w14:paraId="67ED1089" w14:textId="77777777" w:rsidR="0030676F" w:rsidRDefault="0030676F" w:rsidP="0092016D">
      <w:pPr>
        <w:pStyle w:val="Heading2"/>
        <w:widowControl/>
        <w:numPr>
          <w:ilvl w:val="1"/>
          <w:numId w:val="82"/>
        </w:numPr>
        <w:jc w:val="left"/>
      </w:pPr>
      <w:bookmarkStart w:id="2178" w:name="_Toc17451249"/>
      <w:bookmarkStart w:id="2179" w:name="_Toc113619866"/>
      <w:r>
        <w:t xml:space="preserve">Estimating </w:t>
      </w:r>
      <w:r w:rsidRPr="006736D0">
        <w:t>Natural Market Baseline</w:t>
      </w:r>
      <w:bookmarkEnd w:id="2178"/>
      <w:bookmarkEnd w:id="2179"/>
    </w:p>
    <w:p w14:paraId="0CA039EE" w14:textId="77777777" w:rsidR="0030676F" w:rsidRPr="002261DF" w:rsidRDefault="0030676F" w:rsidP="0092016D">
      <w:pPr>
        <w:pStyle w:val="Heading3"/>
        <w:numPr>
          <w:ilvl w:val="2"/>
          <w:numId w:val="82"/>
        </w:numPr>
      </w:pPr>
      <w:bookmarkStart w:id="2180" w:name="_Toc17451250"/>
      <w:bookmarkStart w:id="2181" w:name="_Toc113619867"/>
      <w:r>
        <w:t>The Role of Natural Market Baseline and Attribution</w:t>
      </w:r>
      <w:bookmarkEnd w:id="2180"/>
      <w:bookmarkEnd w:id="2181"/>
    </w:p>
    <w:p w14:paraId="79DB10FC" w14:textId="77777777" w:rsidR="0030676F" w:rsidRPr="005F75ED" w:rsidRDefault="0030676F" w:rsidP="0030676F">
      <w:pPr>
        <w:rPr>
          <w:rFonts w:cstheme="minorHAnsi"/>
        </w:rPr>
      </w:pPr>
      <w:r w:rsidRPr="005F75ED">
        <w:rPr>
          <w:rFonts w:cstheme="minorHAnsi"/>
        </w:rPr>
        <w:t xml:space="preserve">The Natural Market Baseline is a forecast of the future in which no utility-funded energy efficiency programmatic intervention exists.  </w:t>
      </w:r>
      <w:r>
        <w:rPr>
          <w:rFonts w:cstheme="minorHAnsi"/>
        </w:rPr>
        <w:t>Natural Market Baseline</w:t>
      </w:r>
      <w:r w:rsidRPr="005F75ED">
        <w:rPr>
          <w:rFonts w:cstheme="minorHAnsi"/>
        </w:rPr>
        <w:t xml:space="preserve"> is </w:t>
      </w:r>
      <w:r>
        <w:rPr>
          <w:rFonts w:cstheme="minorHAnsi"/>
        </w:rPr>
        <w:t xml:space="preserve">removed from the Total Market Savings to ensure that the savings counted from ratepayer activities do not include savings </w:t>
      </w:r>
      <w:r w:rsidRPr="005F75ED">
        <w:rPr>
          <w:rFonts w:cstheme="minorHAnsi"/>
        </w:rPr>
        <w:t>that would have occurred without the utility funded programs</w:t>
      </w:r>
      <w:r>
        <w:rPr>
          <w:rFonts w:cstheme="minorHAnsi"/>
        </w:rPr>
        <w:t>.</w:t>
      </w:r>
      <w:r w:rsidRPr="005F75ED">
        <w:rPr>
          <w:rFonts w:cstheme="minorHAnsi"/>
        </w:rPr>
        <w:t xml:space="preserve"> </w:t>
      </w:r>
      <w:r>
        <w:rPr>
          <w:rFonts w:cstheme="minorHAnsi"/>
        </w:rPr>
        <w:t>This is the MT version of “attribution” and no further adjustment for free riders is needed.</w:t>
      </w:r>
    </w:p>
    <w:p w14:paraId="64279638" w14:textId="77777777" w:rsidR="0030676F" w:rsidRPr="005F75ED" w:rsidRDefault="0030676F" w:rsidP="0030676F">
      <w:pPr>
        <w:rPr>
          <w:rFonts w:cstheme="minorHAnsi"/>
        </w:rPr>
      </w:pPr>
      <w:r>
        <w:rPr>
          <w:rFonts w:cstheme="minorHAnsi"/>
        </w:rPr>
        <w:t xml:space="preserve">As discussed earlier in the paper, attribution can typically only be established qualitatively for MT initiatives, yet under the policy framework in place in Illinois, a net savings figure must be determined.  Subtracting the Natural Market Baseline from Total Market Units is the mechanism by which this is accomplished.  Once an initial forecast has been made, the focus of evaluation efforts turns to building a case over time as to whether sufficient evidence exists to establish a link between program activities and market effects that are consistent with that forecast.  As discussed below, depending on the body of evidence that emerges over time, the initial forecast for both Total Market Units and the Natural Market Baseline may be revised periodically.  In addition, quantitative adjustments may be made to allocate total net savings between sponsors or between MT and RA programs as discussed later. </w:t>
      </w:r>
    </w:p>
    <w:p w14:paraId="5DBADA27" w14:textId="77777777" w:rsidR="0030676F" w:rsidRPr="005F75ED" w:rsidRDefault="0030676F" w:rsidP="0030676F">
      <w:pPr>
        <w:rPr>
          <w:rFonts w:cstheme="minorHAnsi"/>
        </w:rPr>
      </w:pPr>
      <w:r w:rsidRPr="005F75ED">
        <w:rPr>
          <w:rFonts w:cstheme="minorHAnsi"/>
        </w:rPr>
        <w:t xml:space="preserve">In principle, subtracting the Natural Market Baseline from total market units yields by definition an estimate of </w:t>
      </w:r>
      <w:r>
        <w:rPr>
          <w:rFonts w:cstheme="minorHAnsi"/>
        </w:rPr>
        <w:t xml:space="preserve">total </w:t>
      </w:r>
      <w:r w:rsidRPr="005F75ED">
        <w:rPr>
          <w:rFonts w:cstheme="minorHAnsi"/>
        </w:rPr>
        <w:t>net savings</w:t>
      </w:r>
      <w:r>
        <w:rPr>
          <w:rStyle w:val="FootnoteReference"/>
          <w:rFonts w:cstheme="minorHAnsi"/>
        </w:rPr>
        <w:footnoteReference w:id="141"/>
      </w:r>
      <w:r w:rsidRPr="005F75ED">
        <w:rPr>
          <w:rFonts w:cstheme="minorHAnsi"/>
        </w:rPr>
        <w:t xml:space="preserve">. However, depending on the specifics of the regional policy framework and the individual initiative, further adjustments could be </w:t>
      </w:r>
      <w:r>
        <w:rPr>
          <w:rFonts w:cstheme="minorHAnsi"/>
        </w:rPr>
        <w:t>called for</w:t>
      </w:r>
      <w:r w:rsidRPr="005F75ED">
        <w:rPr>
          <w:rFonts w:cstheme="minorHAnsi"/>
        </w:rPr>
        <w:t>.  One example would be a situation in which policymakers or stakeholders simply wish to build some conservatism into MT savings claims to reflect the greater uncertainty surrounding attribution compared to RA programs.  Another example would be a situation in which it appears that some other public intervention not directly connected to the MT initiative or reflected in the Natural Market Baseline, is likely to have contributed to the progress of the market.</w:t>
      </w:r>
      <w:r w:rsidRPr="005F75ED">
        <w:rPr>
          <w:rStyle w:val="FootnoteReference"/>
          <w:rFonts w:eastAsiaTheme="majorEastAsia" w:cstheme="minorHAnsi"/>
        </w:rPr>
        <w:footnoteReference w:id="142"/>
      </w:r>
      <w:r w:rsidRPr="005F75ED">
        <w:rPr>
          <w:rFonts w:cstheme="minorHAnsi"/>
        </w:rPr>
        <w:t xml:space="preserve">  Such further adjustments for attribution could be either </w:t>
      </w:r>
      <w:r w:rsidRPr="005F75ED">
        <w:rPr>
          <w:rFonts w:cstheme="minorHAnsi"/>
        </w:rPr>
        <w:lastRenderedPageBreak/>
        <w:t xml:space="preserve">deemed up front, negotiated after the fact, or determined by an oversight agency such as a regulatory commission.   </w:t>
      </w:r>
    </w:p>
    <w:p w14:paraId="644FF504" w14:textId="77777777" w:rsidR="0030676F" w:rsidRPr="005F75ED" w:rsidRDefault="0030676F" w:rsidP="0092016D">
      <w:pPr>
        <w:pStyle w:val="Heading3"/>
        <w:numPr>
          <w:ilvl w:val="2"/>
          <w:numId w:val="82"/>
        </w:numPr>
        <w:rPr>
          <w:rFonts w:cstheme="minorHAnsi"/>
        </w:rPr>
      </w:pPr>
      <w:bookmarkStart w:id="2182" w:name="_Toc17451251"/>
      <w:bookmarkStart w:id="2183" w:name="_Toc113619868"/>
      <w:r w:rsidRPr="002C1A1D">
        <w:t>Natural</w:t>
      </w:r>
      <w:r w:rsidRPr="006736D0">
        <w:t xml:space="preserve"> </w:t>
      </w:r>
      <w:r w:rsidRPr="00F8057A">
        <w:rPr>
          <w:sz w:val="28"/>
          <w:szCs w:val="28"/>
        </w:rPr>
        <w:t>Market</w:t>
      </w:r>
      <w:r w:rsidRPr="006736D0">
        <w:t xml:space="preserve"> Baseline Units</w:t>
      </w:r>
      <w:r w:rsidRPr="005F75ED">
        <w:rPr>
          <w:rStyle w:val="FootnoteReference"/>
          <w:rFonts w:cstheme="minorHAnsi"/>
        </w:rPr>
        <w:footnoteReference w:id="143"/>
      </w:r>
      <w:bookmarkEnd w:id="2182"/>
      <w:bookmarkEnd w:id="2183"/>
    </w:p>
    <w:p w14:paraId="6A77750A" w14:textId="77777777" w:rsidR="0030676F" w:rsidRPr="006736D0" w:rsidRDefault="0030676F" w:rsidP="0092016D">
      <w:pPr>
        <w:pStyle w:val="Heading4"/>
        <w:numPr>
          <w:ilvl w:val="3"/>
          <w:numId w:val="82"/>
        </w:numPr>
      </w:pPr>
      <w:r w:rsidRPr="002C1A1D">
        <w:t>Theory</w:t>
      </w:r>
      <w:r w:rsidRPr="006736D0">
        <w:t xml:space="preserve">  </w:t>
      </w:r>
    </w:p>
    <w:p w14:paraId="03D1F1A1" w14:textId="77777777" w:rsidR="0030676F" w:rsidRPr="005F75ED" w:rsidRDefault="0030676F" w:rsidP="0030676F">
      <w:pPr>
        <w:rPr>
          <w:rFonts w:cstheme="minorHAnsi"/>
        </w:rPr>
      </w:pPr>
      <w:r w:rsidRPr="005F75ED">
        <w:rPr>
          <w:rFonts w:cstheme="minorHAnsi"/>
        </w:rPr>
        <w:t xml:space="preserve">The Natural Market Baseline should be modeled during the development of the MT initiative with the best available information, and then adjusted </w:t>
      </w:r>
      <w:r>
        <w:rPr>
          <w:rFonts w:cstheme="minorHAnsi"/>
        </w:rPr>
        <w:t xml:space="preserve">over time </w:t>
      </w:r>
      <w:r w:rsidRPr="005F75ED">
        <w:rPr>
          <w:rFonts w:cstheme="minorHAnsi"/>
        </w:rPr>
        <w:t>if significant new data becomes available during the implementation of the initiative, or because of unexpected market disruptions, such as those associated with substitute products.</w:t>
      </w:r>
    </w:p>
    <w:p w14:paraId="282F5DAB" w14:textId="77777777" w:rsidR="0030676F" w:rsidRPr="005F75ED" w:rsidRDefault="0030676F" w:rsidP="0030676F">
      <w:pPr>
        <w:rPr>
          <w:rFonts w:cstheme="minorHAnsi"/>
        </w:rPr>
      </w:pPr>
      <w:r w:rsidRPr="005F75ED">
        <w:rPr>
          <w:rFonts w:cstheme="minorHAnsi"/>
        </w:rPr>
        <w:t>Typically, the Natural Market Baseline will reflect at least some naturally occurring adoption of the targeted measure or practice because as Prahl and Keating (2014) note:</w:t>
      </w:r>
    </w:p>
    <w:p w14:paraId="3C293B18" w14:textId="77777777" w:rsidR="0030676F" w:rsidRPr="005F75ED" w:rsidRDefault="0030676F" w:rsidP="0030676F">
      <w:pPr>
        <w:ind w:left="720"/>
        <w:rPr>
          <w:rFonts w:cstheme="minorHAnsi"/>
        </w:rPr>
      </w:pPr>
      <w:r w:rsidRPr="005F75ED">
        <w:rPr>
          <w:rFonts w:cstheme="minorHAnsi"/>
        </w:rPr>
        <w:t xml:space="preserve">With market transformation, the gross market changes observed over the time horizon of a market transformation initiative are not all linked to the utility or other public policy intervention.  Some of it is naturally occurring – even a slow growing product, if it is moving into the market will have an increasing penetration, even without a strategic market transformation intervention. This equates to the non-net portion of resource acquisition. (pp. 45-46) </w:t>
      </w:r>
    </w:p>
    <w:p w14:paraId="14CCD69F" w14:textId="77777777" w:rsidR="0030676F" w:rsidRPr="005F75ED" w:rsidRDefault="0030676F" w:rsidP="0030676F">
      <w:pPr>
        <w:rPr>
          <w:rFonts w:cstheme="minorHAnsi"/>
        </w:rPr>
      </w:pPr>
      <w:r w:rsidRPr="005F75ED">
        <w:rPr>
          <w:rFonts w:cstheme="minorHAnsi"/>
        </w:rPr>
        <w:t xml:space="preserve">Forecasting Natural Market Baseline units </w:t>
      </w:r>
      <w:r>
        <w:rPr>
          <w:rFonts w:cstheme="minorHAnsi"/>
        </w:rPr>
        <w:t>often</w:t>
      </w:r>
      <w:r w:rsidRPr="005F75ED">
        <w:rPr>
          <w:rFonts w:cstheme="minorHAnsi"/>
        </w:rPr>
        <w:t xml:space="preserve"> assumes that, over time, adoption of energy efficient technology will follow a normal distribution consistent with Diffusion of Innovation theory. In this theory, </w:t>
      </w:r>
      <w:r>
        <w:rPr>
          <w:rFonts w:cstheme="minorHAnsi"/>
        </w:rPr>
        <w:t xml:space="preserve">market share is small due to a few </w:t>
      </w:r>
      <w:r w:rsidRPr="005F75ED">
        <w:rPr>
          <w:rFonts w:cstheme="minorHAnsi"/>
        </w:rPr>
        <w:t xml:space="preserve">innovators and early adopters </w:t>
      </w:r>
      <w:r>
        <w:rPr>
          <w:rFonts w:cstheme="minorHAnsi"/>
        </w:rPr>
        <w:t>participating in the market in early years</w:t>
      </w:r>
      <w:r w:rsidRPr="005F75ED">
        <w:rPr>
          <w:rFonts w:cstheme="minorHAnsi"/>
        </w:rPr>
        <w:t>, increasing to a majority of adopters</w:t>
      </w:r>
      <w:r>
        <w:rPr>
          <w:rFonts w:cstheme="minorHAnsi"/>
        </w:rPr>
        <w:t xml:space="preserve"> during the peak years of market growth</w:t>
      </w:r>
      <w:r w:rsidRPr="005F75ED">
        <w:rPr>
          <w:rFonts w:cstheme="minorHAnsi"/>
        </w:rPr>
        <w:t xml:space="preserve"> and then over time decreasing again to</w:t>
      </w:r>
      <w:r>
        <w:rPr>
          <w:rFonts w:cstheme="minorHAnsi"/>
        </w:rPr>
        <w:t xml:space="preserve"> a small number of</w:t>
      </w:r>
      <w:r w:rsidRPr="005F75ED">
        <w:rPr>
          <w:rFonts w:cstheme="minorHAnsi"/>
        </w:rPr>
        <w:t xml:space="preserve"> laggards adopting the product/service.   </w:t>
      </w:r>
      <w:r>
        <w:rPr>
          <w:rFonts w:cstheme="minorHAnsi"/>
        </w:rPr>
        <w:t>Sometimes MT initiatives are primarily attempting to shift the adoption curve forward in time.  Other times, they may be attempting to increase the slope and/or maximum values of the adoption curve</w:t>
      </w:r>
    </w:p>
    <w:p w14:paraId="11524F81" w14:textId="77777777" w:rsidR="0030676F" w:rsidRPr="005F75ED" w:rsidRDefault="0030676F" w:rsidP="0030676F">
      <w:pPr>
        <w:rPr>
          <w:rFonts w:cstheme="minorHAnsi"/>
        </w:rPr>
      </w:pPr>
      <w:r w:rsidRPr="005F75ED">
        <w:rPr>
          <w:rFonts w:cstheme="minorHAnsi"/>
        </w:rPr>
        <w:t xml:space="preserve">The Natural Market Baseline is probably the most challenging piece of estimating savings from MT because it is a prediction of the future that </w:t>
      </w:r>
      <w:r>
        <w:rPr>
          <w:rFonts w:cstheme="minorHAnsi"/>
        </w:rPr>
        <w:t>will never actually exist and therefore can’t be measured</w:t>
      </w:r>
      <w:r w:rsidRPr="005F75ED">
        <w:rPr>
          <w:rFonts w:cstheme="minorHAnsi"/>
        </w:rPr>
        <w:t>. As a result, it is important to involve evaluators and stakeholders in advance to ensure</w:t>
      </w:r>
      <w:r>
        <w:rPr>
          <w:rFonts w:cstheme="minorHAnsi"/>
        </w:rPr>
        <w:t xml:space="preserve"> transparency,</w:t>
      </w:r>
      <w:r w:rsidRPr="005F75ED">
        <w:rPr>
          <w:rFonts w:cstheme="minorHAnsi"/>
        </w:rPr>
        <w:t xml:space="preserve"> alignment and understanding of the data and judgement that will ultimately be used to estimate savings.  </w:t>
      </w:r>
    </w:p>
    <w:p w14:paraId="1DC0D51E" w14:textId="77777777" w:rsidR="0030676F" w:rsidRPr="001C08AA" w:rsidRDefault="0030676F" w:rsidP="0092016D">
      <w:pPr>
        <w:pStyle w:val="Heading4"/>
        <w:numPr>
          <w:ilvl w:val="3"/>
          <w:numId w:val="82"/>
        </w:numPr>
      </w:pPr>
      <w:r w:rsidRPr="006454AA">
        <w:t>Practice</w:t>
      </w:r>
    </w:p>
    <w:p w14:paraId="09BC9DCB" w14:textId="77777777" w:rsidR="0030676F" w:rsidRPr="005F75ED" w:rsidRDefault="0030676F" w:rsidP="0030676F">
      <w:pPr>
        <w:rPr>
          <w:rFonts w:cstheme="minorHAnsi"/>
        </w:rPr>
      </w:pPr>
      <w:r>
        <w:rPr>
          <w:rFonts w:cstheme="minorHAnsi"/>
        </w:rPr>
        <w:t xml:space="preserve">The basic task is to develop a baseline of how the energy efficient product, service or behavior would have grown in the market independent from utility activity.  </w:t>
      </w:r>
      <w:r w:rsidRPr="005F75ED">
        <w:rPr>
          <w:rFonts w:cstheme="minorHAnsi"/>
        </w:rPr>
        <w:t>There are several elements for effectively developing the Natural Market Baseline:</w:t>
      </w:r>
    </w:p>
    <w:p w14:paraId="23FE2993" w14:textId="77777777" w:rsidR="0030676F" w:rsidRPr="005F75ED" w:rsidRDefault="0030676F" w:rsidP="0092016D">
      <w:pPr>
        <w:pStyle w:val="ListParagraph"/>
        <w:widowControl/>
        <w:numPr>
          <w:ilvl w:val="0"/>
          <w:numId w:val="79"/>
        </w:numPr>
        <w:contextualSpacing w:val="0"/>
        <w:rPr>
          <w:rFonts w:cstheme="minorHAnsi"/>
          <w:color w:val="000000" w:themeColor="text1"/>
        </w:rPr>
      </w:pPr>
      <w:r w:rsidRPr="005F75ED">
        <w:rPr>
          <w:rFonts w:cstheme="minorHAnsi"/>
          <w:b/>
          <w:color w:val="000000" w:themeColor="text1"/>
        </w:rPr>
        <w:t>Identify existing data sources</w:t>
      </w:r>
      <w:r w:rsidRPr="005F75ED">
        <w:rPr>
          <w:rFonts w:cstheme="minorHAnsi"/>
          <w:color w:val="000000" w:themeColor="text1"/>
        </w:rPr>
        <w:t xml:space="preserve"> that could inform the </w:t>
      </w:r>
      <w:r w:rsidRPr="005F75ED">
        <w:rPr>
          <w:rFonts w:cstheme="minorHAnsi"/>
        </w:rPr>
        <w:t>Natural Market Baseline</w:t>
      </w:r>
      <w:r w:rsidRPr="005F75ED" w:rsidDel="00B55008">
        <w:rPr>
          <w:rFonts w:cstheme="minorHAnsi"/>
          <w:color w:val="000000" w:themeColor="text1"/>
        </w:rPr>
        <w:t xml:space="preserve"> </w:t>
      </w:r>
      <w:r w:rsidRPr="005F75ED">
        <w:rPr>
          <w:rFonts w:cstheme="minorHAnsi"/>
          <w:color w:val="000000" w:themeColor="text1"/>
        </w:rPr>
        <w:t>and include these in the MT Business Plan. Market or sales data are the best sources, particularly if they are “full category” (or include the full efficiency mix, not just the qualified, efficient units). Other data sources can also be used, including industry forecasts, market intelligence and trend information, primary data collected as part of market research or market characterization to support the initiative development, hedonic price modeling, or other information about how efficiency is positioned relative to other market drivers. In addition, trade associations, advisors to the target market/industry, investment grade forecasts or organizations related to regulatory oversight (like Lawrence Berkeley National Laboratory) can be good sources of data.  Manufacturers or distributors themselves are excellent sources, but they may be unwilling to share proprietary information.</w:t>
      </w:r>
    </w:p>
    <w:p w14:paraId="688DA20D" w14:textId="77777777" w:rsidR="0030676F" w:rsidRPr="005F75ED" w:rsidRDefault="0030676F" w:rsidP="0092016D">
      <w:pPr>
        <w:pStyle w:val="ListParagraph"/>
        <w:widowControl/>
        <w:numPr>
          <w:ilvl w:val="0"/>
          <w:numId w:val="79"/>
        </w:numPr>
        <w:rPr>
          <w:rFonts w:cstheme="minorHAnsi"/>
        </w:rPr>
      </w:pPr>
      <w:r w:rsidRPr="005F75ED">
        <w:rPr>
          <w:rFonts w:cstheme="minorHAnsi"/>
          <w:b/>
        </w:rPr>
        <w:t>Use available data</w:t>
      </w:r>
      <w:r>
        <w:rPr>
          <w:rFonts w:cstheme="minorHAnsi"/>
          <w:b/>
        </w:rPr>
        <w:t xml:space="preserve">, quantitative modeling, </w:t>
      </w:r>
      <w:r w:rsidRPr="005F75ED">
        <w:rPr>
          <w:rFonts w:cstheme="minorHAnsi"/>
          <w:b/>
        </w:rPr>
        <w:t>best judgement</w:t>
      </w:r>
      <w:r>
        <w:rPr>
          <w:rFonts w:cstheme="minorHAnsi"/>
          <w:b/>
        </w:rPr>
        <w:t>, proxy data or other techniques</w:t>
      </w:r>
      <w:r w:rsidRPr="005F75ED">
        <w:rPr>
          <w:rFonts w:cstheme="minorHAnsi"/>
        </w:rPr>
        <w:t xml:space="preserve"> to develop a Natural Market Baseline. Some projects lend themselves to modeling or model averaging using statistical approaches to estimating baseline sales behavior. These can incorporate different assumptions about how a program affects product sales. In many cases, multiple approaches can be used.  For example, a recent evaluation completed for Consolidated Edison included a sales model, </w:t>
      </w:r>
      <w:r w:rsidRPr="005F75ED">
        <w:rPr>
          <w:rFonts w:cstheme="minorHAnsi"/>
        </w:rPr>
        <w:lastRenderedPageBreak/>
        <w:t xml:space="preserve">market share model, </w:t>
      </w:r>
      <w:proofErr w:type="spellStart"/>
      <w:r w:rsidRPr="005F75ED">
        <w:rPr>
          <w:rFonts w:cstheme="minorHAnsi"/>
        </w:rPr>
        <w:t>probit</w:t>
      </w:r>
      <w:proofErr w:type="spellEnd"/>
      <w:r w:rsidRPr="005F75ED">
        <w:rPr>
          <w:rFonts w:cstheme="minorHAnsi"/>
        </w:rPr>
        <w:t xml:space="preserve"> model</w:t>
      </w:r>
      <w:r>
        <w:rPr>
          <w:rStyle w:val="FootnoteReference"/>
          <w:rFonts w:cstheme="minorHAnsi"/>
        </w:rPr>
        <w:footnoteReference w:id="144"/>
      </w:r>
      <w:r w:rsidRPr="005F75ED">
        <w:rPr>
          <w:rFonts w:cstheme="minorHAnsi"/>
        </w:rPr>
        <w:t xml:space="preserve"> and a model averaging model</w:t>
      </w:r>
      <w:r>
        <w:rPr>
          <w:rFonts w:cstheme="minorHAnsi"/>
        </w:rPr>
        <w:t>, which were used in a single project to test different ways of estimating baseline sales</w:t>
      </w:r>
      <w:r w:rsidRPr="005F75ED">
        <w:rPr>
          <w:rFonts w:cstheme="minorHAnsi"/>
        </w:rPr>
        <w:t>.</w:t>
      </w:r>
      <w:r w:rsidRPr="005F75ED">
        <w:rPr>
          <w:rStyle w:val="FootnoteReference"/>
          <w:rFonts w:cstheme="minorHAnsi"/>
        </w:rPr>
        <w:footnoteReference w:id="145"/>
      </w:r>
      <w:r w:rsidRPr="005F75ED">
        <w:rPr>
          <w:rFonts w:cstheme="minorHAnsi"/>
        </w:rPr>
        <w:t xml:space="preserve"> </w:t>
      </w:r>
      <w:r>
        <w:rPr>
          <w:rFonts w:cstheme="minorHAnsi"/>
        </w:rPr>
        <w:t xml:space="preserve"> In some cases, a comparison group (such as different but similar region that is not intervening in this market) may be used as a proxy.</w:t>
      </w:r>
    </w:p>
    <w:p w14:paraId="1C8EA8AA" w14:textId="77777777" w:rsidR="0030676F" w:rsidRDefault="0030676F" w:rsidP="0092016D">
      <w:pPr>
        <w:pStyle w:val="ListParagraph"/>
        <w:widowControl/>
        <w:numPr>
          <w:ilvl w:val="0"/>
          <w:numId w:val="79"/>
        </w:numPr>
        <w:rPr>
          <w:rFonts w:cstheme="minorHAnsi"/>
        </w:rPr>
      </w:pPr>
      <w:r>
        <w:rPr>
          <w:rFonts w:cstheme="minorHAnsi"/>
          <w:b/>
          <w:color w:val="000000" w:themeColor="text1"/>
        </w:rPr>
        <w:t>Develop</w:t>
      </w:r>
      <w:r w:rsidRPr="006135F1">
        <w:rPr>
          <w:rFonts w:cstheme="minorHAnsi"/>
          <w:b/>
          <w:color w:val="000000" w:themeColor="text1"/>
        </w:rPr>
        <w:t xml:space="preserve"> the initial baseline curve</w:t>
      </w:r>
      <w:r w:rsidRPr="006135F1">
        <w:rPr>
          <w:rFonts w:cstheme="minorHAnsi"/>
          <w:color w:val="000000" w:themeColor="text1"/>
        </w:rPr>
        <w:t xml:space="preserve"> </w:t>
      </w:r>
      <w:r>
        <w:rPr>
          <w:rFonts w:cstheme="minorHAnsi"/>
          <w:color w:val="000000" w:themeColor="text1"/>
        </w:rPr>
        <w:t xml:space="preserve">and </w:t>
      </w:r>
      <w:r w:rsidRPr="006135F1">
        <w:rPr>
          <w:rFonts w:cstheme="minorHAnsi"/>
          <w:color w:val="000000" w:themeColor="text1"/>
        </w:rPr>
        <w:t xml:space="preserve">have the shape of baseline curve and underlying assumptions reviewed by stakeholders.  </w:t>
      </w:r>
      <w:r w:rsidRPr="002261DF">
        <w:rPr>
          <w:rFonts w:cstheme="minorHAnsi"/>
        </w:rPr>
        <w:t xml:space="preserve">Several key product characteristics should be considered when determining the shape of the Natural Market Baseline curve. These characteristics include </w:t>
      </w:r>
      <w:r w:rsidRPr="00654C82">
        <w:rPr>
          <w:rFonts w:cstheme="minorHAnsi"/>
        </w:rPr>
        <w:t>the maximum potential market share, the pace of innovation within a given market, the lifecycle or time between purchase decisions, the presence of non-energy benefits, and the incremental cost associated with the efficient product without the MT intervention. It is also important to consider the strength of identified barriers to adoption for a given product. These barriers often emerge from market research or market characterization studies and can point to installation or supply barriers that might otherwise be missed.</w:t>
      </w:r>
    </w:p>
    <w:p w14:paraId="27E9305D" w14:textId="77777777" w:rsidR="0030676F" w:rsidRPr="0096502D" w:rsidRDefault="0030676F" w:rsidP="0030676F">
      <w:pPr>
        <w:ind w:left="1080"/>
        <w:rPr>
          <w:rFonts w:cstheme="minorHAnsi"/>
        </w:rPr>
      </w:pPr>
      <w:r>
        <w:rPr>
          <w:rFonts w:cstheme="minorHAnsi"/>
        </w:rPr>
        <w:t xml:space="preserve">In some cases, the Natural Market Baseline can be zero for a number of years.  This might be the case when an MT initiative catalyzes the entrance into the market of a technology that otherwise wouldn’t have emerged for many more years. </w:t>
      </w:r>
    </w:p>
    <w:p w14:paraId="37F138E0" w14:textId="77777777" w:rsidR="0030676F" w:rsidRPr="00654C82" w:rsidRDefault="0030676F" w:rsidP="0092016D">
      <w:pPr>
        <w:pStyle w:val="ListParagraph"/>
        <w:widowControl/>
        <w:numPr>
          <w:ilvl w:val="0"/>
          <w:numId w:val="79"/>
        </w:numPr>
        <w:rPr>
          <w:rFonts w:cstheme="minorHAnsi"/>
        </w:rPr>
      </w:pPr>
      <w:r>
        <w:rPr>
          <w:rFonts w:cstheme="minorHAnsi"/>
          <w:b/>
          <w:color w:val="000000" w:themeColor="text1"/>
        </w:rPr>
        <w:t xml:space="preserve">Incorporate anticipated changes to codes and standards </w:t>
      </w:r>
      <w:r w:rsidRPr="006135F1">
        <w:rPr>
          <w:rFonts w:cstheme="minorHAnsi"/>
          <w:bCs/>
          <w:color w:val="000000" w:themeColor="text1"/>
        </w:rPr>
        <w:t xml:space="preserve">to the extent </w:t>
      </w:r>
      <w:r>
        <w:rPr>
          <w:rFonts w:cstheme="minorHAnsi"/>
          <w:bCs/>
          <w:color w:val="000000" w:themeColor="text1"/>
        </w:rPr>
        <w:t>they are known</w:t>
      </w:r>
      <w:r w:rsidRPr="006135F1">
        <w:rPr>
          <w:rFonts w:cstheme="minorHAnsi"/>
          <w:bCs/>
          <w:color w:val="000000" w:themeColor="text1"/>
        </w:rPr>
        <w:t xml:space="preserve"> in the baseline</w:t>
      </w:r>
      <w:r>
        <w:rPr>
          <w:rFonts w:cstheme="minorHAnsi"/>
          <w:b/>
          <w:color w:val="000000" w:themeColor="text1"/>
        </w:rPr>
        <w:t xml:space="preserve">. </w:t>
      </w:r>
      <w:r>
        <w:rPr>
          <w:rFonts w:cstheme="minorHAnsi"/>
        </w:rPr>
        <w:t xml:space="preserve">The special case of savings from energy codes and standards is </w:t>
      </w:r>
      <w:r w:rsidRPr="005F75ED">
        <w:rPr>
          <w:rFonts w:cstheme="minorHAnsi"/>
        </w:rPr>
        <w:t xml:space="preserve">discussed further in the Energy Codes and Standards section of this </w:t>
      </w:r>
      <w:r>
        <w:rPr>
          <w:rFonts w:cstheme="minorHAnsi"/>
        </w:rPr>
        <w:t>protocol</w:t>
      </w:r>
      <w:r w:rsidRPr="005F75ED">
        <w:rPr>
          <w:rFonts w:cstheme="minorHAnsi"/>
        </w:rPr>
        <w:t xml:space="preserve">.  </w:t>
      </w:r>
    </w:p>
    <w:p w14:paraId="3C1FC217" w14:textId="77777777" w:rsidR="0030676F" w:rsidRPr="005F75ED" w:rsidRDefault="0030676F" w:rsidP="0092016D">
      <w:pPr>
        <w:pStyle w:val="ListParagraph"/>
        <w:widowControl/>
        <w:numPr>
          <w:ilvl w:val="0"/>
          <w:numId w:val="79"/>
        </w:numPr>
        <w:contextualSpacing w:val="0"/>
        <w:rPr>
          <w:rFonts w:cstheme="minorHAnsi"/>
          <w:color w:val="000000" w:themeColor="text1"/>
        </w:rPr>
      </w:pPr>
      <w:r w:rsidRPr="005F75ED">
        <w:rPr>
          <w:rFonts w:cstheme="minorHAnsi"/>
          <w:b/>
        </w:rPr>
        <w:t xml:space="preserve">Identify </w:t>
      </w:r>
      <w:r w:rsidRPr="005F75ED">
        <w:rPr>
          <w:rFonts w:cstheme="minorHAnsi"/>
          <w:b/>
          <w:color w:val="000000" w:themeColor="text1"/>
        </w:rPr>
        <w:t>any known data gaps</w:t>
      </w:r>
      <w:r w:rsidRPr="005F75ED">
        <w:rPr>
          <w:rFonts w:cstheme="minorHAnsi"/>
          <w:color w:val="000000" w:themeColor="text1"/>
        </w:rPr>
        <w:t xml:space="preserve"> that emerged in the planning process needed to improve the forecast over time and monitor these gaps as the initiative progresses.      </w:t>
      </w:r>
    </w:p>
    <w:p w14:paraId="2965C898" w14:textId="77777777" w:rsidR="0030676F" w:rsidRPr="00C5637A" w:rsidRDefault="0030676F" w:rsidP="0092016D">
      <w:pPr>
        <w:pStyle w:val="Heading4"/>
        <w:numPr>
          <w:ilvl w:val="3"/>
          <w:numId w:val="82"/>
        </w:numPr>
      </w:pPr>
      <w:r w:rsidRPr="00C5637A">
        <w:t xml:space="preserve">Reviewing Natural Market Baseline Over Time </w:t>
      </w:r>
    </w:p>
    <w:p w14:paraId="40CD39B3" w14:textId="77777777" w:rsidR="0030676F" w:rsidRPr="005F75ED" w:rsidRDefault="0030676F" w:rsidP="0030676F">
      <w:pPr>
        <w:rPr>
          <w:rFonts w:cstheme="minorHAnsi"/>
        </w:rPr>
      </w:pPr>
      <w:r w:rsidRPr="005F75ED">
        <w:rPr>
          <w:rFonts w:cstheme="minorHAnsi"/>
        </w:rPr>
        <w:t xml:space="preserve">It is important to </w:t>
      </w:r>
      <w:r>
        <w:rPr>
          <w:rFonts w:cstheme="minorHAnsi"/>
        </w:rPr>
        <w:t>track</w:t>
      </w:r>
      <w:r w:rsidRPr="005F75ED">
        <w:rPr>
          <w:rFonts w:cstheme="minorHAnsi"/>
        </w:rPr>
        <w:t xml:space="preserve"> the baseline forecast periodically as part of MPERs or other recurring efforts to assess the progress of the program and the target market.</w:t>
      </w:r>
      <w:r>
        <w:rPr>
          <w:rFonts w:cstheme="minorHAnsi"/>
        </w:rPr>
        <w:t xml:space="preserve"> </w:t>
      </w:r>
      <w:r w:rsidRPr="005F75ED">
        <w:rPr>
          <w:rFonts w:cstheme="minorHAnsi"/>
        </w:rPr>
        <w:t xml:space="preserve"> </w:t>
      </w:r>
      <w:r>
        <w:rPr>
          <w:rFonts w:cstheme="minorHAnsi"/>
        </w:rPr>
        <w:t>C</w:t>
      </w:r>
      <w:r w:rsidRPr="005F75ED">
        <w:rPr>
          <w:rFonts w:cstheme="minorHAnsi"/>
        </w:rPr>
        <w:t>hanges should be made to the Natural Market Baseline if they significantly impact the results</w:t>
      </w:r>
      <w:r>
        <w:rPr>
          <w:rFonts w:cstheme="minorHAnsi"/>
        </w:rPr>
        <w:t xml:space="preserve">. </w:t>
      </w:r>
    </w:p>
    <w:p w14:paraId="1C2B50A3" w14:textId="77777777" w:rsidR="0030676F" w:rsidRPr="00C5637A" w:rsidRDefault="0030676F" w:rsidP="0030676F">
      <w:pPr>
        <w:pStyle w:val="Heading5"/>
      </w:pPr>
      <w:r w:rsidRPr="00C5637A">
        <w:t xml:space="preserve">Criteria for Updating the Natural Baseline Market Forecast  </w:t>
      </w:r>
    </w:p>
    <w:p w14:paraId="44C13111" w14:textId="77777777" w:rsidR="0030676F" w:rsidRPr="005F75ED" w:rsidRDefault="0030676F" w:rsidP="0030676F">
      <w:pPr>
        <w:rPr>
          <w:rFonts w:cstheme="minorHAnsi"/>
        </w:rPr>
      </w:pPr>
      <w:r w:rsidRPr="005F75ED">
        <w:rPr>
          <w:rFonts w:cstheme="minorHAnsi"/>
        </w:rPr>
        <w:t xml:space="preserve">The fundamental reason for periodically reviewing the initial baseline forecast is </w:t>
      </w:r>
      <w:r>
        <w:rPr>
          <w:rFonts w:cstheme="minorHAnsi"/>
        </w:rPr>
        <w:t>because</w:t>
      </w:r>
      <w:r w:rsidRPr="005F75ED">
        <w:rPr>
          <w:rFonts w:cstheme="minorHAnsi"/>
        </w:rPr>
        <w:t xml:space="preserve"> better information is likely to become available over time that may allow improvements in the accuracy of the initial forecast.  The Natural Market Baseline forecast is a major determinant of the estimated savings attributable to the program. Given the challenges inherent in forecasting a counterfactual scenario, </w:t>
      </w:r>
      <w:r>
        <w:rPr>
          <w:rFonts w:cstheme="minorHAnsi"/>
        </w:rPr>
        <w:t>Natural Market Baseline</w:t>
      </w:r>
      <w:r w:rsidRPr="005F75ED">
        <w:rPr>
          <w:rFonts w:cstheme="minorHAnsi"/>
        </w:rPr>
        <w:t xml:space="preserve"> often constitutes the biggest individual source of uncertainty surrounding estimated savings.  As such, incorporating enhanced information regarding the Natural Market Baseline forecast helps both in building an improved qualitative case for attribution for observed market changes, and in supporting adaptive management of the program. </w:t>
      </w:r>
    </w:p>
    <w:p w14:paraId="42842753" w14:textId="77777777" w:rsidR="0030676F" w:rsidRPr="005F75ED" w:rsidRDefault="0030676F" w:rsidP="0030676F">
      <w:pPr>
        <w:rPr>
          <w:rFonts w:cstheme="minorHAnsi"/>
        </w:rPr>
      </w:pPr>
      <w:r w:rsidRPr="005F75ED">
        <w:rPr>
          <w:rFonts w:cstheme="minorHAnsi"/>
        </w:rPr>
        <w:t xml:space="preserve">At the same time, it can be counterproductive and costly to update the baseline forecast too easily or too often.  What is typically most readily available to the evaluator is the actual trajectory of total number of efficient units appearing in the market, which may well reflect effects from the MT program itself.  </w:t>
      </w:r>
      <w:r>
        <w:rPr>
          <w:rFonts w:cstheme="minorHAnsi"/>
        </w:rPr>
        <w:t>This raises the risk that e</w:t>
      </w:r>
      <w:r w:rsidRPr="005F75ED">
        <w:rPr>
          <w:rFonts w:cstheme="minorHAnsi"/>
        </w:rPr>
        <w:t>valuators may decide that an observed acceleration in efficient market share is due to an acceleration in the Natural Market Baseline when it is actually due to the effects of the MT program, thereby leading to underestimation of the program’s accomplishments – or, the reverse can happen.  Deciding how often to update the baseline forecast requires the evaluator to balance the desirability of incorporating valuable new information with the importance of ensuring reasonable treatment.</w:t>
      </w:r>
      <w:r w:rsidRPr="005F75ED">
        <w:rPr>
          <w:rStyle w:val="FootnoteReference"/>
          <w:rFonts w:cstheme="minorHAnsi"/>
        </w:rPr>
        <w:footnoteReference w:id="146"/>
      </w:r>
    </w:p>
    <w:p w14:paraId="62E5864C" w14:textId="77777777" w:rsidR="0030676F" w:rsidRPr="005F75ED" w:rsidRDefault="0030676F" w:rsidP="0030676F">
      <w:pPr>
        <w:rPr>
          <w:rFonts w:cstheme="minorHAnsi"/>
        </w:rPr>
      </w:pPr>
      <w:r w:rsidRPr="005F75ED">
        <w:rPr>
          <w:rFonts w:cstheme="minorHAnsi"/>
        </w:rPr>
        <w:lastRenderedPageBreak/>
        <w:t xml:space="preserve">This tension can best be resolved by establishing guidelines for when new information is significant enough to update the initial forecast.  </w:t>
      </w:r>
      <w:r>
        <w:rPr>
          <w:rFonts w:cstheme="minorHAnsi"/>
        </w:rPr>
        <w:t>T</w:t>
      </w:r>
      <w:r w:rsidRPr="005F75ED">
        <w:rPr>
          <w:rFonts w:cstheme="minorHAnsi"/>
        </w:rPr>
        <w:t xml:space="preserve">he following are </w:t>
      </w:r>
      <w:r>
        <w:rPr>
          <w:rFonts w:cstheme="minorHAnsi"/>
        </w:rPr>
        <w:t xml:space="preserve">examples of </w:t>
      </w:r>
      <w:r w:rsidRPr="005F75ED">
        <w:rPr>
          <w:rFonts w:cstheme="minorHAnsi"/>
        </w:rPr>
        <w:t>some key circumstances where it may be appropriate to update the initial Natural Market Baseline forecast</w:t>
      </w:r>
      <w:r>
        <w:rPr>
          <w:rFonts w:cstheme="minorHAnsi"/>
        </w:rPr>
        <w:t>.</w:t>
      </w:r>
    </w:p>
    <w:p w14:paraId="1A5E0813" w14:textId="77777777" w:rsidR="0030676F" w:rsidRPr="005F75ED" w:rsidRDefault="0030676F" w:rsidP="0092016D">
      <w:pPr>
        <w:pStyle w:val="ListParagraph"/>
        <w:widowControl/>
        <w:numPr>
          <w:ilvl w:val="0"/>
          <w:numId w:val="80"/>
        </w:numPr>
        <w:contextualSpacing w:val="0"/>
        <w:rPr>
          <w:rFonts w:cstheme="minorHAnsi"/>
        </w:rPr>
      </w:pPr>
      <w:r w:rsidRPr="005F75ED">
        <w:rPr>
          <w:rFonts w:cstheme="minorHAnsi"/>
          <w:b/>
        </w:rPr>
        <w:t xml:space="preserve">Key assumptions underlying the initial forecast have proven to be incorrect.  </w:t>
      </w:r>
      <w:r w:rsidRPr="005F75ED">
        <w:rPr>
          <w:rFonts w:cstheme="minorHAnsi"/>
        </w:rPr>
        <w:t xml:space="preserve">For example, the initial forecast may have reflected an assumption that in the absence of intervention, manufacturers would have little naturally </w:t>
      </w:r>
      <w:proofErr w:type="gramStart"/>
      <w:r w:rsidRPr="005F75ED">
        <w:rPr>
          <w:rFonts w:cstheme="minorHAnsi"/>
        </w:rPr>
        <w:t>occurring</w:t>
      </w:r>
      <w:proofErr w:type="gramEnd"/>
      <w:r w:rsidRPr="005F75ED">
        <w:rPr>
          <w:rFonts w:cstheme="minorHAnsi"/>
        </w:rPr>
        <w:t xml:space="preserve"> incentive to incorporate a key energy-saving feature into their products, and it might become clear with the passage of time that this assumption was incorrect.</w:t>
      </w:r>
    </w:p>
    <w:p w14:paraId="24687B0C" w14:textId="77777777" w:rsidR="0030676F" w:rsidRPr="005F75ED" w:rsidRDefault="0030676F" w:rsidP="0092016D">
      <w:pPr>
        <w:pStyle w:val="ListParagraph"/>
        <w:widowControl/>
        <w:numPr>
          <w:ilvl w:val="0"/>
          <w:numId w:val="80"/>
        </w:numPr>
        <w:contextualSpacing w:val="0"/>
        <w:rPr>
          <w:rFonts w:cstheme="minorHAnsi"/>
        </w:rPr>
      </w:pPr>
      <w:r w:rsidRPr="005F75ED">
        <w:rPr>
          <w:rFonts w:cstheme="minorHAnsi"/>
          <w:b/>
        </w:rPr>
        <w:t>The timing of key anticipated events has changed.</w:t>
      </w:r>
      <w:r w:rsidRPr="005F75ED">
        <w:rPr>
          <w:rFonts w:cstheme="minorHAnsi"/>
        </w:rPr>
        <w:t xml:space="preserve">  Examples might include a product launch being substantially delayed, a key partner ceasing operations, or an energy code or standard opportunity being delayed.  All of these factors could affect the baseline forecast if it was built assuming certain events would impact the naturally occurring adoption.</w:t>
      </w:r>
    </w:p>
    <w:p w14:paraId="57455366" w14:textId="028940BF" w:rsidR="0030676F" w:rsidRPr="005F75ED" w:rsidRDefault="0030676F" w:rsidP="0092016D">
      <w:pPr>
        <w:pStyle w:val="ListParagraph"/>
        <w:widowControl/>
        <w:numPr>
          <w:ilvl w:val="0"/>
          <w:numId w:val="80"/>
        </w:numPr>
        <w:contextualSpacing w:val="0"/>
        <w:rPr>
          <w:rFonts w:cstheme="minorHAnsi"/>
        </w:rPr>
      </w:pPr>
      <w:r w:rsidRPr="005F75ED">
        <w:rPr>
          <w:rFonts w:cstheme="minorHAnsi"/>
          <w:b/>
        </w:rPr>
        <w:t>Changes in exogenous conditions affecting the target market have altered the initial trajectory of the Natural Market Baseline.</w:t>
      </w:r>
      <w:r w:rsidRPr="005F75ED">
        <w:rPr>
          <w:rFonts w:cstheme="minorHAnsi"/>
        </w:rPr>
        <w:t xml:space="preserve">  Examples might include a substantial change in public policy brought about by an electoral outcome, or economic conditions that create unexpected shifts in the level of economic activity (</w:t>
      </w:r>
      <w:proofErr w:type="gramStart"/>
      <w:r w:rsidRPr="005F75ED">
        <w:rPr>
          <w:rFonts w:cstheme="minorHAnsi"/>
        </w:rPr>
        <w:t>e.g.</w:t>
      </w:r>
      <w:proofErr w:type="gramEnd"/>
      <w:r w:rsidRPr="005F75ED">
        <w:rPr>
          <w:rFonts w:cstheme="minorHAnsi"/>
        </w:rPr>
        <w:t xml:space="preserve"> recession, housing booms, tariffs</w:t>
      </w:r>
      <w:r>
        <w:rPr>
          <w:rFonts w:cstheme="minorHAnsi"/>
        </w:rPr>
        <w:t xml:space="preserve">, unforeseen jump in the price of raw materials, </w:t>
      </w:r>
      <w:r w:rsidR="007E46FE">
        <w:rPr>
          <w:rFonts w:cstheme="minorHAnsi"/>
        </w:rPr>
        <w:t>etc.</w:t>
      </w:r>
      <w:r w:rsidRPr="005F75ED">
        <w:rPr>
          <w:rFonts w:cstheme="minorHAnsi"/>
        </w:rPr>
        <w:t xml:space="preserve">).    </w:t>
      </w:r>
    </w:p>
    <w:p w14:paraId="199D5A4E" w14:textId="77777777" w:rsidR="0030676F" w:rsidRPr="005F75ED" w:rsidRDefault="0030676F" w:rsidP="0092016D">
      <w:pPr>
        <w:pStyle w:val="ListParagraph"/>
        <w:widowControl/>
        <w:numPr>
          <w:ilvl w:val="0"/>
          <w:numId w:val="80"/>
        </w:numPr>
        <w:contextualSpacing w:val="0"/>
        <w:rPr>
          <w:rFonts w:cstheme="minorHAnsi"/>
        </w:rPr>
      </w:pPr>
      <w:r w:rsidRPr="005F75ED">
        <w:rPr>
          <w:rFonts w:cstheme="minorHAnsi"/>
          <w:b/>
        </w:rPr>
        <w:t xml:space="preserve">Significant improvements in the availability of sales data demonstrate that the initial forecast can be improved without introducing a significant risk of </w:t>
      </w:r>
      <w:r>
        <w:rPr>
          <w:rFonts w:cstheme="minorHAnsi"/>
          <w:b/>
        </w:rPr>
        <w:t xml:space="preserve">over- or </w:t>
      </w:r>
      <w:r w:rsidRPr="005F75ED">
        <w:rPr>
          <w:rFonts w:cstheme="minorHAnsi"/>
          <w:b/>
        </w:rPr>
        <w:t>under</w:t>
      </w:r>
      <w:r>
        <w:rPr>
          <w:rFonts w:cstheme="minorHAnsi"/>
          <w:b/>
        </w:rPr>
        <w:t>-</w:t>
      </w:r>
      <w:r w:rsidRPr="005F75ED">
        <w:rPr>
          <w:rFonts w:cstheme="minorHAnsi"/>
          <w:b/>
        </w:rPr>
        <w:t>estimating program impacts.</w:t>
      </w:r>
      <w:r w:rsidRPr="005F75ED">
        <w:rPr>
          <w:rFonts w:cstheme="minorHAnsi"/>
        </w:rPr>
        <w:t xml:space="preserve">   For example, the initial forecast may have been based on limited information from key market informants, but over time full category sales data may become available and show that the initial estimate of efficient market share was off base.   </w:t>
      </w:r>
    </w:p>
    <w:p w14:paraId="449E2B8A" w14:textId="77777777" w:rsidR="0030676F" w:rsidRPr="005F75ED" w:rsidRDefault="0030676F" w:rsidP="0092016D">
      <w:pPr>
        <w:pStyle w:val="ListParagraph"/>
        <w:widowControl/>
        <w:numPr>
          <w:ilvl w:val="0"/>
          <w:numId w:val="80"/>
        </w:numPr>
        <w:contextualSpacing w:val="0"/>
        <w:rPr>
          <w:rFonts w:cstheme="minorHAnsi"/>
        </w:rPr>
      </w:pPr>
      <w:r w:rsidRPr="005F75ED">
        <w:rPr>
          <w:rFonts w:cstheme="minorHAnsi"/>
          <w:b/>
        </w:rPr>
        <w:t>The criteria for what constitute an “efficient” product have changed in a manner that tends to superannuate the initial baseline forecast.</w:t>
      </w:r>
      <w:r w:rsidRPr="005F75ED">
        <w:rPr>
          <w:rFonts w:cstheme="minorHAnsi"/>
        </w:rPr>
        <w:t xml:space="preserve">  Examples might include changes in test procedures or qualifying standards.</w:t>
      </w:r>
    </w:p>
    <w:p w14:paraId="02F938BC" w14:textId="77777777" w:rsidR="0030676F" w:rsidRPr="005F75ED" w:rsidRDefault="0030676F" w:rsidP="0092016D">
      <w:pPr>
        <w:pStyle w:val="ListParagraph"/>
        <w:widowControl/>
        <w:numPr>
          <w:ilvl w:val="0"/>
          <w:numId w:val="80"/>
        </w:numPr>
        <w:contextualSpacing w:val="0"/>
        <w:rPr>
          <w:rFonts w:cstheme="minorHAnsi"/>
        </w:rPr>
      </w:pPr>
      <w:r w:rsidRPr="005F75ED">
        <w:rPr>
          <w:rFonts w:cstheme="minorHAnsi"/>
          <w:b/>
        </w:rPr>
        <w:t>Substitute products or innovations have been introduced that change the energy consumption profile of an entire product category.</w:t>
      </w:r>
      <w:r w:rsidRPr="005F75ED">
        <w:rPr>
          <w:rFonts w:cstheme="minorHAnsi"/>
        </w:rPr>
        <w:t xml:space="preserve">  Examples might include LEDs displacing CFLs, laptop computers overtaking desktops, and the addition of 4k or 8k features to televisions.</w:t>
      </w:r>
    </w:p>
    <w:p w14:paraId="2E02317B" w14:textId="77777777" w:rsidR="0030676F" w:rsidRPr="00C5637A" w:rsidRDefault="0030676F" w:rsidP="0092016D">
      <w:pPr>
        <w:pStyle w:val="Heading2"/>
        <w:widowControl/>
        <w:numPr>
          <w:ilvl w:val="1"/>
          <w:numId w:val="82"/>
        </w:numPr>
        <w:jc w:val="left"/>
      </w:pPr>
      <w:bookmarkStart w:id="2184" w:name="_Toc17451252"/>
      <w:bookmarkStart w:id="2185" w:name="_Toc113619869"/>
      <w:r w:rsidRPr="00C5637A">
        <w:t>Accounting for RA Savings</w:t>
      </w:r>
      <w:bookmarkEnd w:id="2184"/>
      <w:bookmarkEnd w:id="2185"/>
    </w:p>
    <w:p w14:paraId="25310378" w14:textId="77777777" w:rsidR="0030676F" w:rsidRPr="005F75ED" w:rsidRDefault="0030676F" w:rsidP="0030676F">
      <w:pPr>
        <w:rPr>
          <w:rFonts w:cstheme="minorHAnsi"/>
        </w:rPr>
      </w:pPr>
      <w:r>
        <w:rPr>
          <w:rFonts w:cstheme="minorHAnsi"/>
        </w:rPr>
        <w:t xml:space="preserve">Ideally, customer-facing RA programs would be an integrated part of MT activities.  This would allow for counting all savings in the target market regardless of assignment to either MT or RA.  However, in the near-term, RA programs are likely to continue to be implemented and evaluated separately from MT programs.  As a result, if </w:t>
      </w:r>
      <w:r w:rsidRPr="005F75ED">
        <w:rPr>
          <w:rFonts w:cstheme="minorHAnsi"/>
        </w:rPr>
        <w:t xml:space="preserve">RA and MT programs </w:t>
      </w:r>
      <w:r>
        <w:rPr>
          <w:rFonts w:cstheme="minorHAnsi"/>
        </w:rPr>
        <w:t xml:space="preserve">are </w:t>
      </w:r>
      <w:r w:rsidRPr="005F75ED">
        <w:rPr>
          <w:rFonts w:cstheme="minorHAnsi"/>
        </w:rPr>
        <w:t xml:space="preserve">operating simultaneously in the same market, </w:t>
      </w:r>
      <w:r>
        <w:rPr>
          <w:rFonts w:cstheme="minorHAnsi"/>
        </w:rPr>
        <w:t>there is a</w:t>
      </w:r>
      <w:r w:rsidRPr="005F75ED">
        <w:rPr>
          <w:rFonts w:cstheme="minorHAnsi"/>
        </w:rPr>
        <w:t xml:space="preserve"> need to parse the savings between the MT and RA efforts.  </w:t>
      </w:r>
    </w:p>
    <w:p w14:paraId="645EDD85" w14:textId="77777777" w:rsidR="0030676F" w:rsidRPr="005F75ED" w:rsidRDefault="0030676F" w:rsidP="0030676F">
      <w:pPr>
        <w:rPr>
          <w:rFonts w:cstheme="minorHAnsi"/>
        </w:rPr>
      </w:pPr>
      <w:r w:rsidRPr="005F75ED">
        <w:rPr>
          <w:rFonts w:cstheme="minorHAnsi"/>
        </w:rPr>
        <w:t>While the goal of no</w:t>
      </w:r>
      <w:r>
        <w:rPr>
          <w:rFonts w:cstheme="minorHAnsi"/>
        </w:rPr>
        <w:t>t</w:t>
      </w:r>
      <w:r w:rsidRPr="005F75ED">
        <w:rPr>
          <w:rFonts w:cstheme="minorHAnsi"/>
        </w:rPr>
        <w:t xml:space="preserve"> double counting is clear, the actual practice is complicated by the fact that RA and MT </w:t>
      </w:r>
      <w:r>
        <w:rPr>
          <w:rFonts w:cstheme="minorHAnsi"/>
        </w:rPr>
        <w:t xml:space="preserve">use different </w:t>
      </w:r>
      <w:r w:rsidRPr="005F75ED">
        <w:rPr>
          <w:rFonts w:cstheme="minorHAnsi"/>
        </w:rPr>
        <w:t xml:space="preserve">methodologies to get to a “net” savings.  For example, both methodologies adjust for a counterfactual baseline; designated as free-ridership for RA programs and Natural Market Baseline for MT initiatives.  Both methodologies also attempt to estimate market effects that occur beyond the direct program participants; designated as spillover in RA and savings above baseline for MT.  To successfully avoid double counting of savings, the MT framework must include consideration for all components of the RA framework.  </w:t>
      </w:r>
    </w:p>
    <w:p w14:paraId="266529BC" w14:textId="77777777" w:rsidR="0030676F" w:rsidRDefault="0030676F" w:rsidP="0030676F">
      <w:pPr>
        <w:rPr>
          <w:rFonts w:cstheme="minorHAnsi"/>
        </w:rPr>
      </w:pPr>
      <w:r>
        <w:rPr>
          <w:rFonts w:cstheme="minorHAnsi"/>
        </w:rPr>
        <w:t xml:space="preserve">Figure 3 is a depiction of the typical components of RA savings overlaid on the MT savings framework.  Area A represents participants who wouldn’t have taken the action without the program, area B is free riders and area C is spillover.  As described above, MT savings are Total Market minus Natural Market Baseline.  </w:t>
      </w:r>
    </w:p>
    <w:p w14:paraId="11FED2CA" w14:textId="77777777" w:rsidR="0030676F" w:rsidRDefault="0030676F" w:rsidP="0030676F">
      <w:pPr>
        <w:rPr>
          <w:rFonts w:cstheme="minorHAnsi"/>
        </w:rPr>
      </w:pPr>
      <w:r>
        <w:rPr>
          <w:rFonts w:cstheme="minorHAnsi"/>
        </w:rPr>
        <w:t xml:space="preserve">To avoid double counting with RA programs, the default approach is to subtract all non-Market Transformation verified savings within the same market being targeted by the MT initiative from the MT savings calculated in </w:t>
      </w:r>
      <w:r>
        <w:rPr>
          <w:rFonts w:cstheme="minorHAnsi"/>
        </w:rPr>
        <w:lastRenderedPageBreak/>
        <w:t>previous sections</w:t>
      </w:r>
      <w:r>
        <w:rPr>
          <w:rStyle w:val="FootnoteReference"/>
          <w:rFonts w:cstheme="minorHAnsi"/>
        </w:rPr>
        <w:footnoteReference w:id="147"/>
      </w:r>
      <w:r>
        <w:rPr>
          <w:rFonts w:cstheme="minorHAnsi"/>
        </w:rPr>
        <w:t>.  If accuracy could be improved or greater cost-efficiency created in the evaluation process from using another method, that can be proposed by the evaluator.  An example might be separating the units between the MT and RA activities but using the MT savings per unit (if it differs from the RA savings per unit) as the factor to multiply by the MT units.</w:t>
      </w:r>
    </w:p>
    <w:p w14:paraId="77E9396A" w14:textId="77777777" w:rsidR="0030676F" w:rsidRPr="005F75ED" w:rsidRDefault="0030676F" w:rsidP="0030676F">
      <w:pPr>
        <w:rPr>
          <w:rFonts w:cstheme="minorHAnsi"/>
        </w:rPr>
      </w:pPr>
    </w:p>
    <w:p w14:paraId="494C93E3" w14:textId="6685854C" w:rsidR="0030676F" w:rsidRPr="005F75ED" w:rsidRDefault="0030676F" w:rsidP="00D21F1A">
      <w:pPr>
        <w:pStyle w:val="Captions"/>
      </w:pPr>
      <w:bookmarkStart w:id="2186" w:name="_Toc83376847"/>
      <w:r w:rsidRPr="005F75ED">
        <w:t xml:space="preserve">Figure </w:t>
      </w:r>
      <w:r w:rsidR="003C23BE">
        <w:t>2-2</w:t>
      </w:r>
      <w:r w:rsidRPr="005F75ED">
        <w:t>:  Accounting for RA and MT Program Savings</w:t>
      </w:r>
      <w:bookmarkEnd w:id="2186"/>
      <w:r w:rsidRPr="005F75ED">
        <w:t xml:space="preserve"> </w:t>
      </w:r>
    </w:p>
    <w:p w14:paraId="19D25963" w14:textId="77777777" w:rsidR="0030676F" w:rsidRPr="005F75ED" w:rsidRDefault="0030676F" w:rsidP="0030676F">
      <w:pPr>
        <w:jc w:val="center"/>
        <w:rPr>
          <w:rFonts w:cstheme="minorHAnsi"/>
        </w:rPr>
      </w:pPr>
      <w:r>
        <w:rPr>
          <w:noProof/>
        </w:rPr>
        <w:drawing>
          <wp:inline distT="0" distB="0" distL="0" distR="0" wp14:anchorId="78702B9F" wp14:editId="56737E82">
            <wp:extent cx="5029200" cy="2828925"/>
            <wp:effectExtent l="0" t="0" r="0" b="317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pic:nvPicPr>
                  <pic:blipFill>
                    <a:blip r:embed="rId74">
                      <a:extLst>
                        <a:ext uri="{28A0092B-C50C-407E-A947-70E740481C1C}">
                          <a14:useLocalDpi xmlns:a14="http://schemas.microsoft.com/office/drawing/2010/main" val="0"/>
                        </a:ext>
                      </a:extLst>
                    </a:blip>
                    <a:stretch>
                      <a:fillRect/>
                    </a:stretch>
                  </pic:blipFill>
                  <pic:spPr>
                    <a:xfrm>
                      <a:off x="0" y="0"/>
                      <a:ext cx="5029200" cy="2828925"/>
                    </a:xfrm>
                    <a:prstGeom prst="rect">
                      <a:avLst/>
                    </a:prstGeom>
                  </pic:spPr>
                </pic:pic>
              </a:graphicData>
            </a:graphic>
          </wp:inline>
        </w:drawing>
      </w:r>
    </w:p>
    <w:p w14:paraId="35BBF059" w14:textId="77777777" w:rsidR="0030676F" w:rsidRDefault="0030676F" w:rsidP="0030676F">
      <w:pPr>
        <w:rPr>
          <w:rFonts w:cstheme="minorHAnsi"/>
        </w:rPr>
      </w:pPr>
    </w:p>
    <w:p w14:paraId="060067D1" w14:textId="77777777" w:rsidR="0030676F" w:rsidRPr="005F75ED" w:rsidRDefault="0030676F" w:rsidP="0030676F">
      <w:pPr>
        <w:rPr>
          <w:rFonts w:cstheme="minorHAnsi"/>
        </w:rPr>
      </w:pPr>
      <w:r>
        <w:rPr>
          <w:rFonts w:cstheme="minorHAnsi"/>
        </w:rPr>
        <w:t>A key</w:t>
      </w:r>
      <w:r w:rsidRPr="005F75ED">
        <w:rPr>
          <w:rFonts w:cstheme="minorHAnsi"/>
        </w:rPr>
        <w:t xml:space="preserve"> benefit of netting out all RA claimed savings is that it allows for a straightforward assertion that “all savings counted through the RA program have been </w:t>
      </w:r>
      <w:r>
        <w:rPr>
          <w:rFonts w:cstheme="minorHAnsi"/>
        </w:rPr>
        <w:t>removed</w:t>
      </w:r>
      <w:r w:rsidRPr="005F75ED">
        <w:rPr>
          <w:rFonts w:cstheme="minorHAnsi"/>
        </w:rPr>
        <w:t xml:space="preserve"> from the MT </w:t>
      </w:r>
      <w:r>
        <w:rPr>
          <w:rFonts w:cstheme="minorHAnsi"/>
        </w:rPr>
        <w:t>initiative</w:t>
      </w:r>
      <w:r w:rsidRPr="005F75ED">
        <w:rPr>
          <w:rFonts w:cstheme="minorHAnsi"/>
        </w:rPr>
        <w:t xml:space="preserve"> savings”.  This simple statement may satisfy the needs of regulators and stakeholders without requiring further detail on the differences between the RA and MT frameworks. </w:t>
      </w:r>
    </w:p>
    <w:p w14:paraId="589B7C77" w14:textId="77777777" w:rsidR="0030676F" w:rsidRPr="005F75ED" w:rsidRDefault="0030676F" w:rsidP="0030676F">
      <w:pPr>
        <w:rPr>
          <w:rFonts w:cstheme="minorHAnsi"/>
        </w:rPr>
      </w:pPr>
      <w:r w:rsidRPr="005F75ED">
        <w:rPr>
          <w:rFonts w:cstheme="minorHAnsi"/>
        </w:rPr>
        <w:t xml:space="preserve">On the other hand, this technique creates a bias against MT initiatives in favor of counting the savings in RA.  This is because it has the unfortunate consequence of removing legitimate market effects (like spillover) from the MT initiative.  This could discourage coordination and collaboration between MT initiatives and RA programs.  </w:t>
      </w:r>
    </w:p>
    <w:p w14:paraId="6002BC44" w14:textId="77777777" w:rsidR="0030676F" w:rsidRPr="00C5637A" w:rsidRDefault="0030676F" w:rsidP="0092016D">
      <w:pPr>
        <w:pStyle w:val="Heading2"/>
        <w:widowControl/>
        <w:numPr>
          <w:ilvl w:val="1"/>
          <w:numId w:val="82"/>
        </w:numPr>
        <w:jc w:val="left"/>
      </w:pPr>
      <w:bookmarkStart w:id="2187" w:name="_Toc17451253"/>
      <w:bookmarkStart w:id="2188" w:name="_Toc113619870"/>
      <w:r w:rsidRPr="00C5637A">
        <w:t>Allocating Energy Savings to Individual Utility Sponsors</w:t>
      </w:r>
      <w:bookmarkEnd w:id="2187"/>
      <w:bookmarkEnd w:id="2188"/>
    </w:p>
    <w:p w14:paraId="63FD7124" w14:textId="77777777" w:rsidR="0030676F" w:rsidRPr="005F75ED" w:rsidRDefault="0030676F" w:rsidP="0030676F">
      <w:pPr>
        <w:rPr>
          <w:rFonts w:cstheme="minorHAnsi"/>
        </w:rPr>
      </w:pPr>
      <w:r w:rsidRPr="005F75ED">
        <w:rPr>
          <w:rFonts w:cstheme="minorHAnsi"/>
        </w:rPr>
        <w:t xml:space="preserve">Market boundaries rarely, if ever, align nicely with the geographic boundaries of utility service territories.  While it is possible for an individual utility to operate a market transformation program that is limited in scope to the boundaries of their own service territory, it is more likely that utilities will be implementing MT initiatives in collaboration with other entities at a state, regional, or even nationwide level.  </w:t>
      </w:r>
      <w:r>
        <w:rPr>
          <w:rFonts w:cstheme="minorHAnsi"/>
        </w:rPr>
        <w:t>I</w:t>
      </w:r>
      <w:r w:rsidRPr="005F75ED">
        <w:rPr>
          <w:rFonts w:cstheme="minorHAnsi"/>
        </w:rPr>
        <w:t xml:space="preserve">n multi-sponsored MT initiatives, an allocation scheme should be used to distribute savings to each sponsoring utility/efficiency organization. Historically, there have been several different approaches to </w:t>
      </w:r>
      <w:r>
        <w:rPr>
          <w:rFonts w:cstheme="minorHAnsi"/>
        </w:rPr>
        <w:t xml:space="preserve">utility </w:t>
      </w:r>
      <w:r w:rsidRPr="005F75ED">
        <w:rPr>
          <w:rFonts w:cstheme="minorHAnsi"/>
        </w:rPr>
        <w:t>allocation</w:t>
      </w:r>
      <w:r>
        <w:rPr>
          <w:rFonts w:cstheme="minorHAnsi"/>
        </w:rPr>
        <w:t>, although most of them attempt to base the proportion to each utility on estimated savings that land in that utility’s service territory</w:t>
      </w:r>
      <w:r w:rsidRPr="005F75ED">
        <w:rPr>
          <w:rFonts w:cstheme="minorHAnsi"/>
        </w:rPr>
        <w:t>.</w:t>
      </w:r>
      <w:r>
        <w:rPr>
          <w:rFonts w:cstheme="minorHAnsi"/>
        </w:rPr>
        <w:t xml:space="preserve">  The method used should be selected in advance.  </w:t>
      </w:r>
    </w:p>
    <w:p w14:paraId="0CEA5643" w14:textId="77777777" w:rsidR="0030676F" w:rsidRPr="00F025BE" w:rsidRDefault="0030676F" w:rsidP="0092016D">
      <w:pPr>
        <w:pStyle w:val="ListParagraph"/>
        <w:widowControl/>
        <w:numPr>
          <w:ilvl w:val="0"/>
          <w:numId w:val="83"/>
        </w:numPr>
        <w:contextualSpacing w:val="0"/>
        <w:rPr>
          <w:rFonts w:cstheme="minorHAnsi"/>
          <w:bCs/>
        </w:rPr>
      </w:pPr>
      <w:r w:rsidRPr="00BB3CAE">
        <w:rPr>
          <w:rFonts w:cstheme="minorHAnsi"/>
          <w:b/>
        </w:rPr>
        <w:t xml:space="preserve">Allocation by Sponsor Funding Shares </w:t>
      </w:r>
      <w:r w:rsidRPr="00F025BE">
        <w:rPr>
          <w:rFonts w:cstheme="minorHAnsi"/>
          <w:bCs/>
        </w:rPr>
        <w:t xml:space="preserve">In this approach, energy savings are allocated to each funder according to their share of the total MT initiative funding across all participating sponsors.  In the Northwest, </w:t>
      </w:r>
      <w:r w:rsidRPr="00F025BE">
        <w:rPr>
          <w:rFonts w:cstheme="minorHAnsi"/>
          <w:bCs/>
        </w:rPr>
        <w:lastRenderedPageBreak/>
        <w:t>this approach is applied at a portfolio level to the total savings, partially because funding shares are based on the relative energy loads of the utilities.</w:t>
      </w:r>
    </w:p>
    <w:p w14:paraId="14FBF633" w14:textId="77777777" w:rsidR="0030676F" w:rsidRPr="00F025BE" w:rsidRDefault="0030676F" w:rsidP="0092016D">
      <w:pPr>
        <w:pStyle w:val="ListParagraph"/>
        <w:widowControl/>
        <w:numPr>
          <w:ilvl w:val="0"/>
          <w:numId w:val="83"/>
        </w:numPr>
        <w:contextualSpacing w:val="0"/>
        <w:rPr>
          <w:rFonts w:cstheme="minorHAnsi"/>
          <w:bCs/>
        </w:rPr>
      </w:pPr>
      <w:r w:rsidRPr="00BB3CAE">
        <w:rPr>
          <w:rFonts w:cstheme="minorHAnsi"/>
          <w:b/>
        </w:rPr>
        <w:t>Allocation by Service Territory Delivery</w:t>
      </w:r>
      <w:r>
        <w:rPr>
          <w:rFonts w:cstheme="minorHAnsi"/>
          <w:b/>
        </w:rPr>
        <w:t xml:space="preserve"> </w:t>
      </w:r>
      <w:r w:rsidRPr="00F025BE">
        <w:rPr>
          <w:rFonts w:cstheme="minorHAnsi"/>
          <w:bCs/>
        </w:rPr>
        <w:t xml:space="preserve">This approach allocates energy savings based on an attempt to track market adoption of the energy efficient units (and therefore savings) to the geographic boundaries of the sponsoring utility.  Unfortunately, most MT initiatives track efficient units at a scale different than utility service territory (such as to the point of distribution or retail sale), and methods must be used to scale these units to the service territory of the utilities operating the initiative.  In these cases, a factor is developed in advance to share retail sales from the point of sale or distribution into an allocation to each of the utility service territories served by that channel.  It is best to develop this factor ahead of time and use it consistently throughout the program, unless compelling data becomes available that would justify a change in the methodology.  The adjustment can sometimes be made by working with the channel to get estimates of the zip codes of their clientele and then correlate that to the service territory zip codes.  In the Northwest, for example, Bonneville Power Administration developed a retail sales allocation tool where retail locations are divided up by how they serve customers from different utilities. </w:t>
      </w:r>
    </w:p>
    <w:p w14:paraId="2120BC4D" w14:textId="77777777" w:rsidR="0030676F" w:rsidRPr="00FF56AE" w:rsidRDefault="0030676F" w:rsidP="0092016D">
      <w:pPr>
        <w:pStyle w:val="ListParagraph"/>
        <w:widowControl/>
        <w:numPr>
          <w:ilvl w:val="0"/>
          <w:numId w:val="83"/>
        </w:numPr>
        <w:contextualSpacing w:val="0"/>
        <w:rPr>
          <w:rFonts w:cstheme="minorHAnsi"/>
          <w:bCs/>
        </w:rPr>
      </w:pPr>
      <w:r w:rsidRPr="00BB3CAE">
        <w:rPr>
          <w:rFonts w:cstheme="minorHAnsi"/>
          <w:b/>
        </w:rPr>
        <w:t>Allocation by Tracking Participants</w:t>
      </w:r>
      <w:r>
        <w:rPr>
          <w:rFonts w:cstheme="minorHAnsi"/>
          <w:b/>
        </w:rPr>
        <w:t xml:space="preserve"> </w:t>
      </w:r>
      <w:r w:rsidRPr="00FF56AE">
        <w:rPr>
          <w:rFonts w:cstheme="minorHAnsi"/>
          <w:bCs/>
        </w:rPr>
        <w:t>There may be initiatives where it is possible to track all participants – for example, Building Operator Certification where every tracked operator comes through the initiative itself.  This can then be a direct measurement.</w:t>
      </w:r>
    </w:p>
    <w:p w14:paraId="7FE48B2B" w14:textId="77777777" w:rsidR="0030676F" w:rsidRPr="00FF56AE" w:rsidRDefault="0030676F" w:rsidP="0092016D">
      <w:pPr>
        <w:pStyle w:val="ListParagraph"/>
        <w:widowControl/>
        <w:numPr>
          <w:ilvl w:val="0"/>
          <w:numId w:val="83"/>
        </w:numPr>
        <w:contextualSpacing w:val="0"/>
        <w:rPr>
          <w:rFonts w:cstheme="minorHAnsi"/>
          <w:bCs/>
        </w:rPr>
      </w:pPr>
      <w:r w:rsidRPr="00BB3CAE">
        <w:rPr>
          <w:rFonts w:cstheme="minorHAnsi"/>
          <w:b/>
        </w:rPr>
        <w:t>Allocation by Survey of Market</w:t>
      </w:r>
      <w:r>
        <w:rPr>
          <w:rFonts w:cstheme="minorHAnsi"/>
          <w:b/>
        </w:rPr>
        <w:t xml:space="preserve"> </w:t>
      </w:r>
      <w:r w:rsidRPr="00FF56AE">
        <w:rPr>
          <w:rFonts w:cstheme="minorHAnsi"/>
          <w:bCs/>
        </w:rPr>
        <w:t>This approach samples the entire market and asks survey questions about in which service territory the efficiency is occurring.</w:t>
      </w:r>
    </w:p>
    <w:p w14:paraId="7DBBEF79" w14:textId="77777777" w:rsidR="0030676F" w:rsidRPr="00FF56AE" w:rsidRDefault="0030676F" w:rsidP="0092016D">
      <w:pPr>
        <w:pStyle w:val="ListParagraph"/>
        <w:widowControl/>
        <w:numPr>
          <w:ilvl w:val="0"/>
          <w:numId w:val="83"/>
        </w:numPr>
        <w:contextualSpacing w:val="0"/>
        <w:rPr>
          <w:rFonts w:cstheme="minorHAnsi"/>
          <w:bCs/>
        </w:rPr>
      </w:pPr>
      <w:r w:rsidRPr="00BB3CAE">
        <w:rPr>
          <w:rFonts w:cstheme="minorHAnsi"/>
          <w:b/>
        </w:rPr>
        <w:t>Allocation by Customer Proportions or Energy Consumption</w:t>
      </w:r>
      <w:r>
        <w:rPr>
          <w:rFonts w:cstheme="minorHAnsi"/>
          <w:b/>
        </w:rPr>
        <w:t xml:space="preserve"> </w:t>
      </w:r>
      <w:r w:rsidRPr="00FF56AE">
        <w:rPr>
          <w:rFonts w:cstheme="minorHAnsi"/>
          <w:bCs/>
        </w:rPr>
        <w:t>This approach allocates energy savings based on the share of total customers or energy consumption within the sponsoring utilities service territories, or if known, shares within a particular market.  Customers or consumption in this approach are a proxy for relative market</w:t>
      </w:r>
      <w:r>
        <w:rPr>
          <w:rFonts w:cstheme="minorHAnsi"/>
          <w:bCs/>
        </w:rPr>
        <w:t xml:space="preserve"> share</w:t>
      </w:r>
      <w:r w:rsidRPr="00FF56AE">
        <w:rPr>
          <w:rFonts w:cstheme="minorHAnsi"/>
          <w:bCs/>
        </w:rPr>
        <w:t xml:space="preserve"> for the MT initiative.  Examples include total residential single-family homes with a certain type of appliance, number of industrial customers of a certain size, or total energy consumption of commercial end use loads for the market end use in question. </w:t>
      </w:r>
    </w:p>
    <w:p w14:paraId="2DDEE2BA" w14:textId="77777777" w:rsidR="0030676F" w:rsidRPr="00D91D00" w:rsidRDefault="0030676F" w:rsidP="0092016D">
      <w:pPr>
        <w:pStyle w:val="Heading2"/>
        <w:widowControl/>
        <w:numPr>
          <w:ilvl w:val="1"/>
          <w:numId w:val="82"/>
        </w:numPr>
        <w:jc w:val="left"/>
      </w:pPr>
      <w:bookmarkStart w:id="2189" w:name="_Toc17451254"/>
      <w:bookmarkStart w:id="2190" w:name="_Toc113619871"/>
      <w:r w:rsidRPr="005A2BED">
        <w:t>Estimating Savings Post Active-Market Engagement</w:t>
      </w:r>
      <w:r w:rsidRPr="00D91D00">
        <w:t xml:space="preserve"> in Markets </w:t>
      </w:r>
      <w:r w:rsidRPr="00412F5F">
        <w:rPr>
          <w:u w:val="single"/>
        </w:rPr>
        <w:t>without</w:t>
      </w:r>
      <w:r w:rsidRPr="00D91D00">
        <w:t xml:space="preserve"> Codes or Standards as an Endpoint</w:t>
      </w:r>
      <w:bookmarkEnd w:id="2189"/>
      <w:bookmarkEnd w:id="2190"/>
    </w:p>
    <w:p w14:paraId="5AACD774" w14:textId="77777777" w:rsidR="0030676F" w:rsidRDefault="0030676F" w:rsidP="0030676F">
      <w:pPr>
        <w:rPr>
          <w:rFonts w:eastAsiaTheme="majorEastAsia" w:cstheme="minorHAnsi"/>
        </w:rPr>
      </w:pPr>
      <w:r w:rsidRPr="005F75ED">
        <w:rPr>
          <w:rFonts w:eastAsiaTheme="majorEastAsia" w:cstheme="minorHAnsi"/>
        </w:rPr>
        <w:t>Not all MT initiatives have the possibility of a code or standard to lock-in sustained market change</w:t>
      </w:r>
      <w:r>
        <w:rPr>
          <w:rFonts w:eastAsiaTheme="majorEastAsia" w:cstheme="minorHAnsi"/>
        </w:rPr>
        <w:t xml:space="preserve"> or will be successful in the achieving the desired code or standard</w:t>
      </w:r>
      <w:r w:rsidRPr="005F75ED">
        <w:rPr>
          <w:rFonts w:eastAsiaTheme="majorEastAsia" w:cstheme="minorHAnsi"/>
        </w:rPr>
        <w:t>.</w:t>
      </w:r>
      <w:r>
        <w:rPr>
          <w:rFonts w:eastAsiaTheme="majorEastAsia" w:cstheme="minorHAnsi"/>
        </w:rPr>
        <w:t xml:space="preserve"> For example, programs seeking to change standard practice in operations and maintenance, influence recommendations for building upgrades in existing buildings (not typically affected by new construction codes), or create change via training often cannot rely on a code or standard to ensure sustained adoption. </w:t>
      </w:r>
      <w:r w:rsidRPr="005F75ED">
        <w:rPr>
          <w:rFonts w:eastAsiaTheme="majorEastAsia" w:cstheme="minorHAnsi"/>
        </w:rPr>
        <w:t xml:space="preserve">  Even </w:t>
      </w:r>
      <w:r>
        <w:rPr>
          <w:rFonts w:eastAsiaTheme="majorEastAsia" w:cstheme="minorHAnsi"/>
        </w:rPr>
        <w:t>without a code or standard</w:t>
      </w:r>
      <w:r w:rsidRPr="005F75ED">
        <w:rPr>
          <w:rFonts w:eastAsiaTheme="majorEastAsia" w:cstheme="minorHAnsi"/>
        </w:rPr>
        <w:t xml:space="preserve">, it is still possible for estimated MT savings to become significant as the market adoption rate </w:t>
      </w:r>
      <w:r>
        <w:rPr>
          <w:rFonts w:eastAsiaTheme="majorEastAsia" w:cstheme="minorHAnsi"/>
        </w:rPr>
        <w:t>can</w:t>
      </w:r>
      <w:r w:rsidRPr="005F75ED">
        <w:rPr>
          <w:rFonts w:eastAsiaTheme="majorEastAsia" w:cstheme="minorHAnsi"/>
        </w:rPr>
        <w:t xml:space="preserve"> grow exponentially. Therefore, it is important to design market evaluation components that support ongoing measurement and estimation of total market adoption and </w:t>
      </w:r>
      <w:r>
        <w:rPr>
          <w:rFonts w:eastAsiaTheme="majorEastAsia" w:cstheme="minorHAnsi"/>
        </w:rPr>
        <w:t>efficient units</w:t>
      </w:r>
      <w:r w:rsidRPr="005F75ED">
        <w:rPr>
          <w:rFonts w:eastAsiaTheme="majorEastAsia" w:cstheme="minorHAnsi"/>
        </w:rPr>
        <w:t xml:space="preserve">, even after MT investments have subsided. There may also be exogenous market factors that could trigger a reforecast of the </w:t>
      </w:r>
      <w:r w:rsidRPr="005F75ED">
        <w:rPr>
          <w:rFonts w:cstheme="minorHAnsi"/>
        </w:rPr>
        <w:t>Natural Market Baseline</w:t>
      </w:r>
      <w:r>
        <w:rPr>
          <w:rFonts w:cstheme="minorHAnsi"/>
        </w:rPr>
        <w:t xml:space="preserve"> during this post period</w:t>
      </w:r>
      <w:r w:rsidRPr="005F75ED">
        <w:rPr>
          <w:rFonts w:eastAsiaTheme="majorEastAsia" w:cstheme="minorHAnsi"/>
        </w:rPr>
        <w:t xml:space="preserve">.  A periodic independent evaluation of these elements is recommended to support continued and accurate calculation of </w:t>
      </w:r>
      <w:r>
        <w:rPr>
          <w:rFonts w:eastAsiaTheme="majorEastAsia" w:cstheme="minorHAnsi"/>
        </w:rPr>
        <w:t>successful, long-term</w:t>
      </w:r>
      <w:r w:rsidRPr="005F75ED">
        <w:rPr>
          <w:rFonts w:eastAsiaTheme="majorEastAsia" w:cstheme="minorHAnsi"/>
        </w:rPr>
        <w:t xml:space="preserve"> MT savings.</w:t>
      </w:r>
    </w:p>
    <w:p w14:paraId="33D26DD5" w14:textId="77777777" w:rsidR="0030676F" w:rsidRPr="005F75ED" w:rsidRDefault="0030676F" w:rsidP="0030676F">
      <w:pPr>
        <w:rPr>
          <w:rFonts w:eastAsiaTheme="majorEastAsia" w:cstheme="minorHAnsi"/>
        </w:rPr>
      </w:pPr>
      <w:r w:rsidRPr="005F75ED">
        <w:rPr>
          <w:rFonts w:eastAsiaTheme="majorEastAsia" w:cstheme="minorHAnsi"/>
        </w:rPr>
        <w:t>Key considerations for post-active market engagement energy savings estimation include:</w:t>
      </w:r>
    </w:p>
    <w:p w14:paraId="2ACC656A" w14:textId="77777777" w:rsidR="0030676F" w:rsidRPr="006919D0" w:rsidRDefault="0030676F" w:rsidP="0092016D">
      <w:pPr>
        <w:pStyle w:val="ListParagraph"/>
        <w:widowControl/>
        <w:numPr>
          <w:ilvl w:val="0"/>
          <w:numId w:val="84"/>
        </w:numPr>
        <w:contextualSpacing w:val="0"/>
        <w:rPr>
          <w:rFonts w:cstheme="minorHAnsi"/>
          <w:b/>
        </w:rPr>
      </w:pPr>
      <w:r w:rsidRPr="006919D0">
        <w:rPr>
          <w:rFonts w:cstheme="minorHAnsi"/>
          <w:b/>
        </w:rPr>
        <w:t>Total Market Units</w:t>
      </w:r>
      <w:r>
        <w:rPr>
          <w:rFonts w:cstheme="minorHAnsi"/>
          <w:b/>
        </w:rPr>
        <w:t xml:space="preserve"> </w:t>
      </w:r>
      <w:r w:rsidRPr="006919D0">
        <w:rPr>
          <w:rFonts w:cstheme="minorHAnsi"/>
          <w:bCs/>
        </w:rPr>
        <w:t xml:space="preserve">Data collection for total market units may be more challenging if the market actors who previously provided full market data are not willing to continue doing so without an active value transaction.  In some situations, access to sales data could continue via contractual agreements with key market actors. In many scenarios, however, analysts will need to infer market changes through surveys, adjustments to purchased third-party data, or on-going market studies. </w:t>
      </w:r>
    </w:p>
    <w:p w14:paraId="7E5B4F99" w14:textId="03B61E7D" w:rsidR="0030676F" w:rsidRPr="00583F3A" w:rsidRDefault="0030676F" w:rsidP="0092016D">
      <w:pPr>
        <w:pStyle w:val="ListParagraph"/>
        <w:widowControl/>
        <w:numPr>
          <w:ilvl w:val="0"/>
          <w:numId w:val="84"/>
        </w:numPr>
        <w:contextualSpacing w:val="0"/>
        <w:rPr>
          <w:rFonts w:cstheme="minorHAnsi"/>
          <w:b/>
        </w:rPr>
      </w:pPr>
      <w:r w:rsidRPr="006919D0">
        <w:rPr>
          <w:rFonts w:cstheme="minorHAnsi"/>
          <w:b/>
        </w:rPr>
        <w:t>Unit energy savings</w:t>
      </w:r>
      <w:r>
        <w:rPr>
          <w:rFonts w:cstheme="minorHAnsi"/>
          <w:b/>
        </w:rPr>
        <w:t xml:space="preserve"> </w:t>
      </w:r>
      <w:r w:rsidRPr="00583F3A">
        <w:rPr>
          <w:rFonts w:cstheme="minorHAnsi"/>
          <w:bCs/>
        </w:rPr>
        <w:t xml:space="preserve">Given the wider market adoption at this </w:t>
      </w:r>
      <w:r w:rsidR="00743C35" w:rsidRPr="00583F3A">
        <w:rPr>
          <w:rFonts w:cstheme="minorHAnsi"/>
          <w:bCs/>
        </w:rPr>
        <w:t>point;</w:t>
      </w:r>
      <w:r w:rsidRPr="00583F3A">
        <w:rPr>
          <w:rFonts w:cstheme="minorHAnsi"/>
          <w:bCs/>
        </w:rPr>
        <w:t xml:space="preserve"> it may be necessary to adjust the unit energy savings estimate.  For example, with wider adoption there may be better data about the actual energy savings performance of the efficient measure.  Key assumptions that affect UES during this period may also change as a wider group of users engage with the product or service.</w:t>
      </w:r>
      <w:r w:rsidRPr="00583F3A">
        <w:rPr>
          <w:rFonts w:cstheme="minorHAnsi"/>
          <w:b/>
        </w:rPr>
        <w:t xml:space="preserve">  </w:t>
      </w:r>
    </w:p>
    <w:p w14:paraId="10099459" w14:textId="77777777" w:rsidR="0030676F" w:rsidRPr="00583F3A" w:rsidRDefault="0030676F" w:rsidP="0092016D">
      <w:pPr>
        <w:pStyle w:val="ListParagraph"/>
        <w:widowControl/>
        <w:numPr>
          <w:ilvl w:val="0"/>
          <w:numId w:val="84"/>
        </w:numPr>
        <w:contextualSpacing w:val="0"/>
        <w:rPr>
          <w:rFonts w:cstheme="minorHAnsi"/>
          <w:bCs/>
        </w:rPr>
      </w:pPr>
      <w:r w:rsidRPr="006919D0">
        <w:rPr>
          <w:rFonts w:cstheme="minorHAnsi"/>
          <w:b/>
        </w:rPr>
        <w:lastRenderedPageBreak/>
        <w:t>Natural Market Baseline</w:t>
      </w:r>
      <w:r>
        <w:rPr>
          <w:rFonts w:cstheme="minorHAnsi"/>
          <w:b/>
        </w:rPr>
        <w:t xml:space="preserve"> </w:t>
      </w:r>
      <w:r w:rsidRPr="00583F3A">
        <w:rPr>
          <w:rFonts w:cstheme="minorHAnsi"/>
          <w:bCs/>
        </w:rPr>
        <w:t xml:space="preserve">As adoption grows, often other market forces become more apparent and may warrant review and possible adjustment of the Natural Market Baseline.  Also, exogenous variables can come into play in the market that simply could not have been foreseen during the initial forecast of the Natural Market Baseline.   </w:t>
      </w:r>
    </w:p>
    <w:p w14:paraId="5A8CE63C" w14:textId="77777777" w:rsidR="0030676F" w:rsidRDefault="0030676F" w:rsidP="0092016D">
      <w:pPr>
        <w:pStyle w:val="Heading3"/>
        <w:numPr>
          <w:ilvl w:val="2"/>
          <w:numId w:val="82"/>
        </w:numPr>
      </w:pPr>
      <w:bookmarkStart w:id="2191" w:name="_Toc17451255"/>
      <w:bookmarkStart w:id="2192" w:name="_Toc113619872"/>
      <w:r>
        <w:t>Duration of Savings Post Active Market Engagement in Markets without Codes or Standards as an Endpoint</w:t>
      </w:r>
      <w:bookmarkEnd w:id="2191"/>
      <w:bookmarkEnd w:id="2192"/>
    </w:p>
    <w:p w14:paraId="6A6965B5" w14:textId="77777777" w:rsidR="0030676F" w:rsidRPr="007E1E77" w:rsidRDefault="0030676F" w:rsidP="0030676F">
      <w:pPr>
        <w:rPr>
          <w:rFonts w:cstheme="minorHAnsi"/>
        </w:rPr>
      </w:pPr>
      <w:r w:rsidRPr="00707714">
        <w:rPr>
          <w:rFonts w:cstheme="minorHAnsi"/>
        </w:rPr>
        <w:t>It is important to establish the length of time that savings will be credited to the utility</w:t>
      </w:r>
      <w:r>
        <w:rPr>
          <w:rFonts w:cstheme="minorHAnsi"/>
        </w:rPr>
        <w:t xml:space="preserve"> post-active-market engagement</w:t>
      </w:r>
      <w:r w:rsidRPr="007E1E77">
        <w:rPr>
          <w:rFonts w:cstheme="minorHAnsi"/>
        </w:rPr>
        <w:t xml:space="preserve">.  This time period is separate from the lifetime of the measures embodied in </w:t>
      </w:r>
      <w:r>
        <w:rPr>
          <w:rFonts w:cstheme="minorHAnsi"/>
        </w:rPr>
        <w:t>savings measures</w:t>
      </w:r>
      <w:r w:rsidRPr="007E1E77">
        <w:rPr>
          <w:rFonts w:cstheme="minorHAnsi"/>
        </w:rPr>
        <w:t xml:space="preserve">. </w:t>
      </w:r>
      <w:proofErr w:type="gramStart"/>
      <w:r w:rsidRPr="007E1E77">
        <w:rPr>
          <w:rFonts w:cstheme="minorHAnsi"/>
        </w:rPr>
        <w:t>Instead</w:t>
      </w:r>
      <w:proofErr w:type="gramEnd"/>
      <w:r w:rsidRPr="007E1E77">
        <w:rPr>
          <w:rFonts w:cstheme="minorHAnsi"/>
        </w:rPr>
        <w:t xml:space="preserve"> it reflects the amount of time that a utility will receive credit for having changed the </w:t>
      </w:r>
      <w:r>
        <w:rPr>
          <w:rFonts w:cstheme="minorHAnsi"/>
        </w:rPr>
        <w:t>market even when it has no or minimal engagement</w:t>
      </w:r>
      <w:r w:rsidRPr="007E1E77">
        <w:rPr>
          <w:rFonts w:cstheme="minorHAnsi"/>
        </w:rPr>
        <w:t xml:space="preserve">.  </w:t>
      </w:r>
      <w:r>
        <w:rPr>
          <w:rFonts w:cstheme="minorHAnsi"/>
        </w:rPr>
        <w:t xml:space="preserve">In some circumstances, the Natural Market Baseline will be expected to increase over time until some point where it essentially overtakes the Total Market.  This provides a natural ending point for claiming savings from the MT initiative.  </w:t>
      </w:r>
    </w:p>
    <w:p w14:paraId="686FCFC1" w14:textId="77777777" w:rsidR="0030676F" w:rsidRPr="006135F1" w:rsidRDefault="0030676F" w:rsidP="0030676F">
      <w:r>
        <w:t>In some markets, the Natural Market Baseline will never approach the Total Market, or it will do so in an unreasonably long time-fame.  In these cases, t</w:t>
      </w:r>
      <w:r w:rsidRPr="001F7584">
        <w:t xml:space="preserve">here is no quantitative analysis to </w:t>
      </w:r>
      <w:r>
        <w:t>determine duration</w:t>
      </w:r>
      <w:r w:rsidRPr="001F7584">
        <w:t xml:space="preserve"> directly; instead, it requires a policy </w:t>
      </w:r>
      <w:r w:rsidRPr="0034245F">
        <w:t xml:space="preserve">call </w:t>
      </w:r>
      <w:r>
        <w:t xml:space="preserve">that balances </w:t>
      </w:r>
      <w:r w:rsidRPr="0034245F">
        <w:t xml:space="preserve">an appropriate level of credit </w:t>
      </w:r>
      <w:r>
        <w:t>to</w:t>
      </w:r>
      <w:r w:rsidRPr="0034245F">
        <w:t xml:space="preserve"> make it worth the effort to support MT initiatives </w:t>
      </w:r>
      <w:r>
        <w:t xml:space="preserve">without counting savings into perpetuity.  Factors to consider in crafting this determination include the likelihood of the baseline changing over time and the lifecycle of the product (which influences when things would have changed anyway). </w:t>
      </w:r>
      <w:r w:rsidRPr="001F7584">
        <w:rPr>
          <w:rFonts w:cstheme="minorHAnsi"/>
        </w:rPr>
        <w:t xml:space="preserve">Given that this is a </w:t>
      </w:r>
      <w:r w:rsidRPr="0034245F">
        <w:rPr>
          <w:rFonts w:cstheme="minorHAnsi"/>
        </w:rPr>
        <w:t>policy call, it is usually best to make this decision early in the MT initiative design process to provide certainty to program designers and implementers</w:t>
      </w:r>
      <w:r>
        <w:rPr>
          <w:rFonts w:cstheme="minorHAnsi"/>
        </w:rPr>
        <w:t>.</w:t>
      </w:r>
    </w:p>
    <w:p w14:paraId="24821ABF" w14:textId="77777777" w:rsidR="0030676F" w:rsidRPr="00640D38" w:rsidRDefault="0030676F" w:rsidP="0092016D">
      <w:pPr>
        <w:pStyle w:val="Heading2"/>
        <w:widowControl/>
        <w:numPr>
          <w:ilvl w:val="1"/>
          <w:numId w:val="82"/>
        </w:numPr>
        <w:jc w:val="left"/>
      </w:pPr>
      <w:bookmarkStart w:id="2193" w:name="_Toc17451256"/>
      <w:bookmarkStart w:id="2194" w:name="_Toc113619873"/>
      <w:r w:rsidRPr="00640D38">
        <w:t>Energy Codes and Appliance Standards</w:t>
      </w:r>
      <w:bookmarkEnd w:id="2193"/>
      <w:bookmarkEnd w:id="2194"/>
      <w:r w:rsidRPr="00640D38">
        <w:t xml:space="preserve"> </w:t>
      </w:r>
    </w:p>
    <w:p w14:paraId="2E48DFFD" w14:textId="77777777" w:rsidR="0030676F" w:rsidRPr="005F75ED" w:rsidRDefault="0030676F" w:rsidP="0030676F">
      <w:pPr>
        <w:rPr>
          <w:rFonts w:cstheme="minorHAnsi"/>
        </w:rPr>
      </w:pPr>
      <w:r>
        <w:rPr>
          <w:rFonts w:cstheme="minorHAnsi"/>
        </w:rPr>
        <w:t>B</w:t>
      </w:r>
      <w:r w:rsidRPr="005F75ED">
        <w:rPr>
          <w:rFonts w:cstheme="minorHAnsi"/>
        </w:rPr>
        <w:t>est practice in MT initiative design will identify applicable codes or standards early on and design interventions over the life of the initiative to accelerate early adoption of more efficient</w:t>
      </w:r>
      <w:r>
        <w:rPr>
          <w:rFonts w:cstheme="minorHAnsi"/>
        </w:rPr>
        <w:t xml:space="preserve"> energy codes and standards</w:t>
      </w:r>
      <w:r w:rsidRPr="005F75ED">
        <w:rPr>
          <w:rFonts w:cstheme="minorHAnsi"/>
        </w:rPr>
        <w:t xml:space="preserve"> when possible.  If an MT initiative can successfully influence the code or standard to incorporate higher levels of efficiency, the initiative can effectively “lock-in” sustained efficiency changes for virtually the entire market.  Logic models for MT initiatives will often include activities that are deliberately targeting and driving towards adoption of enhanced energy codes or standards (C&amp;S).  Energy savings that occur following successful adoption of efficient C&amp;S</w:t>
      </w:r>
      <w:r>
        <w:rPr>
          <w:rStyle w:val="FootnoteReference"/>
          <w:rFonts w:cstheme="minorHAnsi"/>
        </w:rPr>
        <w:footnoteReference w:id="148"/>
      </w:r>
      <w:r w:rsidRPr="005F75ED">
        <w:rPr>
          <w:rFonts w:cstheme="minorHAnsi"/>
        </w:rPr>
        <w:t xml:space="preserve"> are often a significant portion of the energy savings claimed</w:t>
      </w:r>
      <w:r>
        <w:rPr>
          <w:rFonts w:cstheme="minorHAnsi"/>
        </w:rPr>
        <w:t>.</w:t>
      </w:r>
      <w:r w:rsidRPr="005F75ED">
        <w:rPr>
          <w:rFonts w:cstheme="minorHAnsi"/>
        </w:rPr>
        <w:t xml:space="preserve"> In California</w:t>
      </w:r>
      <w:r>
        <w:rPr>
          <w:rStyle w:val="FootnoteReference"/>
          <w:rFonts w:cstheme="minorHAnsi"/>
        </w:rPr>
        <w:footnoteReference w:id="149"/>
      </w:r>
      <w:r w:rsidRPr="005F75ED">
        <w:rPr>
          <w:rFonts w:cstheme="minorHAnsi"/>
        </w:rPr>
        <w:t xml:space="preserve"> and the Northwest, savings from C&amp;S currently represent significant portions of the energy savings in their </w:t>
      </w:r>
      <w:r>
        <w:rPr>
          <w:rFonts w:cstheme="minorHAnsi"/>
        </w:rPr>
        <w:t>energy efficiency</w:t>
      </w:r>
      <w:r w:rsidRPr="005F75ED">
        <w:rPr>
          <w:rFonts w:cstheme="minorHAnsi"/>
        </w:rPr>
        <w:t xml:space="preserve"> program portfolios.</w:t>
      </w:r>
    </w:p>
    <w:p w14:paraId="3CC5B524" w14:textId="77777777" w:rsidR="0030676F" w:rsidRPr="005F75ED" w:rsidRDefault="0030676F" w:rsidP="0030676F">
      <w:pPr>
        <w:rPr>
          <w:rFonts w:cstheme="minorHAnsi"/>
        </w:rPr>
      </w:pPr>
      <w:r w:rsidRPr="005F75ED">
        <w:rPr>
          <w:rFonts w:cstheme="minorHAnsi"/>
        </w:rPr>
        <w:t xml:space="preserve">Illinois does not </w:t>
      </w:r>
      <w:r>
        <w:rPr>
          <w:rFonts w:cstheme="minorHAnsi"/>
        </w:rPr>
        <w:t xml:space="preserve">yet </w:t>
      </w:r>
      <w:r w:rsidRPr="005F75ED">
        <w:rPr>
          <w:rFonts w:cstheme="minorHAnsi"/>
        </w:rPr>
        <w:t xml:space="preserve">count savings from energy codes or increased compliance, </w:t>
      </w:r>
      <w:r>
        <w:rPr>
          <w:rFonts w:cstheme="minorHAnsi"/>
        </w:rPr>
        <w:t>but</w:t>
      </w:r>
      <w:r w:rsidRPr="005F75ED">
        <w:rPr>
          <w:rFonts w:cstheme="minorHAnsi"/>
        </w:rPr>
        <w:t xml:space="preserve"> as of this writing is discussing possible activities to influence energy code compliance and potential adoption of higher efficiency levels in energy codes and standards</w:t>
      </w:r>
      <w:r>
        <w:rPr>
          <w:rFonts w:cstheme="minorHAnsi"/>
        </w:rPr>
        <w:t xml:space="preserve">. </w:t>
      </w:r>
      <w:r w:rsidRPr="005F75ED">
        <w:rPr>
          <w:rFonts w:cstheme="minorHAnsi"/>
        </w:rPr>
        <w:t xml:space="preserve">This </w:t>
      </w:r>
      <w:r>
        <w:rPr>
          <w:rFonts w:cstheme="minorHAnsi"/>
        </w:rPr>
        <w:t>Attachment</w:t>
      </w:r>
      <w:r w:rsidRPr="005F75ED">
        <w:rPr>
          <w:rFonts w:cstheme="minorHAnsi"/>
        </w:rPr>
        <w:t xml:space="preserve"> describes savings estimates from energy codes adoption</w:t>
      </w:r>
      <w:r w:rsidRPr="005F75ED">
        <w:rPr>
          <w:rStyle w:val="FootnoteReference"/>
          <w:rFonts w:cstheme="minorHAnsi"/>
        </w:rPr>
        <w:footnoteReference w:id="150"/>
      </w:r>
      <w:r w:rsidRPr="005F75ED">
        <w:rPr>
          <w:rFonts w:cstheme="minorHAnsi"/>
        </w:rPr>
        <w:t xml:space="preserve"> because these are often part of MT efforts</w:t>
      </w:r>
      <w:r w:rsidRPr="005F75ED">
        <w:rPr>
          <w:rStyle w:val="FootnoteReference"/>
          <w:rFonts w:cstheme="minorHAnsi"/>
        </w:rPr>
        <w:footnoteReference w:id="151"/>
      </w:r>
      <w:r w:rsidRPr="005F75ED">
        <w:rPr>
          <w:rFonts w:cstheme="minorHAnsi"/>
        </w:rPr>
        <w:t xml:space="preserve"> and energy code compliance </w:t>
      </w:r>
      <w:r>
        <w:rPr>
          <w:rFonts w:cstheme="minorHAnsi"/>
        </w:rPr>
        <w:t xml:space="preserve">enhancement </w:t>
      </w:r>
      <w:r w:rsidRPr="005F75ED">
        <w:rPr>
          <w:rFonts w:cstheme="minorHAnsi"/>
        </w:rPr>
        <w:t>activities</w:t>
      </w:r>
      <w:r>
        <w:rPr>
          <w:rFonts w:cstheme="minorHAnsi"/>
        </w:rPr>
        <w:t xml:space="preserve"> because they increase the effectiveness of the codes.  </w:t>
      </w:r>
      <w:r w:rsidRPr="005F75ED">
        <w:rPr>
          <w:rFonts w:cstheme="minorHAnsi"/>
        </w:rPr>
        <w:t xml:space="preserve">  </w:t>
      </w:r>
    </w:p>
    <w:p w14:paraId="07C303D1" w14:textId="77777777" w:rsidR="0030676F" w:rsidRPr="005F75ED" w:rsidRDefault="0030676F" w:rsidP="0030676F">
      <w:pPr>
        <w:rPr>
          <w:rFonts w:cstheme="minorHAnsi"/>
        </w:rPr>
      </w:pPr>
      <w:r w:rsidRPr="005F75ED">
        <w:rPr>
          <w:rFonts w:cstheme="minorHAnsi"/>
        </w:rPr>
        <w:t>Figure 4</w:t>
      </w:r>
      <w:r>
        <w:rPr>
          <w:rStyle w:val="FootnoteReference"/>
          <w:rFonts w:cstheme="minorHAnsi"/>
        </w:rPr>
        <w:footnoteReference w:id="152"/>
      </w:r>
      <w:r w:rsidRPr="005F75ED">
        <w:rPr>
          <w:rFonts w:cstheme="minorHAnsi"/>
        </w:rPr>
        <w:t xml:space="preserve"> depicts the course of an MT initiative with an emphasis on the portion that effects energy codes</w:t>
      </w:r>
      <w:r w:rsidRPr="005F75ED">
        <w:rPr>
          <w:rStyle w:val="FootnoteReference"/>
          <w:rFonts w:cstheme="minorHAnsi"/>
          <w:i/>
        </w:rPr>
        <w:footnoteReference w:id="153"/>
      </w:r>
      <w:r w:rsidRPr="005F75ED">
        <w:rPr>
          <w:rFonts w:cstheme="minorHAnsi"/>
        </w:rPr>
        <w:t xml:space="preserve">. </w:t>
      </w:r>
      <w:r>
        <w:rPr>
          <w:rFonts w:cstheme="minorHAnsi"/>
        </w:rPr>
        <w:t xml:space="preserve">This </w:t>
      </w:r>
      <w:r>
        <w:rPr>
          <w:rFonts w:cstheme="minorHAnsi"/>
        </w:rPr>
        <w:lastRenderedPageBreak/>
        <w:t xml:space="preserve">figure depicts a market where the natural market baseline does not have a regular code adoption cycle, but if that is the practice for the market being analyzed, anticipated energy code adoptions and their efficiency level would be included in the baseline.  </w:t>
      </w:r>
      <w:r w:rsidRPr="005F75ED">
        <w:rPr>
          <w:rFonts w:cstheme="minorHAnsi"/>
        </w:rPr>
        <w:t xml:space="preserve"> Area A represents the savings that accrue to activities in an MT initiative that prepare the market before C&amp;S adoption and can include the wide variety of activities that are shown in Figure 1.   Area B represents the savings following adoption of a new C&amp;S.  </w:t>
      </w:r>
      <w:r>
        <w:rPr>
          <w:rFonts w:cstheme="minorHAnsi"/>
        </w:rPr>
        <w:t>There are many activities that could be sponsored by utilities a</w:t>
      </w:r>
      <w:r w:rsidRPr="005F75ED">
        <w:rPr>
          <w:rFonts w:cstheme="minorHAnsi"/>
        </w:rPr>
        <w:t>t the point of adopting a code or standard (just before the “code effective” vertical line</w:t>
      </w:r>
      <w:r>
        <w:rPr>
          <w:rFonts w:cstheme="minorHAnsi"/>
        </w:rPr>
        <w:t xml:space="preserve">).   Some examples </w:t>
      </w:r>
      <w:r w:rsidRPr="005F75ED">
        <w:rPr>
          <w:rFonts w:cstheme="minorHAnsi"/>
        </w:rPr>
        <w:t xml:space="preserve">include developing model C&amp;S language, providing technical and economic analysis and support, </w:t>
      </w:r>
      <w:r>
        <w:rPr>
          <w:rFonts w:cstheme="minorHAnsi"/>
        </w:rPr>
        <w:t xml:space="preserve">or </w:t>
      </w:r>
      <w:r w:rsidRPr="005F75ED">
        <w:rPr>
          <w:rFonts w:cstheme="minorHAnsi"/>
        </w:rPr>
        <w:t xml:space="preserve">submittal of C&amp;S proposals. </w:t>
      </w:r>
    </w:p>
    <w:p w14:paraId="5F762551" w14:textId="7AAE57BE" w:rsidR="0030676F" w:rsidRPr="005F75ED" w:rsidRDefault="0030676F" w:rsidP="00D21F1A">
      <w:pPr>
        <w:pStyle w:val="Captions"/>
      </w:pPr>
      <w:bookmarkStart w:id="2195" w:name="_Toc83376848"/>
      <w:r w:rsidRPr="005F75ED">
        <w:t xml:space="preserve">Figure </w:t>
      </w:r>
      <w:r w:rsidR="003C23BE">
        <w:t>2-3</w:t>
      </w:r>
      <w:r w:rsidRPr="005F75ED">
        <w:t>:  The Effect of Energy Code Adoption</w:t>
      </w:r>
      <w:bookmarkEnd w:id="2195"/>
    </w:p>
    <w:p w14:paraId="52827DB3" w14:textId="77777777" w:rsidR="0030676F" w:rsidRPr="005F75ED" w:rsidRDefault="0030676F" w:rsidP="0030676F">
      <w:pPr>
        <w:keepNext/>
        <w:jc w:val="center"/>
        <w:rPr>
          <w:rFonts w:cstheme="minorHAnsi"/>
          <w:b/>
        </w:rPr>
      </w:pPr>
      <w:r>
        <w:rPr>
          <w:noProof/>
        </w:rPr>
        <w:drawing>
          <wp:inline distT="0" distB="0" distL="0" distR="0" wp14:anchorId="608AA3F2" wp14:editId="44EB7F5C">
            <wp:extent cx="4980563" cy="2801566"/>
            <wp:effectExtent l="0" t="0" r="0" b="571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75" cstate="print">
                      <a:extLst>
                        <a:ext uri="{28A0092B-C50C-407E-A947-70E740481C1C}">
                          <a14:useLocalDpi xmlns:a14="http://schemas.microsoft.com/office/drawing/2010/main" val="0"/>
                        </a:ext>
                      </a:extLst>
                    </a:blip>
                    <a:stretch>
                      <a:fillRect/>
                    </a:stretch>
                  </pic:blipFill>
                  <pic:spPr>
                    <a:xfrm>
                      <a:off x="0" y="0"/>
                      <a:ext cx="4980563" cy="2801566"/>
                    </a:xfrm>
                    <a:prstGeom prst="rect">
                      <a:avLst/>
                    </a:prstGeom>
                  </pic:spPr>
                </pic:pic>
              </a:graphicData>
            </a:graphic>
          </wp:inline>
        </w:drawing>
      </w:r>
    </w:p>
    <w:p w14:paraId="731D1DBB" w14:textId="77777777" w:rsidR="0030676F" w:rsidRPr="005F75ED" w:rsidRDefault="0030676F" w:rsidP="0030676F">
      <w:pPr>
        <w:jc w:val="center"/>
        <w:rPr>
          <w:rFonts w:cstheme="minorHAnsi"/>
        </w:rPr>
      </w:pPr>
      <w:r w:rsidRPr="005F75ED">
        <w:rPr>
          <w:rFonts w:cstheme="minorHAnsi"/>
        </w:rPr>
        <w:t xml:space="preserve">If an MT initiative includes C&amp;S activities as part of its logic model, energy savings from the pre-adoption period A in Figure 4 are counted using the methods described earlier.  In addition, it can be credited with energy savings post-adoption B, which are also derived using the methods described earlier, but with some additional considerations, described below.  </w:t>
      </w:r>
    </w:p>
    <w:p w14:paraId="3F0A89BE" w14:textId="77777777" w:rsidR="0030676F" w:rsidRPr="005F75ED" w:rsidRDefault="0030676F" w:rsidP="0092016D">
      <w:pPr>
        <w:pStyle w:val="Heading3"/>
        <w:numPr>
          <w:ilvl w:val="2"/>
          <w:numId w:val="82"/>
        </w:numPr>
        <w:rPr>
          <w:rFonts w:cstheme="minorHAnsi"/>
          <w:i/>
        </w:rPr>
      </w:pPr>
      <w:bookmarkStart w:id="2196" w:name="_Toc17451257"/>
      <w:bookmarkStart w:id="2197" w:name="_Toc113619874"/>
      <w:r w:rsidRPr="00640D38">
        <w:t>Additional Considerations for Savings from Codes and Standards</w:t>
      </w:r>
      <w:r w:rsidRPr="005F75ED" w:rsidDel="00083F04">
        <w:rPr>
          <w:rFonts w:cstheme="minorHAnsi"/>
          <w:i/>
        </w:rPr>
        <w:t xml:space="preserve"> </w:t>
      </w:r>
      <w:r w:rsidRPr="005F75ED">
        <w:rPr>
          <w:rStyle w:val="FootnoteReference"/>
          <w:rFonts w:cstheme="minorHAnsi"/>
          <w:i/>
        </w:rPr>
        <w:footnoteReference w:id="154"/>
      </w:r>
      <w:bookmarkEnd w:id="2196"/>
      <w:bookmarkEnd w:id="2197"/>
    </w:p>
    <w:p w14:paraId="12530CC7" w14:textId="77777777" w:rsidR="0030676F" w:rsidRPr="005F75ED" w:rsidRDefault="0030676F" w:rsidP="0030676F">
      <w:pPr>
        <w:rPr>
          <w:rFonts w:cstheme="minorHAnsi"/>
        </w:rPr>
      </w:pPr>
      <w:r w:rsidRPr="005F75ED">
        <w:rPr>
          <w:rFonts w:cstheme="minorHAnsi"/>
        </w:rPr>
        <w:t xml:space="preserve">This section describes the additional items needed to calculate savings from </w:t>
      </w:r>
      <w:r>
        <w:rPr>
          <w:rFonts w:cstheme="minorHAnsi"/>
        </w:rPr>
        <w:t>Codes and Standards (C&amp;S)</w:t>
      </w:r>
      <w:r w:rsidRPr="005F75ED">
        <w:rPr>
          <w:rFonts w:cstheme="minorHAnsi"/>
        </w:rPr>
        <w:t xml:space="preserve">.  Per unit savings and total market units are calculated as described above.  Additional factors that need consideration for C&amp;S include:  </w:t>
      </w:r>
    </w:p>
    <w:p w14:paraId="171DDE1A" w14:textId="77777777" w:rsidR="0030676F" w:rsidRPr="005F75ED" w:rsidRDefault="0030676F" w:rsidP="0092016D">
      <w:pPr>
        <w:pStyle w:val="ListParagraph"/>
        <w:widowControl/>
        <w:numPr>
          <w:ilvl w:val="0"/>
          <w:numId w:val="85"/>
        </w:numPr>
        <w:contextualSpacing w:val="0"/>
        <w:rPr>
          <w:rFonts w:cstheme="minorHAnsi"/>
        </w:rPr>
      </w:pPr>
      <w:r w:rsidRPr="005F75ED">
        <w:rPr>
          <w:rFonts w:cstheme="minorHAnsi"/>
          <w:b/>
        </w:rPr>
        <w:t>Compliance when a new energy code is adopted:</w:t>
      </w:r>
      <w:r w:rsidRPr="005F75ED">
        <w:rPr>
          <w:rFonts w:cstheme="minorHAnsi"/>
        </w:rPr>
        <w:t xml:space="preserve">  Total Market Savings should be adjusted for measured or estimated compliance rates.  Measured compliance pre- and post-adoption of the new energy code is strongly preferred, but not always available.  </w:t>
      </w:r>
      <w:r>
        <w:rPr>
          <w:rFonts w:cstheme="minorHAnsi"/>
        </w:rPr>
        <w:t>In this case</w:t>
      </w:r>
      <w:r w:rsidRPr="005F75ED">
        <w:rPr>
          <w:rFonts w:cstheme="minorHAnsi"/>
        </w:rPr>
        <w:t xml:space="preserve">, a baseline compliance rate pre-adoption either measured or estimated is usually assumed to be the same post-adoption for purposes of energy savings estimation.    </w:t>
      </w:r>
    </w:p>
    <w:p w14:paraId="6FDE3A93" w14:textId="77777777" w:rsidR="0030676F" w:rsidRPr="005F75ED" w:rsidRDefault="0030676F" w:rsidP="0092016D">
      <w:pPr>
        <w:pStyle w:val="ListParagraph"/>
        <w:widowControl/>
        <w:numPr>
          <w:ilvl w:val="0"/>
          <w:numId w:val="85"/>
        </w:numPr>
        <w:contextualSpacing w:val="0"/>
        <w:rPr>
          <w:rFonts w:cstheme="minorHAnsi"/>
        </w:rPr>
      </w:pPr>
      <w:r w:rsidRPr="005F75ED">
        <w:rPr>
          <w:rFonts w:cstheme="minorHAnsi"/>
          <w:b/>
        </w:rPr>
        <w:t xml:space="preserve">Post-adoption </w:t>
      </w:r>
      <w:r>
        <w:rPr>
          <w:rFonts w:cstheme="minorHAnsi"/>
          <w:b/>
        </w:rPr>
        <w:t xml:space="preserve">Natural Market </w:t>
      </w:r>
      <w:r w:rsidRPr="005F75ED">
        <w:rPr>
          <w:rFonts w:cstheme="minorHAnsi"/>
          <w:b/>
        </w:rPr>
        <w:t>Baseline:</w:t>
      </w:r>
      <w:r w:rsidRPr="005F75ED">
        <w:rPr>
          <w:rFonts w:cstheme="minorHAnsi"/>
        </w:rPr>
        <w:t xml:space="preserve"> </w:t>
      </w:r>
      <w:r>
        <w:rPr>
          <w:rFonts w:cstheme="minorHAnsi"/>
        </w:rPr>
        <w:t>Special attention should be given</w:t>
      </w:r>
      <w:r w:rsidRPr="005F75ED">
        <w:rPr>
          <w:rFonts w:cstheme="minorHAnsi"/>
        </w:rPr>
        <w:t xml:space="preserve"> to the segment of the Natural Market Baseline (from energy code adoption to the end of energy code credit)</w:t>
      </w:r>
      <w:r>
        <w:rPr>
          <w:rFonts w:cstheme="minorHAnsi"/>
        </w:rPr>
        <w:t>.</w:t>
      </w:r>
      <w:r w:rsidRPr="005F75ED">
        <w:rPr>
          <w:rFonts w:cstheme="minorHAnsi"/>
        </w:rPr>
        <w:t xml:space="preserve"> </w:t>
      </w:r>
      <w:r>
        <w:rPr>
          <w:rFonts w:cstheme="minorHAnsi"/>
        </w:rPr>
        <w:t xml:space="preserve">  </w:t>
      </w:r>
      <w:r w:rsidRPr="005F75ED">
        <w:rPr>
          <w:rFonts w:cstheme="minorHAnsi"/>
        </w:rPr>
        <w:t xml:space="preserve">The best representation of the counterfactual might be a fixed post-adoption baseline that changes to full adoption rates during the </w:t>
      </w:r>
      <w:r w:rsidRPr="005F75ED">
        <w:rPr>
          <w:rFonts w:cstheme="minorHAnsi"/>
        </w:rPr>
        <w:lastRenderedPageBreak/>
        <w:t>next scheduled change in the C&amp;S processes (</w:t>
      </w:r>
      <w:proofErr w:type="gramStart"/>
      <w:r w:rsidRPr="005F75ED">
        <w:rPr>
          <w:rFonts w:cstheme="minorHAnsi"/>
        </w:rPr>
        <w:t>e.g.</w:t>
      </w:r>
      <w:proofErr w:type="gramEnd"/>
      <w:r w:rsidRPr="005F75ED">
        <w:rPr>
          <w:rFonts w:cstheme="minorHAnsi"/>
        </w:rPr>
        <w:t xml:space="preserve"> 3 years for the International Energy Conservation Code). Another option is some form of declining savings credit, such as a baseline that increases over time. </w:t>
      </w:r>
    </w:p>
    <w:p w14:paraId="3B79FCE8" w14:textId="77777777" w:rsidR="0030676F" w:rsidRPr="007C0E80" w:rsidRDefault="0030676F" w:rsidP="0092016D">
      <w:pPr>
        <w:pStyle w:val="ListParagraph"/>
        <w:widowControl/>
        <w:numPr>
          <w:ilvl w:val="1"/>
          <w:numId w:val="85"/>
        </w:numPr>
        <w:rPr>
          <w:rFonts w:cstheme="minorHAnsi"/>
        </w:rPr>
      </w:pPr>
      <w:r w:rsidRPr="00081A7D">
        <w:rPr>
          <w:rFonts w:cstheme="minorHAnsi"/>
        </w:rPr>
        <w:t>Determining the timing of this counter</w:t>
      </w:r>
      <w:r w:rsidRPr="0001620A">
        <w:rPr>
          <w:rFonts w:cstheme="minorHAnsi"/>
        </w:rPr>
        <w:t xml:space="preserve">-factual movement in some alternate future has been difficult in those regions already counting savings from </w:t>
      </w:r>
      <w:r w:rsidRPr="009618A7">
        <w:rPr>
          <w:rFonts w:cstheme="minorHAnsi"/>
        </w:rPr>
        <w:t>energy code adoption. One approach involves e</w:t>
      </w:r>
      <w:r w:rsidRPr="005F4813">
        <w:rPr>
          <w:rFonts w:cstheme="minorHAnsi"/>
        </w:rPr>
        <w:t>xpert subject matter panels (Delphi panels)</w:t>
      </w:r>
      <w:r w:rsidRPr="00081A7D">
        <w:rPr>
          <w:rStyle w:val="CommentReference"/>
          <w:rFonts w:cstheme="minorHAnsi"/>
        </w:rPr>
        <w:t xml:space="preserve"> </w:t>
      </w:r>
      <w:r w:rsidRPr="0001620A">
        <w:rPr>
          <w:rFonts w:cstheme="minorHAnsi"/>
        </w:rPr>
        <w:t xml:space="preserve">to establish this alternative future.  However, finding enough independent experts and achieving convergence of opinion can be challenging. </w:t>
      </w:r>
      <w:r w:rsidRPr="009618A7">
        <w:rPr>
          <w:rFonts w:cstheme="minorHAnsi"/>
        </w:rPr>
        <w:t xml:space="preserve">Trending market data or comparison with other similar code provision adoptions </w:t>
      </w:r>
      <w:r w:rsidRPr="005F4813">
        <w:rPr>
          <w:rFonts w:cstheme="minorHAnsi"/>
        </w:rPr>
        <w:t>may also be used</w:t>
      </w:r>
      <w:r w:rsidRPr="00C16E9B">
        <w:rPr>
          <w:rFonts w:cstheme="minorHAnsi"/>
        </w:rPr>
        <w:t xml:space="preserve"> as alternatives.</w:t>
      </w:r>
      <w:r w:rsidRPr="0090716F">
        <w:rPr>
          <w:rFonts w:cstheme="minorHAnsi"/>
        </w:rPr>
        <w:t xml:space="preserve"> Ultimately, as with all counterfactual baseline estimation, there will need to be </w:t>
      </w:r>
      <w:r w:rsidRPr="00375D19">
        <w:rPr>
          <w:rFonts w:cstheme="minorHAnsi"/>
        </w:rPr>
        <w:t xml:space="preserve">an aspect of professional judgement to </w:t>
      </w:r>
      <w:r w:rsidRPr="005D2BF8">
        <w:rPr>
          <w:rFonts w:cstheme="minorHAnsi"/>
        </w:rPr>
        <w:t>determine the appropriate treatment of post-adoption bas</w:t>
      </w:r>
      <w:r w:rsidRPr="007C0E80">
        <w:rPr>
          <w:rFonts w:cstheme="minorHAnsi"/>
        </w:rPr>
        <w:t>eline.</w:t>
      </w:r>
    </w:p>
    <w:p w14:paraId="51E83283" w14:textId="77777777" w:rsidR="0030676F" w:rsidRPr="005F75ED" w:rsidRDefault="0030676F" w:rsidP="0092016D">
      <w:pPr>
        <w:pStyle w:val="ListParagraph"/>
        <w:widowControl/>
        <w:numPr>
          <w:ilvl w:val="0"/>
          <w:numId w:val="85"/>
        </w:numPr>
        <w:contextualSpacing w:val="0"/>
        <w:rPr>
          <w:rFonts w:cstheme="minorHAnsi"/>
        </w:rPr>
      </w:pPr>
      <w:r w:rsidRPr="005F75ED">
        <w:rPr>
          <w:rFonts w:cstheme="minorHAnsi"/>
          <w:b/>
        </w:rPr>
        <w:t>Accounting:</w:t>
      </w:r>
      <w:r w:rsidRPr="005F75ED">
        <w:rPr>
          <w:rFonts w:cstheme="minorHAnsi"/>
        </w:rPr>
        <w:t xml:space="preserve"> Accounting of savings between RA and MT programs is not generally used for C&amp;S.  This is because utility RA programs typically have ended operations before or at the point that the energy code adoption process takes place.  </w:t>
      </w:r>
    </w:p>
    <w:p w14:paraId="53E6AA73" w14:textId="77777777" w:rsidR="0030676F" w:rsidRPr="005F75ED" w:rsidRDefault="0030676F" w:rsidP="0092016D">
      <w:pPr>
        <w:pStyle w:val="ListParagraph"/>
        <w:widowControl/>
        <w:numPr>
          <w:ilvl w:val="0"/>
          <w:numId w:val="85"/>
        </w:numPr>
        <w:contextualSpacing w:val="0"/>
        <w:rPr>
          <w:rFonts w:cstheme="minorHAnsi"/>
        </w:rPr>
      </w:pPr>
      <w:r w:rsidRPr="005F75ED">
        <w:rPr>
          <w:rFonts w:cstheme="minorHAnsi"/>
          <w:b/>
        </w:rPr>
        <w:t>Allocation:</w:t>
      </w:r>
      <w:r w:rsidRPr="005F75ED">
        <w:rPr>
          <w:rFonts w:cstheme="minorHAnsi"/>
        </w:rPr>
        <w:t xml:space="preserve"> In principle, allocation of energy savings that occur from an MT initiative supported by multiple sponsoring utilities and targeting statewide code changes should be no different than during the voluntary portion of the MT initiative (see above section on allocation).  In addition, </w:t>
      </w:r>
      <w:r>
        <w:rPr>
          <w:rFonts w:cstheme="minorHAnsi"/>
        </w:rPr>
        <w:t xml:space="preserve">there may need to be a </w:t>
      </w:r>
      <w:r w:rsidRPr="005F75ED">
        <w:rPr>
          <w:rFonts w:cstheme="minorHAnsi"/>
        </w:rPr>
        <w:t>split between utilities and other parties working on code adoption</w:t>
      </w:r>
      <w:r>
        <w:rPr>
          <w:rFonts w:cstheme="minorHAnsi"/>
        </w:rPr>
        <w:t>.  This is often</w:t>
      </w:r>
      <w:r w:rsidRPr="005F75ED">
        <w:rPr>
          <w:rFonts w:cstheme="minorHAnsi"/>
        </w:rPr>
        <w:t xml:space="preserve"> a negotiated number, sometimes informed by a Delphi panel</w:t>
      </w:r>
      <w:r>
        <w:rPr>
          <w:rFonts w:cstheme="minorHAnsi"/>
        </w:rPr>
        <w:t>, evaluators, stakeholders, or other entities.</w:t>
      </w:r>
      <w:r w:rsidRPr="005F75ED">
        <w:rPr>
          <w:rFonts w:cstheme="minorHAnsi"/>
        </w:rPr>
        <w:t xml:space="preserve">  </w:t>
      </w:r>
    </w:p>
    <w:p w14:paraId="5325D5F8" w14:textId="77777777" w:rsidR="0030676F" w:rsidRDefault="0030676F" w:rsidP="0092016D">
      <w:pPr>
        <w:pStyle w:val="ListParagraph"/>
        <w:widowControl/>
        <w:numPr>
          <w:ilvl w:val="0"/>
          <w:numId w:val="85"/>
        </w:numPr>
        <w:rPr>
          <w:rFonts w:cstheme="minorHAnsi"/>
        </w:rPr>
      </w:pPr>
      <w:r w:rsidRPr="005F75ED">
        <w:rPr>
          <w:rFonts w:cstheme="minorHAnsi"/>
          <w:b/>
        </w:rPr>
        <w:t>Duration of Energy Savings Claims</w:t>
      </w:r>
      <w:r>
        <w:rPr>
          <w:rStyle w:val="FootnoteReference"/>
          <w:rFonts w:cstheme="minorHAnsi"/>
          <w:b/>
        </w:rPr>
        <w:footnoteReference w:id="155"/>
      </w:r>
      <w:r w:rsidRPr="005F75ED">
        <w:rPr>
          <w:rFonts w:cstheme="minorHAnsi"/>
          <w:b/>
        </w:rPr>
        <w:t>:</w:t>
      </w:r>
      <w:r w:rsidRPr="005F75ED">
        <w:rPr>
          <w:rFonts w:cstheme="minorHAnsi"/>
        </w:rPr>
        <w:t xml:space="preserve"> </w:t>
      </w:r>
      <w:r>
        <w:rPr>
          <w:rFonts w:cstheme="minorHAnsi"/>
        </w:rPr>
        <w:t>It</w:t>
      </w:r>
      <w:r w:rsidRPr="005F75ED">
        <w:rPr>
          <w:rFonts w:cstheme="minorHAnsi"/>
        </w:rPr>
        <w:t xml:space="preserve"> is important to establish the length of time that savings will be credited to the utility</w:t>
      </w:r>
      <w:r>
        <w:rPr>
          <w:rFonts w:cstheme="minorHAnsi"/>
        </w:rPr>
        <w:t xml:space="preserve"> for the new code or standard</w:t>
      </w:r>
      <w:r w:rsidRPr="005F75ED">
        <w:rPr>
          <w:rFonts w:cstheme="minorHAnsi"/>
        </w:rPr>
        <w:t xml:space="preserve">.   This is shown in Figure 4 as the time between “Code Effective” and “End of Code Credit”. This time period is separate from the lifetime of the measures embodied in the energy code. </w:t>
      </w:r>
      <w:proofErr w:type="gramStart"/>
      <w:r w:rsidRPr="005F75ED">
        <w:rPr>
          <w:rFonts w:cstheme="minorHAnsi"/>
        </w:rPr>
        <w:t>I</w:t>
      </w:r>
      <w:r>
        <w:rPr>
          <w:rFonts w:cstheme="minorHAnsi"/>
        </w:rPr>
        <w:t>nstead</w:t>
      </w:r>
      <w:proofErr w:type="gramEnd"/>
      <w:r>
        <w:rPr>
          <w:rFonts w:cstheme="minorHAnsi"/>
        </w:rPr>
        <w:t xml:space="preserve"> i</w:t>
      </w:r>
      <w:r w:rsidRPr="005F75ED">
        <w:rPr>
          <w:rFonts w:cstheme="minorHAnsi"/>
        </w:rPr>
        <w:t xml:space="preserve">t reflects the amount of time that a utility will receive credit for having changed the energy code.  </w:t>
      </w:r>
    </w:p>
    <w:p w14:paraId="6D8E5CEA" w14:textId="7170266B" w:rsidR="0030676F" w:rsidRDefault="0030676F" w:rsidP="0092016D">
      <w:pPr>
        <w:pStyle w:val="ListParagraph"/>
        <w:widowControl/>
        <w:numPr>
          <w:ilvl w:val="1"/>
          <w:numId w:val="85"/>
        </w:numPr>
        <w:rPr>
          <w:rFonts w:cstheme="minorHAnsi"/>
        </w:rPr>
      </w:pPr>
      <w:r w:rsidRPr="00081A7D">
        <w:rPr>
          <w:rFonts w:cstheme="minorHAnsi"/>
        </w:rPr>
        <w:t xml:space="preserve">There is no quantitative analysis </w:t>
      </w:r>
      <w:r>
        <w:rPr>
          <w:rFonts w:cstheme="minorHAnsi"/>
        </w:rPr>
        <w:t>that can determine the duration of an energy code credit to the utilities</w:t>
      </w:r>
      <w:r w:rsidRPr="0001620A">
        <w:rPr>
          <w:rFonts w:cstheme="minorHAnsi"/>
        </w:rPr>
        <w:t xml:space="preserve">; instead, it requires a </w:t>
      </w:r>
      <w:r w:rsidR="00B575D7" w:rsidRPr="0001620A">
        <w:rPr>
          <w:rFonts w:cstheme="minorHAnsi"/>
        </w:rPr>
        <w:t xml:space="preserve">policy </w:t>
      </w:r>
      <w:r w:rsidR="00B575D7">
        <w:rPr>
          <w:rFonts w:cstheme="minorHAnsi"/>
        </w:rPr>
        <w:t>that</w:t>
      </w:r>
      <w:r w:rsidRPr="0001620A">
        <w:rPr>
          <w:rFonts w:cstheme="minorHAnsi"/>
        </w:rPr>
        <w:t xml:space="preserve"> provide</w:t>
      </w:r>
      <w:r>
        <w:rPr>
          <w:rFonts w:cstheme="minorHAnsi"/>
        </w:rPr>
        <w:t>s</w:t>
      </w:r>
      <w:r w:rsidRPr="0001620A">
        <w:rPr>
          <w:rFonts w:cstheme="minorHAnsi"/>
        </w:rPr>
        <w:t xml:space="preserve"> an appropriate level of credit to implementers that makes it worth the effort to support MT in</w:t>
      </w:r>
      <w:r w:rsidRPr="009618A7">
        <w:rPr>
          <w:rFonts w:cstheme="minorHAnsi"/>
        </w:rPr>
        <w:t>itiatives that target code changes</w:t>
      </w:r>
      <w:r>
        <w:rPr>
          <w:rFonts w:cstheme="minorHAnsi"/>
        </w:rPr>
        <w:t>, while not being so large as to be unfair to ratepayers.</w:t>
      </w:r>
      <w:r w:rsidRPr="009618A7">
        <w:rPr>
          <w:rFonts w:cstheme="minorHAnsi"/>
        </w:rPr>
        <w:t xml:space="preserve"> The policy call can be informed by when the code or standard would have been updated anyway to the level target</w:t>
      </w:r>
      <w:r w:rsidRPr="005F4813">
        <w:rPr>
          <w:rFonts w:cstheme="minorHAnsi"/>
        </w:rPr>
        <w:t xml:space="preserve">ed in the MT initiative.  </w:t>
      </w:r>
      <w:r w:rsidRPr="00C16E9B">
        <w:rPr>
          <w:rFonts w:cstheme="minorHAnsi"/>
        </w:rPr>
        <w:t xml:space="preserve">Given that this is a policy call, it is usually best to make this decision early in the MT initiative design process to provide certainty to the program designers and implementers. For example, the Northwest </w:t>
      </w:r>
      <w:r>
        <w:rPr>
          <w:rFonts w:cstheme="minorHAnsi"/>
        </w:rPr>
        <w:t>negotiated</w:t>
      </w:r>
      <w:r w:rsidRPr="00C16E9B">
        <w:rPr>
          <w:rFonts w:cstheme="minorHAnsi"/>
        </w:rPr>
        <w:t xml:space="preserve"> a </w:t>
      </w:r>
      <w:r w:rsidRPr="0090716F">
        <w:rPr>
          <w:rFonts w:cstheme="minorHAnsi"/>
        </w:rPr>
        <w:t>standard policy that allows for claiming code savings for ten years post the code effective date.  For the residential code, NEEA does not report savings units six months after the code becomes effective, and then counts</w:t>
      </w:r>
      <w:r>
        <w:rPr>
          <w:rFonts w:cstheme="minorHAnsi"/>
        </w:rPr>
        <w:t xml:space="preserve"> savings</w:t>
      </w:r>
      <w:r w:rsidRPr="0090716F">
        <w:rPr>
          <w:rFonts w:cstheme="minorHAnsi"/>
        </w:rPr>
        <w:t xml:space="preserve"> for a full ten years.  </w:t>
      </w:r>
      <w:r w:rsidRPr="00375D19">
        <w:rPr>
          <w:rFonts w:cstheme="minorHAnsi"/>
        </w:rPr>
        <w:t xml:space="preserve"> </w:t>
      </w:r>
      <w:r>
        <w:rPr>
          <w:rFonts w:cstheme="minorHAnsi"/>
        </w:rPr>
        <w:t xml:space="preserve">This was a negotiated number among the parties involved at the time. </w:t>
      </w:r>
      <w:r w:rsidRPr="00375D19">
        <w:rPr>
          <w:rFonts w:cstheme="minorHAnsi"/>
        </w:rPr>
        <w:t>If a new, more efficient code comes into play during that period, the incremental savings for that change are also counted for ten years.</w:t>
      </w:r>
    </w:p>
    <w:p w14:paraId="098F6456" w14:textId="77777777" w:rsidR="0030676F" w:rsidRPr="00640D38" w:rsidRDefault="0030676F" w:rsidP="0092016D">
      <w:pPr>
        <w:pStyle w:val="Heading2"/>
        <w:widowControl/>
        <w:numPr>
          <w:ilvl w:val="1"/>
          <w:numId w:val="82"/>
        </w:numPr>
        <w:jc w:val="left"/>
      </w:pPr>
      <w:bookmarkStart w:id="2198" w:name="_Toc17451258"/>
      <w:bookmarkStart w:id="2199" w:name="_Toc113619875"/>
      <w:r w:rsidRPr="00640D38">
        <w:t xml:space="preserve">Energy Savings from Enhanced </w:t>
      </w:r>
      <w:r>
        <w:t xml:space="preserve">Energy Code </w:t>
      </w:r>
      <w:r w:rsidRPr="00640D38">
        <w:t>Compliance Activities</w:t>
      </w:r>
      <w:bookmarkEnd w:id="2198"/>
      <w:bookmarkEnd w:id="2199"/>
      <w:r w:rsidRPr="00640D38">
        <w:t xml:space="preserve"> </w:t>
      </w:r>
    </w:p>
    <w:p w14:paraId="5D08FD4C" w14:textId="77777777" w:rsidR="0030676F" w:rsidRPr="005F75ED" w:rsidRDefault="0030676F" w:rsidP="0030676F">
      <w:pPr>
        <w:rPr>
          <w:rFonts w:cstheme="minorHAnsi"/>
        </w:rPr>
      </w:pPr>
      <w:r>
        <w:rPr>
          <w:rFonts w:cstheme="minorHAnsi"/>
        </w:rPr>
        <w:t xml:space="preserve">From work in other regions, a </w:t>
      </w:r>
      <w:r w:rsidRPr="005F75ED">
        <w:rPr>
          <w:rFonts w:cstheme="minorHAnsi"/>
        </w:rPr>
        <w:t>number of activities such as training and education, increased support for enforcement, and third-party plan-review, have been shown to result in increased compliance of energy codes, which in turn results in energy savings</w:t>
      </w:r>
      <w:r w:rsidRPr="005F75ED">
        <w:rPr>
          <w:rStyle w:val="FootnoteReference"/>
          <w:rFonts w:cstheme="minorHAnsi"/>
        </w:rPr>
        <w:footnoteReference w:id="156"/>
      </w:r>
      <w:r w:rsidRPr="005F75ED">
        <w:rPr>
          <w:rFonts w:cstheme="minorHAnsi"/>
        </w:rPr>
        <w:t xml:space="preserve">.  Efforts are underway in Illinois to analyze and discuss activities for improving compliance with existing energy codes.  </w:t>
      </w:r>
    </w:p>
    <w:p w14:paraId="3CEA4671" w14:textId="77777777" w:rsidR="0030676F" w:rsidRPr="005F75ED" w:rsidRDefault="0030676F" w:rsidP="0030676F">
      <w:pPr>
        <w:rPr>
          <w:rFonts w:cstheme="minorHAnsi"/>
        </w:rPr>
      </w:pPr>
      <w:r w:rsidRPr="005F75ED">
        <w:rPr>
          <w:rFonts w:cstheme="minorHAnsi"/>
        </w:rPr>
        <w:lastRenderedPageBreak/>
        <w:t>Savings from enhancing code compliance activities are derived by documenting compliance rates before the initiative starts</w:t>
      </w:r>
      <w:r w:rsidRPr="005F75ED">
        <w:rPr>
          <w:rStyle w:val="FootnoteReference"/>
          <w:rFonts w:cstheme="minorHAnsi"/>
        </w:rPr>
        <w:footnoteReference w:id="157"/>
      </w:r>
      <w:r w:rsidRPr="005F75ED">
        <w:rPr>
          <w:rFonts w:cstheme="minorHAnsi"/>
        </w:rPr>
        <w:t xml:space="preserve">, and compliance after the initiative has operated for a period of time.   See Figure 5.  </w:t>
      </w:r>
    </w:p>
    <w:p w14:paraId="4662DB11" w14:textId="77777777" w:rsidR="008E3377" w:rsidRDefault="008E3377" w:rsidP="008E3377">
      <w:pPr>
        <w:jc w:val="center"/>
        <w:rPr>
          <w:rFonts w:cstheme="minorHAnsi"/>
          <w:b/>
        </w:rPr>
      </w:pPr>
    </w:p>
    <w:p w14:paraId="5F10555D" w14:textId="77777777" w:rsidR="008E3377" w:rsidRDefault="008E3377" w:rsidP="008E3377">
      <w:pPr>
        <w:jc w:val="center"/>
        <w:rPr>
          <w:rFonts w:cstheme="minorHAnsi"/>
          <w:b/>
        </w:rPr>
      </w:pPr>
    </w:p>
    <w:p w14:paraId="0BC2485E" w14:textId="77777777" w:rsidR="008E3377" w:rsidRDefault="008E3377" w:rsidP="008E3377">
      <w:pPr>
        <w:jc w:val="center"/>
        <w:rPr>
          <w:rFonts w:cstheme="minorHAnsi"/>
          <w:b/>
        </w:rPr>
      </w:pPr>
    </w:p>
    <w:p w14:paraId="029D443B" w14:textId="767EDDD0" w:rsidR="0030676F" w:rsidRPr="005F75ED" w:rsidRDefault="0030676F" w:rsidP="008E3377">
      <w:pPr>
        <w:jc w:val="center"/>
        <w:rPr>
          <w:rFonts w:cstheme="minorHAnsi"/>
        </w:rPr>
      </w:pPr>
      <w:bookmarkStart w:id="2200" w:name="_Toc83376849"/>
      <w:r w:rsidRPr="00D21F1A">
        <w:rPr>
          <w:rStyle w:val="CaptionsChar"/>
        </w:rPr>
        <w:t xml:space="preserve">Figure </w:t>
      </w:r>
      <w:r w:rsidR="003C23BE" w:rsidRPr="00D21F1A">
        <w:rPr>
          <w:rStyle w:val="CaptionsChar"/>
        </w:rPr>
        <w:t>2-</w:t>
      </w:r>
      <w:r w:rsidR="007F7E14" w:rsidRPr="00D21F1A">
        <w:rPr>
          <w:rStyle w:val="CaptionsChar"/>
        </w:rPr>
        <w:t>4</w:t>
      </w:r>
      <w:r w:rsidRPr="00D21F1A">
        <w:rPr>
          <w:rStyle w:val="CaptionsChar"/>
        </w:rPr>
        <w:t>: Savings from Enhancing Energy Code Compliance</w:t>
      </w:r>
      <w:bookmarkEnd w:id="2200"/>
      <w:r w:rsidRPr="005F75ED">
        <w:rPr>
          <w:rFonts w:cstheme="minorHAnsi"/>
          <w:noProof/>
        </w:rPr>
        <w:drawing>
          <wp:inline distT="0" distB="0" distL="0" distR="0" wp14:anchorId="0D299A24" wp14:editId="100B15CC">
            <wp:extent cx="4902200" cy="2463582"/>
            <wp:effectExtent l="0" t="0" r="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920132" cy="2472594"/>
                    </a:xfrm>
                    <a:prstGeom prst="rect">
                      <a:avLst/>
                    </a:prstGeom>
                    <a:noFill/>
                    <a:ln>
                      <a:noFill/>
                    </a:ln>
                  </pic:spPr>
                </pic:pic>
              </a:graphicData>
            </a:graphic>
          </wp:inline>
        </w:drawing>
      </w:r>
    </w:p>
    <w:p w14:paraId="664F437A" w14:textId="77777777" w:rsidR="0030676F" w:rsidRDefault="0030676F" w:rsidP="0030676F">
      <w:pPr>
        <w:rPr>
          <w:rFonts w:cstheme="minorHAnsi"/>
        </w:rPr>
      </w:pPr>
      <w:r w:rsidRPr="005F75ED">
        <w:rPr>
          <w:rFonts w:cstheme="minorHAnsi"/>
        </w:rPr>
        <w:t>Unit energy savings</w:t>
      </w:r>
      <w:r>
        <w:rPr>
          <w:rStyle w:val="FootnoteReference"/>
          <w:rFonts w:cstheme="minorHAnsi"/>
        </w:rPr>
        <w:footnoteReference w:id="158"/>
      </w:r>
      <w:r w:rsidRPr="005F75ED">
        <w:rPr>
          <w:rFonts w:cstheme="minorHAnsi"/>
        </w:rPr>
        <w:t xml:space="preserve"> is the difference between the average unit energy consumption in the pre-</w:t>
      </w:r>
      <w:r>
        <w:rPr>
          <w:rFonts w:cstheme="minorHAnsi"/>
        </w:rPr>
        <w:t xml:space="preserve">enhanced-compliance </w:t>
      </w:r>
      <w:r w:rsidRPr="005F75ED">
        <w:rPr>
          <w:rFonts w:cstheme="minorHAnsi"/>
        </w:rPr>
        <w:t>case compared to the post-case</w:t>
      </w:r>
      <w:r w:rsidRPr="005F75ED">
        <w:rPr>
          <w:rStyle w:val="FootnoteReference"/>
          <w:rFonts w:cstheme="minorHAnsi"/>
        </w:rPr>
        <w:footnoteReference w:id="159"/>
      </w:r>
      <w:r w:rsidRPr="005F75ED">
        <w:rPr>
          <w:rFonts w:cstheme="minorHAnsi"/>
        </w:rPr>
        <w:t xml:space="preserve"> multiplied by the number of new units</w:t>
      </w:r>
      <w:r>
        <w:rPr>
          <w:rFonts w:cstheme="minorHAnsi"/>
        </w:rPr>
        <w:t xml:space="preserve"> each year</w:t>
      </w:r>
      <w:r w:rsidRPr="005F75ED">
        <w:rPr>
          <w:rFonts w:cstheme="minorHAnsi"/>
        </w:rPr>
        <w:t xml:space="preserve"> in the market that are affected</w:t>
      </w:r>
      <w:r w:rsidRPr="000813D6">
        <w:rPr>
          <w:rFonts w:cstheme="minorHAnsi"/>
        </w:rPr>
        <w:t xml:space="preserve">.  </w:t>
      </w:r>
      <w:r>
        <w:rPr>
          <w:rFonts w:cstheme="minorHAnsi"/>
        </w:rPr>
        <w:t>This</w:t>
      </w:r>
      <w:r w:rsidRPr="00675C00">
        <w:rPr>
          <w:rFonts w:cstheme="minorHAnsi"/>
        </w:rPr>
        <w:t xml:space="preserve"> </w:t>
      </w:r>
      <w:r>
        <w:rPr>
          <w:rFonts w:cstheme="minorHAnsi"/>
        </w:rPr>
        <w:t>is typically</w:t>
      </w:r>
      <w:r w:rsidRPr="00675C00">
        <w:rPr>
          <w:rFonts w:cstheme="minorHAnsi"/>
        </w:rPr>
        <w:t xml:space="preserve"> developed using building energy</w:t>
      </w:r>
      <w:r>
        <w:rPr>
          <w:rFonts w:cstheme="minorHAnsi"/>
        </w:rPr>
        <w:t>-</w:t>
      </w:r>
      <w:r w:rsidRPr="00675C00">
        <w:rPr>
          <w:rFonts w:cstheme="minorHAnsi"/>
        </w:rPr>
        <w:t>use modeling</w:t>
      </w:r>
      <w:r>
        <w:rPr>
          <w:rFonts w:cstheme="minorHAnsi"/>
        </w:rPr>
        <w:t xml:space="preserve"> of the baseline and post-compliance cases, and then subtracting the two.  </w:t>
      </w:r>
      <w:r w:rsidRPr="00675C00">
        <w:rPr>
          <w:rFonts w:cstheme="minorHAnsi"/>
        </w:rPr>
        <w:t xml:space="preserve">The building energy modeling should follow the practices for new construction modeling in the TRM for residential or commercial buildings as appropriate.  </w:t>
      </w:r>
    </w:p>
    <w:p w14:paraId="09DC9A6F" w14:textId="77777777" w:rsidR="0030676F" w:rsidRDefault="0030676F" w:rsidP="0030676F">
      <w:pPr>
        <w:rPr>
          <w:rFonts w:cstheme="minorHAnsi"/>
        </w:rPr>
      </w:pPr>
      <w:r w:rsidRPr="00675C00">
        <w:rPr>
          <w:rFonts w:cstheme="minorHAnsi"/>
        </w:rPr>
        <w:t xml:space="preserve">The per unit </w:t>
      </w:r>
      <w:r>
        <w:rPr>
          <w:rFonts w:cstheme="minorHAnsi"/>
        </w:rPr>
        <w:t>energy consumption</w:t>
      </w:r>
      <w:r w:rsidRPr="00675C00">
        <w:rPr>
          <w:rFonts w:cstheme="minorHAnsi"/>
        </w:rPr>
        <w:t xml:space="preserve"> for </w:t>
      </w:r>
      <w:r>
        <w:rPr>
          <w:rFonts w:cstheme="minorHAnsi"/>
        </w:rPr>
        <w:t>the baseline</w:t>
      </w:r>
      <w:r w:rsidRPr="00675C00">
        <w:rPr>
          <w:rFonts w:cstheme="minorHAnsi"/>
        </w:rPr>
        <w:t xml:space="preserve"> </w:t>
      </w:r>
      <w:r>
        <w:rPr>
          <w:rFonts w:cstheme="minorHAnsi"/>
        </w:rPr>
        <w:t>case</w:t>
      </w:r>
      <w:r w:rsidRPr="00675C00">
        <w:rPr>
          <w:rFonts w:cstheme="minorHAnsi"/>
        </w:rPr>
        <w:t xml:space="preserve"> </w:t>
      </w:r>
      <w:r>
        <w:rPr>
          <w:rFonts w:cstheme="minorHAnsi"/>
        </w:rPr>
        <w:t>is</w:t>
      </w:r>
      <w:r w:rsidRPr="00675C00">
        <w:rPr>
          <w:rFonts w:cstheme="minorHAnsi"/>
        </w:rPr>
        <w:t xml:space="preserve"> computed based on total building energy </w:t>
      </w:r>
      <w:r>
        <w:rPr>
          <w:rFonts w:cstheme="minorHAnsi"/>
        </w:rPr>
        <w:t>consumption</w:t>
      </w:r>
      <w:r w:rsidRPr="00675C00">
        <w:rPr>
          <w:rFonts w:cstheme="minorHAnsi"/>
        </w:rPr>
        <w:t xml:space="preserve"> with </w:t>
      </w:r>
      <w:r>
        <w:rPr>
          <w:rFonts w:cstheme="minorHAnsi"/>
        </w:rPr>
        <w:t>either measured or assumed compliance for</w:t>
      </w:r>
      <w:r w:rsidRPr="00675C00">
        <w:rPr>
          <w:rFonts w:cstheme="minorHAnsi"/>
        </w:rPr>
        <w:t xml:space="preserve"> </w:t>
      </w:r>
      <w:r>
        <w:rPr>
          <w:rFonts w:cstheme="minorHAnsi"/>
        </w:rPr>
        <w:t>all energy-impacting</w:t>
      </w:r>
      <w:r w:rsidRPr="00675C00">
        <w:rPr>
          <w:rFonts w:cstheme="minorHAnsi"/>
        </w:rPr>
        <w:t xml:space="preserve"> measure</w:t>
      </w:r>
      <w:r>
        <w:rPr>
          <w:rFonts w:cstheme="minorHAnsi"/>
        </w:rPr>
        <w:t>s</w:t>
      </w:r>
      <w:r w:rsidRPr="00675C00">
        <w:rPr>
          <w:rFonts w:cstheme="minorHAnsi"/>
        </w:rPr>
        <w:t xml:space="preserve"> </w:t>
      </w:r>
      <w:r>
        <w:rPr>
          <w:rFonts w:cstheme="minorHAnsi"/>
        </w:rPr>
        <w:t>in</w:t>
      </w:r>
      <w:r w:rsidRPr="00675C00">
        <w:rPr>
          <w:rFonts w:cstheme="minorHAnsi"/>
        </w:rPr>
        <w:t xml:space="preserve"> the building</w:t>
      </w:r>
      <w:r>
        <w:rPr>
          <w:rFonts w:cstheme="minorHAnsi"/>
        </w:rPr>
        <w:t xml:space="preserve">.  The per unit energy consumption for the post-compliance-enhancement activities is similarly calculated but using the energy-impacting measures of the post-compliance-enhancement building.  </w:t>
      </w:r>
      <w:r w:rsidRPr="00675C00">
        <w:rPr>
          <w:rFonts w:cstheme="minorHAnsi"/>
        </w:rPr>
        <w:t xml:space="preserve">For example, per </w:t>
      </w:r>
      <w:r>
        <w:rPr>
          <w:rFonts w:cstheme="minorHAnsi"/>
        </w:rPr>
        <w:t>building</w:t>
      </w:r>
      <w:r w:rsidRPr="00675C00">
        <w:rPr>
          <w:rFonts w:cstheme="minorHAnsi"/>
        </w:rPr>
        <w:t xml:space="preserve"> energy savings for wall insulation would be calculated by subtracting the building energy use assuming </w:t>
      </w:r>
      <w:r>
        <w:rPr>
          <w:rFonts w:cstheme="minorHAnsi"/>
        </w:rPr>
        <w:t xml:space="preserve">post-compliance-activity </w:t>
      </w:r>
      <w:r w:rsidRPr="00675C00">
        <w:rPr>
          <w:rFonts w:cstheme="minorHAnsi"/>
        </w:rPr>
        <w:t>insulation</w:t>
      </w:r>
      <w:r>
        <w:rPr>
          <w:rFonts w:cstheme="minorHAnsi"/>
        </w:rPr>
        <w:t xml:space="preserve"> amounts</w:t>
      </w:r>
      <w:r w:rsidRPr="00675C00">
        <w:rPr>
          <w:rFonts w:cstheme="minorHAnsi"/>
        </w:rPr>
        <w:t xml:space="preserve"> in the walls from an equivalent building energy use with the baseline wall insulation</w:t>
      </w:r>
      <w:r>
        <w:rPr>
          <w:rFonts w:cstheme="minorHAnsi"/>
        </w:rPr>
        <w:t xml:space="preserve"> amounts.  </w:t>
      </w:r>
      <w:r w:rsidRPr="00675C00">
        <w:rPr>
          <w:rFonts w:cstheme="minorHAnsi"/>
        </w:rPr>
        <w:t xml:space="preserve"> </w:t>
      </w:r>
      <w:r>
        <w:rPr>
          <w:rFonts w:cstheme="minorHAnsi"/>
        </w:rPr>
        <w:t xml:space="preserve">These building level savings are then divided by the square feet of the building to derive an average UES/square foot.  This in turn is multiplied by the number of square feet in the market that are affected to derive the total compliance-enhancement related savings. </w:t>
      </w:r>
    </w:p>
    <w:p w14:paraId="6F1D4925" w14:textId="77777777" w:rsidR="0030676F" w:rsidRPr="005F75ED" w:rsidRDefault="0030676F" w:rsidP="0030676F">
      <w:pPr>
        <w:rPr>
          <w:rFonts w:cstheme="minorHAnsi"/>
        </w:rPr>
      </w:pPr>
      <w:r>
        <w:rPr>
          <w:rFonts w:cstheme="minorHAnsi"/>
        </w:rPr>
        <w:t>T</w:t>
      </w:r>
      <w:r w:rsidRPr="005F75ED">
        <w:rPr>
          <w:rFonts w:cstheme="minorHAnsi"/>
        </w:rPr>
        <w:t xml:space="preserve">otal savings </w:t>
      </w:r>
      <w:r>
        <w:rPr>
          <w:rFonts w:cstheme="minorHAnsi"/>
        </w:rPr>
        <w:t>are</w:t>
      </w:r>
      <w:r w:rsidRPr="005F75ED">
        <w:rPr>
          <w:rFonts w:cstheme="minorHAnsi"/>
        </w:rPr>
        <w:t xml:space="preserve"> then reviewed for the </w:t>
      </w:r>
      <w:r>
        <w:rPr>
          <w:rFonts w:cstheme="minorHAnsi"/>
        </w:rPr>
        <w:t xml:space="preserve">savings directly resulting from </w:t>
      </w:r>
      <w:r w:rsidRPr="005F75ED">
        <w:rPr>
          <w:rFonts w:cstheme="minorHAnsi"/>
        </w:rPr>
        <w:t>the efforts of the utility, versus other causes</w:t>
      </w:r>
      <w:r>
        <w:rPr>
          <w:rFonts w:cstheme="minorHAnsi"/>
        </w:rPr>
        <w:t xml:space="preserve">.  Examples of other causes that can create enhanced code compliance include </w:t>
      </w:r>
      <w:r w:rsidRPr="0034245F">
        <w:rPr>
          <w:rFonts w:cstheme="minorHAnsi"/>
        </w:rPr>
        <w:t>suppliers</w:t>
      </w:r>
      <w:r>
        <w:rPr>
          <w:rFonts w:cstheme="minorHAnsi"/>
        </w:rPr>
        <w:t xml:space="preserve"> who might stock only “above code” materials or “spillover” from other larger jurisdictions that make it uneconomical for builders to change practices across jurisdictions</w:t>
      </w:r>
      <w:r w:rsidRPr="005F75ED">
        <w:rPr>
          <w:rFonts w:cstheme="minorHAnsi"/>
        </w:rPr>
        <w:t>.  Most often, the split between utilities and other causes</w:t>
      </w:r>
      <w:r>
        <w:rPr>
          <w:rFonts w:cstheme="minorHAnsi"/>
        </w:rPr>
        <w:t xml:space="preserve"> </w:t>
      </w:r>
      <w:r w:rsidRPr="005F75ED">
        <w:rPr>
          <w:rFonts w:cstheme="minorHAnsi"/>
        </w:rPr>
        <w:t>is a negotiated number</w:t>
      </w:r>
      <w:r>
        <w:rPr>
          <w:rFonts w:cstheme="minorHAnsi"/>
        </w:rPr>
        <w:t xml:space="preserve"> among utilities and stakeholders which is </w:t>
      </w:r>
      <w:r w:rsidRPr="005F75ED">
        <w:rPr>
          <w:rFonts w:cstheme="minorHAnsi"/>
        </w:rPr>
        <w:t xml:space="preserve">sometimes informed by a Delphi panel that gives input to a third-party evaluator </w:t>
      </w:r>
      <w:r w:rsidRPr="005F75ED">
        <w:rPr>
          <w:rFonts w:cstheme="minorHAnsi"/>
        </w:rPr>
        <w:lastRenderedPageBreak/>
        <w:t>on their opinion of the utility’s contribution</w:t>
      </w:r>
      <w:r>
        <w:rPr>
          <w:rFonts w:cstheme="minorHAnsi"/>
        </w:rPr>
        <w:t xml:space="preserve"> if there are enough independent experts to form a Delphi panel</w:t>
      </w:r>
      <w:r w:rsidRPr="005F75ED">
        <w:rPr>
          <w:rFonts w:cstheme="minorHAnsi"/>
        </w:rPr>
        <w:t xml:space="preserve">.  </w:t>
      </w:r>
    </w:p>
    <w:p w14:paraId="518C12D1" w14:textId="77777777" w:rsidR="0030676F" w:rsidRPr="00C5637A" w:rsidRDefault="0030676F" w:rsidP="0092016D">
      <w:pPr>
        <w:pStyle w:val="Heading3"/>
        <w:numPr>
          <w:ilvl w:val="2"/>
          <w:numId w:val="82"/>
        </w:numPr>
      </w:pPr>
      <w:bookmarkStart w:id="2201" w:name="_Toc17451259"/>
      <w:bookmarkStart w:id="2202" w:name="_Toc113619876"/>
      <w:r>
        <w:t>Duration</w:t>
      </w:r>
      <w:r w:rsidRPr="00C5637A">
        <w:t xml:space="preserve"> of Enhanced Energy Code Compliance </w:t>
      </w:r>
      <w:r>
        <w:t>Savings</w:t>
      </w:r>
      <w:bookmarkEnd w:id="2201"/>
      <w:bookmarkEnd w:id="2202"/>
    </w:p>
    <w:p w14:paraId="05BAB7DE" w14:textId="77777777" w:rsidR="0030676F" w:rsidRPr="005F75ED" w:rsidRDefault="0030676F" w:rsidP="0030676F">
      <w:pPr>
        <w:rPr>
          <w:rFonts w:cstheme="minorHAnsi"/>
        </w:rPr>
      </w:pPr>
      <w:r>
        <w:rPr>
          <w:rFonts w:cstheme="minorHAnsi"/>
        </w:rPr>
        <w:t xml:space="preserve">Similar to the duration of savings credit for other MT initiatives, the actual value is a policy call.  However, in the case of enhanced code compliance activities, duration of the activities is usually deemed to be the period of time that the particular code is in place.  Once the code changes, (for example, every three years for the International Energy Conservation Code (IECC)), then credit for compliance-enhancement savings from the prior code would be stopped.  This is because compliance savings are tied to a specific set of measures, and those measures may change when the code changes.   </w:t>
      </w:r>
    </w:p>
    <w:p w14:paraId="46AF5B06" w14:textId="77777777" w:rsidR="0030676F" w:rsidRDefault="0030676F" w:rsidP="0030676F">
      <w:pPr>
        <w:rPr>
          <w:rFonts w:cstheme="minorHAnsi"/>
        </w:rPr>
      </w:pPr>
    </w:p>
    <w:p w14:paraId="110D6BFB" w14:textId="77777777" w:rsidR="00E3500B" w:rsidRDefault="00E3500B" w:rsidP="0030676F">
      <w:pPr>
        <w:rPr>
          <w:rFonts w:cstheme="minorHAnsi"/>
        </w:rPr>
      </w:pPr>
    </w:p>
    <w:p w14:paraId="76F94316" w14:textId="77777777" w:rsidR="00E3500B" w:rsidRPr="006D2CCF" w:rsidRDefault="00E3500B" w:rsidP="00E3500B">
      <w:pPr>
        <w:pStyle w:val="Heading1"/>
        <w:widowControl/>
        <w:numPr>
          <w:ilvl w:val="0"/>
          <w:numId w:val="82"/>
        </w:numPr>
        <w:tabs>
          <w:tab w:val="left" w:pos="720"/>
        </w:tabs>
        <w:spacing w:before="120" w:after="200"/>
        <w:ind w:left="0" w:firstLine="0"/>
        <w:rPr>
          <w:ins w:id="2203" w:author="Celia Johnson" w:date="2022-09-06T13:22:00Z"/>
        </w:rPr>
      </w:pPr>
      <w:bookmarkStart w:id="2204" w:name="_Toc113365557"/>
      <w:bookmarkStart w:id="2205" w:name="_Toc113619877"/>
      <w:ins w:id="2206" w:author="Celia Johnson" w:date="2022-09-06T13:22:00Z">
        <w:r>
          <w:rPr>
            <w:rStyle w:val="Heading1Char"/>
          </w:rPr>
          <w:t>Addendum</w:t>
        </w:r>
      </w:ins>
      <w:ins w:id="2207" w:author="Celia Johnson" w:date="2022-09-06T13:31:00Z">
        <w:r>
          <w:rPr>
            <w:rStyle w:val="Heading1Char"/>
          </w:rPr>
          <w:t>: Market Transformation ENERGY STAR Retail Products Platform Evaluation Protocol</w:t>
        </w:r>
      </w:ins>
      <w:bookmarkEnd w:id="2204"/>
      <w:bookmarkEnd w:id="2205"/>
    </w:p>
    <w:p w14:paraId="538FA032" w14:textId="77777777" w:rsidR="00E3500B" w:rsidRPr="00854994" w:rsidRDefault="00E3500B" w:rsidP="00E3500B">
      <w:pPr>
        <w:pStyle w:val="Heading2"/>
        <w:widowControl/>
        <w:numPr>
          <w:ilvl w:val="1"/>
          <w:numId w:val="82"/>
        </w:numPr>
        <w:jc w:val="left"/>
        <w:rPr>
          <w:ins w:id="2208" w:author="Celia Johnson" w:date="2022-09-06T13:22:00Z"/>
          <w:sz w:val="28"/>
          <w:szCs w:val="28"/>
        </w:rPr>
      </w:pPr>
      <w:bookmarkStart w:id="2209" w:name="_Toc113365558"/>
      <w:bookmarkStart w:id="2210" w:name="_Toc113619878"/>
      <w:ins w:id="2211" w:author="Celia Johnson" w:date="2022-09-06T13:32:00Z">
        <w:r w:rsidRPr="00854994">
          <w:rPr>
            <w:sz w:val="28"/>
            <w:szCs w:val="28"/>
          </w:rPr>
          <w:t>Purpose and Introduction</w:t>
        </w:r>
      </w:ins>
      <w:bookmarkEnd w:id="2209"/>
      <w:bookmarkEnd w:id="2210"/>
    </w:p>
    <w:p w14:paraId="48018C15" w14:textId="77777777" w:rsidR="00E3500B" w:rsidRDefault="00E3500B" w:rsidP="00E3500B">
      <w:pPr>
        <w:pStyle w:val="Heading2"/>
        <w:widowControl/>
        <w:numPr>
          <w:ilvl w:val="2"/>
          <w:numId w:val="82"/>
        </w:numPr>
        <w:jc w:val="left"/>
        <w:rPr>
          <w:ins w:id="2212" w:author="Celia Johnson" w:date="2022-09-06T13:24:00Z"/>
        </w:rPr>
      </w:pPr>
      <w:bookmarkStart w:id="2213" w:name="_Toc105195135"/>
      <w:bookmarkStart w:id="2214" w:name="_Toc113365559"/>
      <w:bookmarkStart w:id="2215" w:name="_Toc113619879"/>
      <w:ins w:id="2216" w:author="Celia Johnson" w:date="2022-09-06T13:30:00Z">
        <w:r>
          <w:t>Purpose</w:t>
        </w:r>
      </w:ins>
      <w:bookmarkEnd w:id="2213"/>
      <w:bookmarkEnd w:id="2214"/>
      <w:bookmarkEnd w:id="2215"/>
    </w:p>
    <w:p w14:paraId="7E67ED5F" w14:textId="77777777" w:rsidR="00E3500B" w:rsidRDefault="00E3500B" w:rsidP="00E3500B">
      <w:pPr>
        <w:rPr>
          <w:ins w:id="2217" w:author="Celia Johnson" w:date="2022-09-06T13:24:00Z"/>
        </w:rPr>
      </w:pPr>
      <w:ins w:id="2218" w:author="Celia Johnson" w:date="2022-09-06T13:24:00Z">
        <w:r>
          <w:t>This protocol provides guidance on the data inputs and methods used to evaluate the ENERGY STAR</w:t>
        </w:r>
        <w:r>
          <w:rPr>
            <w:rFonts w:cstheme="minorHAnsi"/>
          </w:rPr>
          <w:t>®</w:t>
        </w:r>
        <w:r>
          <w:t xml:space="preserve"> Retail Products Platform (ESRPP) market transformation initiative, as required in Attachment C. The procedures outlined in this protocol are based on the ongoing evaluation of ESRPP within the ComEd territory. </w:t>
        </w:r>
      </w:ins>
    </w:p>
    <w:p w14:paraId="740A5D5B" w14:textId="77777777" w:rsidR="00E3500B" w:rsidRDefault="00E3500B" w:rsidP="00E3500B">
      <w:pPr>
        <w:pStyle w:val="Heading2"/>
        <w:widowControl/>
        <w:numPr>
          <w:ilvl w:val="2"/>
          <w:numId w:val="82"/>
        </w:numPr>
        <w:jc w:val="left"/>
        <w:rPr>
          <w:ins w:id="2219" w:author="Celia Johnson" w:date="2022-09-06T13:24:00Z"/>
        </w:rPr>
      </w:pPr>
      <w:bookmarkStart w:id="2220" w:name="_Toc105195136"/>
      <w:bookmarkStart w:id="2221" w:name="_Toc113365560"/>
      <w:bookmarkStart w:id="2222" w:name="_Toc113619880"/>
      <w:ins w:id="2223" w:author="Celia Johnson" w:date="2022-09-06T13:24:00Z">
        <w:r>
          <w:t>Introduction</w:t>
        </w:r>
        <w:bookmarkEnd w:id="2220"/>
        <w:bookmarkEnd w:id="2221"/>
        <w:bookmarkEnd w:id="2222"/>
      </w:ins>
    </w:p>
    <w:p w14:paraId="4CAC5209" w14:textId="77777777" w:rsidR="00E3500B" w:rsidRDefault="00E3500B" w:rsidP="00E3500B">
      <w:pPr>
        <w:rPr>
          <w:ins w:id="2224" w:author="Celia Johnson" w:date="2022-09-06T13:24:00Z"/>
        </w:rPr>
      </w:pPr>
      <w:ins w:id="2225" w:author="Celia Johnson" w:date="2022-09-06T13:24:00Z">
        <w:r>
          <w:t>ESRPP is a national market transformation initiative, and a collaborative effort of ENERGY STAR, efficiency program sponsors, retail partners, and stakeholders facilitated by the Northwest Energy Efficiency Alliance (NEEA)</w:t>
        </w:r>
        <w:r>
          <w:rPr>
            <w:rStyle w:val="FootnoteReference"/>
          </w:rPr>
          <w:footnoteReference w:id="160"/>
        </w:r>
        <w:r>
          <w:t xml:space="preserve">. </w:t>
        </w:r>
        <w:r w:rsidRPr="00E21A8B">
          <w:t>Coordinating with EPA ENERGY STAR, the platform works directly with corporate-level national retailers to provide mid-stream incentives on qualified energy-efficient products. These incentives influence retail buying and stocking practices, to ultimately drive manufacturing and higher product standards and specifications for a portfolio of energy-efficient products sold through the retail channel.</w:t>
        </w:r>
        <w:r>
          <w:t xml:space="preserve"> In addition to incentives, NEEA and ESRPP Program Sponsors support development of new products, improve test procedures and advance efficiency standards. </w:t>
        </w:r>
      </w:ins>
    </w:p>
    <w:p w14:paraId="09D4055B" w14:textId="77777777" w:rsidR="00E3500B" w:rsidRDefault="00E3500B" w:rsidP="00E3500B">
      <w:pPr>
        <w:rPr>
          <w:ins w:id="2228" w:author="Celia Johnson" w:date="2022-09-06T13:24:00Z"/>
        </w:rPr>
      </w:pPr>
      <w:ins w:id="2229" w:author="Celia Johnson" w:date="2022-09-06T13:24:00Z">
        <w:r>
          <w:t xml:space="preserve">This protocol covers five areas of the ESRPP evaluation. </w:t>
        </w:r>
      </w:ins>
    </w:p>
    <w:p w14:paraId="25DE1E9F" w14:textId="77777777" w:rsidR="00E3500B" w:rsidRDefault="00E3500B">
      <w:pPr>
        <w:pStyle w:val="ListParagraph"/>
        <w:widowControl/>
        <w:numPr>
          <w:ilvl w:val="0"/>
          <w:numId w:val="99"/>
        </w:numPr>
        <w:spacing w:after="160" w:line="259" w:lineRule="auto"/>
        <w:jc w:val="left"/>
        <w:rPr>
          <w:ins w:id="2230" w:author="Celia Johnson" w:date="2022-09-06T13:24:00Z"/>
        </w:rPr>
      </w:pPr>
      <w:ins w:id="2231" w:author="Celia Johnson" w:date="2022-09-06T13:24:00Z">
        <w:r>
          <w:t>Program Theory, Logic Model, and Market Progress Indicators.</w:t>
        </w:r>
      </w:ins>
    </w:p>
    <w:p w14:paraId="554973D5" w14:textId="77777777" w:rsidR="00E3500B" w:rsidRDefault="00E3500B">
      <w:pPr>
        <w:pStyle w:val="ListParagraph"/>
        <w:widowControl/>
        <w:numPr>
          <w:ilvl w:val="0"/>
          <w:numId w:val="99"/>
        </w:numPr>
        <w:spacing w:after="160" w:line="259" w:lineRule="auto"/>
        <w:jc w:val="left"/>
        <w:rPr>
          <w:ins w:id="2232" w:author="Celia Johnson" w:date="2022-09-06T13:24:00Z"/>
        </w:rPr>
      </w:pPr>
      <w:ins w:id="2233" w:author="Celia Johnson" w:date="2022-09-06T13:24:00Z">
        <w:r>
          <w:t>Data Sources and Cleaning</w:t>
        </w:r>
      </w:ins>
    </w:p>
    <w:p w14:paraId="7DED8373" w14:textId="77777777" w:rsidR="00E3500B" w:rsidRDefault="00E3500B">
      <w:pPr>
        <w:pStyle w:val="ListParagraph"/>
        <w:widowControl/>
        <w:numPr>
          <w:ilvl w:val="0"/>
          <w:numId w:val="99"/>
        </w:numPr>
        <w:spacing w:after="160" w:line="259" w:lineRule="auto"/>
        <w:jc w:val="left"/>
        <w:rPr>
          <w:ins w:id="2234" w:author="Celia Johnson" w:date="2022-09-06T13:24:00Z"/>
        </w:rPr>
      </w:pPr>
      <w:ins w:id="2235" w:author="Celia Johnson" w:date="2022-09-06T13:24:00Z">
        <w:r>
          <w:t>Natural Market Baseline</w:t>
        </w:r>
      </w:ins>
    </w:p>
    <w:p w14:paraId="1BD8C126" w14:textId="77777777" w:rsidR="00E3500B" w:rsidRDefault="00E3500B">
      <w:pPr>
        <w:pStyle w:val="ListParagraph"/>
        <w:widowControl/>
        <w:numPr>
          <w:ilvl w:val="0"/>
          <w:numId w:val="99"/>
        </w:numPr>
        <w:spacing w:after="160" w:line="259" w:lineRule="auto"/>
        <w:jc w:val="left"/>
        <w:rPr>
          <w:ins w:id="2236" w:author="Celia Johnson" w:date="2022-09-06T13:24:00Z"/>
        </w:rPr>
      </w:pPr>
      <w:ins w:id="2237" w:author="Celia Johnson" w:date="2022-09-06T13:24:00Z">
        <w:r>
          <w:t>Unit Energy Savings</w:t>
        </w:r>
      </w:ins>
    </w:p>
    <w:p w14:paraId="657697B5" w14:textId="77777777" w:rsidR="00E3500B" w:rsidRDefault="00E3500B">
      <w:pPr>
        <w:pStyle w:val="ListParagraph"/>
        <w:widowControl/>
        <w:numPr>
          <w:ilvl w:val="0"/>
          <w:numId w:val="99"/>
        </w:numPr>
        <w:spacing w:after="160" w:line="259" w:lineRule="auto"/>
        <w:jc w:val="left"/>
        <w:rPr>
          <w:ins w:id="2238" w:author="Celia Johnson" w:date="2022-09-06T13:24:00Z"/>
        </w:rPr>
      </w:pPr>
      <w:ins w:id="2239" w:author="Celia Johnson" w:date="2022-09-06T13:24:00Z">
        <w:r>
          <w:t>Annual Savings</w:t>
        </w:r>
      </w:ins>
    </w:p>
    <w:p w14:paraId="11A6F0D8" w14:textId="77777777" w:rsidR="00E3500B" w:rsidRDefault="00E3500B" w:rsidP="00E3500B">
      <w:pPr>
        <w:rPr>
          <w:ins w:id="2240" w:author="Celia Johnson" w:date="2022-09-06T13:24:00Z"/>
        </w:rPr>
      </w:pPr>
      <w:ins w:id="2241" w:author="Celia Johnson" w:date="2022-09-06T13:24:00Z">
        <w:r>
          <w:rPr>
            <w:rStyle w:val="cf01"/>
            <w:rFonts w:eastAsiaTheme="majorEastAsia"/>
          </w:rPr>
          <w:t>This protocol documents the current practice for ESRPP evaluation as of September 1, 2022. Future evaluation efforts and activities are planned and may result in modifications to this protocol if appropriate</w:t>
        </w:r>
      </w:ins>
    </w:p>
    <w:p w14:paraId="4C724C22" w14:textId="77777777" w:rsidR="00E3500B" w:rsidRPr="00854994" w:rsidRDefault="00E3500B" w:rsidP="00E3500B">
      <w:pPr>
        <w:pStyle w:val="Heading2"/>
        <w:widowControl/>
        <w:numPr>
          <w:ilvl w:val="1"/>
          <w:numId w:val="82"/>
        </w:numPr>
        <w:jc w:val="left"/>
        <w:rPr>
          <w:ins w:id="2242" w:author="Celia Johnson" w:date="2022-09-06T13:24:00Z"/>
          <w:sz w:val="28"/>
          <w:szCs w:val="28"/>
        </w:rPr>
      </w:pPr>
      <w:bookmarkStart w:id="2243" w:name="_Toc105195137"/>
      <w:bookmarkStart w:id="2244" w:name="_Toc113365561"/>
      <w:bookmarkStart w:id="2245" w:name="_Toc113619881"/>
      <w:ins w:id="2246" w:author="Celia Johnson" w:date="2022-09-06T13:24:00Z">
        <w:r w:rsidRPr="00854994">
          <w:rPr>
            <w:sz w:val="28"/>
            <w:szCs w:val="28"/>
          </w:rPr>
          <w:t>Program Theory and Logic Model</w:t>
        </w:r>
        <w:bookmarkEnd w:id="2243"/>
        <w:bookmarkEnd w:id="2244"/>
        <w:bookmarkEnd w:id="2245"/>
      </w:ins>
    </w:p>
    <w:p w14:paraId="57DFA0FF" w14:textId="77777777" w:rsidR="00E3500B" w:rsidRDefault="00E3500B" w:rsidP="00E3500B">
      <w:pPr>
        <w:rPr>
          <w:ins w:id="2247" w:author="Celia Johnson" w:date="2022-09-06T13:24:00Z"/>
        </w:rPr>
      </w:pPr>
      <w:ins w:id="2248" w:author="Celia Johnson" w:date="2022-09-06T13:24:00Z">
        <w:r>
          <w:t>The ComEd ESRPP logic model</w:t>
        </w:r>
        <w:r>
          <w:rPr>
            <w:rStyle w:val="FootnoteReference"/>
          </w:rPr>
          <w:footnoteReference w:id="161"/>
        </w:r>
        <w:r>
          <w:t xml:space="preserve"> provides the relationships and connections between the program activities and the anticipated market changes for each product category, separately. These market changes can be observed over short, medium and long term. The logic model for ESRPP includes the connections between the initiative activities, </w:t>
        </w:r>
        <w:r>
          <w:lastRenderedPageBreak/>
          <w:t xml:space="preserve">their expected outputs, and the anticipated future outcome. The current ESRPP logic model is shown in </w:t>
        </w:r>
        <w:r>
          <w:fldChar w:fldCharType="begin"/>
        </w:r>
        <w:r>
          <w:instrText xml:space="preserve"> REF _Ref105189996 \h </w:instrText>
        </w:r>
      </w:ins>
      <w:ins w:id="2251" w:author="Celia Johnson" w:date="2022-09-06T13:24:00Z">
        <w:r>
          <w:fldChar w:fldCharType="separate"/>
        </w:r>
        <w:r>
          <w:t xml:space="preserve">Table </w:t>
        </w:r>
        <w:r>
          <w:rPr>
            <w:noProof/>
          </w:rPr>
          <w:t>1</w:t>
        </w:r>
        <w:r>
          <w:fldChar w:fldCharType="end"/>
        </w:r>
        <w:r>
          <w:t xml:space="preserve">. </w:t>
        </w:r>
      </w:ins>
    </w:p>
    <w:p w14:paraId="39303F03" w14:textId="77777777" w:rsidR="00E3500B" w:rsidRDefault="00E3500B" w:rsidP="00E3500B">
      <w:pPr>
        <w:rPr>
          <w:ins w:id="2252" w:author="Celia Johnson" w:date="2022-09-06T13:24:00Z"/>
        </w:rPr>
      </w:pPr>
      <w:ins w:id="2253" w:author="Celia Johnson" w:date="2022-09-06T13:24:00Z">
        <w:r>
          <w:t xml:space="preserve">Evidence of a program’s influence on its target market is gathered through an assessment of market progress indicators (MPIs) designed to assess whether the program is achieving its intended outcomes. The MPIs for the ESRPP assess progress toward outcomes such as growing the national scale of the program, influencing retailer assortment and sales of qualified products, and influencing ENERGY STAR specifications, test procedures, and Federal standards for products in the ESRPP portfolio. The list of MPIs for ESRPP is shown in </w:t>
        </w:r>
        <w:r>
          <w:fldChar w:fldCharType="begin"/>
        </w:r>
        <w:r>
          <w:instrText xml:space="preserve"> REF _Ref105189787 \h </w:instrText>
        </w:r>
      </w:ins>
      <w:ins w:id="2254" w:author="Celia Johnson" w:date="2022-09-06T13:24:00Z">
        <w:r>
          <w:fldChar w:fldCharType="separate"/>
        </w:r>
        <w:r>
          <w:t xml:space="preserve">Table </w:t>
        </w:r>
        <w:r>
          <w:rPr>
            <w:noProof/>
          </w:rPr>
          <w:t>2</w:t>
        </w:r>
        <w:r>
          <w:fldChar w:fldCharType="end"/>
        </w:r>
        <w:r>
          <w:t>.</w:t>
        </w:r>
      </w:ins>
    </w:p>
    <w:p w14:paraId="0AEE30E8" w14:textId="77777777" w:rsidR="00E3500B" w:rsidRDefault="00E3500B" w:rsidP="00E3500B">
      <w:pPr>
        <w:rPr>
          <w:ins w:id="2255" w:author="Celia Johnson" w:date="2022-09-06T13:24:00Z"/>
        </w:rPr>
      </w:pPr>
    </w:p>
    <w:p w14:paraId="6ED6ED73" w14:textId="77777777" w:rsidR="00E3500B" w:rsidRDefault="00E3500B" w:rsidP="00E3500B">
      <w:pPr>
        <w:rPr>
          <w:ins w:id="2256" w:author="Celia Johnson" w:date="2022-09-06T13:24:00Z"/>
        </w:rPr>
        <w:sectPr w:rsidR="00E3500B">
          <w:headerReference w:type="even" r:id="rId77"/>
          <w:headerReference w:type="default" r:id="rId78"/>
          <w:footerReference w:type="even" r:id="rId79"/>
          <w:headerReference w:type="first" r:id="rId80"/>
          <w:footerReference w:type="first" r:id="rId81"/>
          <w:pgSz w:w="12240" w:h="15840"/>
          <w:pgMar w:top="1440" w:right="1440" w:bottom="1440" w:left="1440" w:header="720" w:footer="720" w:gutter="0"/>
          <w:cols w:space="720"/>
          <w:docGrid w:linePitch="360"/>
        </w:sectPr>
      </w:pPr>
    </w:p>
    <w:tbl>
      <w:tblPr>
        <w:tblStyle w:val="TableGrid"/>
        <w:tblpPr w:leftFromText="180" w:rightFromText="180" w:vertAnchor="page" w:horzAnchor="page" w:tblpX="814" w:tblpY="2263"/>
        <w:tblW w:w="230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015"/>
      </w:tblGrid>
      <w:tr w:rsidR="00E3500B" w14:paraId="76502E08" w14:textId="77777777" w:rsidTr="000B5D6A">
        <w:trPr>
          <w:trHeight w:val="23026"/>
          <w:ins w:id="2257" w:author="Celia Johnson" w:date="2022-09-06T13:24:00Z"/>
        </w:trPr>
        <w:tc>
          <w:tcPr>
            <w:tcW w:w="23015" w:type="dxa"/>
          </w:tcPr>
          <w:bookmarkStart w:id="2258" w:name="_Hlk87789966"/>
          <w:p w14:paraId="46604552" w14:textId="77777777" w:rsidR="00E3500B" w:rsidRDefault="00E3500B" w:rsidP="000B5D6A">
            <w:pPr>
              <w:rPr>
                <w:ins w:id="2259" w:author="Celia Johnson" w:date="2022-09-06T13:24:00Z"/>
              </w:rPr>
            </w:pPr>
            <w:ins w:id="2260" w:author="Celia Johnson" w:date="2022-09-06T13:24:00Z">
              <w:r>
                <w:rPr>
                  <w:noProof/>
                </w:rPr>
                <w:lastRenderedPageBreak/>
                <mc:AlternateContent>
                  <mc:Choice Requires="wpg">
                    <w:drawing>
                      <wp:anchor distT="0" distB="0" distL="114300" distR="114300" simplePos="0" relativeHeight="251682304" behindDoc="0" locked="0" layoutInCell="1" allowOverlap="1" wp14:anchorId="356A9FFC" wp14:editId="568851A0">
                        <wp:simplePos x="0" y="0"/>
                        <wp:positionH relativeFrom="column">
                          <wp:posOffset>390525</wp:posOffset>
                        </wp:positionH>
                        <wp:positionV relativeFrom="paragraph">
                          <wp:posOffset>-102870</wp:posOffset>
                        </wp:positionV>
                        <wp:extent cx="13839190" cy="8193975"/>
                        <wp:effectExtent l="0" t="0" r="29210" b="0"/>
                        <wp:wrapNone/>
                        <wp:docPr id="4" name="Group 4"/>
                        <wp:cNvGraphicFramePr/>
                        <a:graphic xmlns:a="http://schemas.openxmlformats.org/drawingml/2006/main">
                          <a:graphicData uri="http://schemas.microsoft.com/office/word/2010/wordprocessingGroup">
                            <wpg:wgp>
                              <wpg:cNvGrpSpPr/>
                              <wpg:grpSpPr>
                                <a:xfrm>
                                  <a:off x="0" y="0"/>
                                  <a:ext cx="13839190" cy="8193975"/>
                                  <a:chOff x="0" y="0"/>
                                  <a:chExt cx="13839190" cy="8193975"/>
                                </a:xfrm>
                              </wpg:grpSpPr>
                              <wpg:grpSp>
                                <wpg:cNvPr id="7" name="Group 7"/>
                                <wpg:cNvGrpSpPr/>
                                <wpg:grpSpPr>
                                  <a:xfrm>
                                    <a:off x="0" y="0"/>
                                    <a:ext cx="13839190" cy="8193975"/>
                                    <a:chOff x="0" y="-59377"/>
                                    <a:chExt cx="13839190" cy="8339649"/>
                                  </a:xfrm>
                                </wpg:grpSpPr>
                                <wps:wsp>
                                  <wps:cNvPr id="10" name="Connector: Elbow 10"/>
                                  <wps:cNvCnPr/>
                                  <wps:spPr>
                                    <a:xfrm rot="5400000">
                                      <a:off x="5927951" y="3244966"/>
                                      <a:ext cx="1421196" cy="1374655"/>
                                    </a:xfrm>
                                    <a:prstGeom prst="bentConnector3">
                                      <a:avLst>
                                        <a:gd name="adj1" fmla="val 50000"/>
                                      </a:avLst>
                                    </a:prstGeom>
                                    <a:ln>
                                      <a:tailEnd type="triangle"/>
                                    </a:ln>
                                  </wps:spPr>
                                  <wps:style>
                                    <a:lnRef idx="3">
                                      <a:schemeClr val="dk1"/>
                                    </a:lnRef>
                                    <a:fillRef idx="0">
                                      <a:schemeClr val="dk1"/>
                                    </a:fillRef>
                                    <a:effectRef idx="2">
                                      <a:schemeClr val="dk1"/>
                                    </a:effectRef>
                                    <a:fontRef idx="minor">
                                      <a:schemeClr val="tx1"/>
                                    </a:fontRef>
                                  </wps:style>
                                  <wps:bodyPr/>
                                </wps:wsp>
                                <wps:wsp>
                                  <wps:cNvPr id="11" name="Straight Arrow Connector 11"/>
                                  <wps:cNvCnPr/>
                                  <wps:spPr>
                                    <a:xfrm>
                                      <a:off x="5515099" y="5545777"/>
                                      <a:ext cx="0" cy="314325"/>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wpg:grpSp>
                                  <wpg:cNvPr id="12" name="Group 12"/>
                                  <wpg:cNvGrpSpPr/>
                                  <wpg:grpSpPr>
                                    <a:xfrm>
                                      <a:off x="0" y="-59377"/>
                                      <a:ext cx="13839190" cy="8339649"/>
                                      <a:chOff x="0" y="-59377"/>
                                      <a:chExt cx="13839190" cy="8339649"/>
                                    </a:xfrm>
                                  </wpg:grpSpPr>
                                  <wpg:grpSp>
                                    <wpg:cNvPr id="17" name="Group 17"/>
                                    <wpg:cNvGrpSpPr/>
                                    <wpg:grpSpPr>
                                      <a:xfrm>
                                        <a:off x="0" y="-59377"/>
                                        <a:ext cx="13839190" cy="8339649"/>
                                        <a:chOff x="0" y="-278456"/>
                                        <a:chExt cx="13839190" cy="8340282"/>
                                      </a:xfrm>
                                    </wpg:grpSpPr>
                                    <wpg:grpSp>
                                      <wpg:cNvPr id="20" name="Group 20"/>
                                      <wpg:cNvGrpSpPr/>
                                      <wpg:grpSpPr>
                                        <a:xfrm>
                                          <a:off x="0" y="-278456"/>
                                          <a:ext cx="13839190" cy="8340282"/>
                                          <a:chOff x="0" y="-278456"/>
                                          <a:chExt cx="13839190" cy="8340282"/>
                                        </a:xfrm>
                                      </wpg:grpSpPr>
                                      <wps:wsp>
                                        <wps:cNvPr id="22" name="Text Box 22"/>
                                        <wps:cNvSpPr txBox="1"/>
                                        <wps:spPr>
                                          <a:xfrm>
                                            <a:off x="5410201" y="7378123"/>
                                            <a:ext cx="3990974" cy="594789"/>
                                          </a:xfrm>
                                          <a:prstGeom prst="rect">
                                            <a:avLst/>
                                          </a:prstGeom>
                                          <a:solidFill>
                                            <a:srgbClr val="002060"/>
                                          </a:solidFill>
                                          <a:ln w="6350">
                                            <a:noFill/>
                                          </a:ln>
                                        </wps:spPr>
                                        <wps:txbx>
                                          <w:txbxContent>
                                            <w:p w14:paraId="4AF43667" w14:textId="77777777" w:rsidR="00E3500B" w:rsidRPr="00232630" w:rsidRDefault="00E3500B" w:rsidP="00E3500B">
                                              <w:pPr>
                                                <w:jc w:val="center"/>
                                                <w:rPr>
                                                  <w:rFonts w:ascii="Arial" w:hAnsi="Arial" w:cs="Arial"/>
                                                  <w:b/>
                                                  <w:bCs/>
                                                  <w:szCs w:val="20"/>
                                                </w:rPr>
                                              </w:pPr>
                                              <w:r w:rsidRPr="00232630">
                                                <w:rPr>
                                                  <w:rFonts w:ascii="Arial" w:hAnsi="Arial" w:cs="Arial"/>
                                                  <w:b/>
                                                  <w:bCs/>
                                                  <w:szCs w:val="20"/>
                                                </w:rPr>
                                                <w:t xml:space="preserve">Manufacturers respond to market changes and build EE into product design, creating permanent change to their process that results in energy savings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3" name="Text Box 23"/>
                                        <wps:cNvSpPr txBox="1"/>
                                        <wps:spPr>
                                          <a:xfrm>
                                            <a:off x="409575" y="7275046"/>
                                            <a:ext cx="1457325" cy="786780"/>
                                          </a:xfrm>
                                          <a:prstGeom prst="rect">
                                            <a:avLst/>
                                          </a:prstGeom>
                                          <a:noFill/>
                                          <a:ln w="6350">
                                            <a:noFill/>
                                          </a:ln>
                                        </wps:spPr>
                                        <wps:txbx>
                                          <w:txbxContent>
                                            <w:p w14:paraId="1795F7BA" w14:textId="77777777" w:rsidR="00E3500B" w:rsidRPr="00232630" w:rsidRDefault="00E3500B" w:rsidP="00E3500B">
                                              <w:pPr>
                                                <w:jc w:val="left"/>
                                                <w:rPr>
                                                  <w:rFonts w:ascii="Arial" w:hAnsi="Arial" w:cs="Arial"/>
                                                  <w:b/>
                                                  <w:bCs/>
                                                  <w:szCs w:val="20"/>
                                                </w:rPr>
                                              </w:pPr>
                                              <w:r w:rsidRPr="00232630">
                                                <w:rPr>
                                                  <w:rFonts w:ascii="Arial" w:hAnsi="Arial" w:cs="Arial"/>
                                                  <w:b/>
                                                  <w:bCs/>
                                                  <w:szCs w:val="20"/>
                                                </w:rPr>
                                                <w:t>IMPACT</w:t>
                                              </w:r>
                                            </w:p>
                                            <w:p w14:paraId="6F4D6426" w14:textId="77777777" w:rsidR="00E3500B" w:rsidRPr="006A64D4" w:rsidRDefault="00E3500B" w:rsidP="00E3500B">
                                              <w:pPr>
                                                <w:rPr>
                                                  <w:rFonts w:ascii="Arial" w:hAnsi="Arial" w:cs="Arial"/>
                                                  <w:sz w:val="16"/>
                                                  <w:szCs w:val="16"/>
                                                </w:rPr>
                                              </w:pPr>
                                              <w:r w:rsidRPr="006A64D4">
                                                <w:rPr>
                                                  <w:rFonts w:ascii="Arial" w:hAnsi="Arial" w:cs="Arial"/>
                                                  <w:sz w:val="16"/>
                                                  <w:szCs w:val="16"/>
                                                </w:rPr>
                                                <w:t>What is the final state of the market after it has transformed?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5" name="Text Box 25"/>
                                        <wps:cNvSpPr txBox="1"/>
                                        <wps:spPr>
                                          <a:xfrm>
                                            <a:off x="409575" y="5032775"/>
                                            <a:ext cx="1457325" cy="1265907"/>
                                          </a:xfrm>
                                          <a:prstGeom prst="rect">
                                            <a:avLst/>
                                          </a:prstGeom>
                                          <a:noFill/>
                                          <a:ln w="6350">
                                            <a:noFill/>
                                          </a:ln>
                                        </wps:spPr>
                                        <wps:txbx>
                                          <w:txbxContent>
                                            <w:p w14:paraId="563DB61D" w14:textId="77777777" w:rsidR="00E3500B" w:rsidRPr="00232630" w:rsidRDefault="00E3500B" w:rsidP="00E3500B">
                                              <w:pPr>
                                                <w:spacing w:after="80"/>
                                                <w:rPr>
                                                  <w:rFonts w:ascii="Arial" w:hAnsi="Arial" w:cs="Arial"/>
                                                  <w:b/>
                                                  <w:bCs/>
                                                  <w:szCs w:val="20"/>
                                                </w:rPr>
                                              </w:pPr>
                                              <w:r w:rsidRPr="00232630">
                                                <w:rPr>
                                                  <w:rFonts w:ascii="Arial" w:hAnsi="Arial" w:cs="Arial"/>
                                                  <w:b/>
                                                  <w:bCs/>
                                                  <w:szCs w:val="20"/>
                                                </w:rPr>
                                                <w:t>Mid-Term</w:t>
                                              </w:r>
                                            </w:p>
                                            <w:p w14:paraId="18806D86" w14:textId="77777777" w:rsidR="00E3500B" w:rsidRPr="006A64D4" w:rsidRDefault="00E3500B" w:rsidP="00E3500B">
                                              <w:pPr>
                                                <w:spacing w:after="80"/>
                                                <w:rPr>
                                                  <w:rFonts w:ascii="Arial" w:hAnsi="Arial" w:cs="Arial"/>
                                                  <w:sz w:val="16"/>
                                                  <w:szCs w:val="16"/>
                                                </w:rPr>
                                              </w:pPr>
                                              <w:r w:rsidRPr="006A64D4">
                                                <w:rPr>
                                                  <w:rFonts w:ascii="Arial" w:hAnsi="Arial" w:cs="Arial"/>
                                                  <w:sz w:val="16"/>
                                                  <w:szCs w:val="16"/>
                                                </w:rPr>
                                                <w:t>We expect that if completed or ongoing, these activities will lead to the following changes in 3-5 years.</w:t>
                                              </w:r>
                                            </w:p>
                                            <w:p w14:paraId="11F6723E" w14:textId="77777777" w:rsidR="00E3500B" w:rsidRPr="006A64D4" w:rsidRDefault="00E3500B" w:rsidP="00E3500B">
                                              <w:pPr>
                                                <w:jc w:val="center"/>
                                                <w:rPr>
                                                  <w:rFonts w:ascii="Arial" w:hAnsi="Arial" w:cs="Arial"/>
                                                  <w:b/>
                                                  <w:bCs/>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52" name="Text Box 452"/>
                                        <wps:cNvSpPr txBox="1"/>
                                        <wps:spPr>
                                          <a:xfrm>
                                            <a:off x="438150" y="6406880"/>
                                            <a:ext cx="1756410" cy="833638"/>
                                          </a:xfrm>
                                          <a:prstGeom prst="rect">
                                            <a:avLst/>
                                          </a:prstGeom>
                                          <a:noFill/>
                                          <a:ln w="6350">
                                            <a:noFill/>
                                          </a:ln>
                                        </wps:spPr>
                                        <wps:txbx>
                                          <w:txbxContent>
                                            <w:p w14:paraId="518FAC5A" w14:textId="77777777" w:rsidR="00E3500B" w:rsidRPr="00232630" w:rsidRDefault="00E3500B" w:rsidP="00E3500B">
                                              <w:pPr>
                                                <w:spacing w:after="80"/>
                                                <w:rPr>
                                                  <w:rFonts w:ascii="Arial" w:hAnsi="Arial" w:cs="Arial"/>
                                                  <w:b/>
                                                  <w:bCs/>
                                                  <w:szCs w:val="20"/>
                                                </w:rPr>
                                              </w:pPr>
                                              <w:r w:rsidRPr="00232630">
                                                <w:rPr>
                                                  <w:rFonts w:ascii="Arial" w:hAnsi="Arial" w:cs="Arial"/>
                                                  <w:b/>
                                                  <w:bCs/>
                                                  <w:szCs w:val="20"/>
                                                </w:rPr>
                                                <w:t>Long-Term</w:t>
                                              </w:r>
                                            </w:p>
                                            <w:p w14:paraId="0FD3CF9E" w14:textId="77777777" w:rsidR="00E3500B" w:rsidRPr="006A64D4" w:rsidRDefault="00E3500B" w:rsidP="00E3500B">
                                              <w:pPr>
                                                <w:spacing w:after="80"/>
                                                <w:rPr>
                                                  <w:rFonts w:ascii="Arial" w:hAnsi="Arial" w:cs="Arial"/>
                                                  <w:sz w:val="16"/>
                                                  <w:szCs w:val="16"/>
                                                </w:rPr>
                                              </w:pPr>
                                              <w:r w:rsidRPr="006A64D4">
                                                <w:rPr>
                                                  <w:rFonts w:ascii="Arial" w:hAnsi="Arial" w:cs="Arial"/>
                                                  <w:sz w:val="16"/>
                                                  <w:szCs w:val="16"/>
                                                </w:rPr>
                                                <w:t>We expect that if completed or ongoing these activities will lead to the following changes in 3-5 years.</w:t>
                                              </w:r>
                                            </w:p>
                                            <w:p w14:paraId="4BD0887C" w14:textId="77777777" w:rsidR="00E3500B" w:rsidRPr="006A64D4" w:rsidRDefault="00E3500B" w:rsidP="00E3500B">
                                              <w:pPr>
                                                <w:jc w:val="center"/>
                                                <w:rPr>
                                                  <w:rFonts w:ascii="Arial" w:hAnsi="Arial" w:cs="Arial"/>
                                                  <w:b/>
                                                  <w:bCs/>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53" name="Text Box 453"/>
                                        <wps:cNvSpPr txBox="1"/>
                                        <wps:spPr>
                                          <a:xfrm>
                                            <a:off x="6848475" y="6458630"/>
                                            <a:ext cx="2076450" cy="590550"/>
                                          </a:xfrm>
                                          <a:prstGeom prst="rect">
                                            <a:avLst/>
                                          </a:prstGeom>
                                          <a:solidFill>
                                            <a:srgbClr val="82DDE2"/>
                                          </a:solidFill>
                                          <a:ln w="6350">
                                            <a:noFill/>
                                          </a:ln>
                                        </wps:spPr>
                                        <wps:txbx>
                                          <w:txbxContent>
                                            <w:p w14:paraId="1416285F" w14:textId="77777777" w:rsidR="00E3500B" w:rsidRPr="00232630" w:rsidRDefault="00E3500B" w:rsidP="00E3500B">
                                              <w:pPr>
                                                <w:jc w:val="center"/>
                                                <w:rPr>
                                                  <w:rFonts w:ascii="Arial" w:hAnsi="Arial" w:cs="Arial"/>
                                                  <w:szCs w:val="20"/>
                                                </w:rPr>
                                              </w:pPr>
                                              <w:r w:rsidRPr="00232630">
                                                <w:rPr>
                                                  <w:rFonts w:ascii="Arial" w:hAnsi="Arial" w:cs="Arial"/>
                                                  <w:b/>
                                                  <w:bCs/>
                                                  <w:szCs w:val="20"/>
                                                </w:rPr>
                                                <w:t>Outcome X: Change in federal minimum standards for RPP categories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54" name="Text Box 454"/>
                                        <wps:cNvSpPr txBox="1"/>
                                        <wps:spPr>
                                          <a:xfrm>
                                            <a:off x="9144000" y="5153025"/>
                                            <a:ext cx="1990725" cy="857250"/>
                                          </a:xfrm>
                                          <a:prstGeom prst="rect">
                                            <a:avLst/>
                                          </a:prstGeom>
                                          <a:solidFill>
                                            <a:srgbClr val="82DDE2"/>
                                          </a:solidFill>
                                          <a:ln w="6350">
                                            <a:noFill/>
                                          </a:ln>
                                        </wps:spPr>
                                        <wps:txbx>
                                          <w:txbxContent>
                                            <w:p w14:paraId="6D9C487C" w14:textId="77777777" w:rsidR="00E3500B" w:rsidRPr="00232630" w:rsidRDefault="00E3500B" w:rsidP="00E3500B">
                                              <w:pPr>
                                                <w:jc w:val="center"/>
                                                <w:rPr>
                                                  <w:rFonts w:ascii="Arial" w:hAnsi="Arial" w:cs="Arial"/>
                                                  <w:szCs w:val="20"/>
                                                </w:rPr>
                                              </w:pPr>
                                              <w:r w:rsidRPr="00232630">
                                                <w:rPr>
                                                  <w:rFonts w:ascii="Arial" w:hAnsi="Arial" w:cs="Arial"/>
                                                  <w:b/>
                                                  <w:bCs/>
                                                  <w:szCs w:val="20"/>
                                                </w:rPr>
                                                <w:t>Outcome VIII: Data management system builds sufficient trust with retailers so that access to data is no longer a barrier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55" name="Text Box 455"/>
                                        <wps:cNvSpPr txBox="1"/>
                                        <wps:spPr>
                                          <a:xfrm>
                                            <a:off x="2095500" y="5057775"/>
                                            <a:ext cx="1981200" cy="914400"/>
                                          </a:xfrm>
                                          <a:prstGeom prst="rect">
                                            <a:avLst/>
                                          </a:prstGeom>
                                          <a:solidFill>
                                            <a:srgbClr val="82DDE2"/>
                                          </a:solidFill>
                                          <a:ln w="6350">
                                            <a:noFill/>
                                          </a:ln>
                                        </wps:spPr>
                                        <wps:txbx>
                                          <w:txbxContent>
                                            <w:p w14:paraId="4A6561CB" w14:textId="77777777" w:rsidR="00E3500B" w:rsidRPr="00232630" w:rsidRDefault="00E3500B" w:rsidP="00E3500B">
                                              <w:pPr>
                                                <w:jc w:val="center"/>
                                                <w:rPr>
                                                  <w:rFonts w:ascii="Arial" w:hAnsi="Arial" w:cs="Arial"/>
                                                  <w:szCs w:val="20"/>
                                                </w:rPr>
                                              </w:pPr>
                                              <w:r w:rsidRPr="00232630">
                                                <w:rPr>
                                                  <w:rFonts w:ascii="Arial" w:hAnsi="Arial" w:cs="Arial"/>
                                                  <w:b/>
                                                  <w:bCs/>
                                                  <w:szCs w:val="20"/>
                                                </w:rPr>
                                                <w:t>Outcome V: Retailers and merchants incorporate incentives into their assortment and marketing decision-making process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56" name="Text Box 456"/>
                                        <wps:cNvSpPr txBox="1"/>
                                        <wps:spPr>
                                          <a:xfrm>
                                            <a:off x="6858000" y="5257800"/>
                                            <a:ext cx="1981200" cy="561975"/>
                                          </a:xfrm>
                                          <a:prstGeom prst="rect">
                                            <a:avLst/>
                                          </a:prstGeom>
                                          <a:solidFill>
                                            <a:srgbClr val="82DDE2"/>
                                          </a:solidFill>
                                          <a:ln w="6350">
                                            <a:noFill/>
                                          </a:ln>
                                        </wps:spPr>
                                        <wps:txbx>
                                          <w:txbxContent>
                                            <w:p w14:paraId="074126D0" w14:textId="77777777" w:rsidR="00E3500B" w:rsidRPr="00232630" w:rsidRDefault="00E3500B" w:rsidP="00E3500B">
                                              <w:pPr>
                                                <w:jc w:val="center"/>
                                                <w:rPr>
                                                  <w:rFonts w:ascii="Arial" w:hAnsi="Arial" w:cs="Arial"/>
                                                  <w:szCs w:val="20"/>
                                                </w:rPr>
                                              </w:pPr>
                                              <w:r w:rsidRPr="00232630">
                                                <w:rPr>
                                                  <w:rFonts w:ascii="Arial" w:hAnsi="Arial" w:cs="Arial"/>
                                                  <w:b/>
                                                  <w:bCs/>
                                                  <w:szCs w:val="20"/>
                                                </w:rPr>
                                                <w:t>Outcome VII: Reliable per unit energy savings values for RRP product categories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57" name="Text Box 457"/>
                                        <wps:cNvSpPr txBox="1"/>
                                        <wps:spPr>
                                          <a:xfrm rot="16200000">
                                            <a:off x="-1103630" y="5039995"/>
                                            <a:ext cx="2476500" cy="261939"/>
                                          </a:xfrm>
                                          <a:prstGeom prst="rect">
                                            <a:avLst/>
                                          </a:prstGeom>
                                          <a:solidFill>
                                            <a:schemeClr val="lt1"/>
                                          </a:solidFill>
                                          <a:ln w="6350">
                                            <a:solidFill>
                                              <a:prstClr val="black"/>
                                            </a:solidFill>
                                          </a:ln>
                                        </wps:spPr>
                                        <wps:txbx>
                                          <w:txbxContent>
                                            <w:p w14:paraId="25526785" w14:textId="77777777" w:rsidR="00E3500B" w:rsidRPr="00232630" w:rsidRDefault="00E3500B" w:rsidP="00E3500B">
                                              <w:pPr>
                                                <w:jc w:val="center"/>
                                                <w:rPr>
                                                  <w:rFonts w:ascii="Arial" w:hAnsi="Arial" w:cs="Arial"/>
                                                  <w:b/>
                                                  <w:bCs/>
                                                  <w:szCs w:val="20"/>
                                                </w:rPr>
                                              </w:pPr>
                                              <w:r w:rsidRPr="00232630">
                                                <w:rPr>
                                                  <w:rFonts w:ascii="Arial" w:hAnsi="Arial" w:cs="Arial"/>
                                                  <w:b/>
                                                  <w:bCs/>
                                                  <w:szCs w:val="20"/>
                                                </w:rPr>
                                                <w:t>Market’s Response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58" name="Straight Connector 458"/>
                                        <wps:cNvCnPr/>
                                        <wps:spPr>
                                          <a:xfrm>
                                            <a:off x="314325" y="6421263"/>
                                            <a:ext cx="13477240" cy="0"/>
                                          </a:xfrm>
                                          <a:prstGeom prst="line">
                                            <a:avLst/>
                                          </a:prstGeom>
                                          <a:ln w="25400">
                                            <a:solidFill>
                                              <a:srgbClr val="93D500"/>
                                            </a:solidFill>
                                          </a:ln>
                                        </wps:spPr>
                                        <wps:style>
                                          <a:lnRef idx="3">
                                            <a:schemeClr val="accent1"/>
                                          </a:lnRef>
                                          <a:fillRef idx="0">
                                            <a:schemeClr val="accent1"/>
                                          </a:fillRef>
                                          <a:effectRef idx="2">
                                            <a:schemeClr val="accent1"/>
                                          </a:effectRef>
                                          <a:fontRef idx="minor">
                                            <a:schemeClr val="tx1"/>
                                          </a:fontRef>
                                        </wps:style>
                                        <wps:bodyPr/>
                                      </wps:wsp>
                                      <wps:wsp>
                                        <wps:cNvPr id="459" name="Straight Connector 459"/>
                                        <wps:cNvCnPr/>
                                        <wps:spPr>
                                          <a:xfrm>
                                            <a:off x="323850" y="7241041"/>
                                            <a:ext cx="13477240" cy="0"/>
                                          </a:xfrm>
                                          <a:prstGeom prst="line">
                                            <a:avLst/>
                                          </a:prstGeom>
                                          <a:ln w="25400">
                                            <a:solidFill>
                                              <a:srgbClr val="93D500"/>
                                            </a:solidFill>
                                          </a:ln>
                                        </wps:spPr>
                                        <wps:style>
                                          <a:lnRef idx="3">
                                            <a:schemeClr val="accent1"/>
                                          </a:lnRef>
                                          <a:fillRef idx="0">
                                            <a:schemeClr val="accent1"/>
                                          </a:fillRef>
                                          <a:effectRef idx="2">
                                            <a:schemeClr val="accent1"/>
                                          </a:effectRef>
                                          <a:fontRef idx="minor">
                                            <a:schemeClr val="tx1"/>
                                          </a:fontRef>
                                        </wps:style>
                                        <wps:bodyPr/>
                                      </wps:wsp>
                                      <wpg:grpSp>
                                        <wpg:cNvPr id="460" name="Group 460"/>
                                        <wpg:cNvGrpSpPr/>
                                        <wpg:grpSpPr>
                                          <a:xfrm>
                                            <a:off x="0" y="-278456"/>
                                            <a:ext cx="13839190" cy="5685192"/>
                                            <a:chOff x="0" y="-278456"/>
                                            <a:chExt cx="13839190" cy="5685192"/>
                                          </a:xfrm>
                                        </wpg:grpSpPr>
                                        <wps:wsp>
                                          <wps:cNvPr id="461" name="Straight Connector 461"/>
                                          <wps:cNvCnPr/>
                                          <wps:spPr>
                                            <a:xfrm>
                                              <a:off x="361950" y="2457450"/>
                                              <a:ext cx="13477240" cy="0"/>
                                            </a:xfrm>
                                            <a:prstGeom prst="line">
                                              <a:avLst/>
                                            </a:prstGeom>
                                            <a:ln w="25400">
                                              <a:solidFill>
                                                <a:srgbClr val="93D500"/>
                                              </a:solidFill>
                                            </a:ln>
                                          </wps:spPr>
                                          <wps:style>
                                            <a:lnRef idx="3">
                                              <a:schemeClr val="accent1"/>
                                            </a:lnRef>
                                            <a:fillRef idx="0">
                                              <a:schemeClr val="accent1"/>
                                            </a:fillRef>
                                            <a:effectRef idx="2">
                                              <a:schemeClr val="accent1"/>
                                            </a:effectRef>
                                            <a:fontRef idx="minor">
                                              <a:schemeClr val="tx1"/>
                                            </a:fontRef>
                                          </wps:style>
                                          <wps:bodyPr/>
                                        </wps:wsp>
                                        <wps:wsp>
                                          <wps:cNvPr id="462" name="Straight Connector 462"/>
                                          <wps:cNvCnPr/>
                                          <wps:spPr>
                                            <a:xfrm>
                                              <a:off x="352425" y="4933950"/>
                                              <a:ext cx="13477240" cy="0"/>
                                            </a:xfrm>
                                            <a:prstGeom prst="line">
                                              <a:avLst/>
                                            </a:prstGeom>
                                            <a:ln w="25400">
                                              <a:solidFill>
                                                <a:srgbClr val="93D500"/>
                                              </a:solidFill>
                                            </a:ln>
                                          </wps:spPr>
                                          <wps:style>
                                            <a:lnRef idx="3">
                                              <a:schemeClr val="accent1"/>
                                            </a:lnRef>
                                            <a:fillRef idx="0">
                                              <a:schemeClr val="accent1"/>
                                            </a:fillRef>
                                            <a:effectRef idx="2">
                                              <a:schemeClr val="accent1"/>
                                            </a:effectRef>
                                            <a:fontRef idx="minor">
                                              <a:schemeClr val="tx1"/>
                                            </a:fontRef>
                                          </wps:style>
                                          <wps:bodyPr/>
                                        </wps:wsp>
                                        <wps:wsp>
                                          <wps:cNvPr id="463" name="Straight Connector 463"/>
                                          <wps:cNvCnPr/>
                                          <wps:spPr>
                                            <a:xfrm>
                                              <a:off x="352425" y="3629025"/>
                                              <a:ext cx="13477240" cy="0"/>
                                            </a:xfrm>
                                            <a:prstGeom prst="line">
                                              <a:avLst/>
                                            </a:prstGeom>
                                            <a:ln w="25400">
                                              <a:solidFill>
                                                <a:srgbClr val="93D500"/>
                                              </a:solidFill>
                                            </a:ln>
                                          </wps:spPr>
                                          <wps:style>
                                            <a:lnRef idx="3">
                                              <a:schemeClr val="accent1"/>
                                            </a:lnRef>
                                            <a:fillRef idx="0">
                                              <a:schemeClr val="accent1"/>
                                            </a:fillRef>
                                            <a:effectRef idx="2">
                                              <a:schemeClr val="accent1"/>
                                            </a:effectRef>
                                            <a:fontRef idx="minor">
                                              <a:schemeClr val="tx1"/>
                                            </a:fontRef>
                                          </wps:style>
                                          <wps:bodyPr/>
                                        </wps:wsp>
                                        <wps:wsp>
                                          <wps:cNvPr id="464" name="Text Box 464"/>
                                          <wps:cNvSpPr txBox="1"/>
                                          <wps:spPr>
                                            <a:xfrm>
                                              <a:off x="10877550" y="196891"/>
                                              <a:ext cx="2295525" cy="860749"/>
                                            </a:xfrm>
                                            <a:prstGeom prst="rect">
                                              <a:avLst/>
                                            </a:prstGeom>
                                            <a:solidFill>
                                              <a:srgbClr val="002060"/>
                                            </a:solidFill>
                                            <a:ln w="6350">
                                              <a:noFill/>
                                            </a:ln>
                                          </wps:spPr>
                                          <wps:txbx>
                                            <w:txbxContent>
                                              <w:p w14:paraId="4B30B357" w14:textId="77777777" w:rsidR="00E3500B" w:rsidRPr="00232630" w:rsidRDefault="00E3500B" w:rsidP="00E3500B">
                                                <w:pPr>
                                                  <w:jc w:val="center"/>
                                                  <w:rPr>
                                                    <w:rFonts w:ascii="Arial" w:hAnsi="Arial" w:cs="Arial"/>
                                                    <w:b/>
                                                    <w:bCs/>
                                                    <w:color w:val="FFFFFF" w:themeColor="background1"/>
                                                    <w:szCs w:val="20"/>
                                                  </w:rPr>
                                                </w:pPr>
                                                <w:r w:rsidRPr="00232630">
                                                  <w:rPr>
                                                    <w:rFonts w:ascii="Arial" w:hAnsi="Arial" w:cs="Arial"/>
                                                    <w:b/>
                                                    <w:bCs/>
                                                    <w:color w:val="FFFFFF" w:themeColor="background1"/>
                                                    <w:szCs w:val="20"/>
                                                  </w:rPr>
                                                  <w:t>Lack of access to full category sales data inhibits ability to influence formal specification/ standards process and allow for informed program decisions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65" name="Text Box 465"/>
                                          <wps:cNvSpPr txBox="1"/>
                                          <wps:spPr>
                                            <a:xfrm>
                                              <a:off x="4438650" y="1619117"/>
                                              <a:ext cx="2143125" cy="685753"/>
                                            </a:xfrm>
                                            <a:prstGeom prst="rect">
                                              <a:avLst/>
                                            </a:prstGeom>
                                            <a:solidFill>
                                              <a:srgbClr val="2DBAC1"/>
                                            </a:solidFill>
                                            <a:ln w="6350">
                                              <a:noFill/>
                                            </a:ln>
                                          </wps:spPr>
                                          <wps:txbx>
                                            <w:txbxContent>
                                              <w:p w14:paraId="5541CD18" w14:textId="77777777" w:rsidR="00E3500B" w:rsidRPr="00232630" w:rsidRDefault="00E3500B" w:rsidP="00E3500B">
                                                <w:pPr>
                                                  <w:jc w:val="center"/>
                                                  <w:rPr>
                                                    <w:rFonts w:ascii="Arial" w:hAnsi="Arial" w:cs="Arial"/>
                                                    <w:b/>
                                                    <w:bCs/>
                                                    <w:szCs w:val="20"/>
                                                  </w:rPr>
                                                </w:pPr>
                                                <w:r w:rsidRPr="00232630">
                                                  <w:rPr>
                                                    <w:rFonts w:ascii="Arial" w:hAnsi="Arial" w:cs="Arial"/>
                                                    <w:b/>
                                                    <w:bCs/>
                                                    <w:szCs w:val="20"/>
                                                  </w:rPr>
                                                  <w:t>Participate in extra-regional coordination efforts with program sponsors and retailers to increase program scale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66" name="Text Box 466"/>
                                          <wps:cNvSpPr txBox="1"/>
                                          <wps:spPr>
                                            <a:xfrm>
                                              <a:off x="4438650" y="435051"/>
                                              <a:ext cx="2143125" cy="721364"/>
                                            </a:xfrm>
                                            <a:prstGeom prst="rect">
                                              <a:avLst/>
                                            </a:prstGeom>
                                            <a:solidFill>
                                              <a:srgbClr val="002060"/>
                                            </a:solidFill>
                                            <a:ln w="6350">
                                              <a:noFill/>
                                            </a:ln>
                                          </wps:spPr>
                                          <wps:txbx>
                                            <w:txbxContent>
                                              <w:p w14:paraId="5ADF298A" w14:textId="77777777" w:rsidR="00E3500B" w:rsidRPr="003A47B2" w:rsidRDefault="00E3500B" w:rsidP="00E3500B">
                                                <w:pPr>
                                                  <w:jc w:val="center"/>
                                                  <w:rPr>
                                                    <w:rFonts w:ascii="Arial" w:hAnsi="Arial" w:cs="Arial"/>
                                                    <w:b/>
                                                    <w:bCs/>
                                                    <w:color w:val="FFFFFF" w:themeColor="background1"/>
                                                    <w:szCs w:val="20"/>
                                                  </w:rPr>
                                                </w:pPr>
                                                <w:r w:rsidRPr="003A47B2">
                                                  <w:rPr>
                                                    <w:rFonts w:ascii="Arial" w:hAnsi="Arial" w:cs="Arial"/>
                                                    <w:b/>
                                                    <w:bCs/>
                                                    <w:color w:val="FFFFFF" w:themeColor="background1"/>
                                                    <w:szCs w:val="20"/>
                                                  </w:rPr>
                                                  <w:t>Benefits of energy savings are too small to highly impact  most consumers’ choices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67" name="Text Box 467"/>
                                          <wps:cNvSpPr txBox="1"/>
                                          <wps:spPr>
                                            <a:xfrm>
                                              <a:off x="7896225" y="196922"/>
                                              <a:ext cx="2085975" cy="857250"/>
                                            </a:xfrm>
                                            <a:prstGeom prst="rect">
                                              <a:avLst/>
                                            </a:prstGeom>
                                            <a:solidFill>
                                              <a:srgbClr val="002060"/>
                                            </a:solidFill>
                                            <a:ln w="6350">
                                              <a:noFill/>
                                            </a:ln>
                                          </wps:spPr>
                                          <wps:txbx>
                                            <w:txbxContent>
                                              <w:p w14:paraId="24A69E72" w14:textId="77777777" w:rsidR="00E3500B" w:rsidRPr="00232630" w:rsidRDefault="00E3500B" w:rsidP="00E3500B">
                                                <w:pPr>
                                                  <w:jc w:val="center"/>
                                                  <w:rPr>
                                                    <w:rFonts w:ascii="Arial" w:hAnsi="Arial" w:cs="Arial"/>
                                                    <w:b/>
                                                    <w:bCs/>
                                                    <w:szCs w:val="20"/>
                                                  </w:rPr>
                                                </w:pPr>
                                                <w:r w:rsidRPr="00232630">
                                                  <w:rPr>
                                                    <w:rFonts w:ascii="Arial" w:hAnsi="Arial" w:cs="Arial"/>
                                                    <w:b/>
                                                    <w:bCs/>
                                                    <w:szCs w:val="20"/>
                                                  </w:rPr>
                                                  <w:t>Manufacturers are unlikely to respond outside of specification and standards process to increase EE of consumer products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68" name="Text Box 468"/>
                                          <wps:cNvSpPr txBox="1"/>
                                          <wps:spPr>
                                            <a:xfrm>
                                              <a:off x="2085975" y="435050"/>
                                              <a:ext cx="1914525" cy="523641"/>
                                            </a:xfrm>
                                            <a:prstGeom prst="rect">
                                              <a:avLst/>
                                            </a:prstGeom>
                                            <a:solidFill>
                                              <a:srgbClr val="002060"/>
                                            </a:solidFill>
                                            <a:ln w="6350">
                                              <a:noFill/>
                                            </a:ln>
                                          </wps:spPr>
                                          <wps:txbx>
                                            <w:txbxContent>
                                              <w:p w14:paraId="1002A625" w14:textId="77777777" w:rsidR="00E3500B" w:rsidRPr="00232630" w:rsidRDefault="00E3500B" w:rsidP="00E3500B">
                                                <w:pPr>
                                                  <w:jc w:val="center"/>
                                                  <w:rPr>
                                                    <w:rFonts w:ascii="Arial" w:hAnsi="Arial" w:cs="Arial"/>
                                                    <w:b/>
                                                    <w:bCs/>
                                                    <w:color w:val="FFFFFF" w:themeColor="background1"/>
                                                    <w:szCs w:val="20"/>
                                                  </w:rPr>
                                                </w:pPr>
                                                <w:r w:rsidRPr="00232630">
                                                  <w:rPr>
                                                    <w:rFonts w:ascii="Arial" w:hAnsi="Arial" w:cs="Arial"/>
                                                    <w:b/>
                                                    <w:bCs/>
                                                    <w:color w:val="FFFFFF" w:themeColor="background1"/>
                                                    <w:szCs w:val="20"/>
                                                  </w:rPr>
                                                  <w:t xml:space="preserve">EE is not considered </w:t>
                                                </w:r>
                                                <w:r w:rsidRPr="003A47B2">
                                                  <w:rPr>
                                                    <w:rFonts w:ascii="Arial" w:hAnsi="Arial" w:cs="Arial"/>
                                                    <w:b/>
                                                    <w:bCs/>
                                                    <w:color w:val="FFFFFF" w:themeColor="background1"/>
                                                    <w:szCs w:val="20"/>
                                                  </w:rPr>
                                                  <w:t xml:space="preserve">strongly enough by </w:t>
                                                </w:r>
                                                <w:r w:rsidRPr="00232630">
                                                  <w:rPr>
                                                    <w:rFonts w:ascii="Arial" w:hAnsi="Arial" w:cs="Arial"/>
                                                    <w:b/>
                                                    <w:bCs/>
                                                    <w:color w:val="FFFFFF" w:themeColor="background1"/>
                                                    <w:szCs w:val="20"/>
                                                  </w:rPr>
                                                  <w:t>corporate retail buyers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69" name="Text Box 469"/>
                                          <wps:cNvSpPr txBox="1"/>
                                          <wps:spPr>
                                            <a:xfrm>
                                              <a:off x="9077325" y="1520804"/>
                                              <a:ext cx="2038350" cy="850924"/>
                                            </a:xfrm>
                                            <a:prstGeom prst="rect">
                                              <a:avLst/>
                                            </a:prstGeom>
                                            <a:solidFill>
                                              <a:srgbClr val="2DBAC1"/>
                                            </a:solidFill>
                                            <a:ln w="6350">
                                              <a:noFill/>
                                            </a:ln>
                                          </wps:spPr>
                                          <wps:txbx>
                                            <w:txbxContent>
                                              <w:p w14:paraId="0778BB9B" w14:textId="77777777" w:rsidR="00E3500B" w:rsidRPr="00232630" w:rsidRDefault="00E3500B" w:rsidP="00E3500B">
                                                <w:pPr>
                                                  <w:jc w:val="center"/>
                                                  <w:rPr>
                                                    <w:rFonts w:ascii="Arial" w:hAnsi="Arial" w:cs="Arial"/>
                                                    <w:b/>
                                                    <w:bCs/>
                                                    <w:szCs w:val="20"/>
                                                  </w:rPr>
                                                </w:pPr>
                                                <w:r w:rsidRPr="00232630">
                                                  <w:rPr>
                                                    <w:rFonts w:ascii="Arial" w:hAnsi="Arial" w:cs="Arial"/>
                                                    <w:b/>
                                                    <w:bCs/>
                                                    <w:szCs w:val="20"/>
                                                  </w:rPr>
                                                  <w:t>Develop and implement a data management system and market intelligence process for use in program design and related decisions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70" name="Text Box 470"/>
                                          <wps:cNvSpPr txBox="1"/>
                                          <wps:spPr>
                                            <a:xfrm>
                                              <a:off x="11458575" y="1495425"/>
                                              <a:ext cx="2047875" cy="876300"/>
                                            </a:xfrm>
                                            <a:prstGeom prst="rect">
                                              <a:avLst/>
                                            </a:prstGeom>
                                            <a:solidFill>
                                              <a:srgbClr val="2DBAC1"/>
                                            </a:solidFill>
                                            <a:ln w="6350">
                                              <a:noFill/>
                                            </a:ln>
                                          </wps:spPr>
                                          <wps:txbx>
                                            <w:txbxContent>
                                              <w:p w14:paraId="521772FE" w14:textId="77777777" w:rsidR="00E3500B" w:rsidRPr="00232630" w:rsidRDefault="00E3500B" w:rsidP="00E3500B">
                                                <w:pPr>
                                                  <w:jc w:val="center"/>
                                                  <w:rPr>
                                                    <w:rFonts w:ascii="Arial" w:hAnsi="Arial" w:cs="Arial"/>
                                                    <w:b/>
                                                    <w:bCs/>
                                                    <w:szCs w:val="20"/>
                                                  </w:rPr>
                                                </w:pPr>
                                                <w:r w:rsidRPr="00232630">
                                                  <w:rPr>
                                                    <w:rFonts w:ascii="Arial" w:hAnsi="Arial" w:cs="Arial"/>
                                                    <w:b/>
                                                    <w:bCs/>
                                                    <w:szCs w:val="20"/>
                                                  </w:rPr>
                                                  <w:t>Develop and execute a portfolio management process that includes protocols for efficiency tiers and on/offboarding of products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71" name="Text Box 471"/>
                                          <wps:cNvSpPr txBox="1"/>
                                          <wps:spPr>
                                            <a:xfrm>
                                              <a:off x="6848475" y="1619250"/>
                                              <a:ext cx="1990725" cy="685800"/>
                                            </a:xfrm>
                                            <a:prstGeom prst="rect">
                                              <a:avLst/>
                                            </a:prstGeom>
                                            <a:solidFill>
                                              <a:srgbClr val="2DBAC1"/>
                                            </a:solidFill>
                                            <a:ln w="6350">
                                              <a:noFill/>
                                            </a:ln>
                                          </wps:spPr>
                                          <wps:txbx>
                                            <w:txbxContent>
                                              <w:p w14:paraId="5C7A12BB" w14:textId="77777777" w:rsidR="00E3500B" w:rsidRPr="00232630" w:rsidRDefault="00E3500B" w:rsidP="00E3500B">
                                                <w:pPr>
                                                  <w:jc w:val="center"/>
                                                  <w:rPr>
                                                    <w:rFonts w:ascii="Arial" w:hAnsi="Arial" w:cs="Arial"/>
                                                    <w:b/>
                                                    <w:bCs/>
                                                    <w:szCs w:val="20"/>
                                                  </w:rPr>
                                                </w:pPr>
                                                <w:r w:rsidRPr="00232630">
                                                  <w:rPr>
                                                    <w:rFonts w:ascii="Arial" w:hAnsi="Arial" w:cs="Arial"/>
                                                    <w:b/>
                                                    <w:bCs/>
                                                    <w:szCs w:val="20"/>
                                                  </w:rPr>
                                                  <w:t>Work jointly with market actors to influence specifications, standards, and test procedures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72" name="Text Box 472"/>
                                          <wps:cNvSpPr txBox="1"/>
                                          <wps:spPr>
                                            <a:xfrm>
                                              <a:off x="11534775" y="2800350"/>
                                              <a:ext cx="2038350" cy="552450"/>
                                            </a:xfrm>
                                            <a:prstGeom prst="rect">
                                              <a:avLst/>
                                            </a:prstGeom>
                                            <a:solidFill>
                                              <a:schemeClr val="accent2"/>
                                            </a:solidFill>
                                            <a:ln w="6350">
                                              <a:noFill/>
                                            </a:ln>
                                          </wps:spPr>
                                          <wps:txbx>
                                            <w:txbxContent>
                                              <w:p w14:paraId="378C9112" w14:textId="77777777" w:rsidR="00E3500B" w:rsidRPr="00232630" w:rsidRDefault="00E3500B" w:rsidP="00E3500B">
                                                <w:pPr>
                                                  <w:jc w:val="center"/>
                                                  <w:rPr>
                                                    <w:rFonts w:ascii="Arial" w:hAnsi="Arial" w:cs="Arial"/>
                                                    <w:b/>
                                                    <w:bCs/>
                                                    <w:szCs w:val="20"/>
                                                  </w:rPr>
                                                </w:pPr>
                                                <w:r w:rsidRPr="00232630">
                                                  <w:rPr>
                                                    <w:rFonts w:ascii="Arial" w:hAnsi="Arial" w:cs="Arial"/>
                                                    <w:b/>
                                                    <w:bCs/>
                                                    <w:szCs w:val="20"/>
                                                  </w:rPr>
                                                  <w:t>Validated portfolio management process and product strategy documents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73" name="Text Box 473"/>
                                          <wps:cNvSpPr txBox="1"/>
                                          <wps:spPr>
                                            <a:xfrm>
                                              <a:off x="9086850" y="2800350"/>
                                              <a:ext cx="2038350" cy="549275"/>
                                            </a:xfrm>
                                            <a:prstGeom prst="rect">
                                              <a:avLst/>
                                            </a:prstGeom>
                                            <a:solidFill>
                                              <a:schemeClr val="accent2"/>
                                            </a:solidFill>
                                            <a:ln w="6350">
                                              <a:noFill/>
                                            </a:ln>
                                          </wps:spPr>
                                          <wps:txbx>
                                            <w:txbxContent>
                                              <w:p w14:paraId="5110FA20" w14:textId="77777777" w:rsidR="00E3500B" w:rsidRPr="00232630" w:rsidRDefault="00E3500B" w:rsidP="00E3500B">
                                                <w:pPr>
                                                  <w:jc w:val="center"/>
                                                  <w:rPr>
                                                    <w:rFonts w:ascii="Arial" w:hAnsi="Arial" w:cs="Arial"/>
                                                    <w:b/>
                                                    <w:bCs/>
                                                    <w:szCs w:val="20"/>
                                                  </w:rPr>
                                                </w:pPr>
                                                <w:r w:rsidRPr="00232630">
                                                  <w:rPr>
                                                    <w:rFonts w:ascii="Arial" w:hAnsi="Arial" w:cs="Arial"/>
                                                    <w:b/>
                                                    <w:bCs/>
                                                    <w:szCs w:val="20"/>
                                                  </w:rPr>
                                                  <w:t>Data platform with participating retailer sales data and analysis results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74" name="Text Box 474"/>
                                          <wps:cNvSpPr txBox="1"/>
                                          <wps:spPr>
                                            <a:xfrm>
                                              <a:off x="6858000" y="2714208"/>
                                              <a:ext cx="1990725" cy="753512"/>
                                            </a:xfrm>
                                            <a:prstGeom prst="rect">
                                              <a:avLst/>
                                            </a:prstGeom>
                                            <a:solidFill>
                                              <a:schemeClr val="accent2"/>
                                            </a:solidFill>
                                            <a:ln w="6350">
                                              <a:noFill/>
                                            </a:ln>
                                          </wps:spPr>
                                          <wps:txbx>
                                            <w:txbxContent>
                                              <w:p w14:paraId="46A6627A" w14:textId="77777777" w:rsidR="00E3500B" w:rsidRPr="00232630" w:rsidRDefault="00E3500B" w:rsidP="00E3500B">
                                                <w:pPr>
                                                  <w:jc w:val="center"/>
                                                  <w:rPr>
                                                    <w:rFonts w:ascii="Arial" w:hAnsi="Arial" w:cs="Arial"/>
                                                    <w:b/>
                                                    <w:bCs/>
                                                    <w:szCs w:val="20"/>
                                                  </w:rPr>
                                                </w:pPr>
                                                <w:r w:rsidRPr="00232630">
                                                  <w:rPr>
                                                    <w:rFonts w:ascii="Arial" w:hAnsi="Arial" w:cs="Arial"/>
                                                    <w:b/>
                                                    <w:bCs/>
                                                    <w:szCs w:val="20"/>
                                                  </w:rPr>
                                                  <w:t>Comment letters supporting changes to codes, standards, specifications, and test procedures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75" name="Text Box 475"/>
                                          <wps:cNvSpPr txBox="1"/>
                                          <wps:spPr>
                                            <a:xfrm>
                                              <a:off x="4448175" y="2800350"/>
                                              <a:ext cx="2181225" cy="552450"/>
                                            </a:xfrm>
                                            <a:prstGeom prst="rect">
                                              <a:avLst/>
                                            </a:prstGeom>
                                            <a:solidFill>
                                              <a:schemeClr val="accent2"/>
                                            </a:solidFill>
                                            <a:ln w="6350">
                                              <a:noFill/>
                                            </a:ln>
                                          </wps:spPr>
                                          <wps:txbx>
                                            <w:txbxContent>
                                              <w:p w14:paraId="00C1AA33" w14:textId="77777777" w:rsidR="00E3500B" w:rsidRPr="00232630" w:rsidRDefault="00E3500B" w:rsidP="00E3500B">
                                                <w:pPr>
                                                  <w:jc w:val="center"/>
                                                  <w:rPr>
                                                    <w:rFonts w:ascii="Arial" w:hAnsi="Arial" w:cs="Arial"/>
                                                    <w:b/>
                                                    <w:bCs/>
                                                    <w:szCs w:val="20"/>
                                                  </w:rPr>
                                                </w:pPr>
                                                <w:r w:rsidRPr="00232630">
                                                  <w:rPr>
                                                    <w:rFonts w:ascii="Arial" w:hAnsi="Arial" w:cs="Arial"/>
                                                    <w:b/>
                                                    <w:bCs/>
                                                    <w:szCs w:val="20"/>
                                                  </w:rPr>
                                                  <w:t>Increase in the number of participating program sponsors and retailers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76" name="Text Box 476"/>
                                          <wps:cNvSpPr txBox="1"/>
                                          <wps:spPr>
                                            <a:xfrm>
                                              <a:off x="409575" y="628650"/>
                                              <a:ext cx="1238250" cy="406400"/>
                                            </a:xfrm>
                                            <a:prstGeom prst="rect">
                                              <a:avLst/>
                                            </a:prstGeom>
                                            <a:noFill/>
                                            <a:ln w="6350">
                                              <a:noFill/>
                                            </a:ln>
                                          </wps:spPr>
                                          <wps:txbx>
                                            <w:txbxContent>
                                              <w:p w14:paraId="60F4544F" w14:textId="77777777" w:rsidR="00E3500B" w:rsidRPr="00232630" w:rsidRDefault="00E3500B" w:rsidP="00E3500B">
                                                <w:pPr>
                                                  <w:jc w:val="center"/>
                                                  <w:rPr>
                                                    <w:rFonts w:ascii="Arial" w:hAnsi="Arial" w:cs="Arial"/>
                                                    <w:b/>
                                                    <w:bCs/>
                                                    <w:szCs w:val="20"/>
                                                  </w:rPr>
                                                </w:pPr>
                                                <w:r w:rsidRPr="00232630">
                                                  <w:rPr>
                                                    <w:rFonts w:ascii="Arial" w:hAnsi="Arial" w:cs="Arial"/>
                                                    <w:b/>
                                                    <w:bCs/>
                                                    <w:szCs w:val="20"/>
                                                  </w:rPr>
                                                  <w:t>Barriers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77" name="Text Box 477"/>
                                          <wps:cNvSpPr txBox="1"/>
                                          <wps:spPr>
                                            <a:xfrm>
                                              <a:off x="409575" y="1451025"/>
                                              <a:ext cx="1400175" cy="1006044"/>
                                            </a:xfrm>
                                            <a:prstGeom prst="rect">
                                              <a:avLst/>
                                            </a:prstGeom>
                                            <a:noFill/>
                                            <a:ln w="6350">
                                              <a:noFill/>
                                            </a:ln>
                                          </wps:spPr>
                                          <wps:txbx>
                                            <w:txbxContent>
                                              <w:p w14:paraId="4C7663DF" w14:textId="77777777" w:rsidR="00E3500B" w:rsidRPr="00232630" w:rsidRDefault="00E3500B" w:rsidP="00E3500B">
                                                <w:pPr>
                                                  <w:spacing w:after="80"/>
                                                  <w:jc w:val="center"/>
                                                  <w:rPr>
                                                    <w:rFonts w:ascii="Arial" w:hAnsi="Arial" w:cs="Arial"/>
                                                    <w:b/>
                                                    <w:bCs/>
                                                    <w:szCs w:val="20"/>
                                                  </w:rPr>
                                                </w:pPr>
                                                <w:r w:rsidRPr="00232630">
                                                  <w:rPr>
                                                    <w:rFonts w:ascii="Arial" w:hAnsi="Arial" w:cs="Arial"/>
                                                    <w:b/>
                                                    <w:bCs/>
                                                    <w:szCs w:val="20"/>
                                                  </w:rPr>
                                                  <w:t>Activities</w:t>
                                                </w:r>
                                              </w:p>
                                              <w:p w14:paraId="74E234A8" w14:textId="77777777" w:rsidR="00E3500B" w:rsidRPr="006A64D4" w:rsidRDefault="00E3500B" w:rsidP="00E3500B">
                                                <w:pPr>
                                                  <w:spacing w:after="80"/>
                                                  <w:rPr>
                                                    <w:rFonts w:ascii="Arial" w:hAnsi="Arial" w:cs="Arial"/>
                                                    <w:sz w:val="16"/>
                                                    <w:szCs w:val="16"/>
                                                  </w:rPr>
                                                </w:pPr>
                                                <w:r w:rsidRPr="006A64D4">
                                                  <w:rPr>
                                                    <w:rFonts w:ascii="Arial" w:hAnsi="Arial" w:cs="Arial"/>
                                                    <w:sz w:val="16"/>
                                                    <w:szCs w:val="16"/>
                                                  </w:rPr>
                                                  <w:t>In order to address our problem or asset, we will conduct these activities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78" name="Text Box 478"/>
                                          <wps:cNvSpPr txBox="1"/>
                                          <wps:spPr>
                                            <a:xfrm>
                                              <a:off x="409575" y="2457260"/>
                                              <a:ext cx="1457325" cy="1171223"/>
                                            </a:xfrm>
                                            <a:prstGeom prst="rect">
                                              <a:avLst/>
                                            </a:prstGeom>
                                            <a:noFill/>
                                            <a:ln w="6350">
                                              <a:noFill/>
                                            </a:ln>
                                          </wps:spPr>
                                          <wps:txbx>
                                            <w:txbxContent>
                                              <w:p w14:paraId="30E3C7AF" w14:textId="77777777" w:rsidR="00E3500B" w:rsidRPr="00232630" w:rsidRDefault="00E3500B" w:rsidP="00E3500B">
                                                <w:pPr>
                                                  <w:spacing w:after="80"/>
                                                  <w:jc w:val="center"/>
                                                  <w:rPr>
                                                    <w:rFonts w:ascii="Arial" w:hAnsi="Arial" w:cs="Arial"/>
                                                    <w:b/>
                                                    <w:bCs/>
                                                    <w:szCs w:val="20"/>
                                                  </w:rPr>
                                                </w:pPr>
                                                <w:r w:rsidRPr="00232630">
                                                  <w:rPr>
                                                    <w:rFonts w:ascii="Arial" w:hAnsi="Arial" w:cs="Arial"/>
                                                    <w:b/>
                                                    <w:bCs/>
                                                    <w:szCs w:val="20"/>
                                                  </w:rPr>
                                                  <w:t>Outputs</w:t>
                                                </w:r>
                                              </w:p>
                                              <w:p w14:paraId="2D706323" w14:textId="77777777" w:rsidR="00E3500B" w:rsidRPr="006A64D4" w:rsidRDefault="00E3500B" w:rsidP="00E3500B">
                                                <w:pPr>
                                                  <w:spacing w:after="80"/>
                                                  <w:rPr>
                                                    <w:rFonts w:ascii="Arial" w:hAnsi="Arial" w:cs="Arial"/>
                                                    <w:sz w:val="16"/>
                                                    <w:szCs w:val="16"/>
                                                  </w:rPr>
                                                </w:pPr>
                                                <w:r w:rsidRPr="006A64D4">
                                                  <w:rPr>
                                                    <w:rFonts w:ascii="Arial" w:hAnsi="Arial" w:cs="Arial"/>
                                                    <w:sz w:val="16"/>
                                                    <w:szCs w:val="16"/>
                                                  </w:rPr>
                                                  <w:t>We expect that once completed or under way these activities will produce the following evidence</w:t>
                                                </w:r>
                                              </w:p>
                                              <w:p w14:paraId="4B97F208" w14:textId="77777777" w:rsidR="00E3500B" w:rsidRPr="006A64D4" w:rsidRDefault="00E3500B" w:rsidP="00E3500B">
                                                <w:pPr>
                                                  <w:spacing w:after="80"/>
                                                  <w:rPr>
                                                    <w:rFonts w:ascii="Arial" w:hAnsi="Arial" w:cs="Arial"/>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79" name="Text Box 479"/>
                                          <wps:cNvSpPr txBox="1"/>
                                          <wps:spPr>
                                            <a:xfrm>
                                              <a:off x="409575" y="3737494"/>
                                              <a:ext cx="1457325" cy="1196094"/>
                                            </a:xfrm>
                                            <a:prstGeom prst="rect">
                                              <a:avLst/>
                                            </a:prstGeom>
                                            <a:noFill/>
                                            <a:ln w="6350">
                                              <a:noFill/>
                                            </a:ln>
                                          </wps:spPr>
                                          <wps:txbx>
                                            <w:txbxContent>
                                              <w:p w14:paraId="1C47A072" w14:textId="77777777" w:rsidR="00E3500B" w:rsidRPr="00232630" w:rsidRDefault="00E3500B" w:rsidP="00E3500B">
                                                <w:pPr>
                                                  <w:jc w:val="center"/>
                                                  <w:rPr>
                                                    <w:rFonts w:ascii="Arial" w:hAnsi="Arial" w:cs="Arial"/>
                                                    <w:szCs w:val="20"/>
                                                  </w:rPr>
                                                </w:pPr>
                                                <w:r w:rsidRPr="00232630">
                                                  <w:rPr>
                                                    <w:rFonts w:ascii="Arial" w:hAnsi="Arial" w:cs="Arial"/>
                                                    <w:b/>
                                                    <w:bCs/>
                                                    <w:szCs w:val="20"/>
                                                  </w:rPr>
                                                  <w:t>Outcomes</w:t>
                                                </w:r>
                                              </w:p>
                                              <w:p w14:paraId="02E3097D" w14:textId="77777777" w:rsidR="00E3500B" w:rsidRPr="00232630" w:rsidRDefault="00E3500B" w:rsidP="00E3500B">
                                                <w:pPr>
                                                  <w:rPr>
                                                    <w:rFonts w:ascii="Arial" w:hAnsi="Arial" w:cs="Arial"/>
                                                    <w:b/>
                                                    <w:bCs/>
                                                    <w:szCs w:val="20"/>
                                                  </w:rPr>
                                                </w:pPr>
                                                <w:r w:rsidRPr="00232630">
                                                  <w:rPr>
                                                    <w:rFonts w:ascii="Arial" w:hAnsi="Arial" w:cs="Arial"/>
                                                    <w:b/>
                                                    <w:bCs/>
                                                    <w:szCs w:val="20"/>
                                                  </w:rPr>
                                                  <w:t>Short-Term</w:t>
                                                </w:r>
                                              </w:p>
                                              <w:p w14:paraId="5AEFAC3E" w14:textId="77777777" w:rsidR="00E3500B" w:rsidRPr="006A64D4" w:rsidRDefault="00E3500B" w:rsidP="00E3500B">
                                                <w:pPr>
                                                  <w:spacing w:after="80"/>
                                                  <w:rPr>
                                                    <w:rFonts w:ascii="Arial" w:hAnsi="Arial" w:cs="Arial"/>
                                                    <w:sz w:val="16"/>
                                                    <w:szCs w:val="16"/>
                                                  </w:rPr>
                                                </w:pPr>
                                                <w:r w:rsidRPr="006A64D4">
                                                  <w:rPr>
                                                    <w:rFonts w:ascii="Arial" w:hAnsi="Arial" w:cs="Arial"/>
                                                    <w:sz w:val="16"/>
                                                    <w:szCs w:val="16"/>
                                                  </w:rPr>
                                                  <w:t>We expect that if completed or ongoing, these activities will lead to the following changes in 1-3 years.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2" name="Text Box 32"/>
                                          <wps:cNvSpPr txBox="1"/>
                                          <wps:spPr>
                                            <a:xfrm>
                                              <a:off x="11534775" y="4057650"/>
                                              <a:ext cx="2038350" cy="685800"/>
                                            </a:xfrm>
                                            <a:prstGeom prst="rect">
                                              <a:avLst/>
                                            </a:prstGeom>
                                            <a:solidFill>
                                              <a:srgbClr val="82DDE2"/>
                                            </a:solidFill>
                                            <a:ln w="6350">
                                              <a:noFill/>
                                            </a:ln>
                                          </wps:spPr>
                                          <wps:txbx>
                                            <w:txbxContent>
                                              <w:p w14:paraId="69264742" w14:textId="77777777" w:rsidR="00E3500B" w:rsidRPr="00232630" w:rsidRDefault="00E3500B" w:rsidP="00E3500B">
                                                <w:pPr>
                                                  <w:jc w:val="center"/>
                                                  <w:rPr>
                                                    <w:rFonts w:ascii="Arial" w:hAnsi="Arial" w:cs="Arial"/>
                                                    <w:szCs w:val="20"/>
                                                  </w:rPr>
                                                </w:pPr>
                                                <w:r w:rsidRPr="00232630">
                                                  <w:rPr>
                                                    <w:rFonts w:ascii="Arial" w:hAnsi="Arial" w:cs="Arial"/>
                                                    <w:b/>
                                                    <w:bCs/>
                                                    <w:szCs w:val="20"/>
                                                  </w:rPr>
                                                  <w:t>Outcome IV: Reliable market share and portfolio management informs program design and evaluation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4" name="Text Box 34"/>
                                          <wps:cNvSpPr txBox="1"/>
                                          <wps:spPr>
                                            <a:xfrm>
                                              <a:off x="9144000" y="4105275"/>
                                              <a:ext cx="1990725" cy="571500"/>
                                            </a:xfrm>
                                            <a:prstGeom prst="rect">
                                              <a:avLst/>
                                            </a:prstGeom>
                                            <a:solidFill>
                                              <a:srgbClr val="82DDE2"/>
                                            </a:solidFill>
                                            <a:ln w="6350">
                                              <a:noFill/>
                                            </a:ln>
                                          </wps:spPr>
                                          <wps:txbx>
                                            <w:txbxContent>
                                              <w:p w14:paraId="1FA1ACD2" w14:textId="77777777" w:rsidR="00E3500B" w:rsidRPr="00232630" w:rsidRDefault="00E3500B" w:rsidP="00E3500B">
                                                <w:pPr>
                                                  <w:jc w:val="center"/>
                                                  <w:rPr>
                                                    <w:rFonts w:ascii="Arial" w:hAnsi="Arial" w:cs="Arial"/>
                                                    <w:szCs w:val="20"/>
                                                  </w:rPr>
                                                </w:pPr>
                                                <w:r w:rsidRPr="00232630">
                                                  <w:rPr>
                                                    <w:rFonts w:ascii="Arial" w:hAnsi="Arial" w:cs="Arial"/>
                                                    <w:b/>
                                                    <w:bCs/>
                                                    <w:szCs w:val="20"/>
                                                  </w:rPr>
                                                  <w:t>Outcome Ill: Data Platform enables effective program operations processes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5" name="Text Box 35"/>
                                          <wps:cNvSpPr txBox="1"/>
                                          <wps:spPr>
                                            <a:xfrm>
                                              <a:off x="6858000" y="4019550"/>
                                              <a:ext cx="2000250" cy="723900"/>
                                            </a:xfrm>
                                            <a:prstGeom prst="rect">
                                              <a:avLst/>
                                            </a:prstGeom>
                                            <a:solidFill>
                                              <a:srgbClr val="82DDE2"/>
                                            </a:solidFill>
                                            <a:ln w="6350">
                                              <a:noFill/>
                                            </a:ln>
                                          </wps:spPr>
                                          <wps:txbx>
                                            <w:txbxContent>
                                              <w:p w14:paraId="10F0BFF2" w14:textId="77777777" w:rsidR="00E3500B" w:rsidRPr="00232630" w:rsidRDefault="00E3500B" w:rsidP="00E3500B">
                                                <w:pPr>
                                                  <w:jc w:val="center"/>
                                                  <w:rPr>
                                                    <w:rFonts w:ascii="Arial" w:hAnsi="Arial" w:cs="Arial"/>
                                                    <w:szCs w:val="20"/>
                                                  </w:rPr>
                                                </w:pPr>
                                                <w:r w:rsidRPr="00232630">
                                                  <w:rPr>
                                                    <w:rFonts w:ascii="Arial" w:hAnsi="Arial" w:cs="Arial"/>
                                                    <w:b/>
                                                    <w:bCs/>
                                                    <w:szCs w:val="20"/>
                                                  </w:rPr>
                                                  <w:t>Outcome Il: ENERGY STAR data and federal test procedures better reflect real world energy consumption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6" name="Text Box 36"/>
                                          <wps:cNvSpPr txBox="1"/>
                                          <wps:spPr>
                                            <a:xfrm>
                                              <a:off x="0" y="-278456"/>
                                              <a:ext cx="13830301" cy="421359"/>
                                            </a:xfrm>
                                            <a:prstGeom prst="rect">
                                              <a:avLst/>
                                            </a:prstGeom>
                                            <a:solidFill>
                                              <a:schemeClr val="tx1"/>
                                            </a:solidFill>
                                            <a:ln w="6350">
                                              <a:solidFill>
                                                <a:prstClr val="black"/>
                                              </a:solidFill>
                                            </a:ln>
                                          </wps:spPr>
                                          <wps:txbx>
                                            <w:txbxContent>
                                              <w:p w14:paraId="4A5C4E3A" w14:textId="77777777" w:rsidR="00E3500B" w:rsidRPr="00232630" w:rsidRDefault="00E3500B" w:rsidP="00E3500B">
                                                <w:pPr>
                                                  <w:spacing w:before="120"/>
                                                  <w:rPr>
                                                    <w:rFonts w:ascii="Arial" w:hAnsi="Arial" w:cs="Arial"/>
                                                    <w:szCs w:val="20"/>
                                                  </w:rPr>
                                                </w:pPr>
                                                <w:r w:rsidRPr="00232630">
                                                  <w:rPr>
                                                    <w:rFonts w:ascii="Arial" w:hAnsi="Arial" w:cs="Arial"/>
                                                    <w:b/>
                                                    <w:bCs/>
                                                    <w:szCs w:val="20"/>
                                                  </w:rPr>
                                                  <w:t>ENERGY STAR</w:t>
                                                </w:r>
                                                <w:r w:rsidRPr="00232630">
                                                  <w:rPr>
                                                    <w:rFonts w:ascii="Arial" w:hAnsi="Arial" w:cs="Arial"/>
                                                    <w:b/>
                                                    <w:bCs/>
                                                    <w:szCs w:val="20"/>
                                                    <w:vertAlign w:val="superscript"/>
                                                  </w:rPr>
                                                  <w:t>®</w:t>
                                                </w:r>
                                                <w:r w:rsidRPr="00232630">
                                                  <w:rPr>
                                                    <w:rFonts w:ascii="Arial" w:hAnsi="Arial" w:cs="Arial"/>
                                                    <w:b/>
                                                    <w:bCs/>
                                                    <w:szCs w:val="20"/>
                                                  </w:rPr>
                                                  <w:t xml:space="preserve"> Retail Products Platform Logic Model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7" name="Straight Connector 37"/>
                                          <wps:cNvCnPr/>
                                          <wps:spPr>
                                            <a:xfrm>
                                              <a:off x="352425" y="1384719"/>
                                              <a:ext cx="13477240" cy="0"/>
                                            </a:xfrm>
                                            <a:prstGeom prst="line">
                                              <a:avLst/>
                                            </a:prstGeom>
                                            <a:ln w="25400">
                                              <a:solidFill>
                                                <a:srgbClr val="93D500"/>
                                              </a:solidFill>
                                            </a:ln>
                                          </wps:spPr>
                                          <wps:style>
                                            <a:lnRef idx="3">
                                              <a:schemeClr val="accent1"/>
                                            </a:lnRef>
                                            <a:fillRef idx="0">
                                              <a:schemeClr val="accent1"/>
                                            </a:fillRef>
                                            <a:effectRef idx="2">
                                              <a:schemeClr val="accent1"/>
                                            </a:effectRef>
                                            <a:fontRef idx="minor">
                                              <a:schemeClr val="tx1"/>
                                            </a:fontRef>
                                          </wps:style>
                                          <wps:bodyPr/>
                                        </wps:wsp>
                                        <wps:wsp>
                                          <wps:cNvPr id="38" name="Text Box 38"/>
                                          <wps:cNvSpPr txBox="1"/>
                                          <wps:spPr>
                                            <a:xfrm>
                                              <a:off x="4457700" y="4398123"/>
                                              <a:ext cx="2171700" cy="1008613"/>
                                            </a:xfrm>
                                            <a:prstGeom prst="rect">
                                              <a:avLst/>
                                            </a:prstGeom>
                                            <a:solidFill>
                                              <a:srgbClr val="82DDE2"/>
                                            </a:solidFill>
                                            <a:ln w="6350">
                                              <a:noFill/>
                                            </a:ln>
                                          </wps:spPr>
                                          <wps:txbx>
                                            <w:txbxContent>
                                              <w:p w14:paraId="5D6EA93F" w14:textId="77777777" w:rsidR="00E3500B" w:rsidRPr="00232630" w:rsidRDefault="00E3500B" w:rsidP="00E3500B">
                                                <w:pPr>
                                                  <w:jc w:val="center"/>
                                                  <w:rPr>
                                                    <w:rFonts w:ascii="Arial" w:hAnsi="Arial" w:cs="Arial"/>
                                                    <w:szCs w:val="20"/>
                                                  </w:rPr>
                                                </w:pPr>
                                                <w:r w:rsidRPr="00232630">
                                                  <w:rPr>
                                                    <w:rFonts w:ascii="Arial" w:hAnsi="Arial" w:cs="Arial"/>
                                                    <w:b/>
                                                    <w:bCs/>
                                                    <w:szCs w:val="20"/>
                                                  </w:rPr>
                                                  <w:t xml:space="preserve">Outcome Vl: Increase in ENERGY STAR (or higher tiers) market share for RPP product categories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9" name="Text Box 39"/>
                                          <wps:cNvSpPr txBox="1"/>
                                          <wps:spPr>
                                            <a:xfrm>
                                              <a:off x="2124074" y="2563541"/>
                                              <a:ext cx="2112645" cy="981075"/>
                                            </a:xfrm>
                                            <a:prstGeom prst="rect">
                                              <a:avLst/>
                                            </a:prstGeom>
                                            <a:solidFill>
                                              <a:schemeClr val="accent1">
                                                <a:lumMod val="75000"/>
                                              </a:schemeClr>
                                            </a:solidFill>
                                            <a:ln w="6350">
                                              <a:noFill/>
                                            </a:ln>
                                          </wps:spPr>
                                          <wps:txbx>
                                            <w:txbxContent>
                                              <w:p w14:paraId="6B1853DF" w14:textId="77777777" w:rsidR="00E3500B" w:rsidRPr="00232630" w:rsidRDefault="00E3500B" w:rsidP="00E3500B">
                                                <w:pPr>
                                                  <w:jc w:val="center"/>
                                                  <w:rPr>
                                                    <w:rFonts w:ascii="Arial" w:hAnsi="Arial" w:cs="Arial"/>
                                                    <w:b/>
                                                    <w:bCs/>
                                                    <w:szCs w:val="20"/>
                                                  </w:rPr>
                                                </w:pPr>
                                                <w:r w:rsidRPr="00232630">
                                                  <w:rPr>
                                                    <w:rFonts w:ascii="Arial" w:hAnsi="Arial" w:cs="Arial"/>
                                                    <w:b/>
                                                    <w:bCs/>
                                                    <w:szCs w:val="20"/>
                                                  </w:rPr>
                                                  <w:t>Participating retailers are aware of specifications and incentives and receive incentives for selling qualifying products and providing data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0" name="Text Box 40"/>
                                          <wps:cNvSpPr txBox="1"/>
                                          <wps:spPr>
                                            <a:xfrm>
                                              <a:off x="2136024" y="1569672"/>
                                              <a:ext cx="1914525" cy="562746"/>
                                            </a:xfrm>
                                            <a:prstGeom prst="rect">
                                              <a:avLst/>
                                            </a:prstGeom>
                                            <a:solidFill>
                                              <a:srgbClr val="2DBAC1"/>
                                            </a:solidFill>
                                            <a:ln w="6350">
                                              <a:noFill/>
                                            </a:ln>
                                          </wps:spPr>
                                          <wps:txbx>
                                            <w:txbxContent>
                                              <w:p w14:paraId="56202624" w14:textId="77777777" w:rsidR="00E3500B" w:rsidRPr="00232630" w:rsidRDefault="00E3500B" w:rsidP="00E3500B">
                                                <w:pPr>
                                                  <w:jc w:val="center"/>
                                                  <w:rPr>
                                                    <w:rFonts w:ascii="Arial" w:hAnsi="Arial" w:cs="Arial"/>
                                                    <w:b/>
                                                    <w:bCs/>
                                                    <w:szCs w:val="20"/>
                                                  </w:rPr>
                                                </w:pPr>
                                                <w:r w:rsidRPr="00232630">
                                                  <w:rPr>
                                                    <w:rFonts w:ascii="Arial" w:hAnsi="Arial" w:cs="Arial"/>
                                                    <w:b/>
                                                    <w:bCs/>
                                                    <w:szCs w:val="20"/>
                                                  </w:rPr>
                                                  <w:t>Recruit, engage, and provide incentives to retailers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1" name="Text Box 41"/>
                                          <wps:cNvSpPr txBox="1"/>
                                          <wps:spPr>
                                            <a:xfrm>
                                              <a:off x="2095499" y="3828478"/>
                                              <a:ext cx="2141219" cy="1019105"/>
                                            </a:xfrm>
                                            <a:prstGeom prst="rect">
                                              <a:avLst/>
                                            </a:prstGeom>
                                            <a:solidFill>
                                              <a:srgbClr val="82DDE2"/>
                                            </a:solidFill>
                                            <a:ln w="6350">
                                              <a:noFill/>
                                            </a:ln>
                                          </wps:spPr>
                                          <wps:txbx>
                                            <w:txbxContent>
                                              <w:p w14:paraId="5E166519" w14:textId="77777777" w:rsidR="00E3500B" w:rsidRPr="00232630" w:rsidRDefault="00E3500B" w:rsidP="00E3500B">
                                                <w:pPr>
                                                  <w:jc w:val="center"/>
                                                  <w:rPr>
                                                    <w:rFonts w:ascii="Arial" w:hAnsi="Arial" w:cs="Arial"/>
                                                    <w:b/>
                                                    <w:bCs/>
                                                    <w:szCs w:val="20"/>
                                                  </w:rPr>
                                                </w:pPr>
                                                <w:r w:rsidRPr="00232630">
                                                  <w:rPr>
                                                    <w:rFonts w:ascii="Arial" w:hAnsi="Arial" w:cs="Arial"/>
                                                    <w:b/>
                                                    <w:bCs/>
                                                    <w:szCs w:val="20"/>
                                                  </w:rPr>
                                                  <w:t>Outcome I: Program achieves sufficient scale of program sponsors, customers, and incentives budgets to influence retailer decision-making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42" name="Text Box 42"/>
                                        <wps:cNvSpPr txBox="1"/>
                                        <wps:spPr>
                                          <a:xfrm>
                                            <a:off x="4448175" y="5629105"/>
                                            <a:ext cx="2152650" cy="752475"/>
                                          </a:xfrm>
                                          <a:prstGeom prst="rect">
                                            <a:avLst/>
                                          </a:prstGeom>
                                          <a:solidFill>
                                            <a:srgbClr val="82DDE2"/>
                                          </a:solidFill>
                                          <a:ln w="6350">
                                            <a:noFill/>
                                          </a:ln>
                                        </wps:spPr>
                                        <wps:txbx>
                                          <w:txbxContent>
                                            <w:p w14:paraId="2C8B7646" w14:textId="77777777" w:rsidR="00E3500B" w:rsidRPr="00232630" w:rsidRDefault="00E3500B" w:rsidP="00E3500B">
                                              <w:pPr>
                                                <w:jc w:val="center"/>
                                                <w:rPr>
                                                  <w:rFonts w:ascii="Arial" w:hAnsi="Arial" w:cs="Arial"/>
                                                  <w:szCs w:val="20"/>
                                                </w:rPr>
                                              </w:pPr>
                                              <w:r w:rsidRPr="00232630">
                                                <w:rPr>
                                                  <w:rFonts w:ascii="Arial" w:hAnsi="Arial" w:cs="Arial"/>
                                                  <w:b/>
                                                  <w:bCs/>
                                                  <w:szCs w:val="20"/>
                                                </w:rPr>
                                                <w:t>Outcome IX: Increase in ENERGY STAR (or higher tiers) qualifying criteria for RPP product categories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43" name="Text Box 43"/>
                                      <wps:cNvSpPr txBox="1"/>
                                      <wps:spPr>
                                        <a:xfrm rot="16200000">
                                          <a:off x="-962025" y="2333625"/>
                                          <a:ext cx="2190750" cy="266700"/>
                                        </a:xfrm>
                                        <a:prstGeom prst="rect">
                                          <a:avLst/>
                                        </a:prstGeom>
                                        <a:noFill/>
                                        <a:ln w="6350">
                                          <a:solidFill>
                                            <a:prstClr val="black"/>
                                          </a:solidFill>
                                        </a:ln>
                                      </wps:spPr>
                                      <wps:txbx>
                                        <w:txbxContent>
                                          <w:p w14:paraId="62DD0C74" w14:textId="77777777" w:rsidR="00E3500B" w:rsidRPr="00232630" w:rsidRDefault="00E3500B" w:rsidP="00E3500B">
                                            <w:pPr>
                                              <w:jc w:val="center"/>
                                              <w:rPr>
                                                <w:rFonts w:ascii="Arial" w:hAnsi="Arial" w:cs="Arial"/>
                                                <w:b/>
                                                <w:bCs/>
                                                <w:szCs w:val="20"/>
                                              </w:rPr>
                                            </w:pPr>
                                            <w:r w:rsidRPr="00232630">
                                              <w:rPr>
                                                <w:rFonts w:ascii="Arial" w:hAnsi="Arial" w:cs="Arial"/>
                                                <w:b/>
                                                <w:bCs/>
                                                <w:szCs w:val="20"/>
                                              </w:rPr>
                                              <w:t>ComEd’s Role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44" name="Connector: Elbow 44"/>
                                    <wps:cNvCnPr/>
                                    <wps:spPr>
                                      <a:xfrm flipH="1">
                                        <a:off x="6628681" y="5055080"/>
                                        <a:ext cx="2888052" cy="1275678"/>
                                      </a:xfrm>
                                      <a:prstGeom prst="bentConnector3">
                                        <a:avLst>
                                          <a:gd name="adj1" fmla="val 95203"/>
                                        </a:avLst>
                                      </a:prstGeom>
                                      <a:ln>
                                        <a:solidFill>
                                          <a:schemeClr val="bg2">
                                            <a:lumMod val="50000"/>
                                          </a:schemeClr>
                                        </a:solidFill>
                                        <a:tailEnd type="triangle"/>
                                      </a:ln>
                                    </wps:spPr>
                                    <wps:style>
                                      <a:lnRef idx="3">
                                        <a:schemeClr val="dk1"/>
                                      </a:lnRef>
                                      <a:fillRef idx="0">
                                        <a:schemeClr val="dk1"/>
                                      </a:fillRef>
                                      <a:effectRef idx="2">
                                        <a:schemeClr val="dk1"/>
                                      </a:effectRef>
                                      <a:fontRef idx="minor">
                                        <a:schemeClr val="tx1"/>
                                      </a:fontRef>
                                    </wps:style>
                                    <wps:bodyPr/>
                                  </wps:wsp>
                                  <wps:wsp>
                                    <wps:cNvPr id="45" name="Straight Connector 45"/>
                                    <wps:cNvCnPr/>
                                    <wps:spPr>
                                      <a:xfrm>
                                        <a:off x="9514936" y="4891178"/>
                                        <a:ext cx="0" cy="168228"/>
                                      </a:xfrm>
                                      <a:prstGeom prst="line">
                                        <a:avLst/>
                                      </a:prstGeom>
                                    </wps:spPr>
                                    <wps:style>
                                      <a:lnRef idx="3">
                                        <a:schemeClr val="dk1"/>
                                      </a:lnRef>
                                      <a:fillRef idx="0">
                                        <a:schemeClr val="dk1"/>
                                      </a:fillRef>
                                      <a:effectRef idx="2">
                                        <a:schemeClr val="dk1"/>
                                      </a:effectRef>
                                      <a:fontRef idx="minor">
                                        <a:schemeClr val="tx1"/>
                                      </a:fontRef>
                                    </wps:style>
                                    <wps:bodyPr/>
                                  </wps:wsp>
                                </wpg:grpSp>
                                <wps:wsp>
                                  <wps:cNvPr id="46" name="Straight Arrow Connector 46"/>
                                  <wps:cNvCnPr/>
                                  <wps:spPr>
                                    <a:xfrm>
                                      <a:off x="8056418" y="6032665"/>
                                      <a:ext cx="0" cy="593725"/>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wps:wsp>
                                  <wps:cNvPr id="47" name="Straight Arrow Connector 47"/>
                                  <wps:cNvCnPr/>
                                  <wps:spPr>
                                    <a:xfrm>
                                      <a:off x="5431971" y="2517569"/>
                                      <a:ext cx="0" cy="504825"/>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wps:wsp>
                                  <wps:cNvPr id="48" name="Straight Arrow Connector 48"/>
                                  <wps:cNvCnPr/>
                                  <wps:spPr>
                                    <a:xfrm>
                                      <a:off x="8056418" y="2505694"/>
                                      <a:ext cx="0" cy="428625"/>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wps:wsp>
                                  <wps:cNvPr id="49" name="Straight Arrow Connector 49"/>
                                  <wps:cNvCnPr/>
                                  <wps:spPr>
                                    <a:xfrm>
                                      <a:off x="8056418" y="7231567"/>
                                      <a:ext cx="0" cy="33797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wps:wsp>
                                  <wps:cNvPr id="50" name="Straight Arrow Connector 50"/>
                                  <wps:cNvCnPr/>
                                  <wps:spPr>
                                    <a:xfrm>
                                      <a:off x="2997530" y="5023263"/>
                                      <a:ext cx="0" cy="26035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wps:wsp>
                                  <wps:cNvPr id="51" name="Straight Arrow Connector 51"/>
                                  <wps:cNvCnPr/>
                                  <wps:spPr>
                                    <a:xfrm>
                                      <a:off x="2985655" y="3788229"/>
                                      <a:ext cx="0" cy="26670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wps:wsp>
                                  <wps:cNvPr id="52" name="Straight Arrow Connector 52"/>
                                  <wps:cNvCnPr/>
                                  <wps:spPr>
                                    <a:xfrm flipH="1">
                                      <a:off x="5871358" y="6625036"/>
                                      <a:ext cx="2" cy="94450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wps:wsp>
                                  <wps:cNvPr id="53" name="Straight Arrow Connector 53"/>
                                  <wps:cNvCnPr/>
                                  <wps:spPr>
                                    <a:xfrm>
                                      <a:off x="12569042" y="2588821"/>
                                      <a:ext cx="0" cy="428625"/>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wps:wsp>
                                  <wps:cNvPr id="54" name="Connector: Elbow 54"/>
                                  <wps:cNvCnPr/>
                                  <wps:spPr>
                                    <a:xfrm flipH="1">
                                      <a:off x="2090305" y="3384468"/>
                                      <a:ext cx="45719" cy="2343150"/>
                                    </a:xfrm>
                                    <a:prstGeom prst="bentConnector3">
                                      <a:avLst>
                                        <a:gd name="adj1" fmla="val 349411"/>
                                      </a:avLst>
                                    </a:prstGeom>
                                    <a:ln>
                                      <a:tailEnd type="triangle"/>
                                    </a:ln>
                                  </wps:spPr>
                                  <wps:style>
                                    <a:lnRef idx="3">
                                      <a:schemeClr val="dk1"/>
                                    </a:lnRef>
                                    <a:fillRef idx="0">
                                      <a:schemeClr val="dk1"/>
                                    </a:fillRef>
                                    <a:effectRef idx="2">
                                      <a:schemeClr val="dk1"/>
                                    </a:effectRef>
                                    <a:fontRef idx="minor">
                                      <a:schemeClr val="tx1"/>
                                    </a:fontRef>
                                  </wps:style>
                                  <wps:bodyPr/>
                                </wps:wsp>
                                <wps:wsp>
                                  <wps:cNvPr id="55" name="Connector: Elbow 55"/>
                                  <wps:cNvCnPr/>
                                  <wps:spPr>
                                    <a:xfrm rot="5400000" flipV="1">
                                      <a:off x="10481879" y="542232"/>
                                      <a:ext cx="433152" cy="1911349"/>
                                    </a:xfrm>
                                    <a:prstGeom prst="bentConnector3">
                                      <a:avLst>
                                        <a:gd name="adj1" fmla="val 56745"/>
                                      </a:avLst>
                                    </a:prstGeom>
                                    <a:ln>
                                      <a:solidFill>
                                        <a:schemeClr val="bg2">
                                          <a:lumMod val="50000"/>
                                        </a:schemeClr>
                                      </a:solidFill>
                                      <a:tailEnd type="triangle"/>
                                    </a:ln>
                                  </wps:spPr>
                                  <wps:style>
                                    <a:lnRef idx="3">
                                      <a:schemeClr val="dk1"/>
                                    </a:lnRef>
                                    <a:fillRef idx="0">
                                      <a:schemeClr val="dk1"/>
                                    </a:fillRef>
                                    <a:effectRef idx="2">
                                      <a:schemeClr val="dk1"/>
                                    </a:effectRef>
                                    <a:fontRef idx="minor">
                                      <a:schemeClr val="tx1"/>
                                    </a:fontRef>
                                  </wps:style>
                                  <wps:bodyPr/>
                                </wps:wsp>
                                <wps:wsp>
                                  <wps:cNvPr id="56" name="Straight Arrow Connector 56"/>
                                  <wps:cNvCnPr/>
                                  <wps:spPr>
                                    <a:xfrm>
                                      <a:off x="2961904" y="1175572"/>
                                      <a:ext cx="0" cy="608746"/>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wps:wsp>
                                  <wps:cNvPr id="57" name="Straight Arrow Connector 57"/>
                                  <wps:cNvCnPr/>
                                  <wps:spPr>
                                    <a:xfrm>
                                      <a:off x="5431971" y="1175657"/>
                                      <a:ext cx="0" cy="666541"/>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wps:wsp>
                                  <wps:cNvPr id="58" name="Straight Arrow Connector 58"/>
                                  <wps:cNvCnPr/>
                                  <wps:spPr>
                                    <a:xfrm>
                                      <a:off x="8531431" y="1270660"/>
                                      <a:ext cx="0" cy="565035"/>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wps:wsp>
                                  <wps:cNvPr id="59" name="Connector: Elbow 59"/>
                                  <wps:cNvCnPr/>
                                  <wps:spPr>
                                    <a:xfrm rot="16200000" flipH="1" flipV="1">
                                      <a:off x="4261811" y="2877099"/>
                                      <a:ext cx="470189" cy="1860472"/>
                                    </a:xfrm>
                                    <a:prstGeom prst="bentConnector3">
                                      <a:avLst>
                                        <a:gd name="adj1" fmla="val 76000"/>
                                      </a:avLst>
                                    </a:prstGeom>
                                    <a:ln>
                                      <a:tailEnd type="triangle"/>
                                    </a:ln>
                                  </wps:spPr>
                                  <wps:style>
                                    <a:lnRef idx="3">
                                      <a:schemeClr val="dk1"/>
                                    </a:lnRef>
                                    <a:fillRef idx="0">
                                      <a:schemeClr val="dk1"/>
                                    </a:fillRef>
                                    <a:effectRef idx="2">
                                      <a:schemeClr val="dk1"/>
                                    </a:effectRef>
                                    <a:fontRef idx="minor">
                                      <a:schemeClr val="tx1"/>
                                    </a:fontRef>
                                  </wps:style>
                                  <wps:bodyPr/>
                                </wps:wsp>
                                <wps:wsp>
                                  <wps:cNvPr id="60" name="Straight Arrow Connector 60"/>
                                  <wps:cNvCnPr/>
                                  <wps:spPr>
                                    <a:xfrm>
                                      <a:off x="4073236" y="5372595"/>
                                      <a:ext cx="361950" cy="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wps:wsp>
                                  <wps:cNvPr id="61" name="Connector: Elbow 61"/>
                                  <wps:cNvCnPr/>
                                  <wps:spPr>
                                    <a:xfrm>
                                      <a:off x="6241720" y="6614556"/>
                                      <a:ext cx="621102" cy="368923"/>
                                    </a:xfrm>
                                    <a:prstGeom prst="bentConnector3">
                                      <a:avLst>
                                        <a:gd name="adj1" fmla="val -1395"/>
                                      </a:avLst>
                                    </a:prstGeom>
                                    <a:ln>
                                      <a:tailEnd type="triangle"/>
                                    </a:ln>
                                  </wps:spPr>
                                  <wps:style>
                                    <a:lnRef idx="3">
                                      <a:schemeClr val="dk1"/>
                                    </a:lnRef>
                                    <a:fillRef idx="0">
                                      <a:schemeClr val="dk1"/>
                                    </a:fillRef>
                                    <a:effectRef idx="2">
                                      <a:schemeClr val="dk1"/>
                                    </a:effectRef>
                                    <a:fontRef idx="minor">
                                      <a:schemeClr val="tx1"/>
                                    </a:fontRef>
                                  </wps:style>
                                  <wps:bodyPr/>
                                </wps:wsp>
                                <wps:wsp>
                                  <wps:cNvPr id="62" name="Connector: Elbow 62"/>
                                  <wps:cNvCnPr/>
                                  <wps:spPr>
                                    <a:xfrm rot="16200000" flipV="1">
                                      <a:off x="10147395" y="2675342"/>
                                      <a:ext cx="45719" cy="3159018"/>
                                    </a:xfrm>
                                    <a:prstGeom prst="bentConnector3">
                                      <a:avLst>
                                        <a:gd name="adj1" fmla="val 340259"/>
                                      </a:avLst>
                                    </a:prstGeom>
                                    <a:ln>
                                      <a:solidFill>
                                        <a:schemeClr val="bg2">
                                          <a:lumMod val="50000"/>
                                        </a:schemeClr>
                                      </a:solidFill>
                                      <a:tailEnd type="triangle"/>
                                    </a:ln>
                                  </wps:spPr>
                                  <wps:style>
                                    <a:lnRef idx="3">
                                      <a:schemeClr val="dk1"/>
                                    </a:lnRef>
                                    <a:fillRef idx="0">
                                      <a:schemeClr val="dk1"/>
                                    </a:fillRef>
                                    <a:effectRef idx="2">
                                      <a:schemeClr val="dk1"/>
                                    </a:effectRef>
                                    <a:fontRef idx="minor">
                                      <a:schemeClr val="tx1"/>
                                    </a:fontRef>
                                  </wps:style>
                                  <wps:bodyPr/>
                                </wps:wsp>
                                <wps:wsp>
                                  <wps:cNvPr id="63" name="Straight Arrow Connector 63"/>
                                  <wps:cNvCnPr/>
                                  <wps:spPr>
                                    <a:xfrm>
                                      <a:off x="8056418" y="4963886"/>
                                      <a:ext cx="0" cy="51435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wps:wsp>
                                  <wps:cNvPr id="480" name="Straight Arrow Connector 480"/>
                                  <wps:cNvCnPr/>
                                  <wps:spPr>
                                    <a:xfrm>
                                      <a:off x="10087099" y="4892634"/>
                                      <a:ext cx="0" cy="47625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wps:wsp>
                                  <wps:cNvPr id="481" name="Connector: Elbow 481"/>
                                  <wps:cNvCnPr/>
                                  <wps:spPr>
                                    <a:xfrm rot="5400000" flipV="1">
                                      <a:off x="10967085" y="3302800"/>
                                      <a:ext cx="724854" cy="1235712"/>
                                    </a:xfrm>
                                    <a:prstGeom prst="bentConnector3">
                                      <a:avLst>
                                        <a:gd name="adj1" fmla="val 49579"/>
                                      </a:avLst>
                                    </a:prstGeom>
                                    <a:ln>
                                      <a:tailEnd type="triangle"/>
                                    </a:ln>
                                  </wps:spPr>
                                  <wps:style>
                                    <a:lnRef idx="3">
                                      <a:schemeClr val="dk1"/>
                                    </a:lnRef>
                                    <a:fillRef idx="0">
                                      <a:schemeClr val="dk1"/>
                                    </a:fillRef>
                                    <a:effectRef idx="2">
                                      <a:schemeClr val="dk1"/>
                                    </a:effectRef>
                                    <a:fontRef idx="minor">
                                      <a:schemeClr val="tx1"/>
                                    </a:fontRef>
                                  </wps:style>
                                  <wps:bodyPr/>
                                </wps:wsp>
                                <wps:wsp>
                                  <wps:cNvPr id="482" name="Straight Arrow Connector 482"/>
                                  <wps:cNvCnPr/>
                                  <wps:spPr>
                                    <a:xfrm>
                                      <a:off x="12569042" y="3574473"/>
                                      <a:ext cx="0" cy="70485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wps:wsp>
                                  <wps:cNvPr id="483" name="Straight Arrow Connector 483"/>
                                  <wps:cNvCnPr/>
                                  <wps:spPr>
                                    <a:xfrm>
                                      <a:off x="10087099" y="3574473"/>
                                      <a:ext cx="0" cy="75565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wps:wsp>
                                  <wps:cNvPr id="484" name="Connector: Elbow 484"/>
                                  <wps:cNvCnPr/>
                                  <wps:spPr>
                                    <a:xfrm rot="16200000" flipH="1" flipV="1">
                                      <a:off x="8716295" y="3222720"/>
                                      <a:ext cx="670047" cy="1371745"/>
                                    </a:xfrm>
                                    <a:prstGeom prst="bentConnector3">
                                      <a:avLst>
                                        <a:gd name="adj1" fmla="val 53020"/>
                                      </a:avLst>
                                    </a:prstGeom>
                                    <a:ln>
                                      <a:tailEnd type="triangle"/>
                                    </a:ln>
                                  </wps:spPr>
                                  <wps:style>
                                    <a:lnRef idx="3">
                                      <a:schemeClr val="dk1"/>
                                    </a:lnRef>
                                    <a:fillRef idx="0">
                                      <a:schemeClr val="dk1"/>
                                    </a:fillRef>
                                    <a:effectRef idx="2">
                                      <a:schemeClr val="dk1"/>
                                    </a:effectRef>
                                    <a:fontRef idx="minor">
                                      <a:schemeClr val="tx1"/>
                                    </a:fontRef>
                                  </wps:style>
                                  <wps:bodyPr/>
                                </wps:wsp>
                                <wps:wsp>
                                  <wps:cNvPr id="485" name="Straight Arrow Connector 485"/>
                                  <wps:cNvCnPr/>
                                  <wps:spPr>
                                    <a:xfrm>
                                      <a:off x="8056418" y="3686254"/>
                                      <a:ext cx="0" cy="541022"/>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wps:wsp>
                                  <wps:cNvPr id="486" name="Connector: Elbow 486"/>
                                  <wps:cNvCnPr/>
                                  <wps:spPr>
                                    <a:xfrm rot="16200000" flipH="1" flipV="1">
                                      <a:off x="10818449" y="518046"/>
                                      <a:ext cx="504606" cy="1976611"/>
                                    </a:xfrm>
                                    <a:prstGeom prst="bentConnector3">
                                      <a:avLst>
                                        <a:gd name="adj1" fmla="val 27591"/>
                                      </a:avLst>
                                    </a:prstGeom>
                                    <a:ln>
                                      <a:tailEnd type="triangle"/>
                                    </a:ln>
                                  </wps:spPr>
                                  <wps:style>
                                    <a:lnRef idx="3">
                                      <a:schemeClr val="dk1"/>
                                    </a:lnRef>
                                    <a:fillRef idx="0">
                                      <a:schemeClr val="dk1"/>
                                    </a:fillRef>
                                    <a:effectRef idx="2">
                                      <a:schemeClr val="dk1"/>
                                    </a:effectRef>
                                    <a:fontRef idx="minor">
                                      <a:schemeClr val="tx1"/>
                                    </a:fontRef>
                                  </wps:style>
                                  <wps:bodyPr/>
                                </wps:wsp>
                                <wps:wsp>
                                  <wps:cNvPr id="487" name="Straight Arrow Connector 487"/>
                                  <wps:cNvCnPr/>
                                  <wps:spPr>
                                    <a:xfrm>
                                      <a:off x="10087099" y="2588821"/>
                                      <a:ext cx="0" cy="428625"/>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wps:wsp>
                                  <wps:cNvPr id="488" name="Straight Arrow Connector 488"/>
                                  <wps:cNvCnPr/>
                                  <wps:spPr>
                                    <a:xfrm>
                                      <a:off x="2961904" y="2351315"/>
                                      <a:ext cx="0" cy="441325"/>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wps:wsp>
                                  <wps:cNvPr id="489" name="Connector: Elbow 489"/>
                                  <wps:cNvCnPr/>
                                  <wps:spPr>
                                    <a:xfrm rot="5400000" flipV="1">
                                      <a:off x="3909967" y="2064592"/>
                                      <a:ext cx="667704" cy="1236030"/>
                                    </a:xfrm>
                                    <a:prstGeom prst="bentConnector3">
                                      <a:avLst>
                                        <a:gd name="adj1" fmla="val 37050"/>
                                      </a:avLst>
                                    </a:prstGeom>
                                    <a:ln>
                                      <a:tailEnd type="triangle"/>
                                    </a:ln>
                                  </wps:spPr>
                                  <wps:style>
                                    <a:lnRef idx="3">
                                      <a:schemeClr val="dk1"/>
                                    </a:lnRef>
                                    <a:fillRef idx="0">
                                      <a:schemeClr val="dk1"/>
                                    </a:fillRef>
                                    <a:effectRef idx="2">
                                      <a:schemeClr val="dk1"/>
                                    </a:effectRef>
                                    <a:fontRef idx="minor">
                                      <a:schemeClr val="tx1"/>
                                    </a:fontRef>
                                  </wps:style>
                                  <wps:bodyPr/>
                                </wps:wsp>
                              </wpg:grpSp>
                              <wps:wsp>
                                <wps:cNvPr id="490" name="Text Box 490"/>
                                <wps:cNvSpPr txBox="1"/>
                                <wps:spPr>
                                  <a:xfrm>
                                    <a:off x="10801350" y="7496175"/>
                                    <a:ext cx="2971800" cy="561975"/>
                                  </a:xfrm>
                                  <a:prstGeom prst="rect">
                                    <a:avLst/>
                                  </a:prstGeom>
                                  <a:solidFill>
                                    <a:schemeClr val="lt1"/>
                                  </a:solidFill>
                                  <a:ln w="6350">
                                    <a:solidFill>
                                      <a:prstClr val="black"/>
                                    </a:solidFill>
                                  </a:ln>
                                </wps:spPr>
                                <wps:txbx>
                                  <w:txbxContent>
                                    <w:p w14:paraId="38C47990" w14:textId="77777777" w:rsidR="00E3500B" w:rsidRPr="00232630" w:rsidRDefault="00E3500B" w:rsidP="00E3500B">
                                      <w:pPr>
                                        <w:rPr>
                                          <w:rFonts w:ascii="Arial" w:hAnsi="Arial" w:cs="Arial"/>
                                          <w:szCs w:val="20"/>
                                        </w:rPr>
                                      </w:pPr>
                                      <w:r w:rsidRPr="00232630">
                                        <w:rPr>
                                          <w:rFonts w:ascii="Arial" w:hAnsi="Arial" w:cs="Arial"/>
                                          <w:b/>
                                          <w:bCs/>
                                          <w:szCs w:val="20"/>
                                        </w:rPr>
                                        <w:t>INITIATIVE</w:t>
                                      </w:r>
                                      <w:r w:rsidRPr="00232630">
                                        <w:rPr>
                                          <w:rFonts w:ascii="Arial" w:hAnsi="Arial" w:cs="Arial"/>
                                          <w:szCs w:val="20"/>
                                        </w:rPr>
                                        <w:tab/>
                                      </w:r>
                                      <w:r w:rsidRPr="00232630">
                                        <w:rPr>
                                          <w:rFonts w:ascii="Arial" w:hAnsi="Arial" w:cs="Arial"/>
                                          <w:szCs w:val="20"/>
                                        </w:rPr>
                                        <w:tab/>
                                        <w:t>Retail Products Platform</w:t>
                                      </w:r>
                                    </w:p>
                                    <w:p w14:paraId="64784E2B" w14:textId="77777777" w:rsidR="00E3500B" w:rsidRPr="00232630" w:rsidRDefault="00E3500B" w:rsidP="00E3500B">
                                      <w:pPr>
                                        <w:rPr>
                                          <w:rFonts w:ascii="Arial" w:hAnsi="Arial" w:cs="Arial"/>
                                          <w:szCs w:val="20"/>
                                        </w:rPr>
                                      </w:pPr>
                                      <w:r w:rsidRPr="00232630">
                                        <w:rPr>
                                          <w:rFonts w:ascii="Arial" w:hAnsi="Arial" w:cs="Arial"/>
                                          <w:b/>
                                          <w:bCs/>
                                          <w:szCs w:val="20"/>
                                        </w:rPr>
                                        <w:t>PREPARED BY</w:t>
                                      </w:r>
                                      <w:r w:rsidRPr="00232630">
                                        <w:rPr>
                                          <w:rFonts w:ascii="Arial" w:hAnsi="Arial" w:cs="Arial"/>
                                          <w:szCs w:val="20"/>
                                        </w:rPr>
                                        <w:tab/>
                                      </w:r>
                                      <w:r w:rsidRPr="00232630">
                                        <w:rPr>
                                          <w:rFonts w:ascii="Arial" w:hAnsi="Arial" w:cs="Arial"/>
                                          <w:szCs w:val="20"/>
                                        </w:rPr>
                                        <w:tab/>
                                        <w:t>NEEA</w:t>
                                      </w:r>
                                    </w:p>
                                    <w:p w14:paraId="765BC50C" w14:textId="77777777" w:rsidR="00E3500B" w:rsidRPr="00232630" w:rsidRDefault="00E3500B" w:rsidP="00E3500B">
                                      <w:pPr>
                                        <w:rPr>
                                          <w:rFonts w:ascii="Arial" w:hAnsi="Arial" w:cs="Arial"/>
                                          <w:szCs w:val="20"/>
                                        </w:rPr>
                                      </w:pPr>
                                      <w:r w:rsidRPr="00232630">
                                        <w:rPr>
                                          <w:rFonts w:ascii="Arial" w:hAnsi="Arial" w:cs="Arial"/>
                                          <w:b/>
                                          <w:bCs/>
                                          <w:szCs w:val="20"/>
                                        </w:rPr>
                                        <w:t>LAST REVISION</w:t>
                                      </w:r>
                                      <w:r w:rsidRPr="00232630">
                                        <w:rPr>
                                          <w:rFonts w:ascii="Arial" w:hAnsi="Arial" w:cs="Arial"/>
                                          <w:szCs w:val="20"/>
                                        </w:rPr>
                                        <w:tab/>
                                      </w:r>
                                      <w:r w:rsidRPr="00232630">
                                        <w:rPr>
                                          <w:rFonts w:ascii="Arial" w:hAnsi="Arial" w:cs="Arial"/>
                                          <w:szCs w:val="20"/>
                                        </w:rPr>
                                        <w:tab/>
                                        <w:t>Nov. 15, 2021 by Guidehouse</w:t>
                                      </w:r>
                                    </w:p>
                                    <w:p w14:paraId="39A3601C" w14:textId="77777777" w:rsidR="00E3500B" w:rsidRPr="00232630" w:rsidRDefault="00E3500B" w:rsidP="00E3500B">
                                      <w:pPr>
                                        <w:rPr>
                                          <w:rFonts w:ascii="Arial" w:hAnsi="Arial" w:cs="Arial"/>
                                          <w:b/>
                                          <w:bCs/>
                                          <w:szCs w:val="20"/>
                                        </w:rPr>
                                      </w:pPr>
                                      <w:r w:rsidRPr="00232630">
                                        <w:rPr>
                                          <w:rFonts w:ascii="Arial" w:hAnsi="Arial" w:cs="Arial"/>
                                          <w:b/>
                                          <w:bCs/>
                                          <w:szCs w:val="20"/>
                                        </w:rPr>
                                        <w:t>APPROVAL STATUS</w:t>
                                      </w:r>
                                      <w:r w:rsidRPr="00232630">
                                        <w:rPr>
                                          <w:rFonts w:ascii="Arial" w:hAnsi="Arial" w:cs="Arial"/>
                                          <w:b/>
                                          <w:bCs/>
                                          <w:szCs w:val="20"/>
                                        </w:rPr>
                                        <w:tab/>
                                      </w:r>
                                      <w:r w:rsidRPr="00232630">
                                        <w:rPr>
                                          <w:rFonts w:ascii="Arial" w:hAnsi="Arial" w:cs="Arial"/>
                                          <w:szCs w:val="20"/>
                                        </w:rPr>
                                        <w:t>Draft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anchor>
                    </w:drawing>
                  </mc:Choice>
                  <mc:Fallback>
                    <w:pict>
                      <v:group w14:anchorId="356A9FFC" id="Group 4" o:spid="_x0000_s1028" style="position:absolute;left:0;text-align:left;margin-left:30.75pt;margin-top:-8.1pt;width:1089.7pt;height:645.2pt;z-index:251682304;mso-position-horizontal-relative:text;mso-position-vertical-relative:text;mso-width-relative:margin" coordsize="138391,819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">
                        <v:group id="Group 7" o:spid="_x0000_s1029" style="position:absolute;width:138391;height:81939" coordorigin=",-593" coordsize="138391,833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10" o:spid="_x0000_s1030" type="#_x0000_t34" style="position:absolute;left:59279;top:32449;width:14212;height:13746;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" strokecolor="black [3200]" strokeweight="1.5pt">
                            <v:stroke endarrow="block"/>
                          </v:shape>
                          <v:shapetype id="_x0000_t32" coordsize="21600,21600" o:spt="32" o:oned="t" path="m,l21600,21600e" filled="f">
                            <v:path arrowok="t" fillok="f" o:connecttype="none"/>
                            <o:lock v:ext="edit" shapetype="t"/>
                          </v:shapetype>
                          <v:shape id="Straight Arrow Connector 11" o:spid="_x0000_s1031" type="#_x0000_t32" style="position:absolute;left:55150;top:55457;width:0;height:314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" strokecolor="black [3200]" strokeweight="1.5pt">
                            <v:stroke endarrow="block" joinstyle="miter"/>
                          </v:shape>
                          <v:group id="Group 12" o:spid="_x0000_s1032" style="position:absolute;top:-593;width:138391;height:83395" coordorigin=",-593" coordsize="138391,833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group id="Group 17" o:spid="_x0000_s1033" style="position:absolute;top:-593;width:138391;height:83395" coordorigin=",-2784" coordsize="138391,834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group id="Group 20" o:spid="_x0000_s1034" style="position:absolute;top:-2784;width:138391;height:83402" coordorigin=",-2784" coordsize="138391,834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 id="Text Box 22" o:spid="_x0000_s1035" type="#_x0000_t202" style="position:absolute;left:54102;top:73781;width:39909;height:59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" fillcolor="#002060" stroked="f" strokeweight=".5pt">
                                  <v:textbox>
                                    <w:txbxContent>
                                      <w:p w14:paraId="4AF43667" w14:textId="77777777" w:rsidR="00E3500B" w:rsidRPr="00232630" w:rsidRDefault="00E3500B" w:rsidP="00E3500B">
                                        <w:pPr>
                                          <w:jc w:val="center"/>
                                          <w:rPr>
                                            <w:rFonts w:ascii="Arial" w:hAnsi="Arial" w:cs="Arial"/>
                                            <w:b/>
                                            <w:bCs/>
                                            <w:szCs w:val="20"/>
                                          </w:rPr>
                                        </w:pPr>
                                        <w:r w:rsidRPr="00232630">
                                          <w:rPr>
                                            <w:rFonts w:ascii="Arial" w:hAnsi="Arial" w:cs="Arial"/>
                                            <w:b/>
                                            <w:bCs/>
                                            <w:szCs w:val="20"/>
                                          </w:rPr>
                                          <w:t xml:space="preserve">Manufacturers respond to market changes and build EE into product design, creating permanent change to their process that results in energy savings </w:t>
                                        </w:r>
                                      </w:p>
                                    </w:txbxContent>
                                  </v:textbox>
                                </v:shape>
                                <v:shape id="Text Box 23" o:spid="_x0000_s1036" type="#_x0000_t202" style="position:absolute;left:4095;top:72750;width:14574;height:78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" filled="f" stroked="f" strokeweight=".5pt">
                                  <v:textbox>
                                    <w:txbxContent>
                                      <w:p w14:paraId="1795F7BA" w14:textId="77777777" w:rsidR="00E3500B" w:rsidRPr="00232630" w:rsidRDefault="00E3500B" w:rsidP="00E3500B">
                                        <w:pPr>
                                          <w:jc w:val="left"/>
                                          <w:rPr>
                                            <w:rFonts w:ascii="Arial" w:hAnsi="Arial" w:cs="Arial"/>
                                            <w:b/>
                                            <w:bCs/>
                                            <w:szCs w:val="20"/>
                                          </w:rPr>
                                        </w:pPr>
                                        <w:r w:rsidRPr="00232630">
                                          <w:rPr>
                                            <w:rFonts w:ascii="Arial" w:hAnsi="Arial" w:cs="Arial"/>
                                            <w:b/>
                                            <w:bCs/>
                                            <w:szCs w:val="20"/>
                                          </w:rPr>
                                          <w:t>IMPACT</w:t>
                                        </w:r>
                                      </w:p>
                                      <w:p w14:paraId="6F4D6426" w14:textId="77777777" w:rsidR="00E3500B" w:rsidRPr="006A64D4" w:rsidRDefault="00E3500B" w:rsidP="00E3500B">
                                        <w:pPr>
                                          <w:rPr>
                                            <w:rFonts w:ascii="Arial" w:hAnsi="Arial" w:cs="Arial"/>
                                            <w:sz w:val="16"/>
                                            <w:szCs w:val="16"/>
                                          </w:rPr>
                                        </w:pPr>
                                        <w:r w:rsidRPr="006A64D4">
                                          <w:rPr>
                                            <w:rFonts w:ascii="Arial" w:hAnsi="Arial" w:cs="Arial"/>
                                            <w:sz w:val="16"/>
                                            <w:szCs w:val="16"/>
                                          </w:rPr>
                                          <w:t>What is the final state of the market after it has transformed?</w:t>
                                        </w:r>
                                      </w:p>
                                    </w:txbxContent>
                                  </v:textbox>
                                </v:shape>
                                <v:shape id="Text Box 25" o:spid="_x0000_s1037" type="#_x0000_t202" style="position:absolute;left:4095;top:50327;width:14574;height:126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" filled="f" stroked="f" strokeweight=".5pt">
                                  <v:textbox>
                                    <w:txbxContent>
                                      <w:p w14:paraId="563DB61D" w14:textId="77777777" w:rsidR="00E3500B" w:rsidRPr="00232630" w:rsidRDefault="00E3500B" w:rsidP="00E3500B">
                                        <w:pPr>
                                          <w:spacing w:after="80"/>
                                          <w:rPr>
                                            <w:rFonts w:ascii="Arial" w:hAnsi="Arial" w:cs="Arial"/>
                                            <w:b/>
                                            <w:bCs/>
                                            <w:szCs w:val="20"/>
                                          </w:rPr>
                                        </w:pPr>
                                        <w:r w:rsidRPr="00232630">
                                          <w:rPr>
                                            <w:rFonts w:ascii="Arial" w:hAnsi="Arial" w:cs="Arial"/>
                                            <w:b/>
                                            <w:bCs/>
                                            <w:szCs w:val="20"/>
                                          </w:rPr>
                                          <w:t>Mid-Term</w:t>
                                        </w:r>
                                      </w:p>
                                      <w:p w14:paraId="18806D86" w14:textId="77777777" w:rsidR="00E3500B" w:rsidRPr="006A64D4" w:rsidRDefault="00E3500B" w:rsidP="00E3500B">
                                        <w:pPr>
                                          <w:spacing w:after="80"/>
                                          <w:rPr>
                                            <w:rFonts w:ascii="Arial" w:hAnsi="Arial" w:cs="Arial"/>
                                            <w:sz w:val="16"/>
                                            <w:szCs w:val="16"/>
                                          </w:rPr>
                                        </w:pPr>
                                        <w:r w:rsidRPr="006A64D4">
                                          <w:rPr>
                                            <w:rFonts w:ascii="Arial" w:hAnsi="Arial" w:cs="Arial"/>
                                            <w:sz w:val="16"/>
                                            <w:szCs w:val="16"/>
                                          </w:rPr>
                                          <w:t>We expect that if completed or ongoing, these activities will lead to the following changes in 3-5 years.</w:t>
                                        </w:r>
                                      </w:p>
                                      <w:p w14:paraId="11F6723E" w14:textId="77777777" w:rsidR="00E3500B" w:rsidRPr="006A64D4" w:rsidRDefault="00E3500B" w:rsidP="00E3500B">
                                        <w:pPr>
                                          <w:jc w:val="center"/>
                                          <w:rPr>
                                            <w:rFonts w:ascii="Arial" w:hAnsi="Arial" w:cs="Arial"/>
                                            <w:b/>
                                            <w:bCs/>
                                            <w:sz w:val="16"/>
                                            <w:szCs w:val="16"/>
                                          </w:rPr>
                                        </w:pPr>
                                      </w:p>
                                    </w:txbxContent>
                                  </v:textbox>
                                </v:shape>
                                <v:shape id="Text Box 452" o:spid="_x0000_s1038" type="#_x0000_t202" style="position:absolute;left:4381;top:64068;width:17564;height:8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" filled="f" stroked="f" strokeweight=".5pt">
                                  <v:textbox>
                                    <w:txbxContent>
                                      <w:p w14:paraId="518FAC5A" w14:textId="77777777" w:rsidR="00E3500B" w:rsidRPr="00232630" w:rsidRDefault="00E3500B" w:rsidP="00E3500B">
                                        <w:pPr>
                                          <w:spacing w:after="80"/>
                                          <w:rPr>
                                            <w:rFonts w:ascii="Arial" w:hAnsi="Arial" w:cs="Arial"/>
                                            <w:b/>
                                            <w:bCs/>
                                            <w:szCs w:val="20"/>
                                          </w:rPr>
                                        </w:pPr>
                                        <w:r w:rsidRPr="00232630">
                                          <w:rPr>
                                            <w:rFonts w:ascii="Arial" w:hAnsi="Arial" w:cs="Arial"/>
                                            <w:b/>
                                            <w:bCs/>
                                            <w:szCs w:val="20"/>
                                          </w:rPr>
                                          <w:t>Long-Term</w:t>
                                        </w:r>
                                      </w:p>
                                      <w:p w14:paraId="0FD3CF9E" w14:textId="77777777" w:rsidR="00E3500B" w:rsidRPr="006A64D4" w:rsidRDefault="00E3500B" w:rsidP="00E3500B">
                                        <w:pPr>
                                          <w:spacing w:after="80"/>
                                          <w:rPr>
                                            <w:rFonts w:ascii="Arial" w:hAnsi="Arial" w:cs="Arial"/>
                                            <w:sz w:val="16"/>
                                            <w:szCs w:val="16"/>
                                          </w:rPr>
                                        </w:pPr>
                                        <w:r w:rsidRPr="006A64D4">
                                          <w:rPr>
                                            <w:rFonts w:ascii="Arial" w:hAnsi="Arial" w:cs="Arial"/>
                                            <w:sz w:val="16"/>
                                            <w:szCs w:val="16"/>
                                          </w:rPr>
                                          <w:t>We expect that if completed or ongoing these activities will lead to the following changes in 3-5 years.</w:t>
                                        </w:r>
                                      </w:p>
                                      <w:p w14:paraId="4BD0887C" w14:textId="77777777" w:rsidR="00E3500B" w:rsidRPr="006A64D4" w:rsidRDefault="00E3500B" w:rsidP="00E3500B">
                                        <w:pPr>
                                          <w:jc w:val="center"/>
                                          <w:rPr>
                                            <w:rFonts w:ascii="Arial" w:hAnsi="Arial" w:cs="Arial"/>
                                            <w:b/>
                                            <w:bCs/>
                                            <w:sz w:val="16"/>
                                            <w:szCs w:val="16"/>
                                          </w:rPr>
                                        </w:pPr>
                                      </w:p>
                                    </w:txbxContent>
                                  </v:textbox>
                                </v:shape>
                                <v:shape id="Text Box 453" o:spid="_x0000_s1039" type="#_x0000_t202" style="position:absolute;left:68484;top:64586;width:20765;height: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" fillcolor="#82dde2" stroked="f" strokeweight=".5pt">
                                  <v:textbox>
                                    <w:txbxContent>
                                      <w:p w14:paraId="1416285F" w14:textId="77777777" w:rsidR="00E3500B" w:rsidRPr="00232630" w:rsidRDefault="00E3500B" w:rsidP="00E3500B">
                                        <w:pPr>
                                          <w:jc w:val="center"/>
                                          <w:rPr>
                                            <w:rFonts w:ascii="Arial" w:hAnsi="Arial" w:cs="Arial"/>
                                            <w:szCs w:val="20"/>
                                          </w:rPr>
                                        </w:pPr>
                                        <w:r w:rsidRPr="00232630">
                                          <w:rPr>
                                            <w:rFonts w:ascii="Arial" w:hAnsi="Arial" w:cs="Arial"/>
                                            <w:b/>
                                            <w:bCs/>
                                            <w:szCs w:val="20"/>
                                          </w:rPr>
                                          <w:t>Outcome X: Change in federal minimum standards for RPP categories</w:t>
                                        </w:r>
                                      </w:p>
                                    </w:txbxContent>
                                  </v:textbox>
                                </v:shape>
                                <v:shape id="Text Box 454" o:spid="_x0000_s1040" type="#_x0000_t202" style="position:absolute;left:91440;top:51530;width:19907;height:8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" fillcolor="#82dde2" stroked="f" strokeweight=".5pt">
                                  <v:textbox>
                                    <w:txbxContent>
                                      <w:p w14:paraId="6D9C487C" w14:textId="77777777" w:rsidR="00E3500B" w:rsidRPr="00232630" w:rsidRDefault="00E3500B" w:rsidP="00E3500B">
                                        <w:pPr>
                                          <w:jc w:val="center"/>
                                          <w:rPr>
                                            <w:rFonts w:ascii="Arial" w:hAnsi="Arial" w:cs="Arial"/>
                                            <w:szCs w:val="20"/>
                                          </w:rPr>
                                        </w:pPr>
                                        <w:r w:rsidRPr="00232630">
                                          <w:rPr>
                                            <w:rFonts w:ascii="Arial" w:hAnsi="Arial" w:cs="Arial"/>
                                            <w:b/>
                                            <w:bCs/>
                                            <w:szCs w:val="20"/>
                                          </w:rPr>
                                          <w:t>Outcome VIII: Data management system builds sufficient trust with retailers so that access to data is no longer a barrier</w:t>
                                        </w:r>
                                      </w:p>
                                    </w:txbxContent>
                                  </v:textbox>
                                </v:shape>
                                <v:shape id="Text Box 455" o:spid="_x0000_s1041" type="#_x0000_t202" style="position:absolute;left:20955;top:50577;width:19812;height:9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" fillcolor="#82dde2" stroked="f" strokeweight=".5pt">
                                  <v:textbox>
                                    <w:txbxContent>
                                      <w:p w14:paraId="4A6561CB" w14:textId="77777777" w:rsidR="00E3500B" w:rsidRPr="00232630" w:rsidRDefault="00E3500B" w:rsidP="00E3500B">
                                        <w:pPr>
                                          <w:jc w:val="center"/>
                                          <w:rPr>
                                            <w:rFonts w:ascii="Arial" w:hAnsi="Arial" w:cs="Arial"/>
                                            <w:szCs w:val="20"/>
                                          </w:rPr>
                                        </w:pPr>
                                        <w:r w:rsidRPr="00232630">
                                          <w:rPr>
                                            <w:rFonts w:ascii="Arial" w:hAnsi="Arial" w:cs="Arial"/>
                                            <w:b/>
                                            <w:bCs/>
                                            <w:szCs w:val="20"/>
                                          </w:rPr>
                                          <w:t>Outcome V: Retailers and merchants incorporate incentives into their assortment and marketing decision-making process</w:t>
                                        </w:r>
                                      </w:p>
                                    </w:txbxContent>
                                  </v:textbox>
                                </v:shape>
                                <v:shape id="Text Box 456" o:spid="_x0000_s1042" type="#_x0000_t202" style="position:absolute;left:68580;top:52578;width:19812;height:5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" fillcolor="#82dde2" stroked="f" strokeweight=".5pt">
                                  <v:textbox>
                                    <w:txbxContent>
                                      <w:p w14:paraId="074126D0" w14:textId="77777777" w:rsidR="00E3500B" w:rsidRPr="00232630" w:rsidRDefault="00E3500B" w:rsidP="00E3500B">
                                        <w:pPr>
                                          <w:jc w:val="center"/>
                                          <w:rPr>
                                            <w:rFonts w:ascii="Arial" w:hAnsi="Arial" w:cs="Arial"/>
                                            <w:szCs w:val="20"/>
                                          </w:rPr>
                                        </w:pPr>
                                        <w:r w:rsidRPr="00232630">
                                          <w:rPr>
                                            <w:rFonts w:ascii="Arial" w:hAnsi="Arial" w:cs="Arial"/>
                                            <w:b/>
                                            <w:bCs/>
                                            <w:szCs w:val="20"/>
                                          </w:rPr>
                                          <w:t>Outcome VII: Reliable per unit energy savings values for RRP product categories</w:t>
                                        </w:r>
                                      </w:p>
                                    </w:txbxContent>
                                  </v:textbox>
                                </v:shape>
                                <v:shape id="Text Box 457" o:spid="_x0000_s1043" type="#_x0000_t202" style="position:absolute;left:-11037;top:50400;width:24765;height:2619;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" fillcolor="white [3201]" strokeweight=".5pt">
                                  <v:textbox>
                                    <w:txbxContent>
                                      <w:p w14:paraId="25526785" w14:textId="77777777" w:rsidR="00E3500B" w:rsidRPr="00232630" w:rsidRDefault="00E3500B" w:rsidP="00E3500B">
                                        <w:pPr>
                                          <w:jc w:val="center"/>
                                          <w:rPr>
                                            <w:rFonts w:ascii="Arial" w:hAnsi="Arial" w:cs="Arial"/>
                                            <w:b/>
                                            <w:bCs/>
                                            <w:szCs w:val="20"/>
                                          </w:rPr>
                                        </w:pPr>
                                        <w:r w:rsidRPr="00232630">
                                          <w:rPr>
                                            <w:rFonts w:ascii="Arial" w:hAnsi="Arial" w:cs="Arial"/>
                                            <w:b/>
                                            <w:bCs/>
                                            <w:szCs w:val="20"/>
                                          </w:rPr>
                                          <w:t>Market’s Response</w:t>
                                        </w:r>
                                      </w:p>
                                    </w:txbxContent>
                                  </v:textbox>
                                </v:shape>
                                <v:line id="Straight Connector 458" o:spid="_x0000_s1044" style="position:absolute;visibility:visible;mso-wrap-style:square" from="3143,64212" to="137915,642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" strokecolor="#93d500" strokeweight="2pt">
                                  <v:stroke joinstyle="miter"/>
                                </v:line>
                                <v:line id="Straight Connector 459" o:spid="_x0000_s1045" style="position:absolute;visibility:visible;mso-wrap-style:square" from="3238,72410" to="138010,724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" strokecolor="#93d500" strokeweight="2pt">
                                  <v:stroke joinstyle="miter"/>
                                </v:line>
                                <v:group id="Group 460" o:spid="_x0000_s1046" style="position:absolute;top:-2784;width:138391;height:56851" coordorigin=",-2784" coordsize="138391,568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">
                                  <v:line id="Straight Connector 461" o:spid="_x0000_s1047" style="position:absolute;visibility:visible;mso-wrap-style:square" from="3619,24574" to="138391,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" strokecolor="#93d500" strokeweight="2pt">
                                    <v:stroke joinstyle="miter"/>
                                  </v:line>
                                  <v:line id="Straight Connector 462" o:spid="_x0000_s1048" style="position:absolute;visibility:visible;mso-wrap-style:square" from="3524,49339" to="138296,49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" strokecolor="#93d500" strokeweight="2pt">
                                    <v:stroke joinstyle="miter"/>
                                  </v:line>
                                  <v:line id="Straight Connector 463" o:spid="_x0000_s1049" style="position:absolute;visibility:visible;mso-wrap-style:square" from="3524,36290" to="138296,362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" strokecolor="#93d500" strokeweight="2pt">
                                    <v:stroke joinstyle="miter"/>
                                  </v:line>
                                  <v:shape id="Text Box 464" o:spid="_x0000_s1050" type="#_x0000_t202" style="position:absolute;left:108775;top:1968;width:22955;height:86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" fillcolor="#002060" stroked="f" strokeweight=".5pt">
                                    <v:textbox>
                                      <w:txbxContent>
                                        <w:p w14:paraId="4B30B357" w14:textId="77777777" w:rsidR="00E3500B" w:rsidRPr="00232630" w:rsidRDefault="00E3500B" w:rsidP="00E3500B">
                                          <w:pPr>
                                            <w:jc w:val="center"/>
                                            <w:rPr>
                                              <w:rFonts w:ascii="Arial" w:hAnsi="Arial" w:cs="Arial"/>
                                              <w:b/>
                                              <w:bCs/>
                                              <w:color w:val="FFFFFF" w:themeColor="background1"/>
                                              <w:szCs w:val="20"/>
                                            </w:rPr>
                                          </w:pPr>
                                          <w:r w:rsidRPr="00232630">
                                            <w:rPr>
                                              <w:rFonts w:ascii="Arial" w:hAnsi="Arial" w:cs="Arial"/>
                                              <w:b/>
                                              <w:bCs/>
                                              <w:color w:val="FFFFFF" w:themeColor="background1"/>
                                              <w:szCs w:val="20"/>
                                            </w:rPr>
                                            <w:t>Lack of access to full category sales data inhibits ability to influence formal specification/ standards process and allow for informed program decisions</w:t>
                                          </w:r>
                                        </w:p>
                                      </w:txbxContent>
                                    </v:textbox>
                                  </v:shape>
                                  <v:shape id="Text Box 465" o:spid="_x0000_s1051" type="#_x0000_t202" style="position:absolute;left:44386;top:16191;width:21431;height:6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" fillcolor="#2dbac1" stroked="f" strokeweight=".5pt">
                                    <v:textbox>
                                      <w:txbxContent>
                                        <w:p w14:paraId="5541CD18" w14:textId="77777777" w:rsidR="00E3500B" w:rsidRPr="00232630" w:rsidRDefault="00E3500B" w:rsidP="00E3500B">
                                          <w:pPr>
                                            <w:jc w:val="center"/>
                                            <w:rPr>
                                              <w:rFonts w:ascii="Arial" w:hAnsi="Arial" w:cs="Arial"/>
                                              <w:b/>
                                              <w:bCs/>
                                              <w:szCs w:val="20"/>
                                            </w:rPr>
                                          </w:pPr>
                                          <w:r w:rsidRPr="00232630">
                                            <w:rPr>
                                              <w:rFonts w:ascii="Arial" w:hAnsi="Arial" w:cs="Arial"/>
                                              <w:b/>
                                              <w:bCs/>
                                              <w:szCs w:val="20"/>
                                            </w:rPr>
                                            <w:t>Participate in extra-regional coordination efforts with program sponsors and retailers to increase program scale</w:t>
                                          </w:r>
                                        </w:p>
                                      </w:txbxContent>
                                    </v:textbox>
                                  </v:shape>
                                  <v:shape id="Text Box 466" o:spid="_x0000_s1052" type="#_x0000_t202" style="position:absolute;left:44386;top:4350;width:21431;height:72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" fillcolor="#002060" stroked="f" strokeweight=".5pt">
                                    <v:textbox>
                                      <w:txbxContent>
                                        <w:p w14:paraId="5ADF298A" w14:textId="77777777" w:rsidR="00E3500B" w:rsidRPr="003A47B2" w:rsidRDefault="00E3500B" w:rsidP="00E3500B">
                                          <w:pPr>
                                            <w:jc w:val="center"/>
                                            <w:rPr>
                                              <w:rFonts w:ascii="Arial" w:hAnsi="Arial" w:cs="Arial"/>
                                              <w:b/>
                                              <w:bCs/>
                                              <w:color w:val="FFFFFF" w:themeColor="background1"/>
                                              <w:szCs w:val="20"/>
                                            </w:rPr>
                                          </w:pPr>
                                          <w:r w:rsidRPr="003A47B2">
                                            <w:rPr>
                                              <w:rFonts w:ascii="Arial" w:hAnsi="Arial" w:cs="Arial"/>
                                              <w:b/>
                                              <w:bCs/>
                                              <w:color w:val="FFFFFF" w:themeColor="background1"/>
                                              <w:szCs w:val="20"/>
                                            </w:rPr>
                                            <w:t>Benefits of energy savings are too small to highly impact  most consumers’ choices</w:t>
                                          </w:r>
                                        </w:p>
                                      </w:txbxContent>
                                    </v:textbox>
                                  </v:shape>
                                  <v:shape id="Text Box 467" o:spid="_x0000_s1053" type="#_x0000_t202" style="position:absolute;left:78962;top:1969;width:20860;height:8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" fillcolor="#002060" stroked="f" strokeweight=".5pt">
                                    <v:textbox>
                                      <w:txbxContent>
                                        <w:p w14:paraId="24A69E72" w14:textId="77777777" w:rsidR="00E3500B" w:rsidRPr="00232630" w:rsidRDefault="00E3500B" w:rsidP="00E3500B">
                                          <w:pPr>
                                            <w:jc w:val="center"/>
                                            <w:rPr>
                                              <w:rFonts w:ascii="Arial" w:hAnsi="Arial" w:cs="Arial"/>
                                              <w:b/>
                                              <w:bCs/>
                                              <w:szCs w:val="20"/>
                                            </w:rPr>
                                          </w:pPr>
                                          <w:r w:rsidRPr="00232630">
                                            <w:rPr>
                                              <w:rFonts w:ascii="Arial" w:hAnsi="Arial" w:cs="Arial"/>
                                              <w:b/>
                                              <w:bCs/>
                                              <w:szCs w:val="20"/>
                                            </w:rPr>
                                            <w:t>Manufacturers are unlikely to respond outside of specification and standards process to increase EE of consumer products</w:t>
                                          </w:r>
                                        </w:p>
                                      </w:txbxContent>
                                    </v:textbox>
                                  </v:shape>
                                  <v:shape id="Text Box 468" o:spid="_x0000_s1054" type="#_x0000_t202" style="position:absolute;left:20859;top:4350;width:19146;height:5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" fillcolor="#002060" stroked="f" strokeweight=".5pt">
                                    <v:textbox>
                                      <w:txbxContent>
                                        <w:p w14:paraId="1002A625" w14:textId="77777777" w:rsidR="00E3500B" w:rsidRPr="00232630" w:rsidRDefault="00E3500B" w:rsidP="00E3500B">
                                          <w:pPr>
                                            <w:jc w:val="center"/>
                                            <w:rPr>
                                              <w:rFonts w:ascii="Arial" w:hAnsi="Arial" w:cs="Arial"/>
                                              <w:b/>
                                              <w:bCs/>
                                              <w:color w:val="FFFFFF" w:themeColor="background1"/>
                                              <w:szCs w:val="20"/>
                                            </w:rPr>
                                          </w:pPr>
                                          <w:r w:rsidRPr="00232630">
                                            <w:rPr>
                                              <w:rFonts w:ascii="Arial" w:hAnsi="Arial" w:cs="Arial"/>
                                              <w:b/>
                                              <w:bCs/>
                                              <w:color w:val="FFFFFF" w:themeColor="background1"/>
                                              <w:szCs w:val="20"/>
                                            </w:rPr>
                                            <w:t xml:space="preserve">EE is not considered </w:t>
                                          </w:r>
                                          <w:r w:rsidRPr="003A47B2">
                                            <w:rPr>
                                              <w:rFonts w:ascii="Arial" w:hAnsi="Arial" w:cs="Arial"/>
                                              <w:b/>
                                              <w:bCs/>
                                              <w:color w:val="FFFFFF" w:themeColor="background1"/>
                                              <w:szCs w:val="20"/>
                                            </w:rPr>
                                            <w:t xml:space="preserve">strongly enough by </w:t>
                                          </w:r>
                                          <w:r w:rsidRPr="00232630">
                                            <w:rPr>
                                              <w:rFonts w:ascii="Arial" w:hAnsi="Arial" w:cs="Arial"/>
                                              <w:b/>
                                              <w:bCs/>
                                              <w:color w:val="FFFFFF" w:themeColor="background1"/>
                                              <w:szCs w:val="20"/>
                                            </w:rPr>
                                            <w:t>corporate retail buyers</w:t>
                                          </w:r>
                                        </w:p>
                                      </w:txbxContent>
                                    </v:textbox>
                                  </v:shape>
                                  <v:shape id="Text Box 469" o:spid="_x0000_s1055" type="#_x0000_t202" style="position:absolute;left:90773;top:15208;width:20383;height:8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" fillcolor="#2dbac1" stroked="f" strokeweight=".5pt">
                                    <v:textbox>
                                      <w:txbxContent>
                                        <w:p w14:paraId="0778BB9B" w14:textId="77777777" w:rsidR="00E3500B" w:rsidRPr="00232630" w:rsidRDefault="00E3500B" w:rsidP="00E3500B">
                                          <w:pPr>
                                            <w:jc w:val="center"/>
                                            <w:rPr>
                                              <w:rFonts w:ascii="Arial" w:hAnsi="Arial" w:cs="Arial"/>
                                              <w:b/>
                                              <w:bCs/>
                                              <w:szCs w:val="20"/>
                                            </w:rPr>
                                          </w:pPr>
                                          <w:r w:rsidRPr="00232630">
                                            <w:rPr>
                                              <w:rFonts w:ascii="Arial" w:hAnsi="Arial" w:cs="Arial"/>
                                              <w:b/>
                                              <w:bCs/>
                                              <w:szCs w:val="20"/>
                                            </w:rPr>
                                            <w:t>Develop and implement a data management system and market intelligence process for use in program design and related decisions</w:t>
                                          </w:r>
                                        </w:p>
                                      </w:txbxContent>
                                    </v:textbox>
                                  </v:shape>
                                  <v:shape id="Text Box 470" o:spid="_x0000_s1056" type="#_x0000_t202" style="position:absolute;left:114585;top:14954;width:20479;height:87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" fillcolor="#2dbac1" stroked="f" strokeweight=".5pt">
                                    <v:textbox>
                                      <w:txbxContent>
                                        <w:p w14:paraId="521772FE" w14:textId="77777777" w:rsidR="00E3500B" w:rsidRPr="00232630" w:rsidRDefault="00E3500B" w:rsidP="00E3500B">
                                          <w:pPr>
                                            <w:jc w:val="center"/>
                                            <w:rPr>
                                              <w:rFonts w:ascii="Arial" w:hAnsi="Arial" w:cs="Arial"/>
                                              <w:b/>
                                              <w:bCs/>
                                              <w:szCs w:val="20"/>
                                            </w:rPr>
                                          </w:pPr>
                                          <w:r w:rsidRPr="00232630">
                                            <w:rPr>
                                              <w:rFonts w:ascii="Arial" w:hAnsi="Arial" w:cs="Arial"/>
                                              <w:b/>
                                              <w:bCs/>
                                              <w:szCs w:val="20"/>
                                            </w:rPr>
                                            <w:t>Develop and execute a portfolio management process that includes protocols for efficiency tiers and on/offboarding of products</w:t>
                                          </w:r>
                                        </w:p>
                                      </w:txbxContent>
                                    </v:textbox>
                                  </v:shape>
                                  <v:shape id="Text Box 471" o:spid="_x0000_s1057" type="#_x0000_t202" style="position:absolute;left:68484;top:16192;width:19908;height:6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" fillcolor="#2dbac1" stroked="f" strokeweight=".5pt">
                                    <v:textbox>
                                      <w:txbxContent>
                                        <w:p w14:paraId="5C7A12BB" w14:textId="77777777" w:rsidR="00E3500B" w:rsidRPr="00232630" w:rsidRDefault="00E3500B" w:rsidP="00E3500B">
                                          <w:pPr>
                                            <w:jc w:val="center"/>
                                            <w:rPr>
                                              <w:rFonts w:ascii="Arial" w:hAnsi="Arial" w:cs="Arial"/>
                                              <w:b/>
                                              <w:bCs/>
                                              <w:szCs w:val="20"/>
                                            </w:rPr>
                                          </w:pPr>
                                          <w:r w:rsidRPr="00232630">
                                            <w:rPr>
                                              <w:rFonts w:ascii="Arial" w:hAnsi="Arial" w:cs="Arial"/>
                                              <w:b/>
                                              <w:bCs/>
                                              <w:szCs w:val="20"/>
                                            </w:rPr>
                                            <w:t>Work jointly with market actors to influence specifications, standards, and test procedures</w:t>
                                          </w:r>
                                        </w:p>
                                      </w:txbxContent>
                                    </v:textbox>
                                  </v:shape>
                                  <v:shape id="Text Box 472" o:spid="_x0000_s1058" type="#_x0000_t202" style="position:absolute;left:115347;top:28003;width:20384;height:5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" fillcolor="#ed7d31 [3205]" stroked="f" strokeweight=".5pt">
                                    <v:textbox>
                                      <w:txbxContent>
                                        <w:p w14:paraId="378C9112" w14:textId="77777777" w:rsidR="00E3500B" w:rsidRPr="00232630" w:rsidRDefault="00E3500B" w:rsidP="00E3500B">
                                          <w:pPr>
                                            <w:jc w:val="center"/>
                                            <w:rPr>
                                              <w:rFonts w:ascii="Arial" w:hAnsi="Arial" w:cs="Arial"/>
                                              <w:b/>
                                              <w:bCs/>
                                              <w:szCs w:val="20"/>
                                            </w:rPr>
                                          </w:pPr>
                                          <w:r w:rsidRPr="00232630">
                                            <w:rPr>
                                              <w:rFonts w:ascii="Arial" w:hAnsi="Arial" w:cs="Arial"/>
                                              <w:b/>
                                              <w:bCs/>
                                              <w:szCs w:val="20"/>
                                            </w:rPr>
                                            <w:t>Validated portfolio management process and product strategy documents</w:t>
                                          </w:r>
                                        </w:p>
                                      </w:txbxContent>
                                    </v:textbox>
                                  </v:shape>
                                  <v:shape id="Text Box 473" o:spid="_x0000_s1059" type="#_x0000_t202" style="position:absolute;left:90868;top:28003;width:20384;height:54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" fillcolor="#ed7d31 [3205]" stroked="f" strokeweight=".5pt">
                                    <v:textbox>
                                      <w:txbxContent>
                                        <w:p w14:paraId="5110FA20" w14:textId="77777777" w:rsidR="00E3500B" w:rsidRPr="00232630" w:rsidRDefault="00E3500B" w:rsidP="00E3500B">
                                          <w:pPr>
                                            <w:jc w:val="center"/>
                                            <w:rPr>
                                              <w:rFonts w:ascii="Arial" w:hAnsi="Arial" w:cs="Arial"/>
                                              <w:b/>
                                              <w:bCs/>
                                              <w:szCs w:val="20"/>
                                            </w:rPr>
                                          </w:pPr>
                                          <w:r w:rsidRPr="00232630">
                                            <w:rPr>
                                              <w:rFonts w:ascii="Arial" w:hAnsi="Arial" w:cs="Arial"/>
                                              <w:b/>
                                              <w:bCs/>
                                              <w:szCs w:val="20"/>
                                            </w:rPr>
                                            <w:t>Data platform with participating retailer sales data and analysis results</w:t>
                                          </w:r>
                                        </w:p>
                                      </w:txbxContent>
                                    </v:textbox>
                                  </v:shape>
                                  <v:shape id="Text Box 474" o:spid="_x0000_s1060" type="#_x0000_t202" style="position:absolute;left:68580;top:27142;width:19907;height:75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" fillcolor="#ed7d31 [3205]" stroked="f" strokeweight=".5pt">
                                    <v:textbox>
                                      <w:txbxContent>
                                        <w:p w14:paraId="46A6627A" w14:textId="77777777" w:rsidR="00E3500B" w:rsidRPr="00232630" w:rsidRDefault="00E3500B" w:rsidP="00E3500B">
                                          <w:pPr>
                                            <w:jc w:val="center"/>
                                            <w:rPr>
                                              <w:rFonts w:ascii="Arial" w:hAnsi="Arial" w:cs="Arial"/>
                                              <w:b/>
                                              <w:bCs/>
                                              <w:szCs w:val="20"/>
                                            </w:rPr>
                                          </w:pPr>
                                          <w:r w:rsidRPr="00232630">
                                            <w:rPr>
                                              <w:rFonts w:ascii="Arial" w:hAnsi="Arial" w:cs="Arial"/>
                                              <w:b/>
                                              <w:bCs/>
                                              <w:szCs w:val="20"/>
                                            </w:rPr>
                                            <w:t>Comment letters supporting changes to codes, standards, specifications, and test procedures</w:t>
                                          </w:r>
                                        </w:p>
                                      </w:txbxContent>
                                    </v:textbox>
                                  </v:shape>
                                  <v:shape id="Text Box 475" o:spid="_x0000_s1061" type="#_x0000_t202" style="position:absolute;left:44481;top:28003;width:21813;height:5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" fillcolor="#ed7d31 [3205]" stroked="f" strokeweight=".5pt">
                                    <v:textbox>
                                      <w:txbxContent>
                                        <w:p w14:paraId="00C1AA33" w14:textId="77777777" w:rsidR="00E3500B" w:rsidRPr="00232630" w:rsidRDefault="00E3500B" w:rsidP="00E3500B">
                                          <w:pPr>
                                            <w:jc w:val="center"/>
                                            <w:rPr>
                                              <w:rFonts w:ascii="Arial" w:hAnsi="Arial" w:cs="Arial"/>
                                              <w:b/>
                                              <w:bCs/>
                                              <w:szCs w:val="20"/>
                                            </w:rPr>
                                          </w:pPr>
                                          <w:r w:rsidRPr="00232630">
                                            <w:rPr>
                                              <w:rFonts w:ascii="Arial" w:hAnsi="Arial" w:cs="Arial"/>
                                              <w:b/>
                                              <w:bCs/>
                                              <w:szCs w:val="20"/>
                                            </w:rPr>
                                            <w:t>Increase in the number of participating program sponsors and retailers</w:t>
                                          </w:r>
                                        </w:p>
                                      </w:txbxContent>
                                    </v:textbox>
                                  </v:shape>
                                  <v:shape id="Text Box 476" o:spid="_x0000_s1062" type="#_x0000_t202" style="position:absolute;left:4095;top:6286;width:12383;height:4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" filled="f" stroked="f" strokeweight=".5pt">
                                    <v:textbox>
                                      <w:txbxContent>
                                        <w:p w14:paraId="60F4544F" w14:textId="77777777" w:rsidR="00E3500B" w:rsidRPr="00232630" w:rsidRDefault="00E3500B" w:rsidP="00E3500B">
                                          <w:pPr>
                                            <w:jc w:val="center"/>
                                            <w:rPr>
                                              <w:rFonts w:ascii="Arial" w:hAnsi="Arial" w:cs="Arial"/>
                                              <w:b/>
                                              <w:bCs/>
                                              <w:szCs w:val="20"/>
                                            </w:rPr>
                                          </w:pPr>
                                          <w:r w:rsidRPr="00232630">
                                            <w:rPr>
                                              <w:rFonts w:ascii="Arial" w:hAnsi="Arial" w:cs="Arial"/>
                                              <w:b/>
                                              <w:bCs/>
                                              <w:szCs w:val="20"/>
                                            </w:rPr>
                                            <w:t>Barriers</w:t>
                                          </w:r>
                                        </w:p>
                                      </w:txbxContent>
                                    </v:textbox>
                                  </v:shape>
                                  <v:shape id="Text Box 477" o:spid="_x0000_s1063" type="#_x0000_t202" style="position:absolute;left:4095;top:14510;width:14002;height:100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" filled="f" stroked="f" strokeweight=".5pt">
                                    <v:textbox>
                                      <w:txbxContent>
                                        <w:p w14:paraId="4C7663DF" w14:textId="77777777" w:rsidR="00E3500B" w:rsidRPr="00232630" w:rsidRDefault="00E3500B" w:rsidP="00E3500B">
                                          <w:pPr>
                                            <w:spacing w:after="80"/>
                                            <w:jc w:val="center"/>
                                            <w:rPr>
                                              <w:rFonts w:ascii="Arial" w:hAnsi="Arial" w:cs="Arial"/>
                                              <w:b/>
                                              <w:bCs/>
                                              <w:szCs w:val="20"/>
                                            </w:rPr>
                                          </w:pPr>
                                          <w:r w:rsidRPr="00232630">
                                            <w:rPr>
                                              <w:rFonts w:ascii="Arial" w:hAnsi="Arial" w:cs="Arial"/>
                                              <w:b/>
                                              <w:bCs/>
                                              <w:szCs w:val="20"/>
                                            </w:rPr>
                                            <w:t>Activities</w:t>
                                          </w:r>
                                        </w:p>
                                        <w:p w14:paraId="74E234A8" w14:textId="77777777" w:rsidR="00E3500B" w:rsidRPr="006A64D4" w:rsidRDefault="00E3500B" w:rsidP="00E3500B">
                                          <w:pPr>
                                            <w:spacing w:after="80"/>
                                            <w:rPr>
                                              <w:rFonts w:ascii="Arial" w:hAnsi="Arial" w:cs="Arial"/>
                                              <w:sz w:val="16"/>
                                              <w:szCs w:val="16"/>
                                            </w:rPr>
                                          </w:pPr>
                                          <w:r w:rsidRPr="006A64D4">
                                            <w:rPr>
                                              <w:rFonts w:ascii="Arial" w:hAnsi="Arial" w:cs="Arial"/>
                                              <w:sz w:val="16"/>
                                              <w:szCs w:val="16"/>
                                            </w:rPr>
                                            <w:t>In order to address our problem or asset, we will conduct these activities</w:t>
                                          </w:r>
                                        </w:p>
                                      </w:txbxContent>
                                    </v:textbox>
                                  </v:shape>
                                  <v:shape id="Text Box 478" o:spid="_x0000_s1064" type="#_x0000_t202" style="position:absolute;left:4095;top:24572;width:14574;height:11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" filled="f" stroked="f" strokeweight=".5pt">
                                    <v:textbox>
                                      <w:txbxContent>
                                        <w:p w14:paraId="30E3C7AF" w14:textId="77777777" w:rsidR="00E3500B" w:rsidRPr="00232630" w:rsidRDefault="00E3500B" w:rsidP="00E3500B">
                                          <w:pPr>
                                            <w:spacing w:after="80"/>
                                            <w:jc w:val="center"/>
                                            <w:rPr>
                                              <w:rFonts w:ascii="Arial" w:hAnsi="Arial" w:cs="Arial"/>
                                              <w:b/>
                                              <w:bCs/>
                                              <w:szCs w:val="20"/>
                                            </w:rPr>
                                          </w:pPr>
                                          <w:r w:rsidRPr="00232630">
                                            <w:rPr>
                                              <w:rFonts w:ascii="Arial" w:hAnsi="Arial" w:cs="Arial"/>
                                              <w:b/>
                                              <w:bCs/>
                                              <w:szCs w:val="20"/>
                                            </w:rPr>
                                            <w:t>Outputs</w:t>
                                          </w:r>
                                        </w:p>
                                        <w:p w14:paraId="2D706323" w14:textId="77777777" w:rsidR="00E3500B" w:rsidRPr="006A64D4" w:rsidRDefault="00E3500B" w:rsidP="00E3500B">
                                          <w:pPr>
                                            <w:spacing w:after="80"/>
                                            <w:rPr>
                                              <w:rFonts w:ascii="Arial" w:hAnsi="Arial" w:cs="Arial"/>
                                              <w:sz w:val="16"/>
                                              <w:szCs w:val="16"/>
                                            </w:rPr>
                                          </w:pPr>
                                          <w:r w:rsidRPr="006A64D4">
                                            <w:rPr>
                                              <w:rFonts w:ascii="Arial" w:hAnsi="Arial" w:cs="Arial"/>
                                              <w:sz w:val="16"/>
                                              <w:szCs w:val="16"/>
                                            </w:rPr>
                                            <w:t>We expect that once completed or under way these activities will produce the following evidence</w:t>
                                          </w:r>
                                        </w:p>
                                        <w:p w14:paraId="4B97F208" w14:textId="77777777" w:rsidR="00E3500B" w:rsidRPr="006A64D4" w:rsidRDefault="00E3500B" w:rsidP="00E3500B">
                                          <w:pPr>
                                            <w:spacing w:after="80"/>
                                            <w:rPr>
                                              <w:rFonts w:ascii="Arial" w:hAnsi="Arial" w:cs="Arial"/>
                                              <w:sz w:val="18"/>
                                              <w:szCs w:val="18"/>
                                            </w:rPr>
                                          </w:pPr>
                                        </w:p>
                                      </w:txbxContent>
                                    </v:textbox>
                                  </v:shape>
                                  <v:shape id="Text Box 479" o:spid="_x0000_s1065" type="#_x0000_t202" style="position:absolute;left:4095;top:37374;width:14574;height:119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" filled="f" stroked="f" strokeweight=".5pt">
                                    <v:textbox>
                                      <w:txbxContent>
                                        <w:p w14:paraId="1C47A072" w14:textId="77777777" w:rsidR="00E3500B" w:rsidRPr="00232630" w:rsidRDefault="00E3500B" w:rsidP="00E3500B">
                                          <w:pPr>
                                            <w:jc w:val="center"/>
                                            <w:rPr>
                                              <w:rFonts w:ascii="Arial" w:hAnsi="Arial" w:cs="Arial"/>
                                              <w:szCs w:val="20"/>
                                            </w:rPr>
                                          </w:pPr>
                                          <w:r w:rsidRPr="00232630">
                                            <w:rPr>
                                              <w:rFonts w:ascii="Arial" w:hAnsi="Arial" w:cs="Arial"/>
                                              <w:b/>
                                              <w:bCs/>
                                              <w:szCs w:val="20"/>
                                            </w:rPr>
                                            <w:t>Outcomes</w:t>
                                          </w:r>
                                        </w:p>
                                        <w:p w14:paraId="02E3097D" w14:textId="77777777" w:rsidR="00E3500B" w:rsidRPr="00232630" w:rsidRDefault="00E3500B" w:rsidP="00E3500B">
                                          <w:pPr>
                                            <w:rPr>
                                              <w:rFonts w:ascii="Arial" w:hAnsi="Arial" w:cs="Arial"/>
                                              <w:b/>
                                              <w:bCs/>
                                              <w:szCs w:val="20"/>
                                            </w:rPr>
                                          </w:pPr>
                                          <w:r w:rsidRPr="00232630">
                                            <w:rPr>
                                              <w:rFonts w:ascii="Arial" w:hAnsi="Arial" w:cs="Arial"/>
                                              <w:b/>
                                              <w:bCs/>
                                              <w:szCs w:val="20"/>
                                            </w:rPr>
                                            <w:t>Short-Term</w:t>
                                          </w:r>
                                        </w:p>
                                        <w:p w14:paraId="5AEFAC3E" w14:textId="77777777" w:rsidR="00E3500B" w:rsidRPr="006A64D4" w:rsidRDefault="00E3500B" w:rsidP="00E3500B">
                                          <w:pPr>
                                            <w:spacing w:after="80"/>
                                            <w:rPr>
                                              <w:rFonts w:ascii="Arial" w:hAnsi="Arial" w:cs="Arial"/>
                                              <w:sz w:val="16"/>
                                              <w:szCs w:val="16"/>
                                            </w:rPr>
                                          </w:pPr>
                                          <w:r w:rsidRPr="006A64D4">
                                            <w:rPr>
                                              <w:rFonts w:ascii="Arial" w:hAnsi="Arial" w:cs="Arial"/>
                                              <w:sz w:val="16"/>
                                              <w:szCs w:val="16"/>
                                            </w:rPr>
                                            <w:t>We expect that if completed or ongoing, these activities will lead to the following changes in 1-3 years.</w:t>
                                          </w:r>
                                        </w:p>
                                      </w:txbxContent>
                                    </v:textbox>
                                  </v:shape>
                                  <v:shape id="Text Box 32" o:spid="_x0000_s1066" type="#_x0000_t202" style="position:absolute;left:115347;top:40576;width:20384;height:6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" fillcolor="#82dde2" stroked="f" strokeweight=".5pt">
                                    <v:textbox>
                                      <w:txbxContent>
                                        <w:p w14:paraId="69264742" w14:textId="77777777" w:rsidR="00E3500B" w:rsidRPr="00232630" w:rsidRDefault="00E3500B" w:rsidP="00E3500B">
                                          <w:pPr>
                                            <w:jc w:val="center"/>
                                            <w:rPr>
                                              <w:rFonts w:ascii="Arial" w:hAnsi="Arial" w:cs="Arial"/>
                                              <w:szCs w:val="20"/>
                                            </w:rPr>
                                          </w:pPr>
                                          <w:r w:rsidRPr="00232630">
                                            <w:rPr>
                                              <w:rFonts w:ascii="Arial" w:hAnsi="Arial" w:cs="Arial"/>
                                              <w:b/>
                                              <w:bCs/>
                                              <w:szCs w:val="20"/>
                                            </w:rPr>
                                            <w:t>Outcome IV: Reliable market share and portfolio management informs program design and evaluation</w:t>
                                          </w:r>
                                        </w:p>
                                      </w:txbxContent>
                                    </v:textbox>
                                  </v:shape>
                                  <v:shape id="Text Box 34" o:spid="_x0000_s1067" type="#_x0000_t202" style="position:absolute;left:91440;top:41052;width:19907;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" fillcolor="#82dde2" stroked="f" strokeweight=".5pt">
                                    <v:textbox>
                                      <w:txbxContent>
                                        <w:p w14:paraId="1FA1ACD2" w14:textId="77777777" w:rsidR="00E3500B" w:rsidRPr="00232630" w:rsidRDefault="00E3500B" w:rsidP="00E3500B">
                                          <w:pPr>
                                            <w:jc w:val="center"/>
                                            <w:rPr>
                                              <w:rFonts w:ascii="Arial" w:hAnsi="Arial" w:cs="Arial"/>
                                              <w:szCs w:val="20"/>
                                            </w:rPr>
                                          </w:pPr>
                                          <w:r w:rsidRPr="00232630">
                                            <w:rPr>
                                              <w:rFonts w:ascii="Arial" w:hAnsi="Arial" w:cs="Arial"/>
                                              <w:b/>
                                              <w:bCs/>
                                              <w:szCs w:val="20"/>
                                            </w:rPr>
                                            <w:t>Outcome Ill: Data Platform enables effective program operations processes</w:t>
                                          </w:r>
                                        </w:p>
                                      </w:txbxContent>
                                    </v:textbox>
                                  </v:shape>
                                  <v:shape id="Text Box 35" o:spid="_x0000_s1068" type="#_x0000_t202" style="position:absolute;left:68580;top:40195;width:20002;height:7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" fillcolor="#82dde2" stroked="f" strokeweight=".5pt">
                                    <v:textbox>
                                      <w:txbxContent>
                                        <w:p w14:paraId="10F0BFF2" w14:textId="77777777" w:rsidR="00E3500B" w:rsidRPr="00232630" w:rsidRDefault="00E3500B" w:rsidP="00E3500B">
                                          <w:pPr>
                                            <w:jc w:val="center"/>
                                            <w:rPr>
                                              <w:rFonts w:ascii="Arial" w:hAnsi="Arial" w:cs="Arial"/>
                                              <w:szCs w:val="20"/>
                                            </w:rPr>
                                          </w:pPr>
                                          <w:r w:rsidRPr="00232630">
                                            <w:rPr>
                                              <w:rFonts w:ascii="Arial" w:hAnsi="Arial" w:cs="Arial"/>
                                              <w:b/>
                                              <w:bCs/>
                                              <w:szCs w:val="20"/>
                                            </w:rPr>
                                            <w:t>Outcome Il: ENERGY STAR data and federal test procedures better reflect real world energy consumption</w:t>
                                          </w:r>
                                        </w:p>
                                      </w:txbxContent>
                                    </v:textbox>
                                  </v:shape>
                                  <v:shape id="Text Box 36" o:spid="_x0000_s1069" type="#_x0000_t202" style="position:absolute;top:-2784;width:138303;height:42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" fillcolor="black [3213]" strokeweight=".5pt">
                                    <v:textbox>
                                      <w:txbxContent>
                                        <w:p w14:paraId="4A5C4E3A" w14:textId="77777777" w:rsidR="00E3500B" w:rsidRPr="00232630" w:rsidRDefault="00E3500B" w:rsidP="00E3500B">
                                          <w:pPr>
                                            <w:spacing w:before="120"/>
                                            <w:rPr>
                                              <w:rFonts w:ascii="Arial" w:hAnsi="Arial" w:cs="Arial"/>
                                              <w:szCs w:val="20"/>
                                            </w:rPr>
                                          </w:pPr>
                                          <w:r w:rsidRPr="00232630">
                                            <w:rPr>
                                              <w:rFonts w:ascii="Arial" w:hAnsi="Arial" w:cs="Arial"/>
                                              <w:b/>
                                              <w:bCs/>
                                              <w:szCs w:val="20"/>
                                            </w:rPr>
                                            <w:t>ENERGY STAR</w:t>
                                          </w:r>
                                          <w:r w:rsidRPr="00232630">
                                            <w:rPr>
                                              <w:rFonts w:ascii="Arial" w:hAnsi="Arial" w:cs="Arial"/>
                                              <w:b/>
                                              <w:bCs/>
                                              <w:szCs w:val="20"/>
                                              <w:vertAlign w:val="superscript"/>
                                            </w:rPr>
                                            <w:t>®</w:t>
                                          </w:r>
                                          <w:r w:rsidRPr="00232630">
                                            <w:rPr>
                                              <w:rFonts w:ascii="Arial" w:hAnsi="Arial" w:cs="Arial"/>
                                              <w:b/>
                                              <w:bCs/>
                                              <w:szCs w:val="20"/>
                                            </w:rPr>
                                            <w:t xml:space="preserve"> Retail Products Platform Logic Model</w:t>
                                          </w:r>
                                        </w:p>
                                      </w:txbxContent>
                                    </v:textbox>
                                  </v:shape>
                                  <v:line id="Straight Connector 37" o:spid="_x0000_s1070" style="position:absolute;visibility:visible;mso-wrap-style:square" from="3524,13847" to="138296,138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" strokecolor="#93d500" strokeweight="2pt">
                                    <v:stroke joinstyle="miter"/>
                                  </v:line>
                                  <v:shape id="Text Box 38" o:spid="_x0000_s1071" type="#_x0000_t202" style="position:absolute;left:44577;top:43981;width:21717;height:100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" fillcolor="#82dde2" stroked="f" strokeweight=".5pt">
                                    <v:textbox>
                                      <w:txbxContent>
                                        <w:p w14:paraId="5D6EA93F" w14:textId="77777777" w:rsidR="00E3500B" w:rsidRPr="00232630" w:rsidRDefault="00E3500B" w:rsidP="00E3500B">
                                          <w:pPr>
                                            <w:jc w:val="center"/>
                                            <w:rPr>
                                              <w:rFonts w:ascii="Arial" w:hAnsi="Arial" w:cs="Arial"/>
                                              <w:szCs w:val="20"/>
                                            </w:rPr>
                                          </w:pPr>
                                          <w:r w:rsidRPr="00232630">
                                            <w:rPr>
                                              <w:rFonts w:ascii="Arial" w:hAnsi="Arial" w:cs="Arial"/>
                                              <w:b/>
                                              <w:bCs/>
                                              <w:szCs w:val="20"/>
                                            </w:rPr>
                                            <w:t xml:space="preserve">Outcome Vl: Increase in ENERGY STAR (or higher tiers) market share for RPP product categories </w:t>
                                          </w:r>
                                        </w:p>
                                      </w:txbxContent>
                                    </v:textbox>
                                  </v:shape>
                                  <v:shape id="Text Box 39" o:spid="_x0000_s1072" type="#_x0000_t202" style="position:absolute;left:21240;top:25635;width:21127;height:9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" fillcolor="#2e74b5 [2404]" stroked="f" strokeweight=".5pt">
                                    <v:textbox>
                                      <w:txbxContent>
                                        <w:p w14:paraId="6B1853DF" w14:textId="77777777" w:rsidR="00E3500B" w:rsidRPr="00232630" w:rsidRDefault="00E3500B" w:rsidP="00E3500B">
                                          <w:pPr>
                                            <w:jc w:val="center"/>
                                            <w:rPr>
                                              <w:rFonts w:ascii="Arial" w:hAnsi="Arial" w:cs="Arial"/>
                                              <w:b/>
                                              <w:bCs/>
                                              <w:szCs w:val="20"/>
                                            </w:rPr>
                                          </w:pPr>
                                          <w:r w:rsidRPr="00232630">
                                            <w:rPr>
                                              <w:rFonts w:ascii="Arial" w:hAnsi="Arial" w:cs="Arial"/>
                                              <w:b/>
                                              <w:bCs/>
                                              <w:szCs w:val="20"/>
                                            </w:rPr>
                                            <w:t>Participating retailers are aware of specifications and incentives and receive incentives for selling qualifying products and providing data</w:t>
                                          </w:r>
                                        </w:p>
                                      </w:txbxContent>
                                    </v:textbox>
                                  </v:shape>
                                  <v:shape id="Text Box 40" o:spid="_x0000_s1073" type="#_x0000_t202" style="position:absolute;left:21360;top:15696;width:19145;height:56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" fillcolor="#2dbac1" stroked="f" strokeweight=".5pt">
                                    <v:textbox>
                                      <w:txbxContent>
                                        <w:p w14:paraId="56202624" w14:textId="77777777" w:rsidR="00E3500B" w:rsidRPr="00232630" w:rsidRDefault="00E3500B" w:rsidP="00E3500B">
                                          <w:pPr>
                                            <w:jc w:val="center"/>
                                            <w:rPr>
                                              <w:rFonts w:ascii="Arial" w:hAnsi="Arial" w:cs="Arial"/>
                                              <w:b/>
                                              <w:bCs/>
                                              <w:szCs w:val="20"/>
                                            </w:rPr>
                                          </w:pPr>
                                          <w:r w:rsidRPr="00232630">
                                            <w:rPr>
                                              <w:rFonts w:ascii="Arial" w:hAnsi="Arial" w:cs="Arial"/>
                                              <w:b/>
                                              <w:bCs/>
                                              <w:szCs w:val="20"/>
                                            </w:rPr>
                                            <w:t>Recruit, engage, and provide incentives to retailers</w:t>
                                          </w:r>
                                        </w:p>
                                      </w:txbxContent>
                                    </v:textbox>
                                  </v:shape>
                                  <v:shape id="Text Box 41" o:spid="_x0000_s1074" type="#_x0000_t202" style="position:absolute;left:20954;top:38284;width:21413;height:10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" fillcolor="#82dde2" stroked="f" strokeweight=".5pt">
                                    <v:textbox>
                                      <w:txbxContent>
                                        <w:p w14:paraId="5E166519" w14:textId="77777777" w:rsidR="00E3500B" w:rsidRPr="00232630" w:rsidRDefault="00E3500B" w:rsidP="00E3500B">
                                          <w:pPr>
                                            <w:jc w:val="center"/>
                                            <w:rPr>
                                              <w:rFonts w:ascii="Arial" w:hAnsi="Arial" w:cs="Arial"/>
                                              <w:b/>
                                              <w:bCs/>
                                              <w:szCs w:val="20"/>
                                            </w:rPr>
                                          </w:pPr>
                                          <w:r w:rsidRPr="00232630">
                                            <w:rPr>
                                              <w:rFonts w:ascii="Arial" w:hAnsi="Arial" w:cs="Arial"/>
                                              <w:b/>
                                              <w:bCs/>
                                              <w:szCs w:val="20"/>
                                            </w:rPr>
                                            <w:t>Outcome I: Program achieves sufficient scale of program sponsors, customers, and incentives budgets to influence retailer decision-making</w:t>
                                          </w:r>
                                        </w:p>
                                      </w:txbxContent>
                                    </v:textbox>
                                  </v:shape>
                                </v:group>
                                <v:shape id="Text Box 42" o:spid="_x0000_s1075" type="#_x0000_t202" style="position:absolute;left:44481;top:56291;width:21527;height:75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" fillcolor="#82dde2" stroked="f" strokeweight=".5pt">
                                  <v:textbox>
                                    <w:txbxContent>
                                      <w:p w14:paraId="2C8B7646" w14:textId="77777777" w:rsidR="00E3500B" w:rsidRPr="00232630" w:rsidRDefault="00E3500B" w:rsidP="00E3500B">
                                        <w:pPr>
                                          <w:jc w:val="center"/>
                                          <w:rPr>
                                            <w:rFonts w:ascii="Arial" w:hAnsi="Arial" w:cs="Arial"/>
                                            <w:szCs w:val="20"/>
                                          </w:rPr>
                                        </w:pPr>
                                        <w:r w:rsidRPr="00232630">
                                          <w:rPr>
                                            <w:rFonts w:ascii="Arial" w:hAnsi="Arial" w:cs="Arial"/>
                                            <w:b/>
                                            <w:bCs/>
                                            <w:szCs w:val="20"/>
                                          </w:rPr>
                                          <w:t>Outcome IX: Increase in ENERGY STAR (or higher tiers) qualifying criteria for RPP product categories</w:t>
                                        </w:r>
                                      </w:p>
                                    </w:txbxContent>
                                  </v:textbox>
                                </v:shape>
                              </v:group>
                              <v:shape id="Text Box 43" o:spid="_x0000_s1076" type="#_x0000_t202" style="position:absolute;left:-9620;top:23336;width:21907;height:266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" filled="f" strokeweight=".5pt">
                                <v:textbox>
                                  <w:txbxContent>
                                    <w:p w14:paraId="62DD0C74" w14:textId="77777777" w:rsidR="00E3500B" w:rsidRPr="00232630" w:rsidRDefault="00E3500B" w:rsidP="00E3500B">
                                      <w:pPr>
                                        <w:jc w:val="center"/>
                                        <w:rPr>
                                          <w:rFonts w:ascii="Arial" w:hAnsi="Arial" w:cs="Arial"/>
                                          <w:b/>
                                          <w:bCs/>
                                          <w:szCs w:val="20"/>
                                        </w:rPr>
                                      </w:pPr>
                                      <w:r w:rsidRPr="00232630">
                                        <w:rPr>
                                          <w:rFonts w:ascii="Arial" w:hAnsi="Arial" w:cs="Arial"/>
                                          <w:b/>
                                          <w:bCs/>
                                          <w:szCs w:val="20"/>
                                        </w:rPr>
                                        <w:t>ComEd’s Role</w:t>
                                      </w:r>
                                    </w:p>
                                  </w:txbxContent>
                                </v:textbox>
                              </v:shape>
                            </v:group>
                            <v:shape id="Connector: Elbow 44" o:spid="_x0000_s1077" type="#_x0000_t34" style="position:absolute;left:66286;top:50550;width:28881;height:12757;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" adj="20564" strokecolor="#747070 [1614]" strokeweight="1.5pt">
                              <v:stroke endarrow="block"/>
                            </v:shape>
                            <v:line id="Straight Connector 45" o:spid="_x0000_s1078" style="position:absolute;visibility:visible;mso-wrap-style:square" from="95149,48911" to="95149,505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" strokecolor="black [3200]" strokeweight="1.5pt">
                              <v:stroke joinstyle="miter"/>
                            </v:line>
                          </v:group>
                          <v:shape id="Straight Arrow Connector 46" o:spid="_x0000_s1079" type="#_x0000_t32" style="position:absolute;left:80564;top:60326;width:0;height:593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" strokecolor="black [3200]" strokeweight="1.5pt">
                            <v:stroke endarrow="block" joinstyle="miter"/>
                          </v:shape>
                          <v:shape id="Straight Arrow Connector 47" o:spid="_x0000_s1080" type="#_x0000_t32" style="position:absolute;left:54319;top:25175;width:0;height:504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" strokecolor="black [3200]" strokeweight="1.5pt">
                            <v:stroke endarrow="block" joinstyle="miter"/>
                          </v:shape>
                          <v:shape id="Straight Arrow Connector 48" o:spid="_x0000_s1081" type="#_x0000_t32" style="position:absolute;left:80564;top:25056;width:0;height:428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" strokecolor="black [3200]" strokeweight="1.5pt">
                            <v:stroke endarrow="block" joinstyle="miter"/>
                          </v:shape>
                          <v:shape id="Straight Arrow Connector 49" o:spid="_x0000_s1082" type="#_x0000_t32" style="position:absolute;left:80564;top:72315;width:0;height:338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" strokecolor="black [3200]" strokeweight="1.5pt">
                            <v:stroke endarrow="block" joinstyle="miter"/>
                          </v:shape>
                          <v:shape id="Straight Arrow Connector 50" o:spid="_x0000_s1083" type="#_x0000_t32" style="position:absolute;left:29975;top:50232;width:0;height:260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" strokecolor="black [3200]" strokeweight="1.5pt">
                            <v:stroke endarrow="block" joinstyle="miter"/>
                          </v:shape>
                          <v:shape id="Straight Arrow Connector 51" o:spid="_x0000_s1084" type="#_x0000_t32" style="position:absolute;left:29856;top:37882;width:0;height:266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" strokecolor="black [3200]" strokeweight="1.5pt">
                            <v:stroke endarrow="block" joinstyle="miter"/>
                          </v:shape>
                          <v:shape id="Straight Arrow Connector 52" o:spid="_x0000_s1085" type="#_x0000_t32" style="position:absolute;left:58713;top:66250;width:0;height:944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" strokecolor="black [3200]" strokeweight="1.5pt">
                            <v:stroke endarrow="block" joinstyle="miter"/>
                          </v:shape>
                          <v:shape id="Straight Arrow Connector 53" o:spid="_x0000_s1086" type="#_x0000_t32" style="position:absolute;left:125690;top:25888;width:0;height:428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" strokecolor="black [3200]" strokeweight="1.5pt">
                            <v:stroke endarrow="block" joinstyle="miter"/>
                          </v:shape>
                          <v:shape id="Connector: Elbow 54" o:spid="_x0000_s1087" type="#_x0000_t34" style="position:absolute;left:20903;top:33844;width:457;height:23432;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" adj="75473" strokecolor="black [3200]" strokeweight="1.5pt">
                            <v:stroke endarrow="block"/>
                          </v:shape>
                          <v:shape id="Connector: Elbow 55" o:spid="_x0000_s1088" type="#_x0000_t34" style="position:absolute;left:104818;top:5422;width:4331;height:19114;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" adj="12257" strokecolor="#747070 [1614]" strokeweight="1.5pt">
                            <v:stroke endarrow="block"/>
                          </v:shape>
                          <v:shape id="Straight Arrow Connector 56" o:spid="_x0000_s1089" type="#_x0000_t32" style="position:absolute;left:29619;top:11755;width:0;height:608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" strokecolor="black [3200]" strokeweight="1.5pt">
                            <v:stroke endarrow="block" joinstyle="miter"/>
                          </v:shape>
                          <v:shape id="Straight Arrow Connector 57" o:spid="_x0000_s1090" type="#_x0000_t32" style="position:absolute;left:54319;top:11756;width:0;height:666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" strokecolor="black [3200]" strokeweight="1.5pt">
                            <v:stroke endarrow="block" joinstyle="miter"/>
                          </v:shape>
                          <v:shape id="Straight Arrow Connector 58" o:spid="_x0000_s1091" type="#_x0000_t32" style="position:absolute;left:85314;top:12706;width:0;height:565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" strokecolor="black [3200]" strokeweight="1.5pt">
                            <v:stroke endarrow="block" joinstyle="miter"/>
                          </v:shape>
                          <v:shape id="Connector: Elbow 59" o:spid="_x0000_s1092" type="#_x0000_t34" style="position:absolute;left:42618;top:28770;width:4702;height:18605;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" adj="16416" strokecolor="black [3200]" strokeweight="1.5pt">
                            <v:stroke endarrow="block"/>
                          </v:shape>
                          <v:shape id="Straight Arrow Connector 60" o:spid="_x0000_s1093" type="#_x0000_t32" style="position:absolute;left:40732;top:53725;width:361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" strokecolor="black [3200]" strokeweight="1.5pt">
                            <v:stroke endarrow="block" joinstyle="miter"/>
                          </v:shape>
                          <v:shape id="Connector: Elbow 61" o:spid="_x0000_s1094" type="#_x0000_t34" style="position:absolute;left:62417;top:66145;width:6211;height:3689;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" adj="-301" strokecolor="black [3200]" strokeweight="1.5pt">
                            <v:stroke endarrow="block"/>
                          </v:shape>
                          <v:shape id="Connector: Elbow 62" o:spid="_x0000_s1095" type="#_x0000_t34" style="position:absolute;left:101473;top:26753;width:458;height:31590;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" adj="73496" strokecolor="#747070 [1614]" strokeweight="1.5pt">
                            <v:stroke endarrow="block"/>
                          </v:shape>
                          <v:shape id="Straight Arrow Connector 63" o:spid="_x0000_s1096" type="#_x0000_t32" style="position:absolute;left:80564;top:49638;width:0;height:514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" strokecolor="black [3200]" strokeweight="1.5pt">
                            <v:stroke endarrow="block" joinstyle="miter"/>
                          </v:shape>
                          <v:shape id="Straight Arrow Connector 480" o:spid="_x0000_s1097" type="#_x0000_t32" style="position:absolute;left:100870;top:48926;width:0;height:476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" strokecolor="black [3200]" strokeweight="1.5pt">
                            <v:stroke endarrow="block" joinstyle="miter"/>
                          </v:shape>
                          <v:shape id="Connector: Elbow 481" o:spid="_x0000_s1098" type="#_x0000_t34" style="position:absolute;left:109671;top:33027;width:7248;height:12357;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" adj="10709" strokecolor="black [3200]" strokeweight="1.5pt">
                            <v:stroke endarrow="block"/>
                          </v:shape>
                          <v:shape id="Straight Arrow Connector 482" o:spid="_x0000_s1099" type="#_x0000_t32" style="position:absolute;left:125690;top:35744;width:0;height:704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" strokecolor="black [3200]" strokeweight="1.5pt">
                            <v:stroke endarrow="block" joinstyle="miter"/>
                          </v:shape>
                          <v:shape id="Straight Arrow Connector 483" o:spid="_x0000_s1100" type="#_x0000_t32" style="position:absolute;left:100870;top:35744;width:0;height:755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" strokecolor="black [3200]" strokeweight="1.5pt">
                            <v:stroke endarrow="block" joinstyle="miter"/>
                          </v:shape>
                          <v:shape id="Connector: Elbow 484" o:spid="_x0000_s1101" type="#_x0000_t34" style="position:absolute;left:87162;top:32227;width:6701;height:13717;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" adj="11452" strokecolor="black [3200]" strokeweight="1.5pt">
                            <v:stroke endarrow="block"/>
                          </v:shape>
                          <v:shape id="Straight Arrow Connector 485" o:spid="_x0000_s1102" type="#_x0000_t32" style="position:absolute;left:80564;top:36862;width:0;height:541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" strokecolor="black [3200]" strokeweight="1.5pt">
                            <v:stroke endarrow="block" joinstyle="miter"/>
                          </v:shape>
                          <v:shape id="Connector: Elbow 486" o:spid="_x0000_s1103" type="#_x0000_t34" style="position:absolute;left:108184;top:5180;width:5046;height:19766;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" adj="5960" strokecolor="black [3200]" strokeweight="1.5pt">
                            <v:stroke endarrow="block"/>
                          </v:shape>
                          <v:shape id="Straight Arrow Connector 487" o:spid="_x0000_s1104" type="#_x0000_t32" style="position:absolute;left:100870;top:25888;width:0;height:428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" strokecolor="black [3200]" strokeweight="1.5pt">
                            <v:stroke endarrow="block" joinstyle="miter"/>
                          </v:shape>
                          <v:shape id="Straight Arrow Connector 488" o:spid="_x0000_s1105" type="#_x0000_t32" style="position:absolute;left:29619;top:23513;width:0;height:44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" strokecolor="black [3200]" strokeweight="1.5pt">
                            <v:stroke endarrow="block" joinstyle="miter"/>
                          </v:shape>
                          <v:shape id="Connector: Elbow 489" o:spid="_x0000_s1106" type="#_x0000_t34" style="position:absolute;left:39099;top:20646;width:6677;height:12360;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" adj="8003" strokecolor="black [3200]" strokeweight="1.5pt">
                            <v:stroke endarrow="block"/>
                          </v:shape>
                        </v:group>
                        <v:shape id="Text Box 490" o:spid="_x0000_s1107" type="#_x0000_t202" style="position:absolute;left:108013;top:74961;width:29718;height:56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" fillcolor="white [3201]" strokeweight=".5pt">
                          <v:textbox>
                            <w:txbxContent>
                              <w:p w14:paraId="38C47990" w14:textId="77777777" w:rsidR="00E3500B" w:rsidRPr="00232630" w:rsidRDefault="00E3500B" w:rsidP="00E3500B">
                                <w:pPr>
                                  <w:rPr>
                                    <w:rFonts w:ascii="Arial" w:hAnsi="Arial" w:cs="Arial"/>
                                    <w:szCs w:val="20"/>
                                  </w:rPr>
                                </w:pPr>
                                <w:r w:rsidRPr="00232630">
                                  <w:rPr>
                                    <w:rFonts w:ascii="Arial" w:hAnsi="Arial" w:cs="Arial"/>
                                    <w:b/>
                                    <w:bCs/>
                                    <w:szCs w:val="20"/>
                                  </w:rPr>
                                  <w:t>INITIATIVE</w:t>
                                </w:r>
                                <w:r w:rsidRPr="00232630">
                                  <w:rPr>
                                    <w:rFonts w:ascii="Arial" w:hAnsi="Arial" w:cs="Arial"/>
                                    <w:szCs w:val="20"/>
                                  </w:rPr>
                                  <w:tab/>
                                </w:r>
                                <w:r w:rsidRPr="00232630">
                                  <w:rPr>
                                    <w:rFonts w:ascii="Arial" w:hAnsi="Arial" w:cs="Arial"/>
                                    <w:szCs w:val="20"/>
                                  </w:rPr>
                                  <w:tab/>
                                  <w:t>Retail Products Platform</w:t>
                                </w:r>
                              </w:p>
                              <w:p w14:paraId="64784E2B" w14:textId="77777777" w:rsidR="00E3500B" w:rsidRPr="00232630" w:rsidRDefault="00E3500B" w:rsidP="00E3500B">
                                <w:pPr>
                                  <w:rPr>
                                    <w:rFonts w:ascii="Arial" w:hAnsi="Arial" w:cs="Arial"/>
                                    <w:szCs w:val="20"/>
                                  </w:rPr>
                                </w:pPr>
                                <w:r w:rsidRPr="00232630">
                                  <w:rPr>
                                    <w:rFonts w:ascii="Arial" w:hAnsi="Arial" w:cs="Arial"/>
                                    <w:b/>
                                    <w:bCs/>
                                    <w:szCs w:val="20"/>
                                  </w:rPr>
                                  <w:t>PREPARED BY</w:t>
                                </w:r>
                                <w:r w:rsidRPr="00232630">
                                  <w:rPr>
                                    <w:rFonts w:ascii="Arial" w:hAnsi="Arial" w:cs="Arial"/>
                                    <w:szCs w:val="20"/>
                                  </w:rPr>
                                  <w:tab/>
                                </w:r>
                                <w:r w:rsidRPr="00232630">
                                  <w:rPr>
                                    <w:rFonts w:ascii="Arial" w:hAnsi="Arial" w:cs="Arial"/>
                                    <w:szCs w:val="20"/>
                                  </w:rPr>
                                  <w:tab/>
                                  <w:t>NEEA</w:t>
                                </w:r>
                              </w:p>
                              <w:p w14:paraId="765BC50C" w14:textId="77777777" w:rsidR="00E3500B" w:rsidRPr="00232630" w:rsidRDefault="00E3500B" w:rsidP="00E3500B">
                                <w:pPr>
                                  <w:rPr>
                                    <w:rFonts w:ascii="Arial" w:hAnsi="Arial" w:cs="Arial"/>
                                    <w:szCs w:val="20"/>
                                  </w:rPr>
                                </w:pPr>
                                <w:r w:rsidRPr="00232630">
                                  <w:rPr>
                                    <w:rFonts w:ascii="Arial" w:hAnsi="Arial" w:cs="Arial"/>
                                    <w:b/>
                                    <w:bCs/>
                                    <w:szCs w:val="20"/>
                                  </w:rPr>
                                  <w:t>LAST REVISION</w:t>
                                </w:r>
                                <w:r w:rsidRPr="00232630">
                                  <w:rPr>
                                    <w:rFonts w:ascii="Arial" w:hAnsi="Arial" w:cs="Arial"/>
                                    <w:szCs w:val="20"/>
                                  </w:rPr>
                                  <w:tab/>
                                </w:r>
                                <w:r w:rsidRPr="00232630">
                                  <w:rPr>
                                    <w:rFonts w:ascii="Arial" w:hAnsi="Arial" w:cs="Arial"/>
                                    <w:szCs w:val="20"/>
                                  </w:rPr>
                                  <w:tab/>
                                  <w:t>Nov. 15, 2021 by Guidehouse</w:t>
                                </w:r>
                              </w:p>
                              <w:p w14:paraId="39A3601C" w14:textId="77777777" w:rsidR="00E3500B" w:rsidRPr="00232630" w:rsidRDefault="00E3500B" w:rsidP="00E3500B">
                                <w:pPr>
                                  <w:rPr>
                                    <w:rFonts w:ascii="Arial" w:hAnsi="Arial" w:cs="Arial"/>
                                    <w:b/>
                                    <w:bCs/>
                                    <w:szCs w:val="20"/>
                                  </w:rPr>
                                </w:pPr>
                                <w:r w:rsidRPr="00232630">
                                  <w:rPr>
                                    <w:rFonts w:ascii="Arial" w:hAnsi="Arial" w:cs="Arial"/>
                                    <w:b/>
                                    <w:bCs/>
                                    <w:szCs w:val="20"/>
                                  </w:rPr>
                                  <w:t>APPROVAL STATUS</w:t>
                                </w:r>
                                <w:r w:rsidRPr="00232630">
                                  <w:rPr>
                                    <w:rFonts w:ascii="Arial" w:hAnsi="Arial" w:cs="Arial"/>
                                    <w:b/>
                                    <w:bCs/>
                                    <w:szCs w:val="20"/>
                                  </w:rPr>
                                  <w:tab/>
                                </w:r>
                                <w:r w:rsidRPr="00232630">
                                  <w:rPr>
                                    <w:rFonts w:ascii="Arial" w:hAnsi="Arial" w:cs="Arial"/>
                                    <w:szCs w:val="20"/>
                                  </w:rPr>
                                  <w:t>Draft</w:t>
                                </w:r>
                              </w:p>
                            </w:txbxContent>
                          </v:textbox>
                        </v:shape>
                      </v:group>
                    </w:pict>
                  </mc:Fallback>
                </mc:AlternateContent>
              </w:r>
            </w:ins>
          </w:p>
        </w:tc>
      </w:tr>
    </w:tbl>
    <w:p w14:paraId="7D02E18A" w14:textId="77777777" w:rsidR="00E3500B" w:rsidRPr="005C75EA" w:rsidRDefault="00E3500B" w:rsidP="00E3500B">
      <w:pPr>
        <w:pStyle w:val="Caption"/>
        <w:rPr>
          <w:ins w:id="2261" w:author="Celia Johnson" w:date="2022-09-06T13:24:00Z"/>
        </w:rPr>
        <w:sectPr w:rsidR="00E3500B" w:rsidRPr="005C75EA" w:rsidSect="00232630">
          <w:headerReference w:type="default" r:id="rId82"/>
          <w:headerReference w:type="first" r:id="rId83"/>
          <w:pgSz w:w="24480" w:h="15840" w:orient="landscape" w:code="5"/>
          <w:pgMar w:top="1440" w:right="4410" w:bottom="3773" w:left="1440" w:header="0" w:footer="720" w:gutter="0"/>
          <w:cols w:space="720"/>
          <w:docGrid w:linePitch="360"/>
        </w:sectPr>
      </w:pPr>
      <w:bookmarkStart w:id="2262" w:name="_Ref105189996"/>
      <w:bookmarkEnd w:id="2258"/>
      <w:ins w:id="2263" w:author="Celia Johnson" w:date="2022-09-06T13:24:00Z">
        <w:r>
          <w:t xml:space="preserve">Table </w:t>
        </w:r>
        <w:r>
          <w:fldChar w:fldCharType="begin"/>
        </w:r>
        <w:r>
          <w:instrText xml:space="preserve"> SEQ Table \* ARABIC </w:instrText>
        </w:r>
        <w:r>
          <w:fldChar w:fldCharType="separate"/>
        </w:r>
        <w:r>
          <w:rPr>
            <w:noProof/>
          </w:rPr>
          <w:t>1</w:t>
        </w:r>
        <w:r>
          <w:rPr>
            <w:noProof/>
          </w:rPr>
          <w:fldChar w:fldCharType="end"/>
        </w:r>
        <w:bookmarkEnd w:id="2262"/>
        <w:r>
          <w:t xml:space="preserve">. </w:t>
        </w:r>
        <w:r w:rsidRPr="006A163D">
          <w:t>ENERGY STAR® Retail Products Platform Logic Model</w:t>
        </w:r>
        <w:r w:rsidRPr="006E74E2" w:rsidDel="006E74E2">
          <w:t xml:space="preserve"> </w:t>
        </w:r>
      </w:ins>
    </w:p>
    <w:p w14:paraId="7293560D" w14:textId="77777777" w:rsidR="00E3500B" w:rsidRDefault="00E3500B" w:rsidP="00E3500B">
      <w:pPr>
        <w:pStyle w:val="Caption"/>
        <w:rPr>
          <w:ins w:id="2264" w:author="Celia Johnson" w:date="2022-09-06T13:24:00Z"/>
        </w:rPr>
      </w:pPr>
      <w:bookmarkStart w:id="2265" w:name="_Ref105189787"/>
      <w:bookmarkStart w:id="2266" w:name="_Ref105189784"/>
      <w:ins w:id="2267" w:author="Celia Johnson" w:date="2022-09-06T13:24:00Z">
        <w:r>
          <w:lastRenderedPageBreak/>
          <w:t xml:space="preserve">Table </w:t>
        </w:r>
        <w:r>
          <w:fldChar w:fldCharType="begin"/>
        </w:r>
        <w:r>
          <w:instrText xml:space="preserve"> SEQ Table \* ARABIC </w:instrText>
        </w:r>
        <w:r>
          <w:fldChar w:fldCharType="separate"/>
        </w:r>
        <w:r>
          <w:rPr>
            <w:noProof/>
          </w:rPr>
          <w:t>2</w:t>
        </w:r>
        <w:r>
          <w:rPr>
            <w:noProof/>
          </w:rPr>
          <w:fldChar w:fldCharType="end"/>
        </w:r>
        <w:bookmarkEnd w:id="2265"/>
        <w:r>
          <w:t>. Market Progress Indicators</w:t>
        </w:r>
        <w:bookmarkEnd w:id="2266"/>
      </w:ins>
    </w:p>
    <w:tbl>
      <w:tblPr>
        <w:tblStyle w:val="EnergyTable"/>
        <w:tblW w:w="0" w:type="auto"/>
        <w:tblInd w:w="0" w:type="dxa"/>
        <w:tblLook w:val="04A0" w:firstRow="1" w:lastRow="0" w:firstColumn="1" w:lastColumn="0" w:noHBand="0" w:noVBand="1"/>
      </w:tblPr>
      <w:tblGrid>
        <w:gridCol w:w="1090"/>
        <w:gridCol w:w="1613"/>
        <w:gridCol w:w="2097"/>
        <w:gridCol w:w="2367"/>
        <w:gridCol w:w="2193"/>
      </w:tblGrid>
      <w:tr w:rsidR="00E3500B" w14:paraId="331E520E" w14:textId="77777777" w:rsidTr="000B5D6A">
        <w:trPr>
          <w:cnfStyle w:val="100000000000" w:firstRow="1" w:lastRow="0" w:firstColumn="0" w:lastColumn="0" w:oddVBand="0" w:evenVBand="0" w:oddHBand="0" w:evenHBand="0" w:firstRowFirstColumn="0" w:firstRowLastColumn="0" w:lastRowFirstColumn="0" w:lastRowLastColumn="0"/>
          <w:trHeight w:val="648"/>
          <w:tblHeader/>
          <w:ins w:id="2268" w:author="Celia Johnson" w:date="2022-09-06T13:24:00Z"/>
        </w:trPr>
        <w:tc>
          <w:tcPr>
            <w:cnfStyle w:val="001000000000" w:firstRow="0" w:lastRow="0" w:firstColumn="1" w:lastColumn="0" w:oddVBand="0" w:evenVBand="0" w:oddHBand="0" w:evenHBand="0" w:firstRowFirstColumn="0" w:firstRowLastColumn="0" w:lastRowFirstColumn="0" w:lastRowLastColumn="0"/>
            <w:tcW w:w="1090" w:type="dxa"/>
            <w:shd w:val="clear" w:color="auto" w:fill="002060"/>
          </w:tcPr>
          <w:p w14:paraId="195938B8" w14:textId="77777777" w:rsidR="00E3500B" w:rsidRPr="000F3700" w:rsidRDefault="00E3500B" w:rsidP="000B5D6A">
            <w:pPr>
              <w:jc w:val="left"/>
              <w:rPr>
                <w:ins w:id="2269" w:author="Celia Johnson" w:date="2022-09-06T13:24:00Z"/>
              </w:rPr>
            </w:pPr>
            <w:ins w:id="2270" w:author="Celia Johnson" w:date="2022-09-06T13:24:00Z">
              <w:r w:rsidRPr="000F3700">
                <w:t>Outcome (Timing)</w:t>
              </w:r>
            </w:ins>
          </w:p>
        </w:tc>
        <w:tc>
          <w:tcPr>
            <w:tcW w:w="1613" w:type="dxa"/>
            <w:shd w:val="clear" w:color="auto" w:fill="002060"/>
          </w:tcPr>
          <w:p w14:paraId="0EE1B866" w14:textId="77777777" w:rsidR="00E3500B" w:rsidRPr="000F3700" w:rsidRDefault="00E3500B" w:rsidP="000B5D6A">
            <w:pPr>
              <w:jc w:val="left"/>
              <w:cnfStyle w:val="100000000000" w:firstRow="1" w:lastRow="0" w:firstColumn="0" w:lastColumn="0" w:oddVBand="0" w:evenVBand="0" w:oddHBand="0" w:evenHBand="0" w:firstRowFirstColumn="0" w:firstRowLastColumn="0" w:lastRowFirstColumn="0" w:lastRowLastColumn="0"/>
              <w:rPr>
                <w:ins w:id="2271" w:author="Celia Johnson" w:date="2022-09-06T13:24:00Z"/>
              </w:rPr>
            </w:pPr>
            <w:ins w:id="2272" w:author="Celia Johnson" w:date="2022-09-06T13:24:00Z">
              <w:r w:rsidRPr="000F3700">
                <w:t>Outcome</w:t>
              </w:r>
            </w:ins>
          </w:p>
        </w:tc>
        <w:tc>
          <w:tcPr>
            <w:tcW w:w="2097" w:type="dxa"/>
            <w:shd w:val="clear" w:color="auto" w:fill="002060"/>
          </w:tcPr>
          <w:p w14:paraId="046BD476" w14:textId="77777777" w:rsidR="00E3500B" w:rsidRPr="000F3700" w:rsidRDefault="00E3500B" w:rsidP="000B5D6A">
            <w:pPr>
              <w:jc w:val="left"/>
              <w:cnfStyle w:val="100000000000" w:firstRow="1" w:lastRow="0" w:firstColumn="0" w:lastColumn="0" w:oddVBand="0" w:evenVBand="0" w:oddHBand="0" w:evenHBand="0" w:firstRowFirstColumn="0" w:firstRowLastColumn="0" w:lastRowFirstColumn="0" w:lastRowLastColumn="0"/>
              <w:rPr>
                <w:ins w:id="2273" w:author="Celia Johnson" w:date="2022-09-06T13:24:00Z"/>
              </w:rPr>
            </w:pPr>
            <w:ins w:id="2274" w:author="Celia Johnson" w:date="2022-09-06T13:24:00Z">
              <w:r w:rsidRPr="000F3700">
                <w:t>Market Progress Indicator</w:t>
              </w:r>
            </w:ins>
          </w:p>
        </w:tc>
        <w:tc>
          <w:tcPr>
            <w:tcW w:w="2367" w:type="dxa"/>
            <w:shd w:val="clear" w:color="auto" w:fill="002060"/>
          </w:tcPr>
          <w:p w14:paraId="37C25735" w14:textId="77777777" w:rsidR="00E3500B" w:rsidRPr="000F3700" w:rsidRDefault="00E3500B" w:rsidP="000B5D6A">
            <w:pPr>
              <w:jc w:val="left"/>
              <w:cnfStyle w:val="100000000000" w:firstRow="1" w:lastRow="0" w:firstColumn="0" w:lastColumn="0" w:oddVBand="0" w:evenVBand="0" w:oddHBand="0" w:evenHBand="0" w:firstRowFirstColumn="0" w:firstRowLastColumn="0" w:lastRowFirstColumn="0" w:lastRowLastColumn="0"/>
              <w:rPr>
                <w:ins w:id="2275" w:author="Celia Johnson" w:date="2022-09-06T13:24:00Z"/>
              </w:rPr>
            </w:pPr>
            <w:ins w:id="2276" w:author="Celia Johnson" w:date="2022-09-06T13:24:00Z">
              <w:r w:rsidRPr="000F3700">
                <w:t>2020-2023 Target</w:t>
              </w:r>
            </w:ins>
          </w:p>
        </w:tc>
        <w:tc>
          <w:tcPr>
            <w:tcW w:w="2193" w:type="dxa"/>
            <w:shd w:val="clear" w:color="auto" w:fill="002060"/>
          </w:tcPr>
          <w:p w14:paraId="359869C4" w14:textId="77777777" w:rsidR="00E3500B" w:rsidRPr="000F3700" w:rsidRDefault="00E3500B" w:rsidP="000B5D6A">
            <w:pPr>
              <w:jc w:val="left"/>
              <w:cnfStyle w:val="100000000000" w:firstRow="1" w:lastRow="0" w:firstColumn="0" w:lastColumn="0" w:oddVBand="0" w:evenVBand="0" w:oddHBand="0" w:evenHBand="0" w:firstRowFirstColumn="0" w:firstRowLastColumn="0" w:lastRowFirstColumn="0" w:lastRowLastColumn="0"/>
              <w:rPr>
                <w:ins w:id="2277" w:author="Celia Johnson" w:date="2022-09-06T13:24:00Z"/>
              </w:rPr>
            </w:pPr>
            <w:ins w:id="2278" w:author="Celia Johnson" w:date="2022-09-06T13:24:00Z">
              <w:r w:rsidRPr="000F3700">
                <w:t>Data Sources</w:t>
              </w:r>
            </w:ins>
          </w:p>
        </w:tc>
      </w:tr>
      <w:tr w:rsidR="00E3500B" w14:paraId="00437191" w14:textId="77777777" w:rsidTr="000B5D6A">
        <w:trPr>
          <w:cnfStyle w:val="000000100000" w:firstRow="0" w:lastRow="0" w:firstColumn="0" w:lastColumn="0" w:oddVBand="0" w:evenVBand="0" w:oddHBand="1" w:evenHBand="0" w:firstRowFirstColumn="0" w:firstRowLastColumn="0" w:lastRowFirstColumn="0" w:lastRowLastColumn="0"/>
          <w:trHeight w:val="545"/>
          <w:ins w:id="2279" w:author="Celia Johnson" w:date="2022-09-06T13:24:00Z"/>
        </w:trPr>
        <w:tc>
          <w:tcPr>
            <w:cnfStyle w:val="001000000000" w:firstRow="0" w:lastRow="0" w:firstColumn="1" w:lastColumn="0" w:oddVBand="0" w:evenVBand="0" w:oddHBand="0" w:evenHBand="0" w:firstRowFirstColumn="0" w:firstRowLastColumn="0" w:lastRowFirstColumn="0" w:lastRowLastColumn="0"/>
            <w:tcW w:w="1090" w:type="dxa"/>
            <w:tcBorders>
              <w:top w:val="single" w:sz="12" w:space="0" w:color="5B9BD5" w:themeColor="accent1"/>
              <w:bottom w:val="single" w:sz="4" w:space="0" w:color="D5DCE4" w:themeColor="text2" w:themeTint="33"/>
              <w:right w:val="single" w:sz="12" w:space="0" w:color="F2F2F2" w:themeColor="background1" w:themeShade="F2"/>
            </w:tcBorders>
          </w:tcPr>
          <w:p w14:paraId="2D3EB25D" w14:textId="77777777" w:rsidR="00E3500B" w:rsidRPr="00E669D1" w:rsidRDefault="00E3500B" w:rsidP="000B5D6A">
            <w:pPr>
              <w:rPr>
                <w:ins w:id="2280" w:author="Celia Johnson" w:date="2022-09-06T13:24:00Z"/>
              </w:rPr>
            </w:pPr>
            <w:bookmarkStart w:id="2281" w:name="_Hlk87807915"/>
            <w:ins w:id="2282" w:author="Celia Johnson" w:date="2022-09-06T13:24:00Z">
              <w:r w:rsidRPr="00E669D1">
                <w:t>I (S)</w:t>
              </w:r>
            </w:ins>
          </w:p>
        </w:tc>
        <w:tc>
          <w:tcPr>
            <w:tcW w:w="1613" w:type="dxa"/>
            <w:tcBorders>
              <w:top w:val="single" w:sz="12" w:space="0" w:color="5B9BD5" w:themeColor="accent1"/>
              <w:left w:val="single" w:sz="12" w:space="0" w:color="F2F2F2" w:themeColor="background1" w:themeShade="F2"/>
              <w:bottom w:val="single" w:sz="4" w:space="0" w:color="D5DCE4" w:themeColor="text2" w:themeTint="33"/>
              <w:right w:val="single" w:sz="12" w:space="0" w:color="F2F2F2" w:themeColor="background1" w:themeShade="F2"/>
            </w:tcBorders>
          </w:tcPr>
          <w:p w14:paraId="594D5401" w14:textId="77777777" w:rsidR="00E3500B" w:rsidRPr="00E669D1" w:rsidRDefault="00E3500B" w:rsidP="000B5D6A">
            <w:pPr>
              <w:jc w:val="left"/>
              <w:cnfStyle w:val="000000100000" w:firstRow="0" w:lastRow="0" w:firstColumn="0" w:lastColumn="0" w:oddVBand="0" w:evenVBand="0" w:oddHBand="1" w:evenHBand="0" w:firstRowFirstColumn="0" w:firstRowLastColumn="0" w:lastRowFirstColumn="0" w:lastRowLastColumn="0"/>
              <w:rPr>
                <w:ins w:id="2283" w:author="Celia Johnson" w:date="2022-09-06T13:24:00Z"/>
              </w:rPr>
            </w:pPr>
            <w:ins w:id="2284" w:author="Celia Johnson" w:date="2022-09-06T13:24:00Z">
              <w:r w:rsidRPr="00E669D1">
                <w:t xml:space="preserve">Program </w:t>
              </w:r>
              <w:r w:rsidRPr="00E669D1">
                <w:rPr>
                  <w:b/>
                  <w:bCs/>
                </w:rPr>
                <w:t>achieves sufficient scale</w:t>
              </w:r>
              <w:r w:rsidRPr="00E669D1">
                <w:t xml:space="preserve"> of program sponsors, customers, and incentive budgets to influence retailer decision-making.</w:t>
              </w:r>
            </w:ins>
          </w:p>
        </w:tc>
        <w:tc>
          <w:tcPr>
            <w:tcW w:w="2097" w:type="dxa"/>
            <w:tcBorders>
              <w:top w:val="single" w:sz="12" w:space="0" w:color="5B9BD5" w:themeColor="accent1"/>
              <w:left w:val="single" w:sz="12" w:space="0" w:color="F2F2F2" w:themeColor="background1" w:themeShade="F2"/>
              <w:bottom w:val="single" w:sz="4" w:space="0" w:color="D5DCE4" w:themeColor="text2" w:themeTint="33"/>
              <w:right w:val="single" w:sz="12" w:space="0" w:color="F2F2F2" w:themeColor="background1" w:themeShade="F2"/>
            </w:tcBorders>
          </w:tcPr>
          <w:p w14:paraId="069C8960" w14:textId="77777777" w:rsidR="00E3500B" w:rsidRPr="00E669D1" w:rsidRDefault="00E3500B" w:rsidP="000B5D6A">
            <w:pPr>
              <w:jc w:val="left"/>
              <w:cnfStyle w:val="000000100000" w:firstRow="0" w:lastRow="0" w:firstColumn="0" w:lastColumn="0" w:oddVBand="0" w:evenVBand="0" w:oddHBand="1" w:evenHBand="0" w:firstRowFirstColumn="0" w:firstRowLastColumn="0" w:lastRowFirstColumn="0" w:lastRowLastColumn="0"/>
              <w:rPr>
                <w:ins w:id="2285" w:author="Celia Johnson" w:date="2022-09-06T13:24:00Z"/>
              </w:rPr>
            </w:pPr>
            <w:bookmarkStart w:id="2286" w:name="_Hlk87027684"/>
            <w:ins w:id="2287" w:author="Celia Johnson" w:date="2022-09-06T13:24:00Z">
              <w:r w:rsidRPr="00E669D1">
                <w:t>Portion of US households in ESRPP areas and the related total value of all program sponsor incentive budgets</w:t>
              </w:r>
              <w:bookmarkEnd w:id="2286"/>
              <w:r w:rsidRPr="00E669D1">
                <w:t xml:space="preserve">. </w:t>
              </w:r>
            </w:ins>
          </w:p>
        </w:tc>
        <w:tc>
          <w:tcPr>
            <w:tcW w:w="2367" w:type="dxa"/>
            <w:tcBorders>
              <w:top w:val="single" w:sz="12" w:space="0" w:color="5B9BD5" w:themeColor="accent1"/>
              <w:left w:val="single" w:sz="12" w:space="0" w:color="F2F2F2" w:themeColor="background1" w:themeShade="F2"/>
              <w:bottom w:val="single" w:sz="4" w:space="0" w:color="D5DCE4" w:themeColor="text2" w:themeTint="33"/>
              <w:right w:val="single" w:sz="12" w:space="0" w:color="F2F2F2" w:themeColor="background1" w:themeShade="F2"/>
            </w:tcBorders>
          </w:tcPr>
          <w:p w14:paraId="3E4EE7A4" w14:textId="77777777" w:rsidR="00E3500B" w:rsidRPr="00E669D1" w:rsidRDefault="00E3500B" w:rsidP="000B5D6A">
            <w:pPr>
              <w:jc w:val="left"/>
              <w:cnfStyle w:val="000000100000" w:firstRow="0" w:lastRow="0" w:firstColumn="0" w:lastColumn="0" w:oddVBand="0" w:evenVBand="0" w:oddHBand="1" w:evenHBand="0" w:firstRowFirstColumn="0" w:firstRowLastColumn="0" w:lastRowFirstColumn="0" w:lastRowLastColumn="0"/>
              <w:rPr>
                <w:ins w:id="2288" w:author="Celia Johnson" w:date="2022-09-06T13:24:00Z"/>
                <w:u w:val="single"/>
              </w:rPr>
            </w:pPr>
            <w:ins w:id="2289" w:author="Celia Johnson" w:date="2022-09-06T13:24:00Z">
              <w:r w:rsidRPr="00E669D1">
                <w:rPr>
                  <w:u w:val="single"/>
                </w:rPr>
                <w:t>Portfolio-level target:</w:t>
              </w:r>
            </w:ins>
          </w:p>
          <w:p w14:paraId="74194828" w14:textId="77777777" w:rsidR="00E3500B" w:rsidRPr="00E669D1" w:rsidRDefault="00E3500B" w:rsidP="000B5D6A">
            <w:pPr>
              <w:jc w:val="left"/>
              <w:cnfStyle w:val="000000100000" w:firstRow="0" w:lastRow="0" w:firstColumn="0" w:lastColumn="0" w:oddVBand="0" w:evenVBand="0" w:oddHBand="1" w:evenHBand="0" w:firstRowFirstColumn="0" w:firstRowLastColumn="0" w:lastRowFirstColumn="0" w:lastRowLastColumn="0"/>
              <w:rPr>
                <w:ins w:id="2290" w:author="Celia Johnson" w:date="2022-09-06T13:24:00Z"/>
              </w:rPr>
            </w:pPr>
            <w:bookmarkStart w:id="2291" w:name="_Hlk87027713"/>
            <w:ins w:id="2292" w:author="Celia Johnson" w:date="2022-09-06T13:24:00Z">
              <w:r w:rsidRPr="00E669D1">
                <w:t>Program represents 25% of nationwide customers and program sponsor incentive budgets grow proportionally.</w:t>
              </w:r>
              <w:bookmarkEnd w:id="2291"/>
            </w:ins>
          </w:p>
        </w:tc>
        <w:tc>
          <w:tcPr>
            <w:tcW w:w="2193" w:type="dxa"/>
            <w:tcBorders>
              <w:top w:val="single" w:sz="12" w:space="0" w:color="5B9BD5" w:themeColor="accent1"/>
              <w:left w:val="single" w:sz="12" w:space="0" w:color="F2F2F2" w:themeColor="background1" w:themeShade="F2"/>
              <w:bottom w:val="single" w:sz="4" w:space="0" w:color="D5DCE4" w:themeColor="text2" w:themeTint="33"/>
            </w:tcBorders>
          </w:tcPr>
          <w:p w14:paraId="08F20E9C" w14:textId="77777777" w:rsidR="00E3500B" w:rsidRPr="00E669D1" w:rsidRDefault="00E3500B">
            <w:pPr>
              <w:pStyle w:val="ListParagraph"/>
              <w:widowControl/>
              <w:numPr>
                <w:ilvl w:val="0"/>
                <w:numId w:val="102"/>
              </w:numPr>
              <w:spacing w:after="40"/>
              <w:ind w:left="349" w:hanging="238"/>
              <w:contextualSpacing w:val="0"/>
              <w:jc w:val="left"/>
              <w:cnfStyle w:val="000000100000" w:firstRow="0" w:lastRow="0" w:firstColumn="0" w:lastColumn="0" w:oddVBand="0" w:evenVBand="0" w:oddHBand="1" w:evenHBand="0" w:firstRowFirstColumn="0" w:firstRowLastColumn="0" w:lastRowFirstColumn="0" w:lastRowLastColumn="0"/>
              <w:rPr>
                <w:ins w:id="2293" w:author="Celia Johnson" w:date="2022-09-06T13:24:00Z"/>
              </w:rPr>
            </w:pPr>
            <w:bookmarkStart w:id="2294" w:name="_Hlk87027801"/>
            <w:ins w:id="2295" w:author="Celia Johnson" w:date="2022-09-06T13:24:00Z">
              <w:r w:rsidRPr="00E669D1">
                <w:t>EIA-861 Utility Dataset</w:t>
              </w:r>
            </w:ins>
          </w:p>
          <w:p w14:paraId="492735B0" w14:textId="77777777" w:rsidR="00E3500B" w:rsidRPr="00E669D1" w:rsidRDefault="00E3500B">
            <w:pPr>
              <w:pStyle w:val="ListParagraph"/>
              <w:widowControl/>
              <w:numPr>
                <w:ilvl w:val="0"/>
                <w:numId w:val="102"/>
              </w:numPr>
              <w:spacing w:after="40"/>
              <w:ind w:left="349" w:hanging="238"/>
              <w:contextualSpacing w:val="0"/>
              <w:jc w:val="left"/>
              <w:cnfStyle w:val="000000100000" w:firstRow="0" w:lastRow="0" w:firstColumn="0" w:lastColumn="0" w:oddVBand="0" w:evenVBand="0" w:oddHBand="1" w:evenHBand="0" w:firstRowFirstColumn="0" w:firstRowLastColumn="0" w:lastRowFirstColumn="0" w:lastRowLastColumn="0"/>
              <w:rPr>
                <w:ins w:id="2296" w:author="Celia Johnson" w:date="2022-09-06T13:24:00Z"/>
              </w:rPr>
            </w:pPr>
            <w:ins w:id="2297" w:author="Celia Johnson" w:date="2022-09-06T13:24:00Z">
              <w:r w:rsidRPr="00E669D1">
                <w:t>ESRPP program documents</w:t>
              </w:r>
              <w:bookmarkEnd w:id="2294"/>
            </w:ins>
          </w:p>
        </w:tc>
      </w:tr>
      <w:bookmarkEnd w:id="2281"/>
      <w:tr w:rsidR="00E3500B" w14:paraId="231978F1" w14:textId="77777777" w:rsidTr="000B5D6A">
        <w:trPr>
          <w:cnfStyle w:val="000000010000" w:firstRow="0" w:lastRow="0" w:firstColumn="0" w:lastColumn="0" w:oddVBand="0" w:evenVBand="0" w:oddHBand="0" w:evenHBand="1" w:firstRowFirstColumn="0" w:firstRowLastColumn="0" w:lastRowFirstColumn="0" w:lastRowLastColumn="0"/>
          <w:trHeight w:val="545"/>
          <w:ins w:id="2298" w:author="Celia Johnson" w:date="2022-09-06T13:24:00Z"/>
        </w:trPr>
        <w:tc>
          <w:tcPr>
            <w:cnfStyle w:val="001000000000" w:firstRow="0" w:lastRow="0" w:firstColumn="1" w:lastColumn="0" w:oddVBand="0" w:evenVBand="0" w:oddHBand="0" w:evenHBand="0" w:firstRowFirstColumn="0" w:firstRowLastColumn="0" w:lastRowFirstColumn="0" w:lastRowLastColumn="0"/>
            <w:tcW w:w="1090" w:type="dxa"/>
            <w:tcBorders>
              <w:top w:val="single" w:sz="4" w:space="0" w:color="D5DCE4" w:themeColor="text2" w:themeTint="33"/>
              <w:bottom w:val="single" w:sz="4" w:space="0" w:color="D5DCE4" w:themeColor="text2" w:themeTint="33"/>
              <w:right w:val="single" w:sz="12" w:space="0" w:color="F2F2F2" w:themeColor="background1" w:themeShade="F2"/>
            </w:tcBorders>
          </w:tcPr>
          <w:p w14:paraId="366865DF" w14:textId="77777777" w:rsidR="00E3500B" w:rsidRDefault="00E3500B" w:rsidP="000B5D6A">
            <w:pPr>
              <w:rPr>
                <w:ins w:id="2299" w:author="Celia Johnson" w:date="2022-09-06T13:24:00Z"/>
              </w:rPr>
            </w:pPr>
            <w:ins w:id="2300" w:author="Celia Johnson" w:date="2022-09-06T13:24:00Z">
              <w:r>
                <w:t>II (S)</w:t>
              </w:r>
            </w:ins>
          </w:p>
        </w:tc>
        <w:tc>
          <w:tcPr>
            <w:tcW w:w="1613" w:type="dxa"/>
            <w:tcBorders>
              <w:top w:val="single" w:sz="4" w:space="0" w:color="D5DCE4" w:themeColor="text2" w:themeTint="33"/>
              <w:left w:val="single" w:sz="12" w:space="0" w:color="F2F2F2" w:themeColor="background1" w:themeShade="F2"/>
              <w:bottom w:val="single" w:sz="4" w:space="0" w:color="D5DCE4" w:themeColor="text2" w:themeTint="33"/>
              <w:right w:val="single" w:sz="12" w:space="0" w:color="F2F2F2" w:themeColor="background1" w:themeShade="F2"/>
            </w:tcBorders>
          </w:tcPr>
          <w:p w14:paraId="5E18FD91" w14:textId="77777777" w:rsidR="00E3500B" w:rsidRDefault="00E3500B" w:rsidP="000B5D6A">
            <w:pPr>
              <w:jc w:val="left"/>
              <w:cnfStyle w:val="000000010000" w:firstRow="0" w:lastRow="0" w:firstColumn="0" w:lastColumn="0" w:oddVBand="0" w:evenVBand="0" w:oddHBand="0" w:evenHBand="1" w:firstRowFirstColumn="0" w:firstRowLastColumn="0" w:lastRowFirstColumn="0" w:lastRowLastColumn="0"/>
              <w:rPr>
                <w:ins w:id="2301" w:author="Celia Johnson" w:date="2022-09-06T13:24:00Z"/>
              </w:rPr>
            </w:pPr>
            <w:ins w:id="2302" w:author="Celia Johnson" w:date="2022-09-06T13:24:00Z">
              <w:r>
                <w:t xml:space="preserve">ENERGY STAR data and federal </w:t>
              </w:r>
              <w:r w:rsidRPr="00D47BA1">
                <w:rPr>
                  <w:b/>
                  <w:bCs/>
                </w:rPr>
                <w:t>test procedures better</w:t>
              </w:r>
              <w:r>
                <w:t xml:space="preserve"> </w:t>
              </w:r>
              <w:r w:rsidRPr="005D20D4">
                <w:rPr>
                  <w:b/>
                  <w:bCs/>
                </w:rPr>
                <w:t>reflect</w:t>
              </w:r>
              <w:r>
                <w:t xml:space="preserve"> real world energy consumption.</w:t>
              </w:r>
            </w:ins>
          </w:p>
        </w:tc>
        <w:tc>
          <w:tcPr>
            <w:tcW w:w="2097" w:type="dxa"/>
            <w:tcBorders>
              <w:top w:val="single" w:sz="4" w:space="0" w:color="D5DCE4" w:themeColor="text2" w:themeTint="33"/>
              <w:left w:val="single" w:sz="12" w:space="0" w:color="F2F2F2" w:themeColor="background1" w:themeShade="F2"/>
              <w:bottom w:val="single" w:sz="4" w:space="0" w:color="D5DCE4" w:themeColor="text2" w:themeTint="33"/>
              <w:right w:val="single" w:sz="12" w:space="0" w:color="F2F2F2" w:themeColor="background1" w:themeShade="F2"/>
            </w:tcBorders>
          </w:tcPr>
          <w:p w14:paraId="7FC49EEE" w14:textId="77777777" w:rsidR="00E3500B" w:rsidRDefault="00E3500B">
            <w:pPr>
              <w:pStyle w:val="ListParagraph"/>
              <w:widowControl/>
              <w:numPr>
                <w:ilvl w:val="0"/>
                <w:numId w:val="103"/>
              </w:numPr>
              <w:spacing w:after="40"/>
              <w:ind w:left="315" w:hanging="270"/>
              <w:contextualSpacing w:val="0"/>
              <w:jc w:val="left"/>
              <w:cnfStyle w:val="000000010000" w:firstRow="0" w:lastRow="0" w:firstColumn="0" w:lastColumn="0" w:oddVBand="0" w:evenVBand="0" w:oddHBand="0" w:evenHBand="1" w:firstRowFirstColumn="0" w:firstRowLastColumn="0" w:lastRowFirstColumn="0" w:lastRowLastColumn="0"/>
              <w:rPr>
                <w:ins w:id="2303" w:author="Celia Johnson" w:date="2022-09-06T13:24:00Z"/>
              </w:rPr>
            </w:pPr>
            <w:ins w:id="2304" w:author="Celia Johnson" w:date="2022-09-06T13:24:00Z">
              <w:r>
                <w:t>Number of products for which RPP provides data to ENERGY STAR</w:t>
              </w:r>
            </w:ins>
          </w:p>
          <w:p w14:paraId="351208F2" w14:textId="77777777" w:rsidR="00E3500B" w:rsidRDefault="00E3500B">
            <w:pPr>
              <w:pStyle w:val="ListParagraph"/>
              <w:widowControl/>
              <w:numPr>
                <w:ilvl w:val="0"/>
                <w:numId w:val="103"/>
              </w:numPr>
              <w:spacing w:after="40"/>
              <w:ind w:left="315" w:hanging="270"/>
              <w:contextualSpacing w:val="0"/>
              <w:jc w:val="left"/>
              <w:cnfStyle w:val="000000010000" w:firstRow="0" w:lastRow="0" w:firstColumn="0" w:lastColumn="0" w:oddVBand="0" w:evenVBand="0" w:oddHBand="0" w:evenHBand="1" w:firstRowFirstColumn="0" w:firstRowLastColumn="0" w:lastRowFirstColumn="0" w:lastRowLastColumn="0"/>
              <w:rPr>
                <w:ins w:id="2305" w:author="Celia Johnson" w:date="2022-09-06T13:24:00Z"/>
              </w:rPr>
            </w:pPr>
            <w:ins w:id="2306" w:author="Celia Johnson" w:date="2022-09-06T13:24:00Z">
              <w:r>
                <w:t>Number of products for which test procedures are improved</w:t>
              </w:r>
            </w:ins>
          </w:p>
        </w:tc>
        <w:tc>
          <w:tcPr>
            <w:tcW w:w="2367" w:type="dxa"/>
            <w:tcBorders>
              <w:top w:val="single" w:sz="4" w:space="0" w:color="D5DCE4" w:themeColor="text2" w:themeTint="33"/>
              <w:left w:val="single" w:sz="12" w:space="0" w:color="F2F2F2" w:themeColor="background1" w:themeShade="F2"/>
              <w:bottom w:val="single" w:sz="4" w:space="0" w:color="D5DCE4" w:themeColor="text2" w:themeTint="33"/>
              <w:right w:val="single" w:sz="12" w:space="0" w:color="F2F2F2" w:themeColor="background1" w:themeShade="F2"/>
            </w:tcBorders>
          </w:tcPr>
          <w:p w14:paraId="0FEE08C1" w14:textId="77777777" w:rsidR="00E3500B" w:rsidRPr="00BB77BD" w:rsidRDefault="00E3500B" w:rsidP="000B5D6A">
            <w:pPr>
              <w:jc w:val="left"/>
              <w:cnfStyle w:val="000000010000" w:firstRow="0" w:lastRow="0" w:firstColumn="0" w:lastColumn="0" w:oddVBand="0" w:evenVBand="0" w:oddHBand="0" w:evenHBand="1" w:firstRowFirstColumn="0" w:firstRowLastColumn="0" w:lastRowFirstColumn="0" w:lastRowLastColumn="0"/>
              <w:rPr>
                <w:ins w:id="2307" w:author="Celia Johnson" w:date="2022-09-06T13:24:00Z"/>
                <w:u w:val="single"/>
              </w:rPr>
            </w:pPr>
            <w:ins w:id="2308" w:author="Celia Johnson" w:date="2022-09-06T13:24:00Z">
              <w:r w:rsidRPr="00BB77BD">
                <w:rPr>
                  <w:u w:val="single"/>
                </w:rPr>
                <w:t>Product-level targets:</w:t>
              </w:r>
            </w:ins>
          </w:p>
          <w:p w14:paraId="39D2899D" w14:textId="77777777" w:rsidR="00E3500B" w:rsidRDefault="00E3500B">
            <w:pPr>
              <w:pStyle w:val="ListParagraph"/>
              <w:widowControl/>
              <w:numPr>
                <w:ilvl w:val="0"/>
                <w:numId w:val="107"/>
              </w:numPr>
              <w:spacing w:after="40"/>
              <w:ind w:left="390"/>
              <w:contextualSpacing w:val="0"/>
              <w:jc w:val="left"/>
              <w:cnfStyle w:val="000000010000" w:firstRow="0" w:lastRow="0" w:firstColumn="0" w:lastColumn="0" w:oddVBand="0" w:evenVBand="0" w:oddHBand="0" w:evenHBand="1" w:firstRowFirstColumn="0" w:firstRowLastColumn="0" w:lastRowFirstColumn="0" w:lastRowLastColumn="0"/>
              <w:rPr>
                <w:ins w:id="2309" w:author="Celia Johnson" w:date="2022-09-06T13:24:00Z"/>
              </w:rPr>
            </w:pPr>
            <w:ins w:id="2310" w:author="Celia Johnson" w:date="2022-09-06T13:24:00Z">
              <w:r>
                <w:t>Data provided to ENERGY STAR for two products</w:t>
              </w:r>
            </w:ins>
          </w:p>
          <w:p w14:paraId="5CF61A09" w14:textId="77777777" w:rsidR="00E3500B" w:rsidRPr="00BB77BD" w:rsidRDefault="00E3500B">
            <w:pPr>
              <w:pStyle w:val="ListParagraph"/>
              <w:widowControl/>
              <w:numPr>
                <w:ilvl w:val="0"/>
                <w:numId w:val="107"/>
              </w:numPr>
              <w:spacing w:after="40"/>
              <w:ind w:left="390"/>
              <w:contextualSpacing w:val="0"/>
              <w:jc w:val="left"/>
              <w:cnfStyle w:val="000000010000" w:firstRow="0" w:lastRow="0" w:firstColumn="0" w:lastColumn="0" w:oddVBand="0" w:evenVBand="0" w:oddHBand="0" w:evenHBand="1" w:firstRowFirstColumn="0" w:firstRowLastColumn="0" w:lastRowFirstColumn="0" w:lastRowLastColumn="0"/>
              <w:rPr>
                <w:ins w:id="2311" w:author="Celia Johnson" w:date="2022-09-06T13:24:00Z"/>
                <w:i/>
                <w:iCs/>
              </w:rPr>
            </w:pPr>
            <w:ins w:id="2312" w:author="Celia Johnson" w:date="2022-09-06T13:24:00Z">
              <w:r w:rsidRPr="00BB77BD">
                <w:rPr>
                  <w:i/>
                  <w:iCs/>
                </w:rPr>
                <w:t xml:space="preserve">There are unlikely to be opportunities to influence federal test procedures for products in </w:t>
              </w:r>
              <w:proofErr w:type="spellStart"/>
              <w:r w:rsidRPr="00BB77BD">
                <w:rPr>
                  <w:i/>
                  <w:iCs/>
                </w:rPr>
                <w:t>ComEd’s</w:t>
              </w:r>
              <w:proofErr w:type="spellEnd"/>
              <w:r w:rsidRPr="00BB77BD">
                <w:rPr>
                  <w:i/>
                  <w:iCs/>
                </w:rPr>
                <w:t xml:space="preserve"> RPP portfolio in 2020-2023. We will continue to monitor</w:t>
              </w:r>
              <w:r>
                <w:rPr>
                  <w:i/>
                  <w:iCs/>
                </w:rPr>
                <w:t>.</w:t>
              </w:r>
            </w:ins>
          </w:p>
        </w:tc>
        <w:tc>
          <w:tcPr>
            <w:tcW w:w="2193" w:type="dxa"/>
            <w:tcBorders>
              <w:top w:val="single" w:sz="4" w:space="0" w:color="D5DCE4" w:themeColor="text2" w:themeTint="33"/>
              <w:left w:val="single" w:sz="12" w:space="0" w:color="F2F2F2" w:themeColor="background1" w:themeShade="F2"/>
              <w:bottom w:val="single" w:sz="4" w:space="0" w:color="D5DCE4" w:themeColor="text2" w:themeTint="33"/>
            </w:tcBorders>
          </w:tcPr>
          <w:p w14:paraId="6851A87A" w14:textId="77777777" w:rsidR="00E3500B" w:rsidRDefault="00E3500B">
            <w:pPr>
              <w:pStyle w:val="ListParagraph"/>
              <w:widowControl/>
              <w:numPr>
                <w:ilvl w:val="0"/>
                <w:numId w:val="111"/>
              </w:numPr>
              <w:spacing w:after="40"/>
              <w:ind w:left="349" w:hanging="238"/>
              <w:contextualSpacing w:val="0"/>
              <w:jc w:val="left"/>
              <w:cnfStyle w:val="000000010000" w:firstRow="0" w:lastRow="0" w:firstColumn="0" w:lastColumn="0" w:oddVBand="0" w:evenVBand="0" w:oddHBand="0" w:evenHBand="1" w:firstRowFirstColumn="0" w:firstRowLastColumn="0" w:lastRowFirstColumn="0" w:lastRowLastColumn="0"/>
              <w:rPr>
                <w:ins w:id="2313" w:author="Celia Johnson" w:date="2022-09-06T13:24:00Z"/>
              </w:rPr>
            </w:pPr>
            <w:ins w:id="2314" w:author="Celia Johnson" w:date="2022-09-06T13:24:00Z">
              <w:r>
                <w:t>Longitudinal tracking of RPP engagement with ENERGY STAR revision process (MPI 1)</w:t>
              </w:r>
            </w:ins>
          </w:p>
          <w:p w14:paraId="1FB94F07" w14:textId="77777777" w:rsidR="00E3500B" w:rsidRDefault="00E3500B">
            <w:pPr>
              <w:pStyle w:val="ListParagraph"/>
              <w:widowControl/>
              <w:numPr>
                <w:ilvl w:val="0"/>
                <w:numId w:val="111"/>
              </w:numPr>
              <w:spacing w:after="40"/>
              <w:ind w:left="349" w:hanging="238"/>
              <w:contextualSpacing w:val="0"/>
              <w:jc w:val="left"/>
              <w:cnfStyle w:val="000000010000" w:firstRow="0" w:lastRow="0" w:firstColumn="0" w:lastColumn="0" w:oddVBand="0" w:evenVBand="0" w:oddHBand="0" w:evenHBand="1" w:firstRowFirstColumn="0" w:firstRowLastColumn="0" w:lastRowFirstColumn="0" w:lastRowLastColumn="0"/>
              <w:rPr>
                <w:ins w:id="2315" w:author="Celia Johnson" w:date="2022-09-06T13:24:00Z"/>
              </w:rPr>
            </w:pPr>
            <w:ins w:id="2316" w:author="Celia Johnson" w:date="2022-09-06T13:24:00Z">
              <w:r>
                <w:t>DOE rulemaking documents (MPI 2)</w:t>
              </w:r>
            </w:ins>
          </w:p>
        </w:tc>
      </w:tr>
      <w:tr w:rsidR="00E3500B" w14:paraId="0957DE47" w14:textId="77777777" w:rsidTr="000B5D6A">
        <w:trPr>
          <w:cnfStyle w:val="000000100000" w:firstRow="0" w:lastRow="0" w:firstColumn="0" w:lastColumn="0" w:oddVBand="0" w:evenVBand="0" w:oddHBand="1" w:evenHBand="0" w:firstRowFirstColumn="0" w:firstRowLastColumn="0" w:lastRowFirstColumn="0" w:lastRowLastColumn="0"/>
          <w:trHeight w:val="545"/>
          <w:ins w:id="2317" w:author="Celia Johnson" w:date="2022-09-06T13:24:00Z"/>
        </w:trPr>
        <w:tc>
          <w:tcPr>
            <w:cnfStyle w:val="001000000000" w:firstRow="0" w:lastRow="0" w:firstColumn="1" w:lastColumn="0" w:oddVBand="0" w:evenVBand="0" w:oddHBand="0" w:evenHBand="0" w:firstRowFirstColumn="0" w:firstRowLastColumn="0" w:lastRowFirstColumn="0" w:lastRowLastColumn="0"/>
            <w:tcW w:w="1090" w:type="dxa"/>
            <w:tcBorders>
              <w:top w:val="single" w:sz="4" w:space="0" w:color="D5DCE4" w:themeColor="text2" w:themeTint="33"/>
              <w:bottom w:val="single" w:sz="4" w:space="0" w:color="D5DCE4" w:themeColor="text2" w:themeTint="33"/>
              <w:right w:val="single" w:sz="12" w:space="0" w:color="F2F2F2" w:themeColor="background1" w:themeShade="F2"/>
            </w:tcBorders>
          </w:tcPr>
          <w:p w14:paraId="23416E46" w14:textId="77777777" w:rsidR="00E3500B" w:rsidRPr="00E669D1" w:rsidRDefault="00E3500B" w:rsidP="000B5D6A">
            <w:pPr>
              <w:rPr>
                <w:ins w:id="2318" w:author="Celia Johnson" w:date="2022-09-06T13:24:00Z"/>
              </w:rPr>
            </w:pPr>
            <w:ins w:id="2319" w:author="Celia Johnson" w:date="2022-09-06T13:24:00Z">
              <w:r w:rsidRPr="00E669D1">
                <w:t>III (S)</w:t>
              </w:r>
            </w:ins>
          </w:p>
        </w:tc>
        <w:tc>
          <w:tcPr>
            <w:tcW w:w="1613" w:type="dxa"/>
            <w:tcBorders>
              <w:top w:val="single" w:sz="4" w:space="0" w:color="D5DCE4" w:themeColor="text2" w:themeTint="33"/>
              <w:left w:val="single" w:sz="12" w:space="0" w:color="F2F2F2" w:themeColor="background1" w:themeShade="F2"/>
              <w:bottom w:val="single" w:sz="4" w:space="0" w:color="D5DCE4" w:themeColor="text2" w:themeTint="33"/>
              <w:right w:val="single" w:sz="12" w:space="0" w:color="F2F2F2" w:themeColor="background1" w:themeShade="F2"/>
            </w:tcBorders>
          </w:tcPr>
          <w:p w14:paraId="20303A2A" w14:textId="77777777" w:rsidR="00E3500B" w:rsidRPr="00E669D1" w:rsidRDefault="00E3500B" w:rsidP="000B5D6A">
            <w:pPr>
              <w:jc w:val="left"/>
              <w:cnfStyle w:val="000000100000" w:firstRow="0" w:lastRow="0" w:firstColumn="0" w:lastColumn="0" w:oddVBand="0" w:evenVBand="0" w:oddHBand="1" w:evenHBand="0" w:firstRowFirstColumn="0" w:firstRowLastColumn="0" w:lastRowFirstColumn="0" w:lastRowLastColumn="0"/>
              <w:rPr>
                <w:ins w:id="2320" w:author="Celia Johnson" w:date="2022-09-06T13:24:00Z"/>
              </w:rPr>
            </w:pPr>
            <w:bookmarkStart w:id="2321" w:name="_Hlk87027867"/>
            <w:ins w:id="2322" w:author="Celia Johnson" w:date="2022-09-06T13:24:00Z">
              <w:r w:rsidRPr="00E669D1">
                <w:t xml:space="preserve">Data platform enables </w:t>
              </w:r>
              <w:r w:rsidRPr="00E669D1">
                <w:rPr>
                  <w:b/>
                  <w:bCs/>
                </w:rPr>
                <w:t>effective program operations processes.</w:t>
              </w:r>
              <w:bookmarkEnd w:id="2321"/>
            </w:ins>
          </w:p>
        </w:tc>
        <w:tc>
          <w:tcPr>
            <w:tcW w:w="2097" w:type="dxa"/>
            <w:tcBorders>
              <w:top w:val="single" w:sz="4" w:space="0" w:color="D5DCE4" w:themeColor="text2" w:themeTint="33"/>
              <w:left w:val="single" w:sz="12" w:space="0" w:color="F2F2F2" w:themeColor="background1" w:themeShade="F2"/>
              <w:bottom w:val="single" w:sz="4" w:space="0" w:color="D5DCE4" w:themeColor="text2" w:themeTint="33"/>
              <w:right w:val="single" w:sz="12" w:space="0" w:color="F2F2F2" w:themeColor="background1" w:themeShade="F2"/>
            </w:tcBorders>
          </w:tcPr>
          <w:p w14:paraId="753422B7" w14:textId="77777777" w:rsidR="00E3500B" w:rsidRPr="00E669D1" w:rsidRDefault="00E3500B">
            <w:pPr>
              <w:pStyle w:val="ListParagraph"/>
              <w:widowControl/>
              <w:numPr>
                <w:ilvl w:val="0"/>
                <w:numId w:val="104"/>
              </w:numPr>
              <w:spacing w:after="40"/>
              <w:ind w:left="345"/>
              <w:contextualSpacing w:val="0"/>
              <w:jc w:val="left"/>
              <w:cnfStyle w:val="000000100000" w:firstRow="0" w:lastRow="0" w:firstColumn="0" w:lastColumn="0" w:oddVBand="0" w:evenVBand="0" w:oddHBand="1" w:evenHBand="0" w:firstRowFirstColumn="0" w:firstRowLastColumn="0" w:lastRowFirstColumn="0" w:lastRowLastColumn="0"/>
              <w:rPr>
                <w:ins w:id="2323" w:author="Celia Johnson" w:date="2022-09-06T13:24:00Z"/>
              </w:rPr>
            </w:pPr>
            <w:bookmarkStart w:id="2324" w:name="_Hlk87027921"/>
            <w:ins w:id="2325" w:author="Celia Johnson" w:date="2022-09-06T13:24:00Z">
              <w:r w:rsidRPr="00E669D1">
                <w:t>Data access and accuracy are sufficient to support product-by-product analysis and participation in the ENERGY STAR specification process.</w:t>
              </w:r>
            </w:ins>
          </w:p>
          <w:p w14:paraId="6C24AEEE" w14:textId="77777777" w:rsidR="00E3500B" w:rsidRPr="00E669D1" w:rsidRDefault="00E3500B">
            <w:pPr>
              <w:pStyle w:val="ListParagraph"/>
              <w:widowControl/>
              <w:numPr>
                <w:ilvl w:val="0"/>
                <w:numId w:val="104"/>
              </w:numPr>
              <w:spacing w:after="40"/>
              <w:ind w:left="345"/>
              <w:contextualSpacing w:val="0"/>
              <w:jc w:val="left"/>
              <w:cnfStyle w:val="000000100000" w:firstRow="0" w:lastRow="0" w:firstColumn="0" w:lastColumn="0" w:oddVBand="0" w:evenVBand="0" w:oddHBand="1" w:evenHBand="0" w:firstRowFirstColumn="0" w:firstRowLastColumn="0" w:lastRowFirstColumn="0" w:lastRowLastColumn="0"/>
              <w:rPr>
                <w:ins w:id="2326" w:author="Celia Johnson" w:date="2022-09-06T13:24:00Z"/>
              </w:rPr>
            </w:pPr>
            <w:ins w:id="2327" w:author="Celia Johnson" w:date="2022-09-06T13:24:00Z">
              <w:r w:rsidRPr="00E669D1">
                <w:t>Speed with which incentives are paid</w:t>
              </w:r>
            </w:ins>
          </w:p>
          <w:p w14:paraId="5657C264" w14:textId="77777777" w:rsidR="00E3500B" w:rsidRPr="00E669D1" w:rsidRDefault="00E3500B">
            <w:pPr>
              <w:pStyle w:val="ListParagraph"/>
              <w:widowControl/>
              <w:numPr>
                <w:ilvl w:val="0"/>
                <w:numId w:val="104"/>
              </w:numPr>
              <w:spacing w:after="40"/>
              <w:ind w:left="345"/>
              <w:contextualSpacing w:val="0"/>
              <w:jc w:val="left"/>
              <w:cnfStyle w:val="000000100000" w:firstRow="0" w:lastRow="0" w:firstColumn="0" w:lastColumn="0" w:oddVBand="0" w:evenVBand="0" w:oddHBand="1" w:evenHBand="0" w:firstRowFirstColumn="0" w:firstRowLastColumn="0" w:lastRowFirstColumn="0" w:lastRowLastColumn="0"/>
              <w:rPr>
                <w:ins w:id="2328" w:author="Celia Johnson" w:date="2022-09-06T13:24:00Z"/>
              </w:rPr>
            </w:pPr>
            <w:ins w:id="2329" w:author="Celia Johnson" w:date="2022-09-06T13:24:00Z">
              <w:r w:rsidRPr="00E669D1">
                <w:t>Number of corrections or data errors</w:t>
              </w:r>
            </w:ins>
          </w:p>
          <w:p w14:paraId="7FC95FC0" w14:textId="77777777" w:rsidR="00E3500B" w:rsidRPr="00E669D1" w:rsidRDefault="00E3500B">
            <w:pPr>
              <w:pStyle w:val="ListParagraph"/>
              <w:widowControl/>
              <w:numPr>
                <w:ilvl w:val="0"/>
                <w:numId w:val="104"/>
              </w:numPr>
              <w:spacing w:after="40"/>
              <w:ind w:left="345"/>
              <w:contextualSpacing w:val="0"/>
              <w:jc w:val="left"/>
              <w:cnfStyle w:val="000000100000" w:firstRow="0" w:lastRow="0" w:firstColumn="0" w:lastColumn="0" w:oddVBand="0" w:evenVBand="0" w:oddHBand="1" w:evenHBand="0" w:firstRowFirstColumn="0" w:firstRowLastColumn="0" w:lastRowFirstColumn="0" w:lastRowLastColumn="0"/>
              <w:rPr>
                <w:ins w:id="2330" w:author="Celia Johnson" w:date="2022-09-06T13:24:00Z"/>
              </w:rPr>
            </w:pPr>
            <w:ins w:id="2331" w:author="Celia Johnson" w:date="2022-09-06T13:24:00Z">
              <w:r w:rsidRPr="00E669D1">
                <w:t>Program sponsor confidence in program operations process</w:t>
              </w:r>
              <w:bookmarkEnd w:id="2324"/>
            </w:ins>
          </w:p>
        </w:tc>
        <w:tc>
          <w:tcPr>
            <w:tcW w:w="2367" w:type="dxa"/>
            <w:tcBorders>
              <w:top w:val="single" w:sz="4" w:space="0" w:color="D5DCE4" w:themeColor="text2" w:themeTint="33"/>
              <w:left w:val="single" w:sz="12" w:space="0" w:color="F2F2F2" w:themeColor="background1" w:themeShade="F2"/>
              <w:bottom w:val="single" w:sz="4" w:space="0" w:color="D5DCE4" w:themeColor="text2" w:themeTint="33"/>
              <w:right w:val="single" w:sz="12" w:space="0" w:color="F2F2F2" w:themeColor="background1" w:themeShade="F2"/>
            </w:tcBorders>
          </w:tcPr>
          <w:p w14:paraId="6B6B3864" w14:textId="77777777" w:rsidR="00E3500B" w:rsidRPr="00E669D1" w:rsidRDefault="00E3500B" w:rsidP="000B5D6A">
            <w:pPr>
              <w:jc w:val="left"/>
              <w:cnfStyle w:val="000000100000" w:firstRow="0" w:lastRow="0" w:firstColumn="0" w:lastColumn="0" w:oddVBand="0" w:evenVBand="0" w:oddHBand="1" w:evenHBand="0" w:firstRowFirstColumn="0" w:firstRowLastColumn="0" w:lastRowFirstColumn="0" w:lastRowLastColumn="0"/>
              <w:rPr>
                <w:ins w:id="2332" w:author="Celia Johnson" w:date="2022-09-06T13:24:00Z"/>
                <w:u w:val="single"/>
              </w:rPr>
            </w:pPr>
            <w:ins w:id="2333" w:author="Celia Johnson" w:date="2022-09-06T13:24:00Z">
              <w:r w:rsidRPr="00E669D1">
                <w:rPr>
                  <w:u w:val="single"/>
                </w:rPr>
                <w:t>Portfolio-level target:</w:t>
              </w:r>
            </w:ins>
          </w:p>
          <w:p w14:paraId="0B5F470C" w14:textId="77777777" w:rsidR="00E3500B" w:rsidRPr="00E669D1" w:rsidRDefault="00E3500B">
            <w:pPr>
              <w:pStyle w:val="ListParagraph"/>
              <w:widowControl/>
              <w:numPr>
                <w:ilvl w:val="0"/>
                <w:numId w:val="108"/>
              </w:numPr>
              <w:spacing w:after="40"/>
              <w:ind w:left="390"/>
              <w:contextualSpacing w:val="0"/>
              <w:jc w:val="left"/>
              <w:cnfStyle w:val="000000100000" w:firstRow="0" w:lastRow="0" w:firstColumn="0" w:lastColumn="0" w:oddVBand="0" w:evenVBand="0" w:oddHBand="1" w:evenHBand="0" w:firstRowFirstColumn="0" w:firstRowLastColumn="0" w:lastRowFirstColumn="0" w:lastRowLastColumn="0"/>
              <w:rPr>
                <w:ins w:id="2334" w:author="Celia Johnson" w:date="2022-09-06T13:24:00Z"/>
              </w:rPr>
            </w:pPr>
            <w:bookmarkStart w:id="2335" w:name="_Hlk87028012"/>
            <w:ins w:id="2336" w:author="Celia Johnson" w:date="2022-09-06T13:24:00Z">
              <w:r w:rsidRPr="00E669D1">
                <w:t>Data access and accuracy continue to be sufficient to support participation in the ENERGY STAR specification process.</w:t>
              </w:r>
            </w:ins>
          </w:p>
          <w:p w14:paraId="61354E6E" w14:textId="77777777" w:rsidR="00E3500B" w:rsidRPr="00E669D1" w:rsidRDefault="00E3500B">
            <w:pPr>
              <w:pStyle w:val="ListParagraph"/>
              <w:widowControl/>
              <w:numPr>
                <w:ilvl w:val="0"/>
                <w:numId w:val="108"/>
              </w:numPr>
              <w:spacing w:after="40"/>
              <w:ind w:left="390"/>
              <w:contextualSpacing w:val="0"/>
              <w:jc w:val="left"/>
              <w:cnfStyle w:val="000000100000" w:firstRow="0" w:lastRow="0" w:firstColumn="0" w:lastColumn="0" w:oddVBand="0" w:evenVBand="0" w:oddHBand="1" w:evenHBand="0" w:firstRowFirstColumn="0" w:firstRowLastColumn="0" w:lastRowFirstColumn="0" w:lastRowLastColumn="0"/>
              <w:rPr>
                <w:ins w:id="2337" w:author="Celia Johnson" w:date="2022-09-06T13:24:00Z"/>
              </w:rPr>
            </w:pPr>
            <w:ins w:id="2338" w:author="Celia Johnson" w:date="2022-09-06T13:24:00Z">
              <w:r w:rsidRPr="00E669D1">
                <w:t>Incentives are paid on time</w:t>
              </w:r>
            </w:ins>
          </w:p>
          <w:p w14:paraId="550EBF35" w14:textId="77777777" w:rsidR="00E3500B" w:rsidRPr="00E669D1" w:rsidRDefault="00E3500B">
            <w:pPr>
              <w:pStyle w:val="ListParagraph"/>
              <w:widowControl/>
              <w:numPr>
                <w:ilvl w:val="0"/>
                <w:numId w:val="108"/>
              </w:numPr>
              <w:spacing w:after="40"/>
              <w:ind w:left="390"/>
              <w:contextualSpacing w:val="0"/>
              <w:jc w:val="left"/>
              <w:cnfStyle w:val="000000100000" w:firstRow="0" w:lastRow="0" w:firstColumn="0" w:lastColumn="0" w:oddVBand="0" w:evenVBand="0" w:oddHBand="1" w:evenHBand="0" w:firstRowFirstColumn="0" w:firstRowLastColumn="0" w:lastRowFirstColumn="0" w:lastRowLastColumn="0"/>
              <w:rPr>
                <w:ins w:id="2339" w:author="Celia Johnson" w:date="2022-09-06T13:24:00Z"/>
              </w:rPr>
            </w:pPr>
            <w:ins w:id="2340" w:author="Celia Johnson" w:date="2022-09-06T13:24:00Z">
              <w:r w:rsidRPr="00E669D1">
                <w:t>Correction/data error rates are low</w:t>
              </w:r>
            </w:ins>
          </w:p>
          <w:p w14:paraId="31CA27A6" w14:textId="77777777" w:rsidR="00E3500B" w:rsidRPr="00E669D1" w:rsidRDefault="00E3500B">
            <w:pPr>
              <w:pStyle w:val="ListParagraph"/>
              <w:widowControl/>
              <w:numPr>
                <w:ilvl w:val="0"/>
                <w:numId w:val="108"/>
              </w:numPr>
              <w:spacing w:after="40"/>
              <w:ind w:left="390"/>
              <w:contextualSpacing w:val="0"/>
              <w:jc w:val="left"/>
              <w:cnfStyle w:val="000000100000" w:firstRow="0" w:lastRow="0" w:firstColumn="0" w:lastColumn="0" w:oddVBand="0" w:evenVBand="0" w:oddHBand="1" w:evenHBand="0" w:firstRowFirstColumn="0" w:firstRowLastColumn="0" w:lastRowFirstColumn="0" w:lastRowLastColumn="0"/>
              <w:rPr>
                <w:ins w:id="2341" w:author="Celia Johnson" w:date="2022-09-06T13:24:00Z"/>
              </w:rPr>
            </w:pPr>
            <w:ins w:id="2342" w:author="Celia Johnson" w:date="2022-09-06T13:24:00Z">
              <w:r w:rsidRPr="00E669D1">
                <w:t>All program sponsors report confidence in the program operations process.</w:t>
              </w:r>
              <w:bookmarkEnd w:id="2335"/>
            </w:ins>
          </w:p>
        </w:tc>
        <w:tc>
          <w:tcPr>
            <w:tcW w:w="2193" w:type="dxa"/>
            <w:tcBorders>
              <w:top w:val="single" w:sz="4" w:space="0" w:color="D5DCE4" w:themeColor="text2" w:themeTint="33"/>
              <w:left w:val="single" w:sz="12" w:space="0" w:color="F2F2F2" w:themeColor="background1" w:themeShade="F2"/>
              <w:bottom w:val="single" w:sz="4" w:space="0" w:color="D5DCE4" w:themeColor="text2" w:themeTint="33"/>
            </w:tcBorders>
          </w:tcPr>
          <w:p w14:paraId="335FEB84" w14:textId="77777777" w:rsidR="00E3500B" w:rsidRPr="00E669D1" w:rsidRDefault="00E3500B">
            <w:pPr>
              <w:pStyle w:val="ListParagraph"/>
              <w:widowControl/>
              <w:numPr>
                <w:ilvl w:val="0"/>
                <w:numId w:val="112"/>
              </w:numPr>
              <w:spacing w:after="40"/>
              <w:ind w:left="349" w:hanging="238"/>
              <w:contextualSpacing w:val="0"/>
              <w:jc w:val="left"/>
              <w:cnfStyle w:val="000000100000" w:firstRow="0" w:lastRow="0" w:firstColumn="0" w:lastColumn="0" w:oddVBand="0" w:evenVBand="0" w:oddHBand="1" w:evenHBand="0" w:firstRowFirstColumn="0" w:firstRowLastColumn="0" w:lastRowFirstColumn="0" w:lastRowLastColumn="0"/>
              <w:rPr>
                <w:ins w:id="2343" w:author="Celia Johnson" w:date="2022-09-06T13:24:00Z"/>
              </w:rPr>
            </w:pPr>
            <w:ins w:id="2344" w:author="Celia Johnson" w:date="2022-09-06T13:24:00Z">
              <w:r w:rsidRPr="00E669D1">
                <w:t>Longitudinal tracking of data quality indicators available through the data portal (MPIs 1-3)</w:t>
              </w:r>
            </w:ins>
          </w:p>
          <w:p w14:paraId="01DAE320" w14:textId="77777777" w:rsidR="00E3500B" w:rsidRPr="00E669D1" w:rsidRDefault="00E3500B">
            <w:pPr>
              <w:pStyle w:val="ListParagraph"/>
              <w:widowControl/>
              <w:numPr>
                <w:ilvl w:val="0"/>
                <w:numId w:val="112"/>
              </w:numPr>
              <w:spacing w:after="40"/>
              <w:ind w:left="349" w:hanging="238"/>
              <w:contextualSpacing w:val="0"/>
              <w:jc w:val="left"/>
              <w:cnfStyle w:val="000000100000" w:firstRow="0" w:lastRow="0" w:firstColumn="0" w:lastColumn="0" w:oddVBand="0" w:evenVBand="0" w:oddHBand="1" w:evenHBand="0" w:firstRowFirstColumn="0" w:firstRowLastColumn="0" w:lastRowFirstColumn="0" w:lastRowLastColumn="0"/>
              <w:rPr>
                <w:ins w:id="2345" w:author="Celia Johnson" w:date="2022-09-06T13:24:00Z"/>
              </w:rPr>
            </w:pPr>
            <w:ins w:id="2346" w:author="Celia Johnson" w:date="2022-09-06T13:24:00Z">
              <w:r w:rsidRPr="00E669D1">
                <w:t>Longitudinal tracking of RPP engagement with ENERGY STAR revision process (MPI 1)</w:t>
              </w:r>
            </w:ins>
          </w:p>
          <w:p w14:paraId="4547F0A2" w14:textId="77777777" w:rsidR="00E3500B" w:rsidRPr="00E669D1" w:rsidRDefault="00E3500B">
            <w:pPr>
              <w:pStyle w:val="ListParagraph"/>
              <w:widowControl/>
              <w:numPr>
                <w:ilvl w:val="0"/>
                <w:numId w:val="112"/>
              </w:numPr>
              <w:spacing w:after="40"/>
              <w:ind w:left="349" w:hanging="238"/>
              <w:contextualSpacing w:val="0"/>
              <w:jc w:val="left"/>
              <w:cnfStyle w:val="000000100000" w:firstRow="0" w:lastRow="0" w:firstColumn="0" w:lastColumn="0" w:oddVBand="0" w:evenVBand="0" w:oddHBand="1" w:evenHBand="0" w:firstRowFirstColumn="0" w:firstRowLastColumn="0" w:lastRowFirstColumn="0" w:lastRowLastColumn="0"/>
              <w:rPr>
                <w:ins w:id="2347" w:author="Celia Johnson" w:date="2022-09-06T13:24:00Z"/>
              </w:rPr>
            </w:pPr>
            <w:ins w:id="2348" w:author="Celia Johnson" w:date="2022-09-06T13:24:00Z">
              <w:r w:rsidRPr="00E669D1">
                <w:t>Qualitative evidence from ENERGY STAR stakeholder interviews (MPI 1)</w:t>
              </w:r>
            </w:ins>
          </w:p>
          <w:p w14:paraId="73E73E8F" w14:textId="77777777" w:rsidR="00E3500B" w:rsidRPr="00E669D1" w:rsidRDefault="00E3500B">
            <w:pPr>
              <w:pStyle w:val="ListParagraph"/>
              <w:widowControl/>
              <w:numPr>
                <w:ilvl w:val="0"/>
                <w:numId w:val="112"/>
              </w:numPr>
              <w:spacing w:after="40"/>
              <w:ind w:left="349" w:hanging="238"/>
              <w:contextualSpacing w:val="0"/>
              <w:jc w:val="left"/>
              <w:cnfStyle w:val="000000100000" w:firstRow="0" w:lastRow="0" w:firstColumn="0" w:lastColumn="0" w:oddVBand="0" w:evenVBand="0" w:oddHBand="1" w:evenHBand="0" w:firstRowFirstColumn="0" w:firstRowLastColumn="0" w:lastRowFirstColumn="0" w:lastRowLastColumn="0"/>
              <w:rPr>
                <w:ins w:id="2349" w:author="Celia Johnson" w:date="2022-09-06T13:24:00Z"/>
              </w:rPr>
            </w:pPr>
            <w:bookmarkStart w:id="2350" w:name="_Hlk87028271"/>
            <w:ins w:id="2351" w:author="Celia Johnson" w:date="2022-09-06T13:24:00Z">
              <w:r w:rsidRPr="00E669D1">
                <w:t>Quantitative evidence from program sponsor interviews (MPI 4)</w:t>
              </w:r>
              <w:bookmarkEnd w:id="2350"/>
            </w:ins>
          </w:p>
        </w:tc>
      </w:tr>
      <w:tr w:rsidR="00E3500B" w14:paraId="73E9BA83" w14:textId="77777777" w:rsidTr="000B5D6A">
        <w:trPr>
          <w:cnfStyle w:val="000000010000" w:firstRow="0" w:lastRow="0" w:firstColumn="0" w:lastColumn="0" w:oddVBand="0" w:evenVBand="0" w:oddHBand="0" w:evenHBand="1" w:firstRowFirstColumn="0" w:firstRowLastColumn="0" w:lastRowFirstColumn="0" w:lastRowLastColumn="0"/>
          <w:trHeight w:val="545"/>
          <w:ins w:id="2352" w:author="Celia Johnson" w:date="2022-09-06T13:24:00Z"/>
        </w:trPr>
        <w:tc>
          <w:tcPr>
            <w:cnfStyle w:val="001000000000" w:firstRow="0" w:lastRow="0" w:firstColumn="1" w:lastColumn="0" w:oddVBand="0" w:evenVBand="0" w:oddHBand="0" w:evenHBand="0" w:firstRowFirstColumn="0" w:firstRowLastColumn="0" w:lastRowFirstColumn="0" w:lastRowLastColumn="0"/>
            <w:tcW w:w="1090" w:type="dxa"/>
            <w:tcBorders>
              <w:top w:val="single" w:sz="4" w:space="0" w:color="D5DCE4" w:themeColor="text2" w:themeTint="33"/>
              <w:bottom w:val="single" w:sz="4" w:space="0" w:color="D5DCE4" w:themeColor="text2" w:themeTint="33"/>
              <w:right w:val="single" w:sz="12" w:space="0" w:color="F2F2F2" w:themeColor="background1" w:themeShade="F2"/>
            </w:tcBorders>
          </w:tcPr>
          <w:p w14:paraId="0AF6F3AE" w14:textId="77777777" w:rsidR="00E3500B" w:rsidRPr="00E669D1" w:rsidRDefault="00E3500B" w:rsidP="000B5D6A">
            <w:pPr>
              <w:rPr>
                <w:ins w:id="2353" w:author="Celia Johnson" w:date="2022-09-06T13:24:00Z"/>
              </w:rPr>
            </w:pPr>
            <w:ins w:id="2354" w:author="Celia Johnson" w:date="2022-09-06T13:24:00Z">
              <w:r w:rsidRPr="00E669D1">
                <w:lastRenderedPageBreak/>
                <w:t>IV (S)</w:t>
              </w:r>
            </w:ins>
          </w:p>
        </w:tc>
        <w:tc>
          <w:tcPr>
            <w:tcW w:w="1613" w:type="dxa"/>
            <w:tcBorders>
              <w:top w:val="single" w:sz="4" w:space="0" w:color="D5DCE4" w:themeColor="text2" w:themeTint="33"/>
              <w:left w:val="single" w:sz="12" w:space="0" w:color="F2F2F2" w:themeColor="background1" w:themeShade="F2"/>
              <w:bottom w:val="single" w:sz="4" w:space="0" w:color="D5DCE4" w:themeColor="text2" w:themeTint="33"/>
              <w:right w:val="single" w:sz="12" w:space="0" w:color="F2F2F2" w:themeColor="background1" w:themeShade="F2"/>
            </w:tcBorders>
          </w:tcPr>
          <w:p w14:paraId="3EEF224B" w14:textId="77777777" w:rsidR="00E3500B" w:rsidRPr="00E669D1" w:rsidRDefault="00E3500B" w:rsidP="000B5D6A">
            <w:pPr>
              <w:jc w:val="left"/>
              <w:cnfStyle w:val="000000010000" w:firstRow="0" w:lastRow="0" w:firstColumn="0" w:lastColumn="0" w:oddVBand="0" w:evenVBand="0" w:oddHBand="0" w:evenHBand="1" w:firstRowFirstColumn="0" w:firstRowLastColumn="0" w:lastRowFirstColumn="0" w:lastRowLastColumn="0"/>
              <w:rPr>
                <w:ins w:id="2355" w:author="Celia Johnson" w:date="2022-09-06T13:24:00Z"/>
              </w:rPr>
            </w:pPr>
            <w:ins w:id="2356" w:author="Celia Johnson" w:date="2022-09-06T13:24:00Z">
              <w:r w:rsidRPr="00E669D1">
                <w:rPr>
                  <w:b/>
                  <w:bCs/>
                </w:rPr>
                <w:t>Reliable market share</w:t>
              </w:r>
              <w:r w:rsidRPr="00E669D1">
                <w:t xml:space="preserve"> </w:t>
              </w:r>
              <w:r w:rsidRPr="00E669D1">
                <w:rPr>
                  <w:b/>
                  <w:bCs/>
                </w:rPr>
                <w:t>and</w:t>
              </w:r>
              <w:r w:rsidRPr="00E669D1">
                <w:t xml:space="preserve"> </w:t>
              </w:r>
              <w:r w:rsidRPr="00E669D1">
                <w:rPr>
                  <w:b/>
                  <w:bCs/>
                </w:rPr>
                <w:t>portfolio management</w:t>
              </w:r>
              <w:r w:rsidRPr="00E669D1">
                <w:t xml:space="preserve"> informs program design and evaluation.</w:t>
              </w:r>
            </w:ins>
          </w:p>
        </w:tc>
        <w:tc>
          <w:tcPr>
            <w:tcW w:w="2097" w:type="dxa"/>
            <w:tcBorders>
              <w:top w:val="single" w:sz="4" w:space="0" w:color="D5DCE4" w:themeColor="text2" w:themeTint="33"/>
              <w:left w:val="single" w:sz="12" w:space="0" w:color="F2F2F2" w:themeColor="background1" w:themeShade="F2"/>
              <w:bottom w:val="single" w:sz="4" w:space="0" w:color="D5DCE4" w:themeColor="text2" w:themeTint="33"/>
              <w:right w:val="single" w:sz="12" w:space="0" w:color="F2F2F2" w:themeColor="background1" w:themeShade="F2"/>
            </w:tcBorders>
          </w:tcPr>
          <w:p w14:paraId="7703670B" w14:textId="77777777" w:rsidR="00E3500B" w:rsidRPr="00E669D1" w:rsidRDefault="00E3500B">
            <w:pPr>
              <w:pStyle w:val="ListParagraph"/>
              <w:widowControl/>
              <w:numPr>
                <w:ilvl w:val="0"/>
                <w:numId w:val="105"/>
              </w:numPr>
              <w:spacing w:after="40"/>
              <w:ind w:left="345"/>
              <w:contextualSpacing w:val="0"/>
              <w:jc w:val="left"/>
              <w:cnfStyle w:val="000000010000" w:firstRow="0" w:lastRow="0" w:firstColumn="0" w:lastColumn="0" w:oddVBand="0" w:evenVBand="0" w:oddHBand="0" w:evenHBand="1" w:firstRowFirstColumn="0" w:firstRowLastColumn="0" w:lastRowFirstColumn="0" w:lastRowLastColumn="0"/>
              <w:rPr>
                <w:ins w:id="2357" w:author="Celia Johnson" w:date="2022-09-06T13:24:00Z"/>
              </w:rPr>
            </w:pPr>
            <w:ins w:id="2358" w:author="Celia Johnson" w:date="2022-09-06T13:24:00Z">
              <w:r w:rsidRPr="00E669D1">
                <w:t>Efficient and transparent portfolio management process</w:t>
              </w:r>
            </w:ins>
          </w:p>
          <w:p w14:paraId="5894FBFE" w14:textId="77777777" w:rsidR="00E3500B" w:rsidRPr="00E669D1" w:rsidRDefault="00E3500B">
            <w:pPr>
              <w:pStyle w:val="ListParagraph"/>
              <w:widowControl/>
              <w:numPr>
                <w:ilvl w:val="0"/>
                <w:numId w:val="105"/>
              </w:numPr>
              <w:spacing w:after="40"/>
              <w:ind w:left="345"/>
              <w:contextualSpacing w:val="0"/>
              <w:jc w:val="left"/>
              <w:cnfStyle w:val="000000010000" w:firstRow="0" w:lastRow="0" w:firstColumn="0" w:lastColumn="0" w:oddVBand="0" w:evenVBand="0" w:oddHBand="0" w:evenHBand="1" w:firstRowFirstColumn="0" w:firstRowLastColumn="0" w:lastRowFirstColumn="0" w:lastRowLastColumn="0"/>
              <w:rPr>
                <w:ins w:id="2359" w:author="Celia Johnson" w:date="2022-09-06T13:24:00Z"/>
              </w:rPr>
            </w:pPr>
            <w:ins w:id="2360" w:author="Celia Johnson" w:date="2022-09-06T13:24:00Z">
              <w:r w:rsidRPr="00E669D1">
                <w:t>Annual savings process and evaluation are efficient and verifiable.</w:t>
              </w:r>
            </w:ins>
          </w:p>
        </w:tc>
        <w:tc>
          <w:tcPr>
            <w:tcW w:w="2367" w:type="dxa"/>
            <w:tcBorders>
              <w:top w:val="single" w:sz="4" w:space="0" w:color="D5DCE4" w:themeColor="text2" w:themeTint="33"/>
              <w:left w:val="single" w:sz="12" w:space="0" w:color="F2F2F2" w:themeColor="background1" w:themeShade="F2"/>
              <w:bottom w:val="single" w:sz="4" w:space="0" w:color="D5DCE4" w:themeColor="text2" w:themeTint="33"/>
              <w:right w:val="single" w:sz="12" w:space="0" w:color="F2F2F2" w:themeColor="background1" w:themeShade="F2"/>
            </w:tcBorders>
          </w:tcPr>
          <w:p w14:paraId="669427CC" w14:textId="77777777" w:rsidR="00E3500B" w:rsidRPr="00E669D1" w:rsidRDefault="00E3500B" w:rsidP="000B5D6A">
            <w:pPr>
              <w:jc w:val="left"/>
              <w:cnfStyle w:val="000000010000" w:firstRow="0" w:lastRow="0" w:firstColumn="0" w:lastColumn="0" w:oddVBand="0" w:evenVBand="0" w:oddHBand="0" w:evenHBand="1" w:firstRowFirstColumn="0" w:firstRowLastColumn="0" w:lastRowFirstColumn="0" w:lastRowLastColumn="0"/>
              <w:rPr>
                <w:ins w:id="2361" w:author="Celia Johnson" w:date="2022-09-06T13:24:00Z"/>
                <w:u w:val="single"/>
              </w:rPr>
            </w:pPr>
            <w:ins w:id="2362" w:author="Celia Johnson" w:date="2022-09-06T13:24:00Z">
              <w:r w:rsidRPr="00E669D1">
                <w:rPr>
                  <w:u w:val="single"/>
                </w:rPr>
                <w:t>Portfolio-level target:</w:t>
              </w:r>
            </w:ins>
          </w:p>
          <w:p w14:paraId="5CC7A5DC" w14:textId="77777777" w:rsidR="00E3500B" w:rsidRPr="00E669D1" w:rsidRDefault="00E3500B">
            <w:pPr>
              <w:pStyle w:val="ListParagraph"/>
              <w:widowControl/>
              <w:numPr>
                <w:ilvl w:val="0"/>
                <w:numId w:val="109"/>
              </w:numPr>
              <w:spacing w:after="40"/>
              <w:ind w:left="390"/>
              <w:contextualSpacing w:val="0"/>
              <w:jc w:val="left"/>
              <w:cnfStyle w:val="000000010000" w:firstRow="0" w:lastRow="0" w:firstColumn="0" w:lastColumn="0" w:oddVBand="0" w:evenVBand="0" w:oddHBand="0" w:evenHBand="1" w:firstRowFirstColumn="0" w:firstRowLastColumn="0" w:lastRowFirstColumn="0" w:lastRowLastColumn="0"/>
              <w:rPr>
                <w:ins w:id="2363" w:author="Celia Johnson" w:date="2022-09-06T13:24:00Z"/>
              </w:rPr>
            </w:pPr>
            <w:ins w:id="2364" w:author="Celia Johnson" w:date="2022-09-06T13:24:00Z">
              <w:r w:rsidRPr="00E669D1">
                <w:t>Portfolio management process continues to be efficient and transparent.</w:t>
              </w:r>
            </w:ins>
          </w:p>
          <w:p w14:paraId="7232C036" w14:textId="77777777" w:rsidR="00E3500B" w:rsidRPr="00E669D1" w:rsidRDefault="00E3500B">
            <w:pPr>
              <w:pStyle w:val="ListParagraph"/>
              <w:widowControl/>
              <w:numPr>
                <w:ilvl w:val="0"/>
                <w:numId w:val="109"/>
              </w:numPr>
              <w:spacing w:after="40"/>
              <w:ind w:left="390"/>
              <w:contextualSpacing w:val="0"/>
              <w:jc w:val="left"/>
              <w:cnfStyle w:val="000000010000" w:firstRow="0" w:lastRow="0" w:firstColumn="0" w:lastColumn="0" w:oddVBand="0" w:evenVBand="0" w:oddHBand="0" w:evenHBand="1" w:firstRowFirstColumn="0" w:firstRowLastColumn="0" w:lastRowFirstColumn="0" w:lastRowLastColumn="0"/>
              <w:rPr>
                <w:ins w:id="2365" w:author="Celia Johnson" w:date="2022-09-06T13:24:00Z"/>
              </w:rPr>
            </w:pPr>
            <w:ins w:id="2366" w:author="Celia Johnson" w:date="2022-09-06T13:24:00Z">
              <w:r w:rsidRPr="00E669D1">
                <w:t>Annual savings process and evaluation work are conducted efficiently and can be verified.</w:t>
              </w:r>
            </w:ins>
          </w:p>
        </w:tc>
        <w:tc>
          <w:tcPr>
            <w:tcW w:w="2193" w:type="dxa"/>
            <w:tcBorders>
              <w:top w:val="single" w:sz="4" w:space="0" w:color="D5DCE4" w:themeColor="text2" w:themeTint="33"/>
              <w:left w:val="single" w:sz="12" w:space="0" w:color="F2F2F2" w:themeColor="background1" w:themeShade="F2"/>
              <w:bottom w:val="single" w:sz="4" w:space="0" w:color="D5DCE4" w:themeColor="text2" w:themeTint="33"/>
            </w:tcBorders>
          </w:tcPr>
          <w:p w14:paraId="2004C8E9" w14:textId="77777777" w:rsidR="00E3500B" w:rsidRPr="00E669D1" w:rsidRDefault="00E3500B">
            <w:pPr>
              <w:pStyle w:val="ListParagraph"/>
              <w:widowControl/>
              <w:numPr>
                <w:ilvl w:val="0"/>
                <w:numId w:val="112"/>
              </w:numPr>
              <w:spacing w:after="40"/>
              <w:ind w:left="349" w:hanging="238"/>
              <w:contextualSpacing w:val="0"/>
              <w:jc w:val="left"/>
              <w:cnfStyle w:val="000000010000" w:firstRow="0" w:lastRow="0" w:firstColumn="0" w:lastColumn="0" w:oddVBand="0" w:evenVBand="0" w:oddHBand="0" w:evenHBand="1" w:firstRowFirstColumn="0" w:firstRowLastColumn="0" w:lastRowFirstColumn="0" w:lastRowLastColumn="0"/>
              <w:rPr>
                <w:ins w:id="2367" w:author="Celia Johnson" w:date="2022-09-06T13:24:00Z"/>
              </w:rPr>
            </w:pPr>
            <w:ins w:id="2368" w:author="Celia Johnson" w:date="2022-09-06T13:24:00Z">
              <w:r w:rsidRPr="00E669D1">
                <w:t>Quantitative evidence from program sponsors interviews (MPIs 1-2)</w:t>
              </w:r>
            </w:ins>
          </w:p>
          <w:p w14:paraId="729C5EB2" w14:textId="77777777" w:rsidR="00E3500B" w:rsidRPr="00E669D1" w:rsidRDefault="00E3500B">
            <w:pPr>
              <w:pStyle w:val="ListParagraph"/>
              <w:widowControl/>
              <w:numPr>
                <w:ilvl w:val="0"/>
                <w:numId w:val="112"/>
              </w:numPr>
              <w:spacing w:after="40"/>
              <w:ind w:left="349" w:hanging="238"/>
              <w:contextualSpacing w:val="0"/>
              <w:jc w:val="left"/>
              <w:cnfStyle w:val="000000010000" w:firstRow="0" w:lastRow="0" w:firstColumn="0" w:lastColumn="0" w:oddVBand="0" w:evenVBand="0" w:oddHBand="0" w:evenHBand="1" w:firstRowFirstColumn="0" w:firstRowLastColumn="0" w:lastRowFirstColumn="0" w:lastRowLastColumn="0"/>
              <w:rPr>
                <w:ins w:id="2369" w:author="Celia Johnson" w:date="2022-09-06T13:24:00Z"/>
              </w:rPr>
            </w:pPr>
            <w:ins w:id="2370" w:author="Celia Johnson" w:date="2022-09-06T13:24:00Z">
              <w:r w:rsidRPr="00E669D1">
                <w:t>Quantitative evidence from RPP staff interviews (MPIs 1-2)</w:t>
              </w:r>
            </w:ins>
          </w:p>
        </w:tc>
      </w:tr>
      <w:tr w:rsidR="00E3500B" w14:paraId="3646FD29" w14:textId="77777777" w:rsidTr="000B5D6A">
        <w:trPr>
          <w:cnfStyle w:val="000000100000" w:firstRow="0" w:lastRow="0" w:firstColumn="0" w:lastColumn="0" w:oddVBand="0" w:evenVBand="0" w:oddHBand="1" w:evenHBand="0" w:firstRowFirstColumn="0" w:firstRowLastColumn="0" w:lastRowFirstColumn="0" w:lastRowLastColumn="0"/>
          <w:trHeight w:val="545"/>
          <w:ins w:id="2371" w:author="Celia Johnson" w:date="2022-09-06T13:24:00Z"/>
        </w:trPr>
        <w:tc>
          <w:tcPr>
            <w:cnfStyle w:val="001000000000" w:firstRow="0" w:lastRow="0" w:firstColumn="1" w:lastColumn="0" w:oddVBand="0" w:evenVBand="0" w:oddHBand="0" w:evenHBand="0" w:firstRowFirstColumn="0" w:firstRowLastColumn="0" w:lastRowFirstColumn="0" w:lastRowLastColumn="0"/>
            <w:tcW w:w="1090" w:type="dxa"/>
            <w:tcBorders>
              <w:top w:val="single" w:sz="4" w:space="0" w:color="D5DCE4" w:themeColor="text2" w:themeTint="33"/>
              <w:bottom w:val="single" w:sz="4" w:space="0" w:color="D5DCE4" w:themeColor="text2" w:themeTint="33"/>
              <w:right w:val="single" w:sz="12" w:space="0" w:color="F2F2F2" w:themeColor="background1" w:themeShade="F2"/>
            </w:tcBorders>
          </w:tcPr>
          <w:p w14:paraId="68A52A80" w14:textId="77777777" w:rsidR="00E3500B" w:rsidRPr="00E669D1" w:rsidRDefault="00E3500B" w:rsidP="000B5D6A">
            <w:pPr>
              <w:rPr>
                <w:ins w:id="2372" w:author="Celia Johnson" w:date="2022-09-06T13:24:00Z"/>
              </w:rPr>
            </w:pPr>
            <w:ins w:id="2373" w:author="Celia Johnson" w:date="2022-09-06T13:24:00Z">
              <w:r w:rsidRPr="00E669D1">
                <w:t>V (S/M)</w:t>
              </w:r>
            </w:ins>
          </w:p>
        </w:tc>
        <w:tc>
          <w:tcPr>
            <w:tcW w:w="1613" w:type="dxa"/>
            <w:tcBorders>
              <w:top w:val="single" w:sz="4" w:space="0" w:color="D5DCE4" w:themeColor="text2" w:themeTint="33"/>
              <w:left w:val="single" w:sz="12" w:space="0" w:color="F2F2F2" w:themeColor="background1" w:themeShade="F2"/>
              <w:bottom w:val="single" w:sz="4" w:space="0" w:color="D5DCE4" w:themeColor="text2" w:themeTint="33"/>
              <w:right w:val="single" w:sz="12" w:space="0" w:color="F2F2F2" w:themeColor="background1" w:themeShade="F2"/>
            </w:tcBorders>
          </w:tcPr>
          <w:p w14:paraId="235C5488" w14:textId="77777777" w:rsidR="00E3500B" w:rsidRPr="00E669D1" w:rsidRDefault="00E3500B" w:rsidP="000B5D6A">
            <w:pPr>
              <w:jc w:val="left"/>
              <w:cnfStyle w:val="000000100000" w:firstRow="0" w:lastRow="0" w:firstColumn="0" w:lastColumn="0" w:oddVBand="0" w:evenVBand="0" w:oddHBand="1" w:evenHBand="0" w:firstRowFirstColumn="0" w:firstRowLastColumn="0" w:lastRowFirstColumn="0" w:lastRowLastColumn="0"/>
              <w:rPr>
                <w:ins w:id="2374" w:author="Celia Johnson" w:date="2022-09-06T13:24:00Z"/>
              </w:rPr>
            </w:pPr>
            <w:ins w:id="2375" w:author="Celia Johnson" w:date="2022-09-06T13:24:00Z">
              <w:r w:rsidRPr="00E669D1">
                <w:t xml:space="preserve">Retailers and merchants </w:t>
              </w:r>
              <w:r w:rsidRPr="00E669D1">
                <w:rPr>
                  <w:b/>
                  <w:bCs/>
                </w:rPr>
                <w:t xml:space="preserve">incorporate incentives into their assortment and marketing </w:t>
              </w:r>
              <w:r w:rsidRPr="00E669D1">
                <w:t>decision-making process.</w:t>
              </w:r>
            </w:ins>
          </w:p>
        </w:tc>
        <w:tc>
          <w:tcPr>
            <w:tcW w:w="2097" w:type="dxa"/>
            <w:tcBorders>
              <w:top w:val="single" w:sz="4" w:space="0" w:color="D5DCE4" w:themeColor="text2" w:themeTint="33"/>
              <w:left w:val="single" w:sz="12" w:space="0" w:color="F2F2F2" w:themeColor="background1" w:themeShade="F2"/>
              <w:bottom w:val="single" w:sz="4" w:space="0" w:color="D5DCE4" w:themeColor="text2" w:themeTint="33"/>
              <w:right w:val="single" w:sz="12" w:space="0" w:color="F2F2F2" w:themeColor="background1" w:themeShade="F2"/>
            </w:tcBorders>
          </w:tcPr>
          <w:p w14:paraId="2823ABB1" w14:textId="77777777" w:rsidR="00E3500B" w:rsidRPr="00E669D1" w:rsidRDefault="00E3500B" w:rsidP="000B5D6A">
            <w:pPr>
              <w:jc w:val="left"/>
              <w:cnfStyle w:val="000000100000" w:firstRow="0" w:lastRow="0" w:firstColumn="0" w:lastColumn="0" w:oddVBand="0" w:evenVBand="0" w:oddHBand="1" w:evenHBand="0" w:firstRowFirstColumn="0" w:firstRowLastColumn="0" w:lastRowFirstColumn="0" w:lastRowLastColumn="0"/>
              <w:rPr>
                <w:ins w:id="2376" w:author="Celia Johnson" w:date="2022-09-06T13:24:00Z"/>
              </w:rPr>
            </w:pPr>
            <w:ins w:id="2377" w:author="Celia Johnson" w:date="2022-09-06T13:24:00Z">
              <w:r w:rsidRPr="00E669D1">
                <w:t>Retailer consideration of ESRPP qualification in assortment and marketing decisions</w:t>
              </w:r>
            </w:ins>
          </w:p>
        </w:tc>
        <w:tc>
          <w:tcPr>
            <w:tcW w:w="2367" w:type="dxa"/>
            <w:tcBorders>
              <w:top w:val="single" w:sz="4" w:space="0" w:color="D5DCE4" w:themeColor="text2" w:themeTint="33"/>
              <w:left w:val="single" w:sz="12" w:space="0" w:color="F2F2F2" w:themeColor="background1" w:themeShade="F2"/>
              <w:bottom w:val="single" w:sz="4" w:space="0" w:color="D5DCE4" w:themeColor="text2" w:themeTint="33"/>
              <w:right w:val="single" w:sz="12" w:space="0" w:color="F2F2F2" w:themeColor="background1" w:themeShade="F2"/>
            </w:tcBorders>
          </w:tcPr>
          <w:p w14:paraId="7B7E674F" w14:textId="77777777" w:rsidR="00E3500B" w:rsidRPr="00E669D1" w:rsidRDefault="00E3500B" w:rsidP="000B5D6A">
            <w:pPr>
              <w:cnfStyle w:val="000000100000" w:firstRow="0" w:lastRow="0" w:firstColumn="0" w:lastColumn="0" w:oddVBand="0" w:evenVBand="0" w:oddHBand="1" w:evenHBand="0" w:firstRowFirstColumn="0" w:firstRowLastColumn="0" w:lastRowFirstColumn="0" w:lastRowLastColumn="0"/>
              <w:rPr>
                <w:ins w:id="2378" w:author="Celia Johnson" w:date="2022-09-06T13:24:00Z"/>
                <w:u w:val="single"/>
              </w:rPr>
            </w:pPr>
            <w:ins w:id="2379" w:author="Celia Johnson" w:date="2022-09-06T13:24:00Z">
              <w:r w:rsidRPr="00E669D1">
                <w:rPr>
                  <w:u w:val="single"/>
                </w:rPr>
                <w:t>Portfolio-level target:</w:t>
              </w:r>
            </w:ins>
          </w:p>
          <w:p w14:paraId="3B4E42E0" w14:textId="77777777" w:rsidR="00E3500B" w:rsidRPr="00E669D1" w:rsidRDefault="00E3500B" w:rsidP="000B5D6A">
            <w:pPr>
              <w:jc w:val="left"/>
              <w:cnfStyle w:val="000000100000" w:firstRow="0" w:lastRow="0" w:firstColumn="0" w:lastColumn="0" w:oddVBand="0" w:evenVBand="0" w:oddHBand="1" w:evenHBand="0" w:firstRowFirstColumn="0" w:firstRowLastColumn="0" w:lastRowFirstColumn="0" w:lastRowLastColumn="0"/>
              <w:rPr>
                <w:ins w:id="2380" w:author="Celia Johnson" w:date="2022-09-06T13:24:00Z"/>
              </w:rPr>
            </w:pPr>
            <w:ins w:id="2381" w:author="Celia Johnson" w:date="2022-09-06T13:24:00Z">
              <w:r w:rsidRPr="00E669D1">
                <w:t>All retail partners report using incentives to inform product decisions.</w:t>
              </w:r>
            </w:ins>
          </w:p>
        </w:tc>
        <w:tc>
          <w:tcPr>
            <w:tcW w:w="2193" w:type="dxa"/>
            <w:tcBorders>
              <w:top w:val="single" w:sz="4" w:space="0" w:color="D5DCE4" w:themeColor="text2" w:themeTint="33"/>
              <w:left w:val="single" w:sz="12" w:space="0" w:color="F2F2F2" w:themeColor="background1" w:themeShade="F2"/>
              <w:bottom w:val="single" w:sz="4" w:space="0" w:color="D5DCE4" w:themeColor="text2" w:themeTint="33"/>
            </w:tcBorders>
          </w:tcPr>
          <w:p w14:paraId="44686AE9" w14:textId="77777777" w:rsidR="00E3500B" w:rsidRPr="00E669D1" w:rsidRDefault="00E3500B">
            <w:pPr>
              <w:pStyle w:val="ListParagraph"/>
              <w:widowControl/>
              <w:numPr>
                <w:ilvl w:val="0"/>
                <w:numId w:val="112"/>
              </w:numPr>
              <w:spacing w:after="40"/>
              <w:ind w:left="349" w:hanging="238"/>
              <w:contextualSpacing w:val="0"/>
              <w:jc w:val="left"/>
              <w:cnfStyle w:val="000000100000" w:firstRow="0" w:lastRow="0" w:firstColumn="0" w:lastColumn="0" w:oddVBand="0" w:evenVBand="0" w:oddHBand="1" w:evenHBand="0" w:firstRowFirstColumn="0" w:firstRowLastColumn="0" w:lastRowFirstColumn="0" w:lastRowLastColumn="0"/>
              <w:rPr>
                <w:ins w:id="2382" w:author="Celia Johnson" w:date="2022-09-06T13:24:00Z"/>
              </w:rPr>
            </w:pPr>
            <w:ins w:id="2383" w:author="Celia Johnson" w:date="2022-09-06T13:24:00Z">
              <w:r w:rsidRPr="00E669D1">
                <w:t>Quantitative evidence from retailer interviews</w:t>
              </w:r>
            </w:ins>
          </w:p>
          <w:p w14:paraId="74DA36D2" w14:textId="77777777" w:rsidR="00E3500B" w:rsidRPr="00E669D1" w:rsidRDefault="00E3500B">
            <w:pPr>
              <w:pStyle w:val="ListParagraph"/>
              <w:widowControl/>
              <w:numPr>
                <w:ilvl w:val="0"/>
                <w:numId w:val="112"/>
              </w:numPr>
              <w:spacing w:after="40"/>
              <w:ind w:left="349" w:hanging="238"/>
              <w:contextualSpacing w:val="0"/>
              <w:jc w:val="left"/>
              <w:cnfStyle w:val="000000100000" w:firstRow="0" w:lastRow="0" w:firstColumn="0" w:lastColumn="0" w:oddVBand="0" w:evenVBand="0" w:oddHBand="1" w:evenHBand="0" w:firstRowFirstColumn="0" w:firstRowLastColumn="0" w:lastRowFirstColumn="0" w:lastRowLastColumn="0"/>
              <w:rPr>
                <w:ins w:id="2384" w:author="Celia Johnson" w:date="2022-09-06T13:24:00Z"/>
              </w:rPr>
            </w:pPr>
            <w:ins w:id="2385" w:author="Celia Johnson" w:date="2022-09-06T13:24:00Z">
              <w:r w:rsidRPr="00E669D1">
                <w:t>Quantitative evidence from RPP staff communication</w:t>
              </w:r>
            </w:ins>
          </w:p>
          <w:p w14:paraId="72760FBF" w14:textId="77777777" w:rsidR="00E3500B" w:rsidRPr="00E669D1" w:rsidRDefault="00E3500B">
            <w:pPr>
              <w:pStyle w:val="ListParagraph"/>
              <w:widowControl/>
              <w:numPr>
                <w:ilvl w:val="0"/>
                <w:numId w:val="112"/>
              </w:numPr>
              <w:spacing w:after="40"/>
              <w:ind w:left="349" w:hanging="238"/>
              <w:contextualSpacing w:val="0"/>
              <w:jc w:val="left"/>
              <w:cnfStyle w:val="000000100000" w:firstRow="0" w:lastRow="0" w:firstColumn="0" w:lastColumn="0" w:oddVBand="0" w:evenVBand="0" w:oddHBand="1" w:evenHBand="0" w:firstRowFirstColumn="0" w:firstRowLastColumn="0" w:lastRowFirstColumn="0" w:lastRowLastColumn="0"/>
              <w:rPr>
                <w:ins w:id="2386" w:author="Celia Johnson" w:date="2022-09-06T13:24:00Z"/>
              </w:rPr>
            </w:pPr>
            <w:ins w:id="2387" w:author="Celia Johnson" w:date="2022-09-06T13:24:00Z">
              <w:r w:rsidRPr="00E669D1">
                <w:t>Quarterly presentations and information provided by retailers to ESRPP</w:t>
              </w:r>
            </w:ins>
          </w:p>
        </w:tc>
      </w:tr>
      <w:tr w:rsidR="00E3500B" w14:paraId="497C19F8" w14:textId="77777777" w:rsidTr="000B5D6A">
        <w:trPr>
          <w:cnfStyle w:val="000000010000" w:firstRow="0" w:lastRow="0" w:firstColumn="0" w:lastColumn="0" w:oddVBand="0" w:evenVBand="0" w:oddHBand="0" w:evenHBand="1" w:firstRowFirstColumn="0" w:firstRowLastColumn="0" w:lastRowFirstColumn="0" w:lastRowLastColumn="0"/>
          <w:trHeight w:val="545"/>
          <w:ins w:id="2388" w:author="Celia Johnson" w:date="2022-09-06T13:24:00Z"/>
        </w:trPr>
        <w:tc>
          <w:tcPr>
            <w:cnfStyle w:val="001000000000" w:firstRow="0" w:lastRow="0" w:firstColumn="1" w:lastColumn="0" w:oddVBand="0" w:evenVBand="0" w:oddHBand="0" w:evenHBand="0" w:firstRowFirstColumn="0" w:firstRowLastColumn="0" w:lastRowFirstColumn="0" w:lastRowLastColumn="0"/>
            <w:tcW w:w="1090" w:type="dxa"/>
            <w:tcBorders>
              <w:top w:val="single" w:sz="4" w:space="0" w:color="D5DCE4" w:themeColor="text2" w:themeTint="33"/>
              <w:bottom w:val="single" w:sz="4" w:space="0" w:color="D5DCE4" w:themeColor="text2" w:themeTint="33"/>
              <w:right w:val="single" w:sz="12" w:space="0" w:color="F2F2F2" w:themeColor="background1" w:themeShade="F2"/>
            </w:tcBorders>
          </w:tcPr>
          <w:p w14:paraId="5C6AE197" w14:textId="77777777" w:rsidR="00E3500B" w:rsidRPr="00E669D1" w:rsidRDefault="00E3500B" w:rsidP="000B5D6A">
            <w:pPr>
              <w:rPr>
                <w:ins w:id="2389" w:author="Celia Johnson" w:date="2022-09-06T13:24:00Z"/>
              </w:rPr>
            </w:pPr>
            <w:ins w:id="2390" w:author="Celia Johnson" w:date="2022-09-06T13:24:00Z">
              <w:r w:rsidRPr="00E669D1">
                <w:t>VI (S/M)</w:t>
              </w:r>
            </w:ins>
          </w:p>
        </w:tc>
        <w:tc>
          <w:tcPr>
            <w:tcW w:w="1613" w:type="dxa"/>
            <w:tcBorders>
              <w:top w:val="single" w:sz="4" w:space="0" w:color="D5DCE4" w:themeColor="text2" w:themeTint="33"/>
              <w:left w:val="single" w:sz="12" w:space="0" w:color="F2F2F2" w:themeColor="background1" w:themeShade="F2"/>
              <w:bottom w:val="single" w:sz="4" w:space="0" w:color="D5DCE4" w:themeColor="text2" w:themeTint="33"/>
              <w:right w:val="single" w:sz="12" w:space="0" w:color="F2F2F2" w:themeColor="background1" w:themeShade="F2"/>
            </w:tcBorders>
          </w:tcPr>
          <w:p w14:paraId="0B5D3394" w14:textId="77777777" w:rsidR="00E3500B" w:rsidRPr="00E669D1" w:rsidRDefault="00E3500B" w:rsidP="000B5D6A">
            <w:pPr>
              <w:jc w:val="left"/>
              <w:cnfStyle w:val="000000010000" w:firstRow="0" w:lastRow="0" w:firstColumn="0" w:lastColumn="0" w:oddVBand="0" w:evenVBand="0" w:oddHBand="0" w:evenHBand="1" w:firstRowFirstColumn="0" w:firstRowLastColumn="0" w:lastRowFirstColumn="0" w:lastRowLastColumn="0"/>
              <w:rPr>
                <w:ins w:id="2391" w:author="Celia Johnson" w:date="2022-09-06T13:24:00Z"/>
              </w:rPr>
            </w:pPr>
            <w:ins w:id="2392" w:author="Celia Johnson" w:date="2022-09-06T13:24:00Z">
              <w:r w:rsidRPr="00E669D1">
                <w:t xml:space="preserve">Increase in ENERGY STAR (or higher tiers) </w:t>
              </w:r>
              <w:r w:rsidRPr="00E669D1">
                <w:rPr>
                  <w:b/>
                  <w:bCs/>
                </w:rPr>
                <w:t>market share</w:t>
              </w:r>
              <w:r w:rsidRPr="00E669D1">
                <w:t xml:space="preserve"> for RPP product categories at Participating and Non-Participating Retailers</w:t>
              </w:r>
            </w:ins>
          </w:p>
        </w:tc>
        <w:tc>
          <w:tcPr>
            <w:tcW w:w="2097" w:type="dxa"/>
            <w:tcBorders>
              <w:top w:val="single" w:sz="4" w:space="0" w:color="D5DCE4" w:themeColor="text2" w:themeTint="33"/>
              <w:left w:val="single" w:sz="12" w:space="0" w:color="F2F2F2" w:themeColor="background1" w:themeShade="F2"/>
              <w:bottom w:val="single" w:sz="4" w:space="0" w:color="D5DCE4" w:themeColor="text2" w:themeTint="33"/>
              <w:right w:val="single" w:sz="12" w:space="0" w:color="F2F2F2" w:themeColor="background1" w:themeShade="F2"/>
            </w:tcBorders>
          </w:tcPr>
          <w:p w14:paraId="11906074" w14:textId="77777777" w:rsidR="00E3500B" w:rsidRPr="00E669D1" w:rsidRDefault="00E3500B" w:rsidP="000B5D6A">
            <w:pPr>
              <w:jc w:val="left"/>
              <w:cnfStyle w:val="000000010000" w:firstRow="0" w:lastRow="0" w:firstColumn="0" w:lastColumn="0" w:oddVBand="0" w:evenVBand="0" w:oddHBand="0" w:evenHBand="1" w:firstRowFirstColumn="0" w:firstRowLastColumn="0" w:lastRowFirstColumn="0" w:lastRowLastColumn="0"/>
              <w:rPr>
                <w:ins w:id="2393" w:author="Celia Johnson" w:date="2022-09-06T13:24:00Z"/>
              </w:rPr>
            </w:pPr>
            <w:ins w:id="2394" w:author="Celia Johnson" w:date="2022-09-06T13:24:00Z">
              <w:r w:rsidRPr="00E669D1">
                <w:t xml:space="preserve">Market share ESRPP qualified product tiers </w:t>
              </w:r>
            </w:ins>
          </w:p>
        </w:tc>
        <w:tc>
          <w:tcPr>
            <w:tcW w:w="2367" w:type="dxa"/>
            <w:tcBorders>
              <w:top w:val="single" w:sz="4" w:space="0" w:color="D5DCE4" w:themeColor="text2" w:themeTint="33"/>
              <w:left w:val="single" w:sz="12" w:space="0" w:color="F2F2F2" w:themeColor="background1" w:themeShade="F2"/>
              <w:bottom w:val="single" w:sz="4" w:space="0" w:color="D5DCE4" w:themeColor="text2" w:themeTint="33"/>
              <w:right w:val="single" w:sz="12" w:space="0" w:color="F2F2F2" w:themeColor="background1" w:themeShade="F2"/>
            </w:tcBorders>
          </w:tcPr>
          <w:p w14:paraId="6AD0F1A5" w14:textId="77777777" w:rsidR="00E3500B" w:rsidRPr="00E669D1" w:rsidRDefault="00E3500B" w:rsidP="000B5D6A">
            <w:pPr>
              <w:jc w:val="left"/>
              <w:cnfStyle w:val="000000010000" w:firstRow="0" w:lastRow="0" w:firstColumn="0" w:lastColumn="0" w:oddVBand="0" w:evenVBand="0" w:oddHBand="0" w:evenHBand="1" w:firstRowFirstColumn="0" w:firstRowLastColumn="0" w:lastRowFirstColumn="0" w:lastRowLastColumn="0"/>
              <w:rPr>
                <w:ins w:id="2395" w:author="Celia Johnson" w:date="2022-09-06T13:24:00Z"/>
                <w:u w:val="single"/>
              </w:rPr>
            </w:pPr>
            <w:ins w:id="2396" w:author="Celia Johnson" w:date="2022-09-06T13:24:00Z">
              <w:r w:rsidRPr="00E669D1">
                <w:rPr>
                  <w:u w:val="single"/>
                </w:rPr>
                <w:t>Product-level targets:</w:t>
              </w:r>
            </w:ins>
          </w:p>
          <w:p w14:paraId="6CD326EC" w14:textId="77777777" w:rsidR="00E3500B" w:rsidRPr="00E669D1" w:rsidRDefault="00E3500B" w:rsidP="000B5D6A">
            <w:pPr>
              <w:jc w:val="left"/>
              <w:cnfStyle w:val="000000010000" w:firstRow="0" w:lastRow="0" w:firstColumn="0" w:lastColumn="0" w:oddVBand="0" w:evenVBand="0" w:oddHBand="0" w:evenHBand="1" w:firstRowFirstColumn="0" w:firstRowLastColumn="0" w:lastRowFirstColumn="0" w:lastRowLastColumn="0"/>
              <w:rPr>
                <w:ins w:id="2397" w:author="Celia Johnson" w:date="2022-09-06T13:24:00Z"/>
              </w:rPr>
            </w:pPr>
            <w:ins w:id="2398" w:author="Celia Johnson" w:date="2022-09-06T13:24:00Z">
              <w:r w:rsidRPr="00E669D1">
                <w:t>Measurable increase in market share for at least one product (Note: this shift could have a different pace among different products.)</w:t>
              </w:r>
            </w:ins>
          </w:p>
        </w:tc>
        <w:tc>
          <w:tcPr>
            <w:tcW w:w="2193" w:type="dxa"/>
            <w:tcBorders>
              <w:top w:val="single" w:sz="4" w:space="0" w:color="D5DCE4" w:themeColor="text2" w:themeTint="33"/>
              <w:left w:val="single" w:sz="12" w:space="0" w:color="F2F2F2" w:themeColor="background1" w:themeShade="F2"/>
              <w:bottom w:val="single" w:sz="4" w:space="0" w:color="D5DCE4" w:themeColor="text2" w:themeTint="33"/>
            </w:tcBorders>
          </w:tcPr>
          <w:p w14:paraId="7B891FCC" w14:textId="77777777" w:rsidR="00E3500B" w:rsidRPr="00E669D1" w:rsidRDefault="00E3500B">
            <w:pPr>
              <w:pStyle w:val="ListParagraph"/>
              <w:widowControl/>
              <w:numPr>
                <w:ilvl w:val="0"/>
                <w:numId w:val="113"/>
              </w:numPr>
              <w:spacing w:after="40"/>
              <w:contextualSpacing w:val="0"/>
              <w:jc w:val="left"/>
              <w:cnfStyle w:val="000000010000" w:firstRow="0" w:lastRow="0" w:firstColumn="0" w:lastColumn="0" w:oddVBand="0" w:evenVBand="0" w:oddHBand="0" w:evenHBand="1" w:firstRowFirstColumn="0" w:firstRowLastColumn="0" w:lastRowFirstColumn="0" w:lastRowLastColumn="0"/>
              <w:rPr>
                <w:ins w:id="2399" w:author="Celia Johnson" w:date="2022-09-06T13:24:00Z"/>
              </w:rPr>
            </w:pPr>
            <w:ins w:id="2400" w:author="Celia Johnson" w:date="2022-09-06T13:24:00Z">
              <w:r w:rsidRPr="00E669D1">
                <w:t>Longitudinal tracking of market share and product assortments</w:t>
              </w:r>
            </w:ins>
          </w:p>
          <w:p w14:paraId="5695BCE2" w14:textId="77777777" w:rsidR="00E3500B" w:rsidRPr="00E669D1" w:rsidRDefault="00E3500B">
            <w:pPr>
              <w:pStyle w:val="ListParagraph"/>
              <w:widowControl/>
              <w:numPr>
                <w:ilvl w:val="0"/>
                <w:numId w:val="113"/>
              </w:numPr>
              <w:spacing w:after="40"/>
              <w:contextualSpacing w:val="0"/>
              <w:jc w:val="left"/>
              <w:cnfStyle w:val="000000010000" w:firstRow="0" w:lastRow="0" w:firstColumn="0" w:lastColumn="0" w:oddVBand="0" w:evenVBand="0" w:oddHBand="0" w:evenHBand="1" w:firstRowFirstColumn="0" w:firstRowLastColumn="0" w:lastRowFirstColumn="0" w:lastRowLastColumn="0"/>
              <w:rPr>
                <w:ins w:id="2401" w:author="Celia Johnson" w:date="2022-09-06T13:24:00Z"/>
              </w:rPr>
            </w:pPr>
            <w:ins w:id="2402" w:author="Celia Johnson" w:date="2022-09-06T13:24:00Z">
              <w:r w:rsidRPr="00E669D1">
                <w:t>Web scraping of retailer web sites</w:t>
              </w:r>
            </w:ins>
          </w:p>
        </w:tc>
      </w:tr>
      <w:tr w:rsidR="00E3500B" w14:paraId="5A1AE075" w14:textId="77777777" w:rsidTr="000B5D6A">
        <w:trPr>
          <w:cnfStyle w:val="000000100000" w:firstRow="0" w:lastRow="0" w:firstColumn="0" w:lastColumn="0" w:oddVBand="0" w:evenVBand="0" w:oddHBand="1" w:evenHBand="0" w:firstRowFirstColumn="0" w:firstRowLastColumn="0" w:lastRowFirstColumn="0" w:lastRowLastColumn="0"/>
          <w:trHeight w:val="545"/>
          <w:ins w:id="2403" w:author="Celia Johnson" w:date="2022-09-06T13:24:00Z"/>
        </w:trPr>
        <w:tc>
          <w:tcPr>
            <w:cnfStyle w:val="001000000000" w:firstRow="0" w:lastRow="0" w:firstColumn="1" w:lastColumn="0" w:oddVBand="0" w:evenVBand="0" w:oddHBand="0" w:evenHBand="0" w:firstRowFirstColumn="0" w:firstRowLastColumn="0" w:lastRowFirstColumn="0" w:lastRowLastColumn="0"/>
            <w:tcW w:w="1090" w:type="dxa"/>
            <w:tcBorders>
              <w:top w:val="single" w:sz="4" w:space="0" w:color="D5DCE4" w:themeColor="text2" w:themeTint="33"/>
              <w:bottom w:val="single" w:sz="4" w:space="0" w:color="D5DCE4" w:themeColor="text2" w:themeTint="33"/>
              <w:right w:val="single" w:sz="12" w:space="0" w:color="F2F2F2" w:themeColor="background1" w:themeShade="F2"/>
            </w:tcBorders>
          </w:tcPr>
          <w:p w14:paraId="38FD2034" w14:textId="77777777" w:rsidR="00E3500B" w:rsidRPr="00E669D1" w:rsidRDefault="00E3500B" w:rsidP="000B5D6A">
            <w:pPr>
              <w:rPr>
                <w:ins w:id="2404" w:author="Celia Johnson" w:date="2022-09-06T13:24:00Z"/>
              </w:rPr>
            </w:pPr>
            <w:ins w:id="2405" w:author="Celia Johnson" w:date="2022-09-06T13:24:00Z">
              <w:r w:rsidRPr="00E669D1">
                <w:t>VII (M)</w:t>
              </w:r>
            </w:ins>
          </w:p>
        </w:tc>
        <w:tc>
          <w:tcPr>
            <w:tcW w:w="1613" w:type="dxa"/>
            <w:tcBorders>
              <w:top w:val="single" w:sz="4" w:space="0" w:color="D5DCE4" w:themeColor="text2" w:themeTint="33"/>
              <w:left w:val="single" w:sz="12" w:space="0" w:color="F2F2F2" w:themeColor="background1" w:themeShade="F2"/>
              <w:bottom w:val="single" w:sz="4" w:space="0" w:color="D5DCE4" w:themeColor="text2" w:themeTint="33"/>
              <w:right w:val="single" w:sz="12" w:space="0" w:color="F2F2F2" w:themeColor="background1" w:themeShade="F2"/>
            </w:tcBorders>
          </w:tcPr>
          <w:p w14:paraId="61C92DF3" w14:textId="77777777" w:rsidR="00E3500B" w:rsidRPr="00E669D1" w:rsidRDefault="00E3500B" w:rsidP="000B5D6A">
            <w:pPr>
              <w:jc w:val="left"/>
              <w:cnfStyle w:val="000000100000" w:firstRow="0" w:lastRow="0" w:firstColumn="0" w:lastColumn="0" w:oddVBand="0" w:evenVBand="0" w:oddHBand="1" w:evenHBand="0" w:firstRowFirstColumn="0" w:firstRowLastColumn="0" w:lastRowFirstColumn="0" w:lastRowLastColumn="0"/>
              <w:rPr>
                <w:ins w:id="2406" w:author="Celia Johnson" w:date="2022-09-06T13:24:00Z"/>
              </w:rPr>
            </w:pPr>
            <w:ins w:id="2407" w:author="Celia Johnson" w:date="2022-09-06T13:24:00Z">
              <w:r w:rsidRPr="00E669D1">
                <w:t xml:space="preserve">Reliable </w:t>
              </w:r>
              <w:r w:rsidRPr="00E669D1">
                <w:rPr>
                  <w:b/>
                  <w:bCs/>
                </w:rPr>
                <w:t>per-unit energy savings</w:t>
              </w:r>
              <w:r w:rsidRPr="00E669D1">
                <w:t xml:space="preserve"> value for RPP product categories</w:t>
              </w:r>
            </w:ins>
          </w:p>
        </w:tc>
        <w:tc>
          <w:tcPr>
            <w:tcW w:w="2097" w:type="dxa"/>
            <w:tcBorders>
              <w:top w:val="single" w:sz="4" w:space="0" w:color="D5DCE4" w:themeColor="text2" w:themeTint="33"/>
              <w:left w:val="single" w:sz="12" w:space="0" w:color="F2F2F2" w:themeColor="background1" w:themeShade="F2"/>
              <w:bottom w:val="single" w:sz="4" w:space="0" w:color="D5DCE4" w:themeColor="text2" w:themeTint="33"/>
              <w:right w:val="single" w:sz="12" w:space="0" w:color="F2F2F2" w:themeColor="background1" w:themeShade="F2"/>
            </w:tcBorders>
          </w:tcPr>
          <w:p w14:paraId="7DF4B2EB" w14:textId="77777777" w:rsidR="00E3500B" w:rsidRPr="00E669D1" w:rsidRDefault="00E3500B" w:rsidP="000B5D6A">
            <w:pPr>
              <w:jc w:val="left"/>
              <w:cnfStyle w:val="000000100000" w:firstRow="0" w:lastRow="0" w:firstColumn="0" w:lastColumn="0" w:oddVBand="0" w:evenVBand="0" w:oddHBand="1" w:evenHBand="0" w:firstRowFirstColumn="0" w:firstRowLastColumn="0" w:lastRowFirstColumn="0" w:lastRowLastColumn="0"/>
              <w:rPr>
                <w:ins w:id="2408" w:author="Celia Johnson" w:date="2022-09-06T13:24:00Z"/>
              </w:rPr>
            </w:pPr>
            <w:ins w:id="2409" w:author="Celia Johnson" w:date="2022-09-06T13:24:00Z">
              <w:r w:rsidRPr="00E669D1">
                <w:t>Number of product categories (bins, tiers, configurations) with reliable energy savings values</w:t>
              </w:r>
            </w:ins>
          </w:p>
        </w:tc>
        <w:tc>
          <w:tcPr>
            <w:tcW w:w="2367" w:type="dxa"/>
            <w:tcBorders>
              <w:top w:val="single" w:sz="4" w:space="0" w:color="D5DCE4" w:themeColor="text2" w:themeTint="33"/>
              <w:left w:val="single" w:sz="12" w:space="0" w:color="F2F2F2" w:themeColor="background1" w:themeShade="F2"/>
              <w:bottom w:val="single" w:sz="4" w:space="0" w:color="D5DCE4" w:themeColor="text2" w:themeTint="33"/>
              <w:right w:val="single" w:sz="12" w:space="0" w:color="F2F2F2" w:themeColor="background1" w:themeShade="F2"/>
            </w:tcBorders>
          </w:tcPr>
          <w:p w14:paraId="2F80D3F0" w14:textId="77777777" w:rsidR="00E3500B" w:rsidRPr="00E669D1" w:rsidRDefault="00E3500B" w:rsidP="000B5D6A">
            <w:pPr>
              <w:jc w:val="left"/>
              <w:cnfStyle w:val="000000100000" w:firstRow="0" w:lastRow="0" w:firstColumn="0" w:lastColumn="0" w:oddVBand="0" w:evenVBand="0" w:oddHBand="1" w:evenHBand="0" w:firstRowFirstColumn="0" w:firstRowLastColumn="0" w:lastRowFirstColumn="0" w:lastRowLastColumn="0"/>
              <w:rPr>
                <w:ins w:id="2410" w:author="Celia Johnson" w:date="2022-09-06T13:24:00Z"/>
                <w:u w:val="single"/>
              </w:rPr>
            </w:pPr>
            <w:ins w:id="2411" w:author="Celia Johnson" w:date="2022-09-06T13:24:00Z">
              <w:r w:rsidRPr="00E669D1">
                <w:rPr>
                  <w:u w:val="single"/>
                </w:rPr>
                <w:t>Product-level targets:</w:t>
              </w:r>
            </w:ins>
          </w:p>
          <w:p w14:paraId="7C4F6DAF" w14:textId="77777777" w:rsidR="00E3500B" w:rsidRPr="00E669D1" w:rsidRDefault="00E3500B" w:rsidP="000B5D6A">
            <w:pPr>
              <w:jc w:val="left"/>
              <w:cnfStyle w:val="000000100000" w:firstRow="0" w:lastRow="0" w:firstColumn="0" w:lastColumn="0" w:oddVBand="0" w:evenVBand="0" w:oddHBand="1" w:evenHBand="0" w:firstRowFirstColumn="0" w:firstRowLastColumn="0" w:lastRowFirstColumn="0" w:lastRowLastColumn="0"/>
              <w:rPr>
                <w:ins w:id="2412" w:author="Celia Johnson" w:date="2022-09-06T13:24:00Z"/>
              </w:rPr>
            </w:pPr>
            <w:ins w:id="2413" w:author="Celia Johnson" w:date="2022-09-06T13:24:00Z">
              <w:r w:rsidRPr="00E669D1">
                <w:t>All active products in portfolio have reliable energy savings values.</w:t>
              </w:r>
            </w:ins>
          </w:p>
        </w:tc>
        <w:tc>
          <w:tcPr>
            <w:tcW w:w="2193" w:type="dxa"/>
            <w:tcBorders>
              <w:top w:val="single" w:sz="4" w:space="0" w:color="D5DCE4" w:themeColor="text2" w:themeTint="33"/>
              <w:left w:val="single" w:sz="12" w:space="0" w:color="F2F2F2" w:themeColor="background1" w:themeShade="F2"/>
              <w:bottom w:val="single" w:sz="4" w:space="0" w:color="D5DCE4" w:themeColor="text2" w:themeTint="33"/>
            </w:tcBorders>
          </w:tcPr>
          <w:p w14:paraId="0E2FC811" w14:textId="77777777" w:rsidR="00E3500B" w:rsidRPr="00E669D1" w:rsidRDefault="00E3500B" w:rsidP="000B5D6A">
            <w:pPr>
              <w:ind w:left="15" w:hanging="15"/>
              <w:jc w:val="left"/>
              <w:cnfStyle w:val="000000100000" w:firstRow="0" w:lastRow="0" w:firstColumn="0" w:lastColumn="0" w:oddVBand="0" w:evenVBand="0" w:oddHBand="1" w:evenHBand="0" w:firstRowFirstColumn="0" w:firstRowLastColumn="0" w:lastRowFirstColumn="0" w:lastRowLastColumn="0"/>
              <w:rPr>
                <w:ins w:id="2414" w:author="Celia Johnson" w:date="2022-09-06T13:24:00Z"/>
              </w:rPr>
            </w:pPr>
            <w:ins w:id="2415" w:author="Celia Johnson" w:date="2022-09-06T13:24:00Z">
              <w:r w:rsidRPr="00E669D1">
                <w:t>Longitudinal tracking of measure planning documentation and methodologies</w:t>
              </w:r>
            </w:ins>
          </w:p>
        </w:tc>
      </w:tr>
      <w:tr w:rsidR="00E3500B" w14:paraId="1E2FB4BC" w14:textId="77777777" w:rsidTr="000B5D6A">
        <w:trPr>
          <w:cnfStyle w:val="000000010000" w:firstRow="0" w:lastRow="0" w:firstColumn="0" w:lastColumn="0" w:oddVBand="0" w:evenVBand="0" w:oddHBand="0" w:evenHBand="1" w:firstRowFirstColumn="0" w:firstRowLastColumn="0" w:lastRowFirstColumn="0" w:lastRowLastColumn="0"/>
          <w:trHeight w:val="545"/>
          <w:ins w:id="2416" w:author="Celia Johnson" w:date="2022-09-06T13:24:00Z"/>
        </w:trPr>
        <w:tc>
          <w:tcPr>
            <w:cnfStyle w:val="001000000000" w:firstRow="0" w:lastRow="0" w:firstColumn="1" w:lastColumn="0" w:oddVBand="0" w:evenVBand="0" w:oddHBand="0" w:evenHBand="0" w:firstRowFirstColumn="0" w:firstRowLastColumn="0" w:lastRowFirstColumn="0" w:lastRowLastColumn="0"/>
            <w:tcW w:w="1090" w:type="dxa"/>
            <w:tcBorders>
              <w:top w:val="single" w:sz="4" w:space="0" w:color="D5DCE4" w:themeColor="text2" w:themeTint="33"/>
              <w:bottom w:val="single" w:sz="4" w:space="0" w:color="D5DCE4" w:themeColor="text2" w:themeTint="33"/>
              <w:right w:val="single" w:sz="12" w:space="0" w:color="F2F2F2" w:themeColor="background1" w:themeShade="F2"/>
            </w:tcBorders>
          </w:tcPr>
          <w:p w14:paraId="5421CFC1" w14:textId="77777777" w:rsidR="00E3500B" w:rsidRPr="00E669D1" w:rsidRDefault="00E3500B" w:rsidP="000B5D6A">
            <w:pPr>
              <w:rPr>
                <w:ins w:id="2417" w:author="Celia Johnson" w:date="2022-09-06T13:24:00Z"/>
              </w:rPr>
            </w:pPr>
            <w:ins w:id="2418" w:author="Celia Johnson" w:date="2022-09-06T13:24:00Z">
              <w:r w:rsidRPr="00E669D1">
                <w:t>VIII (M)</w:t>
              </w:r>
            </w:ins>
          </w:p>
        </w:tc>
        <w:tc>
          <w:tcPr>
            <w:tcW w:w="1613" w:type="dxa"/>
            <w:tcBorders>
              <w:top w:val="single" w:sz="4" w:space="0" w:color="D5DCE4" w:themeColor="text2" w:themeTint="33"/>
              <w:left w:val="single" w:sz="12" w:space="0" w:color="F2F2F2" w:themeColor="background1" w:themeShade="F2"/>
              <w:bottom w:val="single" w:sz="4" w:space="0" w:color="D5DCE4" w:themeColor="text2" w:themeTint="33"/>
              <w:right w:val="single" w:sz="12" w:space="0" w:color="F2F2F2" w:themeColor="background1" w:themeShade="F2"/>
            </w:tcBorders>
          </w:tcPr>
          <w:p w14:paraId="302C047E" w14:textId="77777777" w:rsidR="00E3500B" w:rsidRPr="00E669D1" w:rsidRDefault="00E3500B" w:rsidP="000B5D6A">
            <w:pPr>
              <w:jc w:val="left"/>
              <w:cnfStyle w:val="000000010000" w:firstRow="0" w:lastRow="0" w:firstColumn="0" w:lastColumn="0" w:oddVBand="0" w:evenVBand="0" w:oddHBand="0" w:evenHBand="1" w:firstRowFirstColumn="0" w:firstRowLastColumn="0" w:lastRowFirstColumn="0" w:lastRowLastColumn="0"/>
              <w:rPr>
                <w:ins w:id="2419" w:author="Celia Johnson" w:date="2022-09-06T13:24:00Z"/>
              </w:rPr>
            </w:pPr>
            <w:ins w:id="2420" w:author="Celia Johnson" w:date="2022-09-06T13:24:00Z">
              <w:r w:rsidRPr="00E669D1">
                <w:t xml:space="preserve">Data management system builds sufficient trust </w:t>
              </w:r>
              <w:r w:rsidRPr="00E669D1">
                <w:rPr>
                  <w:b/>
                  <w:bCs/>
                </w:rPr>
                <w:t>with retailers</w:t>
              </w:r>
              <w:r w:rsidRPr="00E669D1">
                <w:t xml:space="preserve"> that access to </w:t>
              </w:r>
              <w:r w:rsidRPr="00E669D1">
                <w:lastRenderedPageBreak/>
                <w:t>data is no longer a barrier.</w:t>
              </w:r>
            </w:ins>
          </w:p>
        </w:tc>
        <w:tc>
          <w:tcPr>
            <w:tcW w:w="2097" w:type="dxa"/>
            <w:tcBorders>
              <w:top w:val="single" w:sz="4" w:space="0" w:color="D5DCE4" w:themeColor="text2" w:themeTint="33"/>
              <w:left w:val="single" w:sz="12" w:space="0" w:color="F2F2F2" w:themeColor="background1" w:themeShade="F2"/>
              <w:bottom w:val="single" w:sz="4" w:space="0" w:color="D5DCE4" w:themeColor="text2" w:themeTint="33"/>
              <w:right w:val="single" w:sz="12" w:space="0" w:color="F2F2F2" w:themeColor="background1" w:themeShade="F2"/>
            </w:tcBorders>
          </w:tcPr>
          <w:p w14:paraId="23B52666" w14:textId="77777777" w:rsidR="00E3500B" w:rsidRPr="00E669D1" w:rsidRDefault="00E3500B">
            <w:pPr>
              <w:pStyle w:val="ListParagraph"/>
              <w:widowControl/>
              <w:numPr>
                <w:ilvl w:val="0"/>
                <w:numId w:val="106"/>
              </w:numPr>
              <w:spacing w:after="40"/>
              <w:ind w:left="285" w:hanging="285"/>
              <w:contextualSpacing w:val="0"/>
              <w:jc w:val="left"/>
              <w:cnfStyle w:val="000000010000" w:firstRow="0" w:lastRow="0" w:firstColumn="0" w:lastColumn="0" w:oddVBand="0" w:evenVBand="0" w:oddHBand="0" w:evenHBand="1" w:firstRowFirstColumn="0" w:firstRowLastColumn="0" w:lastRowFirstColumn="0" w:lastRowLastColumn="0"/>
              <w:rPr>
                <w:ins w:id="2421" w:author="Celia Johnson" w:date="2022-09-06T13:24:00Z"/>
              </w:rPr>
            </w:pPr>
            <w:ins w:id="2422" w:author="Celia Johnson" w:date="2022-09-06T13:24:00Z">
              <w:r w:rsidRPr="00E669D1">
                <w:lastRenderedPageBreak/>
                <w:t>Timeliness and completion of retailer uploads</w:t>
              </w:r>
            </w:ins>
          </w:p>
          <w:p w14:paraId="778EDB9C" w14:textId="77777777" w:rsidR="00E3500B" w:rsidRPr="00E669D1" w:rsidRDefault="00E3500B">
            <w:pPr>
              <w:pStyle w:val="ListParagraph"/>
              <w:widowControl/>
              <w:numPr>
                <w:ilvl w:val="0"/>
                <w:numId w:val="106"/>
              </w:numPr>
              <w:spacing w:after="40"/>
              <w:ind w:left="285" w:hanging="285"/>
              <w:contextualSpacing w:val="0"/>
              <w:jc w:val="left"/>
              <w:cnfStyle w:val="000000010000" w:firstRow="0" w:lastRow="0" w:firstColumn="0" w:lastColumn="0" w:oddVBand="0" w:evenVBand="0" w:oddHBand="0" w:evenHBand="1" w:firstRowFirstColumn="0" w:firstRowLastColumn="0" w:lastRowFirstColumn="0" w:lastRowLastColumn="0"/>
              <w:rPr>
                <w:ins w:id="2423" w:author="Celia Johnson" w:date="2022-09-06T13:24:00Z"/>
              </w:rPr>
            </w:pPr>
            <w:ins w:id="2424" w:author="Celia Johnson" w:date="2022-09-06T13:24:00Z">
              <w:r w:rsidRPr="00E669D1">
                <w:t>Retailer confidence in data warehousing</w:t>
              </w:r>
            </w:ins>
          </w:p>
        </w:tc>
        <w:tc>
          <w:tcPr>
            <w:tcW w:w="2367" w:type="dxa"/>
            <w:tcBorders>
              <w:top w:val="single" w:sz="4" w:space="0" w:color="D5DCE4" w:themeColor="text2" w:themeTint="33"/>
              <w:left w:val="single" w:sz="12" w:space="0" w:color="F2F2F2" w:themeColor="background1" w:themeShade="F2"/>
              <w:bottom w:val="single" w:sz="4" w:space="0" w:color="D5DCE4" w:themeColor="text2" w:themeTint="33"/>
              <w:right w:val="single" w:sz="12" w:space="0" w:color="F2F2F2" w:themeColor="background1" w:themeShade="F2"/>
            </w:tcBorders>
          </w:tcPr>
          <w:p w14:paraId="3E8BF798" w14:textId="77777777" w:rsidR="00E3500B" w:rsidRPr="00E669D1" w:rsidRDefault="00E3500B" w:rsidP="000B5D6A">
            <w:pPr>
              <w:jc w:val="left"/>
              <w:cnfStyle w:val="000000010000" w:firstRow="0" w:lastRow="0" w:firstColumn="0" w:lastColumn="0" w:oddVBand="0" w:evenVBand="0" w:oddHBand="0" w:evenHBand="1" w:firstRowFirstColumn="0" w:firstRowLastColumn="0" w:lastRowFirstColumn="0" w:lastRowLastColumn="0"/>
              <w:rPr>
                <w:ins w:id="2425" w:author="Celia Johnson" w:date="2022-09-06T13:24:00Z"/>
                <w:u w:val="single"/>
              </w:rPr>
            </w:pPr>
            <w:ins w:id="2426" w:author="Celia Johnson" w:date="2022-09-06T13:24:00Z">
              <w:r w:rsidRPr="00E669D1">
                <w:rPr>
                  <w:u w:val="single"/>
                </w:rPr>
                <w:t>Portfolio-level target:</w:t>
              </w:r>
            </w:ins>
          </w:p>
          <w:p w14:paraId="1AA648E1" w14:textId="77777777" w:rsidR="00E3500B" w:rsidRPr="00E669D1" w:rsidRDefault="00E3500B">
            <w:pPr>
              <w:pStyle w:val="ListParagraph"/>
              <w:widowControl/>
              <w:numPr>
                <w:ilvl w:val="0"/>
                <w:numId w:val="110"/>
              </w:numPr>
              <w:spacing w:after="40"/>
              <w:ind w:left="390"/>
              <w:contextualSpacing w:val="0"/>
              <w:jc w:val="left"/>
              <w:cnfStyle w:val="000000010000" w:firstRow="0" w:lastRow="0" w:firstColumn="0" w:lastColumn="0" w:oddVBand="0" w:evenVBand="0" w:oddHBand="0" w:evenHBand="1" w:firstRowFirstColumn="0" w:firstRowLastColumn="0" w:lastRowFirstColumn="0" w:lastRowLastColumn="0"/>
              <w:rPr>
                <w:ins w:id="2427" w:author="Celia Johnson" w:date="2022-09-06T13:24:00Z"/>
              </w:rPr>
            </w:pPr>
            <w:ins w:id="2428" w:author="Celia Johnson" w:date="2022-09-06T13:24:00Z">
              <w:r w:rsidRPr="00E669D1">
                <w:t>Retailer uploads continue to be timely and complete.</w:t>
              </w:r>
            </w:ins>
          </w:p>
          <w:p w14:paraId="78469E3A" w14:textId="77777777" w:rsidR="00E3500B" w:rsidRPr="00E669D1" w:rsidRDefault="00E3500B">
            <w:pPr>
              <w:pStyle w:val="ListParagraph"/>
              <w:widowControl/>
              <w:numPr>
                <w:ilvl w:val="0"/>
                <w:numId w:val="110"/>
              </w:numPr>
              <w:spacing w:after="40"/>
              <w:ind w:left="390"/>
              <w:contextualSpacing w:val="0"/>
              <w:jc w:val="left"/>
              <w:cnfStyle w:val="000000010000" w:firstRow="0" w:lastRow="0" w:firstColumn="0" w:lastColumn="0" w:oddVBand="0" w:evenVBand="0" w:oddHBand="0" w:evenHBand="1" w:firstRowFirstColumn="0" w:firstRowLastColumn="0" w:lastRowFirstColumn="0" w:lastRowLastColumn="0"/>
              <w:rPr>
                <w:ins w:id="2429" w:author="Celia Johnson" w:date="2022-09-06T13:24:00Z"/>
              </w:rPr>
            </w:pPr>
            <w:ins w:id="2430" w:author="Celia Johnson" w:date="2022-09-06T13:24:00Z">
              <w:r w:rsidRPr="00E669D1">
                <w:lastRenderedPageBreak/>
                <w:t>All retailers report confidence in data warehousing and their contract extensions continue on schedule each year.</w:t>
              </w:r>
            </w:ins>
          </w:p>
        </w:tc>
        <w:tc>
          <w:tcPr>
            <w:tcW w:w="2193" w:type="dxa"/>
            <w:tcBorders>
              <w:top w:val="single" w:sz="4" w:space="0" w:color="D5DCE4" w:themeColor="text2" w:themeTint="33"/>
              <w:left w:val="single" w:sz="12" w:space="0" w:color="F2F2F2" w:themeColor="background1" w:themeShade="F2"/>
              <w:bottom w:val="single" w:sz="4" w:space="0" w:color="D5DCE4" w:themeColor="text2" w:themeTint="33"/>
            </w:tcBorders>
          </w:tcPr>
          <w:p w14:paraId="483103A4" w14:textId="77777777" w:rsidR="00E3500B" w:rsidRPr="00E669D1" w:rsidRDefault="00E3500B">
            <w:pPr>
              <w:pStyle w:val="ListParagraph"/>
              <w:widowControl/>
              <w:numPr>
                <w:ilvl w:val="0"/>
                <w:numId w:val="112"/>
              </w:numPr>
              <w:spacing w:after="40"/>
              <w:ind w:left="349" w:hanging="238"/>
              <w:contextualSpacing w:val="0"/>
              <w:jc w:val="left"/>
              <w:cnfStyle w:val="000000010000" w:firstRow="0" w:lastRow="0" w:firstColumn="0" w:lastColumn="0" w:oddVBand="0" w:evenVBand="0" w:oddHBand="0" w:evenHBand="1" w:firstRowFirstColumn="0" w:firstRowLastColumn="0" w:lastRowFirstColumn="0" w:lastRowLastColumn="0"/>
              <w:rPr>
                <w:ins w:id="2431" w:author="Celia Johnson" w:date="2022-09-06T13:24:00Z"/>
              </w:rPr>
            </w:pPr>
            <w:ins w:id="2432" w:author="Celia Johnson" w:date="2022-09-06T13:24:00Z">
              <w:r w:rsidRPr="00E669D1">
                <w:lastRenderedPageBreak/>
                <w:t>Longitudinal tracking of data quality indicators available through the data portal (MPI 1)</w:t>
              </w:r>
            </w:ins>
          </w:p>
          <w:p w14:paraId="1B658C10" w14:textId="77777777" w:rsidR="00E3500B" w:rsidRPr="00E669D1" w:rsidRDefault="00E3500B">
            <w:pPr>
              <w:pStyle w:val="ListParagraph"/>
              <w:widowControl/>
              <w:numPr>
                <w:ilvl w:val="0"/>
                <w:numId w:val="112"/>
              </w:numPr>
              <w:spacing w:after="40"/>
              <w:ind w:left="349" w:hanging="238"/>
              <w:contextualSpacing w:val="0"/>
              <w:jc w:val="left"/>
              <w:cnfStyle w:val="000000010000" w:firstRow="0" w:lastRow="0" w:firstColumn="0" w:lastColumn="0" w:oddVBand="0" w:evenVBand="0" w:oddHBand="0" w:evenHBand="1" w:firstRowFirstColumn="0" w:firstRowLastColumn="0" w:lastRowFirstColumn="0" w:lastRowLastColumn="0"/>
              <w:rPr>
                <w:ins w:id="2433" w:author="Celia Johnson" w:date="2022-09-06T13:24:00Z"/>
              </w:rPr>
            </w:pPr>
            <w:ins w:id="2434" w:author="Celia Johnson" w:date="2022-09-06T13:24:00Z">
              <w:r w:rsidRPr="00E669D1">
                <w:lastRenderedPageBreak/>
                <w:t>Quantitative evidence from retailer interviews (MPI 2)</w:t>
              </w:r>
            </w:ins>
          </w:p>
          <w:p w14:paraId="21BB015B" w14:textId="77777777" w:rsidR="00E3500B" w:rsidRPr="00E669D1" w:rsidRDefault="00E3500B">
            <w:pPr>
              <w:pStyle w:val="ListParagraph"/>
              <w:widowControl/>
              <w:numPr>
                <w:ilvl w:val="0"/>
                <w:numId w:val="112"/>
              </w:numPr>
              <w:spacing w:after="40"/>
              <w:ind w:left="349" w:hanging="238"/>
              <w:contextualSpacing w:val="0"/>
              <w:jc w:val="left"/>
              <w:cnfStyle w:val="000000010000" w:firstRow="0" w:lastRow="0" w:firstColumn="0" w:lastColumn="0" w:oddVBand="0" w:evenVBand="0" w:oddHBand="0" w:evenHBand="1" w:firstRowFirstColumn="0" w:firstRowLastColumn="0" w:lastRowFirstColumn="0" w:lastRowLastColumn="0"/>
              <w:rPr>
                <w:ins w:id="2435" w:author="Celia Johnson" w:date="2022-09-06T13:24:00Z"/>
              </w:rPr>
            </w:pPr>
            <w:ins w:id="2436" w:author="Celia Johnson" w:date="2022-09-06T13:24:00Z">
              <w:r w:rsidRPr="00E669D1">
                <w:t>ESRPP program documents (MPI 2)</w:t>
              </w:r>
            </w:ins>
          </w:p>
        </w:tc>
      </w:tr>
      <w:tr w:rsidR="00E3500B" w14:paraId="0D827622" w14:textId="77777777" w:rsidTr="000B5D6A">
        <w:trPr>
          <w:cnfStyle w:val="000000100000" w:firstRow="0" w:lastRow="0" w:firstColumn="0" w:lastColumn="0" w:oddVBand="0" w:evenVBand="0" w:oddHBand="1" w:evenHBand="0" w:firstRowFirstColumn="0" w:firstRowLastColumn="0" w:lastRowFirstColumn="0" w:lastRowLastColumn="0"/>
          <w:trHeight w:val="545"/>
          <w:ins w:id="2437" w:author="Celia Johnson" w:date="2022-09-06T13:24:00Z"/>
        </w:trPr>
        <w:tc>
          <w:tcPr>
            <w:cnfStyle w:val="001000000000" w:firstRow="0" w:lastRow="0" w:firstColumn="1" w:lastColumn="0" w:oddVBand="0" w:evenVBand="0" w:oddHBand="0" w:evenHBand="0" w:firstRowFirstColumn="0" w:firstRowLastColumn="0" w:lastRowFirstColumn="0" w:lastRowLastColumn="0"/>
            <w:tcW w:w="1090" w:type="dxa"/>
            <w:tcBorders>
              <w:top w:val="single" w:sz="4" w:space="0" w:color="D5DCE4" w:themeColor="text2" w:themeTint="33"/>
              <w:bottom w:val="single" w:sz="4" w:space="0" w:color="D5DCE4" w:themeColor="text2" w:themeTint="33"/>
              <w:right w:val="single" w:sz="12" w:space="0" w:color="F2F2F2" w:themeColor="background1" w:themeShade="F2"/>
            </w:tcBorders>
          </w:tcPr>
          <w:p w14:paraId="27355E60" w14:textId="77777777" w:rsidR="00E3500B" w:rsidRPr="00E669D1" w:rsidRDefault="00E3500B" w:rsidP="000B5D6A">
            <w:pPr>
              <w:rPr>
                <w:ins w:id="2438" w:author="Celia Johnson" w:date="2022-09-06T13:24:00Z"/>
              </w:rPr>
            </w:pPr>
            <w:ins w:id="2439" w:author="Celia Johnson" w:date="2022-09-06T13:24:00Z">
              <w:r w:rsidRPr="00E669D1">
                <w:lastRenderedPageBreak/>
                <w:t>IX (M/L)</w:t>
              </w:r>
            </w:ins>
          </w:p>
        </w:tc>
        <w:tc>
          <w:tcPr>
            <w:tcW w:w="1613" w:type="dxa"/>
            <w:tcBorders>
              <w:top w:val="single" w:sz="4" w:space="0" w:color="D5DCE4" w:themeColor="text2" w:themeTint="33"/>
              <w:left w:val="single" w:sz="12" w:space="0" w:color="F2F2F2" w:themeColor="background1" w:themeShade="F2"/>
              <w:bottom w:val="single" w:sz="4" w:space="0" w:color="D5DCE4" w:themeColor="text2" w:themeTint="33"/>
              <w:right w:val="single" w:sz="12" w:space="0" w:color="F2F2F2" w:themeColor="background1" w:themeShade="F2"/>
            </w:tcBorders>
          </w:tcPr>
          <w:p w14:paraId="457246B1" w14:textId="77777777" w:rsidR="00E3500B" w:rsidRPr="00E669D1" w:rsidRDefault="00E3500B" w:rsidP="000B5D6A">
            <w:pPr>
              <w:jc w:val="left"/>
              <w:cnfStyle w:val="000000100000" w:firstRow="0" w:lastRow="0" w:firstColumn="0" w:lastColumn="0" w:oddVBand="0" w:evenVBand="0" w:oddHBand="1" w:evenHBand="0" w:firstRowFirstColumn="0" w:firstRowLastColumn="0" w:lastRowFirstColumn="0" w:lastRowLastColumn="0"/>
              <w:rPr>
                <w:ins w:id="2440" w:author="Celia Johnson" w:date="2022-09-06T13:24:00Z"/>
              </w:rPr>
            </w:pPr>
            <w:ins w:id="2441" w:author="Celia Johnson" w:date="2022-09-06T13:24:00Z">
              <w:r w:rsidRPr="00E669D1">
                <w:t xml:space="preserve">Increase in </w:t>
              </w:r>
              <w:r w:rsidRPr="00E669D1">
                <w:rPr>
                  <w:b/>
                  <w:bCs/>
                </w:rPr>
                <w:t>ENERGY STAR</w:t>
              </w:r>
              <w:r w:rsidRPr="00E669D1">
                <w:t xml:space="preserve"> (or higher tiers) </w:t>
              </w:r>
              <w:r w:rsidRPr="00E669D1">
                <w:rPr>
                  <w:b/>
                  <w:bCs/>
                </w:rPr>
                <w:t>qualifying criteria</w:t>
              </w:r>
              <w:r w:rsidRPr="00E669D1">
                <w:t xml:space="preserve"> for RPP product categories</w:t>
              </w:r>
            </w:ins>
          </w:p>
        </w:tc>
        <w:tc>
          <w:tcPr>
            <w:tcW w:w="2097" w:type="dxa"/>
            <w:tcBorders>
              <w:top w:val="single" w:sz="4" w:space="0" w:color="D5DCE4" w:themeColor="text2" w:themeTint="33"/>
              <w:left w:val="single" w:sz="12" w:space="0" w:color="F2F2F2" w:themeColor="background1" w:themeShade="F2"/>
              <w:bottom w:val="single" w:sz="4" w:space="0" w:color="D5DCE4" w:themeColor="text2" w:themeTint="33"/>
              <w:right w:val="single" w:sz="12" w:space="0" w:color="F2F2F2" w:themeColor="background1" w:themeShade="F2"/>
            </w:tcBorders>
          </w:tcPr>
          <w:p w14:paraId="4C0EC885" w14:textId="77777777" w:rsidR="00E3500B" w:rsidRPr="00E669D1" w:rsidRDefault="00E3500B" w:rsidP="000B5D6A">
            <w:pPr>
              <w:jc w:val="left"/>
              <w:cnfStyle w:val="000000100000" w:firstRow="0" w:lastRow="0" w:firstColumn="0" w:lastColumn="0" w:oddVBand="0" w:evenVBand="0" w:oddHBand="1" w:evenHBand="0" w:firstRowFirstColumn="0" w:firstRowLastColumn="0" w:lastRowFirstColumn="0" w:lastRowLastColumn="0"/>
              <w:rPr>
                <w:ins w:id="2442" w:author="Celia Johnson" w:date="2022-09-06T13:24:00Z"/>
              </w:rPr>
            </w:pPr>
            <w:ins w:id="2443" w:author="Celia Johnson" w:date="2022-09-06T13:24:00Z">
              <w:r w:rsidRPr="00E669D1">
                <w:t>Number of products for which ESRPP influences an increase in ENERGY STAR (or higher tiers) qualifying criteria apart from expected updates</w:t>
              </w:r>
            </w:ins>
          </w:p>
        </w:tc>
        <w:tc>
          <w:tcPr>
            <w:tcW w:w="2367" w:type="dxa"/>
            <w:tcBorders>
              <w:top w:val="single" w:sz="4" w:space="0" w:color="D5DCE4" w:themeColor="text2" w:themeTint="33"/>
              <w:left w:val="single" w:sz="12" w:space="0" w:color="F2F2F2" w:themeColor="background1" w:themeShade="F2"/>
              <w:bottom w:val="single" w:sz="4" w:space="0" w:color="D5DCE4" w:themeColor="text2" w:themeTint="33"/>
              <w:right w:val="single" w:sz="12" w:space="0" w:color="F2F2F2" w:themeColor="background1" w:themeShade="F2"/>
            </w:tcBorders>
          </w:tcPr>
          <w:p w14:paraId="6E2F7672" w14:textId="77777777" w:rsidR="00E3500B" w:rsidRPr="00E669D1" w:rsidRDefault="00E3500B" w:rsidP="000B5D6A">
            <w:pPr>
              <w:jc w:val="left"/>
              <w:cnfStyle w:val="000000100000" w:firstRow="0" w:lastRow="0" w:firstColumn="0" w:lastColumn="0" w:oddVBand="0" w:evenVBand="0" w:oddHBand="1" w:evenHBand="0" w:firstRowFirstColumn="0" w:firstRowLastColumn="0" w:lastRowFirstColumn="0" w:lastRowLastColumn="0"/>
              <w:rPr>
                <w:ins w:id="2444" w:author="Celia Johnson" w:date="2022-09-06T13:24:00Z"/>
                <w:u w:val="single"/>
              </w:rPr>
            </w:pPr>
            <w:ins w:id="2445" w:author="Celia Johnson" w:date="2022-09-06T13:24:00Z">
              <w:r w:rsidRPr="00E669D1">
                <w:rPr>
                  <w:u w:val="single"/>
                </w:rPr>
                <w:t>Product-level targets:</w:t>
              </w:r>
            </w:ins>
          </w:p>
          <w:p w14:paraId="2DDFF557" w14:textId="77777777" w:rsidR="00E3500B" w:rsidRPr="00E669D1" w:rsidRDefault="00E3500B" w:rsidP="000B5D6A">
            <w:pPr>
              <w:jc w:val="left"/>
              <w:cnfStyle w:val="000000100000" w:firstRow="0" w:lastRow="0" w:firstColumn="0" w:lastColumn="0" w:oddVBand="0" w:evenVBand="0" w:oddHBand="1" w:evenHBand="0" w:firstRowFirstColumn="0" w:firstRowLastColumn="0" w:lastRowFirstColumn="0" w:lastRowLastColumn="0"/>
              <w:rPr>
                <w:ins w:id="2446" w:author="Celia Johnson" w:date="2022-09-06T13:24:00Z"/>
                <w:i/>
                <w:iCs/>
              </w:rPr>
            </w:pPr>
            <w:ins w:id="2447" w:author="Celia Johnson" w:date="2022-09-06T13:24:00Z">
              <w:r w:rsidRPr="00E669D1">
                <w:rPr>
                  <w:i/>
                  <w:iCs/>
                </w:rPr>
                <w:t xml:space="preserve">2 ENERGY STAR revision process are expected to begin in 2020-2023 for products in </w:t>
              </w:r>
              <w:proofErr w:type="spellStart"/>
              <w:r w:rsidRPr="00E669D1">
                <w:rPr>
                  <w:i/>
                  <w:iCs/>
                </w:rPr>
                <w:t>ComEd’s</w:t>
              </w:r>
              <w:proofErr w:type="spellEnd"/>
              <w:r w:rsidRPr="00E669D1">
                <w:rPr>
                  <w:i/>
                  <w:iCs/>
                </w:rPr>
                <w:t xml:space="preserve"> portfolio. We will continue to monitor.</w:t>
              </w:r>
            </w:ins>
          </w:p>
        </w:tc>
        <w:tc>
          <w:tcPr>
            <w:tcW w:w="2193" w:type="dxa"/>
            <w:tcBorders>
              <w:top w:val="single" w:sz="4" w:space="0" w:color="D5DCE4" w:themeColor="text2" w:themeTint="33"/>
              <w:left w:val="single" w:sz="12" w:space="0" w:color="F2F2F2" w:themeColor="background1" w:themeShade="F2"/>
              <w:bottom w:val="single" w:sz="4" w:space="0" w:color="D5DCE4" w:themeColor="text2" w:themeTint="33"/>
            </w:tcBorders>
          </w:tcPr>
          <w:p w14:paraId="03D3E340" w14:textId="77777777" w:rsidR="00E3500B" w:rsidRPr="00E669D1" w:rsidRDefault="00E3500B">
            <w:pPr>
              <w:pStyle w:val="ListParagraph"/>
              <w:widowControl/>
              <w:numPr>
                <w:ilvl w:val="0"/>
                <w:numId w:val="112"/>
              </w:numPr>
              <w:spacing w:after="40"/>
              <w:ind w:left="349" w:hanging="238"/>
              <w:contextualSpacing w:val="0"/>
              <w:jc w:val="left"/>
              <w:cnfStyle w:val="000000100000" w:firstRow="0" w:lastRow="0" w:firstColumn="0" w:lastColumn="0" w:oddVBand="0" w:evenVBand="0" w:oddHBand="1" w:evenHBand="0" w:firstRowFirstColumn="0" w:firstRowLastColumn="0" w:lastRowFirstColumn="0" w:lastRowLastColumn="0"/>
              <w:rPr>
                <w:ins w:id="2448" w:author="Celia Johnson" w:date="2022-09-06T13:24:00Z"/>
              </w:rPr>
            </w:pPr>
            <w:ins w:id="2449" w:author="Celia Johnson" w:date="2022-09-06T13:24:00Z">
              <w:r w:rsidRPr="00E669D1">
                <w:t>Longitudinal tracking of RPP engagement with ENERGY STAR revision processes (MPI 1)</w:t>
              </w:r>
            </w:ins>
          </w:p>
          <w:p w14:paraId="72C1BD27" w14:textId="77777777" w:rsidR="00E3500B" w:rsidRPr="00E669D1" w:rsidRDefault="00E3500B">
            <w:pPr>
              <w:pStyle w:val="ListParagraph"/>
              <w:widowControl/>
              <w:numPr>
                <w:ilvl w:val="0"/>
                <w:numId w:val="112"/>
              </w:numPr>
              <w:spacing w:after="40"/>
              <w:ind w:left="349" w:hanging="238"/>
              <w:contextualSpacing w:val="0"/>
              <w:jc w:val="left"/>
              <w:cnfStyle w:val="000000100000" w:firstRow="0" w:lastRow="0" w:firstColumn="0" w:lastColumn="0" w:oddVBand="0" w:evenVBand="0" w:oddHBand="1" w:evenHBand="0" w:firstRowFirstColumn="0" w:firstRowLastColumn="0" w:lastRowFirstColumn="0" w:lastRowLastColumn="0"/>
              <w:rPr>
                <w:ins w:id="2450" w:author="Celia Johnson" w:date="2022-09-06T13:24:00Z"/>
              </w:rPr>
            </w:pPr>
            <w:ins w:id="2451" w:author="Celia Johnson" w:date="2022-09-06T13:24:00Z">
              <w:r w:rsidRPr="00E669D1">
                <w:t>Qualitative evidence from ENERGY STAR stakeholder interviews (MPI 2)</w:t>
              </w:r>
            </w:ins>
          </w:p>
        </w:tc>
      </w:tr>
      <w:tr w:rsidR="00E3500B" w14:paraId="09EE506C" w14:textId="77777777" w:rsidTr="000B5D6A">
        <w:trPr>
          <w:cnfStyle w:val="000000010000" w:firstRow="0" w:lastRow="0" w:firstColumn="0" w:lastColumn="0" w:oddVBand="0" w:evenVBand="0" w:oddHBand="0" w:evenHBand="1" w:firstRowFirstColumn="0" w:firstRowLastColumn="0" w:lastRowFirstColumn="0" w:lastRowLastColumn="0"/>
          <w:trHeight w:val="545"/>
          <w:ins w:id="2452" w:author="Celia Johnson" w:date="2022-09-06T13:24:00Z"/>
        </w:trPr>
        <w:tc>
          <w:tcPr>
            <w:cnfStyle w:val="001000000000" w:firstRow="0" w:lastRow="0" w:firstColumn="1" w:lastColumn="0" w:oddVBand="0" w:evenVBand="0" w:oddHBand="0" w:evenHBand="0" w:firstRowFirstColumn="0" w:firstRowLastColumn="0" w:lastRowFirstColumn="0" w:lastRowLastColumn="0"/>
            <w:tcW w:w="1090" w:type="dxa"/>
            <w:tcBorders>
              <w:top w:val="single" w:sz="4" w:space="0" w:color="D5DCE4" w:themeColor="text2" w:themeTint="33"/>
              <w:bottom w:val="single" w:sz="8" w:space="0" w:color="44546A" w:themeColor="text2"/>
              <w:right w:val="single" w:sz="12" w:space="0" w:color="F2F2F2" w:themeColor="background1" w:themeShade="F2"/>
            </w:tcBorders>
          </w:tcPr>
          <w:p w14:paraId="60FABEA8" w14:textId="77777777" w:rsidR="00E3500B" w:rsidRPr="00E669D1" w:rsidRDefault="00E3500B" w:rsidP="000B5D6A">
            <w:pPr>
              <w:rPr>
                <w:ins w:id="2453" w:author="Celia Johnson" w:date="2022-09-06T13:24:00Z"/>
              </w:rPr>
            </w:pPr>
            <w:ins w:id="2454" w:author="Celia Johnson" w:date="2022-09-06T13:24:00Z">
              <w:r w:rsidRPr="00E669D1">
                <w:t>X (L)</w:t>
              </w:r>
            </w:ins>
          </w:p>
        </w:tc>
        <w:tc>
          <w:tcPr>
            <w:tcW w:w="1613" w:type="dxa"/>
            <w:tcBorders>
              <w:top w:val="single" w:sz="4" w:space="0" w:color="D5DCE4" w:themeColor="text2" w:themeTint="33"/>
              <w:left w:val="single" w:sz="12" w:space="0" w:color="F2F2F2" w:themeColor="background1" w:themeShade="F2"/>
              <w:bottom w:val="single" w:sz="8" w:space="0" w:color="44546A" w:themeColor="text2"/>
              <w:right w:val="single" w:sz="12" w:space="0" w:color="F2F2F2" w:themeColor="background1" w:themeShade="F2"/>
            </w:tcBorders>
          </w:tcPr>
          <w:p w14:paraId="0E7117BD" w14:textId="77777777" w:rsidR="00E3500B" w:rsidRPr="00E669D1" w:rsidRDefault="00E3500B" w:rsidP="000B5D6A">
            <w:pPr>
              <w:jc w:val="left"/>
              <w:cnfStyle w:val="000000010000" w:firstRow="0" w:lastRow="0" w:firstColumn="0" w:lastColumn="0" w:oddVBand="0" w:evenVBand="0" w:oddHBand="0" w:evenHBand="1" w:firstRowFirstColumn="0" w:firstRowLastColumn="0" w:lastRowFirstColumn="0" w:lastRowLastColumn="0"/>
              <w:rPr>
                <w:ins w:id="2455" w:author="Celia Johnson" w:date="2022-09-06T13:24:00Z"/>
              </w:rPr>
            </w:pPr>
            <w:ins w:id="2456" w:author="Celia Johnson" w:date="2022-09-06T13:24:00Z">
              <w:r w:rsidRPr="00E669D1">
                <w:t xml:space="preserve">Change in </w:t>
              </w:r>
              <w:r w:rsidRPr="00E669D1">
                <w:rPr>
                  <w:b/>
                  <w:bCs/>
                </w:rPr>
                <w:t>federal minimum standards</w:t>
              </w:r>
              <w:r w:rsidRPr="00E669D1">
                <w:t xml:space="preserve"> for RPP categories</w:t>
              </w:r>
            </w:ins>
          </w:p>
        </w:tc>
        <w:tc>
          <w:tcPr>
            <w:tcW w:w="2097" w:type="dxa"/>
            <w:tcBorders>
              <w:top w:val="single" w:sz="4" w:space="0" w:color="D5DCE4" w:themeColor="text2" w:themeTint="33"/>
              <w:left w:val="single" w:sz="12" w:space="0" w:color="F2F2F2" w:themeColor="background1" w:themeShade="F2"/>
              <w:bottom w:val="single" w:sz="8" w:space="0" w:color="44546A" w:themeColor="text2"/>
              <w:right w:val="single" w:sz="12" w:space="0" w:color="F2F2F2" w:themeColor="background1" w:themeShade="F2"/>
            </w:tcBorders>
          </w:tcPr>
          <w:p w14:paraId="23A865EF" w14:textId="77777777" w:rsidR="00E3500B" w:rsidRPr="00E669D1" w:rsidRDefault="00E3500B" w:rsidP="000B5D6A">
            <w:pPr>
              <w:jc w:val="left"/>
              <w:cnfStyle w:val="000000010000" w:firstRow="0" w:lastRow="0" w:firstColumn="0" w:lastColumn="0" w:oddVBand="0" w:evenVBand="0" w:oddHBand="0" w:evenHBand="1" w:firstRowFirstColumn="0" w:firstRowLastColumn="0" w:lastRowFirstColumn="0" w:lastRowLastColumn="0"/>
              <w:rPr>
                <w:ins w:id="2457" w:author="Celia Johnson" w:date="2022-09-06T13:24:00Z"/>
              </w:rPr>
            </w:pPr>
            <w:ins w:id="2458" w:author="Celia Johnson" w:date="2022-09-06T13:24:00Z">
              <w:r w:rsidRPr="00E669D1">
                <w:t>ESRPP sponsors inform federal minimum standards for product categories in the portfolio.</w:t>
              </w:r>
            </w:ins>
          </w:p>
        </w:tc>
        <w:tc>
          <w:tcPr>
            <w:tcW w:w="2367" w:type="dxa"/>
            <w:tcBorders>
              <w:top w:val="single" w:sz="4" w:space="0" w:color="D5DCE4" w:themeColor="text2" w:themeTint="33"/>
              <w:left w:val="single" w:sz="12" w:space="0" w:color="F2F2F2" w:themeColor="background1" w:themeShade="F2"/>
              <w:bottom w:val="single" w:sz="8" w:space="0" w:color="44546A" w:themeColor="text2"/>
              <w:right w:val="single" w:sz="12" w:space="0" w:color="F2F2F2" w:themeColor="background1" w:themeShade="F2"/>
            </w:tcBorders>
          </w:tcPr>
          <w:p w14:paraId="0E5B451D" w14:textId="77777777" w:rsidR="00E3500B" w:rsidRPr="00E669D1" w:rsidRDefault="00E3500B" w:rsidP="000B5D6A">
            <w:pPr>
              <w:jc w:val="left"/>
              <w:cnfStyle w:val="000000010000" w:firstRow="0" w:lastRow="0" w:firstColumn="0" w:lastColumn="0" w:oddVBand="0" w:evenVBand="0" w:oddHBand="0" w:evenHBand="1" w:firstRowFirstColumn="0" w:firstRowLastColumn="0" w:lastRowFirstColumn="0" w:lastRowLastColumn="0"/>
              <w:rPr>
                <w:ins w:id="2459" w:author="Celia Johnson" w:date="2022-09-06T13:24:00Z"/>
                <w:u w:val="single"/>
              </w:rPr>
            </w:pPr>
            <w:ins w:id="2460" w:author="Celia Johnson" w:date="2022-09-06T13:24:00Z">
              <w:r w:rsidRPr="00E669D1">
                <w:rPr>
                  <w:u w:val="single"/>
                </w:rPr>
                <w:t>Product-level targets:</w:t>
              </w:r>
            </w:ins>
          </w:p>
          <w:p w14:paraId="5E77215B" w14:textId="77777777" w:rsidR="00E3500B" w:rsidRPr="00E669D1" w:rsidRDefault="00E3500B" w:rsidP="000B5D6A">
            <w:pPr>
              <w:jc w:val="left"/>
              <w:cnfStyle w:val="000000010000" w:firstRow="0" w:lastRow="0" w:firstColumn="0" w:lastColumn="0" w:oddVBand="0" w:evenVBand="0" w:oddHBand="0" w:evenHBand="1" w:firstRowFirstColumn="0" w:firstRowLastColumn="0" w:lastRowFirstColumn="0" w:lastRowLastColumn="0"/>
              <w:rPr>
                <w:ins w:id="2461" w:author="Celia Johnson" w:date="2022-09-06T13:24:00Z"/>
                <w:i/>
                <w:iCs/>
              </w:rPr>
            </w:pPr>
            <w:ins w:id="2462" w:author="Celia Johnson" w:date="2022-09-06T13:24:00Z">
              <w:r w:rsidRPr="00E669D1">
                <w:rPr>
                  <w:i/>
                  <w:iCs/>
                </w:rPr>
                <w:t xml:space="preserve">2 federal standard revision processes are expected to begin in 2020-2023 for products in </w:t>
              </w:r>
              <w:proofErr w:type="spellStart"/>
              <w:r w:rsidRPr="00E669D1">
                <w:rPr>
                  <w:i/>
                  <w:iCs/>
                </w:rPr>
                <w:t>ComEd’s</w:t>
              </w:r>
              <w:proofErr w:type="spellEnd"/>
              <w:r w:rsidRPr="00E669D1">
                <w:rPr>
                  <w:i/>
                  <w:iCs/>
                </w:rPr>
                <w:t xml:space="preserve"> portfolio. We will continue to monitor.</w:t>
              </w:r>
            </w:ins>
          </w:p>
        </w:tc>
        <w:tc>
          <w:tcPr>
            <w:tcW w:w="2193" w:type="dxa"/>
            <w:tcBorders>
              <w:top w:val="single" w:sz="4" w:space="0" w:color="D5DCE4" w:themeColor="text2" w:themeTint="33"/>
              <w:left w:val="single" w:sz="12" w:space="0" w:color="F2F2F2" w:themeColor="background1" w:themeShade="F2"/>
              <w:bottom w:val="single" w:sz="8" w:space="0" w:color="44546A" w:themeColor="text2"/>
            </w:tcBorders>
          </w:tcPr>
          <w:p w14:paraId="1B478643" w14:textId="77777777" w:rsidR="00E3500B" w:rsidRPr="00E669D1" w:rsidRDefault="00E3500B" w:rsidP="000B5D6A">
            <w:pPr>
              <w:ind w:firstLine="15"/>
              <w:jc w:val="left"/>
              <w:cnfStyle w:val="000000010000" w:firstRow="0" w:lastRow="0" w:firstColumn="0" w:lastColumn="0" w:oddVBand="0" w:evenVBand="0" w:oddHBand="0" w:evenHBand="1" w:firstRowFirstColumn="0" w:firstRowLastColumn="0" w:lastRowFirstColumn="0" w:lastRowLastColumn="0"/>
              <w:rPr>
                <w:ins w:id="2463" w:author="Celia Johnson" w:date="2022-09-06T13:24:00Z"/>
              </w:rPr>
            </w:pPr>
            <w:ins w:id="2464" w:author="Celia Johnson" w:date="2022-09-06T13:24:00Z">
              <w:r w:rsidRPr="00E669D1">
                <w:t>Longitudinal tracking of RPP engagement with federal standard revision processes</w:t>
              </w:r>
            </w:ins>
          </w:p>
          <w:p w14:paraId="21F688E4" w14:textId="77777777" w:rsidR="00E3500B" w:rsidRPr="00E669D1" w:rsidRDefault="00E3500B" w:rsidP="000B5D6A">
            <w:pPr>
              <w:ind w:left="105" w:firstLine="6"/>
              <w:jc w:val="left"/>
              <w:cnfStyle w:val="000000010000" w:firstRow="0" w:lastRow="0" w:firstColumn="0" w:lastColumn="0" w:oddVBand="0" w:evenVBand="0" w:oddHBand="0" w:evenHBand="1" w:firstRowFirstColumn="0" w:firstRowLastColumn="0" w:lastRowFirstColumn="0" w:lastRowLastColumn="0"/>
              <w:rPr>
                <w:ins w:id="2465" w:author="Celia Johnson" w:date="2022-09-06T13:24:00Z"/>
              </w:rPr>
            </w:pPr>
          </w:p>
        </w:tc>
      </w:tr>
    </w:tbl>
    <w:p w14:paraId="168FFE8D" w14:textId="77777777" w:rsidR="00E3500B" w:rsidRPr="007E1790" w:rsidRDefault="00E3500B" w:rsidP="00E3500B">
      <w:pPr>
        <w:rPr>
          <w:ins w:id="2466" w:author="Celia Johnson" w:date="2022-09-06T13:24:00Z"/>
        </w:rPr>
      </w:pPr>
    </w:p>
    <w:p w14:paraId="2D252D5B" w14:textId="77777777" w:rsidR="00E3500B" w:rsidRPr="003E7FC3" w:rsidRDefault="00E3500B" w:rsidP="00E3500B">
      <w:pPr>
        <w:pStyle w:val="Heading2"/>
        <w:widowControl/>
        <w:numPr>
          <w:ilvl w:val="1"/>
          <w:numId w:val="82"/>
        </w:numPr>
        <w:jc w:val="left"/>
        <w:rPr>
          <w:ins w:id="2467" w:author="Celia Johnson" w:date="2022-09-06T13:24:00Z"/>
          <w:sz w:val="28"/>
          <w:szCs w:val="28"/>
        </w:rPr>
      </w:pPr>
      <w:bookmarkStart w:id="2468" w:name="_Toc105195138"/>
      <w:bookmarkStart w:id="2469" w:name="_Toc113365562"/>
      <w:bookmarkStart w:id="2470" w:name="_Toc113619882"/>
      <w:ins w:id="2471" w:author="Celia Johnson" w:date="2022-09-06T13:24:00Z">
        <w:r w:rsidRPr="003E7FC3">
          <w:rPr>
            <w:sz w:val="28"/>
            <w:szCs w:val="28"/>
          </w:rPr>
          <w:t>ESRPP Data and Cleaning</w:t>
        </w:r>
        <w:bookmarkEnd w:id="2468"/>
        <w:bookmarkEnd w:id="2469"/>
        <w:bookmarkEnd w:id="2470"/>
      </w:ins>
    </w:p>
    <w:p w14:paraId="0649D680" w14:textId="77777777" w:rsidR="00E3500B" w:rsidRPr="00C65E64" w:rsidRDefault="00E3500B" w:rsidP="00E3500B">
      <w:pPr>
        <w:rPr>
          <w:ins w:id="2472" w:author="Celia Johnson" w:date="2022-09-06T13:24:00Z"/>
          <w:rFonts w:cstheme="minorHAnsi"/>
        </w:rPr>
      </w:pPr>
      <w:ins w:id="2473" w:author="Celia Johnson" w:date="2022-09-06T13:24:00Z">
        <w:r w:rsidRPr="00C65E64">
          <w:rPr>
            <w:rFonts w:cstheme="minorHAnsi"/>
          </w:rPr>
          <w:t>There are a variety of data sources required to evaluate ESRPP. The most significant is the data from the national ESRPP sales portal. All program sponsors have access to the monthly sales data from participating retailers</w:t>
        </w:r>
        <w:r>
          <w:rPr>
            <w:rFonts w:cstheme="minorHAnsi"/>
          </w:rPr>
          <w:t xml:space="preserve"> in their territory</w:t>
        </w:r>
        <w:r w:rsidRPr="00C65E64">
          <w:rPr>
            <w:rFonts w:cstheme="minorHAnsi"/>
          </w:rPr>
          <w:t xml:space="preserve"> via a data portal that is maintained by ICF.  </w:t>
        </w:r>
        <w:r w:rsidRPr="00C65E64">
          <w:rPr>
            <w:rFonts w:eastAsia="Arial" w:cstheme="minorHAnsi"/>
          </w:rPr>
          <w:t xml:space="preserve">The ESRPP </w:t>
        </w:r>
        <w:r>
          <w:rPr>
            <w:rFonts w:eastAsia="Arial" w:cstheme="minorHAnsi"/>
          </w:rPr>
          <w:t>sales</w:t>
        </w:r>
        <w:r w:rsidRPr="00C65E64">
          <w:rPr>
            <w:rFonts w:eastAsia="Arial" w:cstheme="minorHAnsi"/>
          </w:rPr>
          <w:t xml:space="preserve"> portal provides evaluation data reports which contain most of the data required for measuring net market lift. The portal provides separate evaluation data reports for each product category. The evaluation data reports contain the following monthly data:</w:t>
        </w:r>
      </w:ins>
    </w:p>
    <w:p w14:paraId="59B6A931" w14:textId="77777777" w:rsidR="00E3500B" w:rsidRPr="00C65E64" w:rsidRDefault="00E3500B">
      <w:pPr>
        <w:pStyle w:val="ListParagraph"/>
        <w:widowControl/>
        <w:numPr>
          <w:ilvl w:val="0"/>
          <w:numId w:val="101"/>
        </w:numPr>
        <w:spacing w:after="160" w:line="259" w:lineRule="auto"/>
        <w:jc w:val="left"/>
        <w:rPr>
          <w:ins w:id="2474" w:author="Celia Johnson" w:date="2022-09-06T13:24:00Z"/>
          <w:rFonts w:eastAsiaTheme="minorEastAsia" w:cstheme="minorHAnsi"/>
        </w:rPr>
      </w:pPr>
      <w:ins w:id="2475" w:author="Celia Johnson" w:date="2022-09-06T13:24:00Z">
        <w:r w:rsidRPr="00C65E64">
          <w:rPr>
            <w:rFonts w:eastAsia="Calibri" w:cstheme="minorHAnsi"/>
          </w:rPr>
          <w:t>Unit sales by model number</w:t>
        </w:r>
      </w:ins>
    </w:p>
    <w:p w14:paraId="4F859B96" w14:textId="77777777" w:rsidR="00E3500B" w:rsidRPr="00C65E64" w:rsidRDefault="00E3500B">
      <w:pPr>
        <w:pStyle w:val="ListParagraph"/>
        <w:widowControl/>
        <w:numPr>
          <w:ilvl w:val="0"/>
          <w:numId w:val="101"/>
        </w:numPr>
        <w:spacing w:after="160" w:line="259" w:lineRule="auto"/>
        <w:jc w:val="left"/>
        <w:rPr>
          <w:ins w:id="2476" w:author="Celia Johnson" w:date="2022-09-06T13:24:00Z"/>
          <w:rFonts w:eastAsiaTheme="minorEastAsia" w:cstheme="minorHAnsi"/>
        </w:rPr>
      </w:pPr>
      <w:ins w:id="2477" w:author="Celia Johnson" w:date="2022-09-06T13:24:00Z">
        <w:r w:rsidRPr="00C65E64">
          <w:rPr>
            <w:rFonts w:eastAsia="Calibri" w:cstheme="minorHAnsi"/>
          </w:rPr>
          <w:t>Qualified status of model</w:t>
        </w:r>
      </w:ins>
    </w:p>
    <w:p w14:paraId="53AE9AB7" w14:textId="77777777" w:rsidR="00E3500B" w:rsidRPr="00C65E64" w:rsidRDefault="00E3500B">
      <w:pPr>
        <w:pStyle w:val="ListParagraph"/>
        <w:widowControl/>
        <w:numPr>
          <w:ilvl w:val="0"/>
          <w:numId w:val="101"/>
        </w:numPr>
        <w:spacing w:after="160" w:line="259" w:lineRule="auto"/>
        <w:jc w:val="left"/>
        <w:rPr>
          <w:ins w:id="2478" w:author="Celia Johnson" w:date="2022-09-06T13:24:00Z"/>
          <w:rFonts w:eastAsiaTheme="minorEastAsia" w:cstheme="minorHAnsi"/>
        </w:rPr>
      </w:pPr>
      <w:ins w:id="2479" w:author="Celia Johnson" w:date="2022-09-06T13:24:00Z">
        <w:r w:rsidRPr="00C65E64">
          <w:rPr>
            <w:rFonts w:eastAsia="Calibri" w:cstheme="minorHAnsi"/>
          </w:rPr>
          <w:t>Per-unit incentive</w:t>
        </w:r>
      </w:ins>
    </w:p>
    <w:p w14:paraId="6C72346C" w14:textId="77777777" w:rsidR="00E3500B" w:rsidRPr="00C65E64" w:rsidRDefault="00E3500B">
      <w:pPr>
        <w:pStyle w:val="ListParagraph"/>
        <w:widowControl/>
        <w:numPr>
          <w:ilvl w:val="0"/>
          <w:numId w:val="101"/>
        </w:numPr>
        <w:spacing w:after="160" w:line="259" w:lineRule="auto"/>
        <w:jc w:val="left"/>
        <w:rPr>
          <w:ins w:id="2480" w:author="Celia Johnson" w:date="2022-09-06T13:24:00Z"/>
          <w:rFonts w:eastAsiaTheme="minorEastAsia" w:cstheme="minorHAnsi"/>
        </w:rPr>
      </w:pPr>
      <w:ins w:id="2481" w:author="Celia Johnson" w:date="2022-09-06T13:24:00Z">
        <w:r w:rsidRPr="00C65E64">
          <w:rPr>
            <w:rFonts w:eastAsia="Calibri" w:cstheme="minorHAnsi"/>
          </w:rPr>
          <w:t>Retailer (for qualified products)</w:t>
        </w:r>
      </w:ins>
    </w:p>
    <w:p w14:paraId="7451FA2F" w14:textId="77777777" w:rsidR="00E3500B" w:rsidRPr="00C65E64" w:rsidRDefault="00E3500B">
      <w:pPr>
        <w:pStyle w:val="ListParagraph"/>
        <w:widowControl/>
        <w:numPr>
          <w:ilvl w:val="0"/>
          <w:numId w:val="101"/>
        </w:numPr>
        <w:spacing w:after="160" w:line="259" w:lineRule="auto"/>
        <w:jc w:val="left"/>
        <w:rPr>
          <w:ins w:id="2482" w:author="Celia Johnson" w:date="2022-09-06T13:24:00Z"/>
          <w:rFonts w:eastAsiaTheme="minorEastAsia" w:cstheme="minorHAnsi"/>
        </w:rPr>
      </w:pPr>
      <w:ins w:id="2483" w:author="Celia Johnson" w:date="2022-09-06T13:24:00Z">
        <w:r w:rsidRPr="00C65E64">
          <w:rPr>
            <w:rFonts w:eastAsia="Calibri" w:cstheme="minorHAnsi"/>
          </w:rPr>
          <w:t>Inputs for gross savings (energy factor, capacity, etc.)</w:t>
        </w:r>
      </w:ins>
    </w:p>
    <w:p w14:paraId="07F7CD19" w14:textId="77777777" w:rsidR="00E3500B" w:rsidRPr="00C65E64" w:rsidRDefault="00E3500B" w:rsidP="00E3500B">
      <w:pPr>
        <w:rPr>
          <w:ins w:id="2484" w:author="Celia Johnson" w:date="2022-09-06T13:24:00Z"/>
          <w:rFonts w:cstheme="minorHAnsi"/>
        </w:rPr>
      </w:pPr>
      <w:ins w:id="2485" w:author="Celia Johnson" w:date="2022-09-06T13:24:00Z">
        <w:r w:rsidRPr="00C65E64">
          <w:rPr>
            <w:rFonts w:eastAsia="Arial" w:cstheme="minorHAnsi"/>
          </w:rPr>
          <w:t xml:space="preserve">Each of the five participating ESRPP MT program retailers provide full category sales data by model number for each product category. The evaluation data reports include sales of each model number by month and the qualified status of each model number in that month. The monthly sales data includes 12 months of pre-program sales data as well as sales from each month the program has been active. </w:t>
        </w:r>
        <w:r w:rsidRPr="00C65E64">
          <w:rPr>
            <w:rFonts w:cstheme="minorHAnsi"/>
          </w:rPr>
          <w:t xml:space="preserve">ICF also includes the name of the retailer for incentive </w:t>
        </w:r>
        <w:r w:rsidRPr="00C65E64">
          <w:rPr>
            <w:rFonts w:cstheme="minorHAnsi"/>
          </w:rPr>
          <w:lastRenderedPageBreak/>
          <w:t>qualified sales but does not include retailer name for non-qualifying sales</w:t>
        </w:r>
        <w:r w:rsidRPr="00C65E64">
          <w:rPr>
            <w:rStyle w:val="FootnoteReference"/>
            <w:rFonts w:cstheme="minorHAnsi"/>
          </w:rPr>
          <w:footnoteReference w:id="162"/>
        </w:r>
        <w:r w:rsidRPr="00C65E64">
          <w:rPr>
            <w:rFonts w:cstheme="minorHAnsi"/>
          </w:rPr>
          <w:t xml:space="preserve">. </w:t>
        </w:r>
      </w:ins>
    </w:p>
    <w:p w14:paraId="4883DA79" w14:textId="77777777" w:rsidR="00E3500B" w:rsidRDefault="00E3500B" w:rsidP="00E3500B">
      <w:pPr>
        <w:pStyle w:val="Heading2"/>
        <w:widowControl/>
        <w:numPr>
          <w:ilvl w:val="2"/>
          <w:numId w:val="82"/>
        </w:numPr>
        <w:jc w:val="left"/>
        <w:rPr>
          <w:ins w:id="2488" w:author="Celia Johnson" w:date="2022-09-06T13:24:00Z"/>
        </w:rPr>
      </w:pPr>
      <w:bookmarkStart w:id="2489" w:name="_Toc105195139"/>
      <w:bookmarkStart w:id="2490" w:name="_Toc113365563"/>
      <w:bookmarkStart w:id="2491" w:name="_Toc113619883"/>
      <w:ins w:id="2492" w:author="Celia Johnson" w:date="2022-09-06T13:24:00Z">
        <w:r>
          <w:t>Data Cleaning</w:t>
        </w:r>
        <w:r>
          <w:rPr>
            <w:rStyle w:val="FootnoteReference"/>
          </w:rPr>
          <w:footnoteReference w:id="163"/>
        </w:r>
        <w:bookmarkEnd w:id="2489"/>
        <w:bookmarkEnd w:id="2490"/>
        <w:bookmarkEnd w:id="2491"/>
      </w:ins>
    </w:p>
    <w:p w14:paraId="05613C1C" w14:textId="77777777" w:rsidR="00E3500B" w:rsidRDefault="00E3500B" w:rsidP="00E3500B">
      <w:pPr>
        <w:rPr>
          <w:ins w:id="2495" w:author="Celia Johnson" w:date="2022-09-06T13:24:00Z"/>
        </w:rPr>
      </w:pPr>
      <w:ins w:id="2496" w:author="Celia Johnson" w:date="2022-09-06T13:24:00Z">
        <w:r>
          <w:t xml:space="preserve">The data from the portal requires additional cleaning and validation to ensure that it is complete and includes the technical information required to calculate unit energy savings (UES). Model-specific performance specifications relevant to savings should be verified for each </w:t>
        </w:r>
        <w:r w:rsidRPr="00322D04">
          <w:t>model number</w:t>
        </w:r>
        <w:r>
          <w:t xml:space="preserve"> in the program sales data.</w:t>
        </w:r>
        <w:r w:rsidRPr="00322D04">
          <w:t xml:space="preserve"> </w:t>
        </w:r>
        <w:r>
          <w:t xml:space="preserve"> </w:t>
        </w:r>
      </w:ins>
    </w:p>
    <w:p w14:paraId="7E4BC414" w14:textId="77777777" w:rsidR="00E3500B" w:rsidRDefault="00E3500B" w:rsidP="00E3500B">
      <w:pPr>
        <w:rPr>
          <w:ins w:id="2497" w:author="Celia Johnson" w:date="2022-09-06T13:24:00Z"/>
        </w:rPr>
      </w:pPr>
      <w:ins w:id="2498" w:author="Celia Johnson" w:date="2022-09-06T13:24:00Z">
        <w:r>
          <w:t>Product performance specifications, or product configurations, may evolve over time as testing and measurement procedures improve. Therefore, evaluators should verify performance specifications against the most recent sources, such as the</w:t>
        </w:r>
        <w:r w:rsidRPr="00322D04">
          <w:t xml:space="preserve"> qualified product lists (QPLs) for ENERGY STAR,</w:t>
        </w:r>
        <w:r w:rsidRPr="00322D04">
          <w:rPr>
            <w:rStyle w:val="FootnoteReference"/>
          </w:rPr>
          <w:footnoteReference w:id="164"/>
        </w:r>
        <w:r w:rsidRPr="00322D04">
          <w:t xml:space="preserve"> the Compliance Certification Management System of the U.S. Department of Energy (DOE),</w:t>
        </w:r>
        <w:r w:rsidRPr="00322D04">
          <w:rPr>
            <w:rStyle w:val="FootnoteReference"/>
          </w:rPr>
          <w:footnoteReference w:id="165"/>
        </w:r>
        <w:r w:rsidRPr="00322D04">
          <w:t xml:space="preserve"> and the California Energy Commission (CEC).</w:t>
        </w:r>
        <w:r w:rsidRPr="00322D04">
          <w:rPr>
            <w:rStyle w:val="FootnoteReference"/>
          </w:rPr>
          <w:footnoteReference w:id="166"/>
        </w:r>
        <w:r>
          <w:t xml:space="preserve"> Evaluators should also utilize historical sources to aggregate current and discontinued models, as discontinued models may no longer be present in current sources. </w:t>
        </w:r>
      </w:ins>
    </w:p>
    <w:p w14:paraId="3BAE1F2A" w14:textId="77777777" w:rsidR="00E3500B" w:rsidRPr="00322D04" w:rsidRDefault="00E3500B" w:rsidP="00E3500B">
      <w:pPr>
        <w:rPr>
          <w:ins w:id="2505" w:author="Celia Johnson" w:date="2022-09-06T13:24:00Z"/>
        </w:rPr>
      </w:pPr>
      <w:ins w:id="2506" w:author="Celia Johnson" w:date="2022-09-06T13:24:00Z">
        <w:r>
          <w:t xml:space="preserve">In some cases, manufacturers update the attributes for a model number. When this occurs, evaluators should confirm relevant performance specifications are correctly applied for each time period. Where there are discrepancies among the different QPL sources, this protocol recommends the data from ENERGY STAR takes priority over DOE or CEC data, unless evaluators have primary data. This prioritization order applies for all attributes except the DOE product class determination, where the DOE data source is prioritized before ENERGY STAR, and the CEC data source is still the last to be referenced. </w:t>
        </w:r>
      </w:ins>
    </w:p>
    <w:p w14:paraId="21EE5751" w14:textId="77777777" w:rsidR="00E3500B" w:rsidRDefault="00E3500B" w:rsidP="00E3500B">
      <w:pPr>
        <w:rPr>
          <w:ins w:id="2507" w:author="Celia Johnson" w:date="2022-09-06T13:24:00Z"/>
        </w:rPr>
      </w:pPr>
      <w:bookmarkStart w:id="2508" w:name="_Hlk104906225"/>
      <w:ins w:id="2509" w:author="Celia Johnson" w:date="2022-09-06T13:24:00Z">
        <w:r>
          <w:t xml:space="preserve">Once ESRPP targeted products and configurations are known, energy and peak demand savings can be calculated using relevant TRM algorithms. </w:t>
        </w:r>
        <w:r>
          <w:fldChar w:fldCharType="begin"/>
        </w:r>
        <w:r>
          <w:instrText xml:space="preserve"> REF _Ref105191107 \h </w:instrText>
        </w:r>
      </w:ins>
      <w:ins w:id="2510" w:author="Celia Johnson" w:date="2022-09-06T13:24:00Z">
        <w:r>
          <w:fldChar w:fldCharType="separate"/>
        </w:r>
        <w:r>
          <w:t xml:space="preserve">Table </w:t>
        </w:r>
        <w:r>
          <w:rPr>
            <w:noProof/>
          </w:rPr>
          <w:t>3</w:t>
        </w:r>
        <w:r>
          <w:fldChar w:fldCharType="end"/>
        </w:r>
        <w:r>
          <w:t xml:space="preserve"> provides an example matrix of how the different tiers match to each of the products currently offered through the ESRPP. The product types and tiers within the program can be altered by the program sponsor each year. Evaluators should ensure that the most recent product types, configurations, and efficiency tiers are up to date. </w:t>
        </w:r>
      </w:ins>
    </w:p>
    <w:p w14:paraId="4F9875B9" w14:textId="77777777" w:rsidR="00E3500B" w:rsidRDefault="00E3500B" w:rsidP="00E3500B">
      <w:pPr>
        <w:pStyle w:val="Caption"/>
        <w:rPr>
          <w:ins w:id="2511" w:author="Celia Johnson" w:date="2022-09-06T13:24:00Z"/>
        </w:rPr>
      </w:pPr>
      <w:bookmarkStart w:id="2512" w:name="_Ref105191107"/>
      <w:ins w:id="2513" w:author="Celia Johnson" w:date="2022-09-06T13:24:00Z">
        <w:r>
          <w:t xml:space="preserve">Table </w:t>
        </w:r>
        <w:r>
          <w:fldChar w:fldCharType="begin"/>
        </w:r>
        <w:r>
          <w:instrText xml:space="preserve"> SEQ Table \* ARABIC </w:instrText>
        </w:r>
        <w:r>
          <w:fldChar w:fldCharType="separate"/>
        </w:r>
        <w:r>
          <w:rPr>
            <w:noProof/>
          </w:rPr>
          <w:t>3</w:t>
        </w:r>
        <w:r>
          <w:rPr>
            <w:noProof/>
          </w:rPr>
          <w:fldChar w:fldCharType="end"/>
        </w:r>
        <w:bookmarkEnd w:id="2512"/>
        <w:r>
          <w:t>. Tier Matrix for Current ESRPP Products</w:t>
        </w:r>
      </w:ins>
    </w:p>
    <w:tbl>
      <w:tblPr>
        <w:tblW w:w="7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40"/>
        <w:gridCol w:w="2640"/>
        <w:gridCol w:w="2640"/>
      </w:tblGrid>
      <w:tr w:rsidR="00E3500B" w:rsidRPr="00C07269" w14:paraId="1C08251C" w14:textId="77777777" w:rsidTr="000B5D6A">
        <w:trPr>
          <w:trHeight w:val="20"/>
          <w:tblHeader/>
          <w:jc w:val="center"/>
          <w:ins w:id="2514" w:author="Celia Johnson" w:date="2022-09-06T13:24:00Z"/>
        </w:trPr>
        <w:tc>
          <w:tcPr>
            <w:tcW w:w="2640" w:type="dxa"/>
            <w:shd w:val="clear" w:color="auto" w:fill="808080" w:themeFill="background1" w:themeFillShade="80"/>
            <w:vAlign w:val="center"/>
            <w:hideMark/>
          </w:tcPr>
          <w:p w14:paraId="26E915FF" w14:textId="77777777" w:rsidR="00E3500B" w:rsidRPr="00C07269" w:rsidRDefault="00E3500B" w:rsidP="000B5D6A">
            <w:pPr>
              <w:keepNext/>
              <w:spacing w:after="0"/>
              <w:jc w:val="center"/>
              <w:rPr>
                <w:ins w:id="2515" w:author="Celia Johnson" w:date="2022-09-06T13:24:00Z"/>
                <w:rFonts w:cstheme="minorHAnsi"/>
                <w:b/>
                <w:color w:val="FFFFFF" w:themeColor="background1"/>
                <w:szCs w:val="20"/>
              </w:rPr>
            </w:pPr>
            <w:ins w:id="2516" w:author="Celia Johnson" w:date="2022-09-06T13:24:00Z">
              <w:r>
                <w:rPr>
                  <w:rFonts w:cstheme="minorHAnsi"/>
                  <w:b/>
                  <w:color w:val="FFFFFF" w:themeColor="background1"/>
                  <w:szCs w:val="20"/>
                </w:rPr>
                <w:t>Tier</w:t>
              </w:r>
            </w:ins>
          </w:p>
        </w:tc>
        <w:tc>
          <w:tcPr>
            <w:tcW w:w="2640" w:type="dxa"/>
            <w:shd w:val="clear" w:color="auto" w:fill="808080" w:themeFill="background1" w:themeFillShade="80"/>
            <w:vAlign w:val="center"/>
          </w:tcPr>
          <w:p w14:paraId="56FD9EAB" w14:textId="77777777" w:rsidR="00E3500B" w:rsidRPr="00C07269" w:rsidRDefault="00E3500B" w:rsidP="000B5D6A">
            <w:pPr>
              <w:keepNext/>
              <w:spacing w:after="0"/>
              <w:jc w:val="center"/>
              <w:rPr>
                <w:ins w:id="2517" w:author="Celia Johnson" w:date="2022-09-06T13:24:00Z"/>
                <w:rFonts w:cstheme="minorHAnsi"/>
                <w:b/>
                <w:color w:val="FFFFFF" w:themeColor="background1"/>
                <w:szCs w:val="20"/>
              </w:rPr>
            </w:pPr>
            <w:ins w:id="2518" w:author="Celia Johnson" w:date="2022-09-06T13:24:00Z">
              <w:r>
                <w:rPr>
                  <w:rFonts w:cstheme="minorHAnsi"/>
                  <w:b/>
                  <w:color w:val="FFFFFF" w:themeColor="background1"/>
                  <w:szCs w:val="20"/>
                </w:rPr>
                <w:t>Refrigerators</w:t>
              </w:r>
            </w:ins>
          </w:p>
        </w:tc>
        <w:tc>
          <w:tcPr>
            <w:tcW w:w="2640" w:type="dxa"/>
            <w:shd w:val="clear" w:color="auto" w:fill="808080" w:themeFill="background1" w:themeFillShade="80"/>
          </w:tcPr>
          <w:p w14:paraId="5ABCE774" w14:textId="77777777" w:rsidR="00E3500B" w:rsidRPr="00C07269" w:rsidRDefault="00E3500B" w:rsidP="000B5D6A">
            <w:pPr>
              <w:keepNext/>
              <w:spacing w:after="0"/>
              <w:jc w:val="center"/>
              <w:rPr>
                <w:ins w:id="2519" w:author="Celia Johnson" w:date="2022-09-06T13:24:00Z"/>
                <w:rFonts w:cstheme="minorHAnsi"/>
                <w:b/>
                <w:color w:val="FFFFFF" w:themeColor="background1"/>
                <w:szCs w:val="20"/>
              </w:rPr>
            </w:pPr>
            <w:ins w:id="2520" w:author="Celia Johnson" w:date="2022-09-06T13:24:00Z">
              <w:r>
                <w:rPr>
                  <w:rFonts w:cstheme="minorHAnsi"/>
                  <w:b/>
                  <w:color w:val="FFFFFF" w:themeColor="background1"/>
                  <w:szCs w:val="20"/>
                </w:rPr>
                <w:t>Clothes Washers</w:t>
              </w:r>
            </w:ins>
          </w:p>
        </w:tc>
      </w:tr>
      <w:tr w:rsidR="00E3500B" w14:paraId="09D61665" w14:textId="77777777" w:rsidTr="000B5D6A">
        <w:trPr>
          <w:trHeight w:val="20"/>
          <w:jc w:val="center"/>
          <w:ins w:id="2521" w:author="Celia Johnson" w:date="2022-09-06T13:24:00Z"/>
        </w:trPr>
        <w:tc>
          <w:tcPr>
            <w:tcW w:w="2640" w:type="dxa"/>
            <w:shd w:val="clear" w:color="auto" w:fill="auto"/>
            <w:noWrap/>
            <w:vAlign w:val="center"/>
            <w:hideMark/>
          </w:tcPr>
          <w:p w14:paraId="7F846016" w14:textId="77777777" w:rsidR="00E3500B" w:rsidRPr="000B7BB6" w:rsidRDefault="00E3500B" w:rsidP="000B5D6A">
            <w:pPr>
              <w:keepNext/>
              <w:spacing w:after="0"/>
              <w:jc w:val="center"/>
              <w:rPr>
                <w:ins w:id="2522" w:author="Celia Johnson" w:date="2022-09-06T13:24:00Z"/>
                <w:rFonts w:cstheme="minorHAnsi"/>
                <w:color w:val="000000"/>
                <w:szCs w:val="20"/>
              </w:rPr>
            </w:pPr>
            <w:ins w:id="2523" w:author="Celia Johnson" w:date="2022-09-06T13:24:00Z">
              <w:r>
                <w:rPr>
                  <w:rFonts w:ascii="Calibri" w:hAnsi="Calibri"/>
                  <w:color w:val="000000"/>
                  <w:szCs w:val="20"/>
                </w:rPr>
                <w:t>Basic</w:t>
              </w:r>
            </w:ins>
          </w:p>
        </w:tc>
        <w:tc>
          <w:tcPr>
            <w:tcW w:w="2640" w:type="dxa"/>
            <w:vAlign w:val="center"/>
          </w:tcPr>
          <w:p w14:paraId="14671FAF" w14:textId="77777777" w:rsidR="00E3500B" w:rsidRPr="00A05FC2" w:rsidRDefault="00E3500B" w:rsidP="000B5D6A">
            <w:pPr>
              <w:keepNext/>
              <w:spacing w:after="0"/>
              <w:rPr>
                <w:ins w:id="2524" w:author="Celia Johnson" w:date="2022-09-06T13:24:00Z"/>
                <w:rFonts w:cstheme="minorHAnsi"/>
                <w:color w:val="000000"/>
                <w:szCs w:val="20"/>
              </w:rPr>
            </w:pPr>
            <w:ins w:id="2525" w:author="Celia Johnson" w:date="2022-09-06T13:24:00Z">
              <w:r>
                <w:rPr>
                  <w:rFonts w:cstheme="minorHAnsi"/>
                  <w:color w:val="000000"/>
                  <w:szCs w:val="20"/>
                </w:rPr>
                <w:t>ENERGY STAR Most Efficient,</w:t>
              </w:r>
              <w:r>
                <w:t xml:space="preserve"> between 10% and 15% more efficient than federal standards</w:t>
              </w:r>
            </w:ins>
          </w:p>
        </w:tc>
        <w:tc>
          <w:tcPr>
            <w:tcW w:w="2640" w:type="dxa"/>
            <w:vAlign w:val="center"/>
          </w:tcPr>
          <w:p w14:paraId="5337416F" w14:textId="77777777" w:rsidR="00E3500B" w:rsidRDefault="00E3500B" w:rsidP="000B5D6A">
            <w:pPr>
              <w:keepNext/>
              <w:spacing w:after="0"/>
              <w:rPr>
                <w:ins w:id="2526" w:author="Celia Johnson" w:date="2022-09-06T13:24:00Z"/>
                <w:rFonts w:ascii="Calibri" w:hAnsi="Calibri"/>
                <w:color w:val="000000"/>
                <w:szCs w:val="20"/>
              </w:rPr>
            </w:pPr>
            <w:ins w:id="2527" w:author="Celia Johnson" w:date="2022-09-06T13:24:00Z">
              <w:r>
                <w:rPr>
                  <w:rFonts w:ascii="Calibri" w:hAnsi="Calibri"/>
                  <w:color w:val="000000"/>
                  <w:szCs w:val="20"/>
                </w:rPr>
                <w:t>ENERGY STAR, up to 10% more efficient than federal standards (top-load only)</w:t>
              </w:r>
            </w:ins>
          </w:p>
        </w:tc>
      </w:tr>
      <w:tr w:rsidR="00E3500B" w14:paraId="013F9F57" w14:textId="77777777" w:rsidTr="000B5D6A">
        <w:trPr>
          <w:trHeight w:val="20"/>
          <w:jc w:val="center"/>
          <w:ins w:id="2528" w:author="Celia Johnson" w:date="2022-09-06T13:24:00Z"/>
        </w:trPr>
        <w:tc>
          <w:tcPr>
            <w:tcW w:w="2640" w:type="dxa"/>
            <w:shd w:val="clear" w:color="auto" w:fill="auto"/>
            <w:noWrap/>
            <w:vAlign w:val="center"/>
            <w:hideMark/>
          </w:tcPr>
          <w:p w14:paraId="7525D6B6" w14:textId="77777777" w:rsidR="00E3500B" w:rsidRPr="000B7BB6" w:rsidRDefault="00E3500B" w:rsidP="000B5D6A">
            <w:pPr>
              <w:keepNext/>
              <w:spacing w:after="0"/>
              <w:jc w:val="center"/>
              <w:rPr>
                <w:ins w:id="2529" w:author="Celia Johnson" w:date="2022-09-06T13:24:00Z"/>
                <w:rFonts w:cstheme="minorHAnsi"/>
                <w:color w:val="000000"/>
                <w:szCs w:val="20"/>
              </w:rPr>
            </w:pPr>
            <w:ins w:id="2530" w:author="Celia Johnson" w:date="2022-09-06T13:24:00Z">
              <w:r>
                <w:rPr>
                  <w:rFonts w:cstheme="minorHAnsi"/>
                  <w:color w:val="000000"/>
                  <w:szCs w:val="20"/>
                </w:rPr>
                <w:t>Advanced</w:t>
              </w:r>
            </w:ins>
          </w:p>
        </w:tc>
        <w:tc>
          <w:tcPr>
            <w:tcW w:w="2640" w:type="dxa"/>
            <w:vAlign w:val="center"/>
          </w:tcPr>
          <w:p w14:paraId="47AB02E5" w14:textId="77777777" w:rsidR="00E3500B" w:rsidRPr="00A05FC2" w:rsidRDefault="00E3500B" w:rsidP="000B5D6A">
            <w:pPr>
              <w:keepNext/>
              <w:spacing w:after="0"/>
              <w:rPr>
                <w:ins w:id="2531" w:author="Celia Johnson" w:date="2022-09-06T13:24:00Z"/>
                <w:rFonts w:cstheme="minorHAnsi"/>
                <w:color w:val="000000"/>
                <w:szCs w:val="20"/>
              </w:rPr>
            </w:pPr>
            <w:ins w:id="2532" w:author="Celia Johnson" w:date="2022-09-06T13:24:00Z">
              <w:r>
                <w:rPr>
                  <w:rFonts w:cstheme="minorHAnsi"/>
                  <w:color w:val="000000"/>
                  <w:szCs w:val="20"/>
                </w:rPr>
                <w:t>ENERGY STAR Emerging Tech, at least 15 % greater efficiency than federal standards</w:t>
              </w:r>
            </w:ins>
          </w:p>
        </w:tc>
        <w:tc>
          <w:tcPr>
            <w:tcW w:w="2640" w:type="dxa"/>
            <w:vAlign w:val="center"/>
          </w:tcPr>
          <w:p w14:paraId="069AF1EC" w14:textId="77777777" w:rsidR="00E3500B" w:rsidRDefault="00E3500B" w:rsidP="000B5D6A">
            <w:pPr>
              <w:keepNext/>
              <w:spacing w:after="0"/>
              <w:rPr>
                <w:ins w:id="2533" w:author="Celia Johnson" w:date="2022-09-06T13:24:00Z"/>
                <w:rFonts w:ascii="Calibri" w:hAnsi="Calibri"/>
                <w:color w:val="000000"/>
                <w:szCs w:val="20"/>
              </w:rPr>
            </w:pPr>
            <w:ins w:id="2534" w:author="Celia Johnson" w:date="2022-09-06T13:24:00Z">
              <w:r>
                <w:rPr>
                  <w:rFonts w:cstheme="minorHAnsi"/>
                  <w:color w:val="000000"/>
                  <w:szCs w:val="20"/>
                </w:rPr>
                <w:t>ENERGY STAR Most Efficient, at least 10% greater efficiency than federal standards</w:t>
              </w:r>
            </w:ins>
          </w:p>
        </w:tc>
      </w:tr>
      <w:tr w:rsidR="00E3500B" w14:paraId="14D1F681" w14:textId="77777777" w:rsidTr="000B5D6A">
        <w:trPr>
          <w:trHeight w:val="20"/>
          <w:jc w:val="center"/>
          <w:ins w:id="2535" w:author="Celia Johnson" w:date="2022-09-06T13:24:00Z"/>
        </w:trPr>
        <w:tc>
          <w:tcPr>
            <w:tcW w:w="2640" w:type="dxa"/>
            <w:shd w:val="clear" w:color="auto" w:fill="auto"/>
            <w:noWrap/>
            <w:vAlign w:val="center"/>
          </w:tcPr>
          <w:p w14:paraId="00D06D5A" w14:textId="77777777" w:rsidR="00E3500B" w:rsidRDefault="00E3500B" w:rsidP="000B5D6A">
            <w:pPr>
              <w:spacing w:after="0"/>
              <w:jc w:val="center"/>
              <w:rPr>
                <w:ins w:id="2536" w:author="Celia Johnson" w:date="2022-09-06T13:24:00Z"/>
                <w:rFonts w:ascii="Calibri" w:hAnsi="Calibri"/>
                <w:color w:val="000000"/>
                <w:szCs w:val="20"/>
              </w:rPr>
            </w:pPr>
            <w:ins w:id="2537" w:author="Celia Johnson" w:date="2022-09-06T13:24:00Z">
              <w:r>
                <w:rPr>
                  <w:rFonts w:ascii="Calibri" w:hAnsi="Calibri"/>
                  <w:color w:val="000000"/>
                  <w:szCs w:val="20"/>
                </w:rPr>
                <w:t>Non-Qualified</w:t>
              </w:r>
            </w:ins>
          </w:p>
        </w:tc>
        <w:tc>
          <w:tcPr>
            <w:tcW w:w="2640" w:type="dxa"/>
            <w:vAlign w:val="center"/>
          </w:tcPr>
          <w:p w14:paraId="56FFD7A2" w14:textId="77777777" w:rsidR="00E3500B" w:rsidRDefault="00E3500B" w:rsidP="000B5D6A">
            <w:pPr>
              <w:spacing w:after="0"/>
              <w:rPr>
                <w:ins w:id="2538" w:author="Celia Johnson" w:date="2022-09-06T13:24:00Z"/>
                <w:rFonts w:ascii="Calibri" w:hAnsi="Calibri" w:cs="Calibri"/>
                <w:color w:val="000000"/>
                <w:szCs w:val="20"/>
              </w:rPr>
            </w:pPr>
            <w:ins w:id="2539" w:author="Celia Johnson" w:date="2022-09-06T13:24:00Z">
              <w:r>
                <w:rPr>
                  <w:rFonts w:ascii="Calibri" w:hAnsi="Calibri" w:cs="Calibri"/>
                  <w:color w:val="000000"/>
                  <w:szCs w:val="20"/>
                </w:rPr>
                <w:t>All other models</w:t>
              </w:r>
            </w:ins>
          </w:p>
        </w:tc>
        <w:tc>
          <w:tcPr>
            <w:tcW w:w="2640" w:type="dxa"/>
            <w:vAlign w:val="center"/>
          </w:tcPr>
          <w:p w14:paraId="30004132" w14:textId="77777777" w:rsidR="00E3500B" w:rsidRDefault="00E3500B" w:rsidP="000B5D6A">
            <w:pPr>
              <w:spacing w:after="0"/>
              <w:rPr>
                <w:ins w:id="2540" w:author="Celia Johnson" w:date="2022-09-06T13:24:00Z"/>
                <w:rFonts w:ascii="Calibri" w:hAnsi="Calibri" w:cs="Calibri"/>
                <w:color w:val="000000"/>
              </w:rPr>
            </w:pPr>
            <w:ins w:id="2541" w:author="Celia Johnson" w:date="2022-09-06T13:24:00Z">
              <w:r>
                <w:rPr>
                  <w:rFonts w:ascii="Calibri" w:hAnsi="Calibri" w:cs="Calibri"/>
                  <w:color w:val="000000"/>
                </w:rPr>
                <w:t>All other models</w:t>
              </w:r>
            </w:ins>
          </w:p>
        </w:tc>
      </w:tr>
    </w:tbl>
    <w:p w14:paraId="55EA7673" w14:textId="77777777" w:rsidR="00E3500B" w:rsidRDefault="00E3500B" w:rsidP="00E3500B">
      <w:pPr>
        <w:rPr>
          <w:ins w:id="2542" w:author="Celia Johnson" w:date="2022-09-06T13:24:00Z"/>
        </w:rPr>
      </w:pPr>
    </w:p>
    <w:p w14:paraId="1ECEED79" w14:textId="77777777" w:rsidR="00E3500B" w:rsidRPr="00854994" w:rsidRDefault="00E3500B" w:rsidP="00E3500B">
      <w:pPr>
        <w:pStyle w:val="Heading2"/>
        <w:widowControl/>
        <w:numPr>
          <w:ilvl w:val="1"/>
          <w:numId w:val="82"/>
        </w:numPr>
        <w:jc w:val="left"/>
        <w:rPr>
          <w:ins w:id="2543" w:author="Celia Johnson" w:date="2022-09-06T13:24:00Z"/>
          <w:sz w:val="28"/>
          <w:szCs w:val="28"/>
        </w:rPr>
      </w:pPr>
      <w:bookmarkStart w:id="2544" w:name="_Toc105195140"/>
      <w:bookmarkStart w:id="2545" w:name="_Toc113365564"/>
      <w:bookmarkStart w:id="2546" w:name="_Toc113619884"/>
      <w:bookmarkEnd w:id="2508"/>
      <w:ins w:id="2547" w:author="Celia Johnson" w:date="2022-09-06T13:24:00Z">
        <w:r w:rsidRPr="00854994">
          <w:rPr>
            <w:sz w:val="28"/>
            <w:szCs w:val="28"/>
          </w:rPr>
          <w:t>ESRPP Natural Market Baselines</w:t>
        </w:r>
        <w:bookmarkEnd w:id="2544"/>
        <w:bookmarkEnd w:id="2545"/>
        <w:bookmarkEnd w:id="2546"/>
      </w:ins>
    </w:p>
    <w:p w14:paraId="037910AE" w14:textId="77777777" w:rsidR="00E3500B" w:rsidRPr="00423D0A" w:rsidRDefault="00E3500B" w:rsidP="00E3500B">
      <w:pPr>
        <w:rPr>
          <w:ins w:id="2548" w:author="Celia Johnson" w:date="2022-09-06T13:24:00Z"/>
          <w:rFonts w:cstheme="minorHAnsi"/>
        </w:rPr>
      </w:pPr>
      <w:ins w:id="2549" w:author="Celia Johnson" w:date="2022-09-06T13:24:00Z">
        <w:r w:rsidRPr="00423D0A">
          <w:rPr>
            <w:rFonts w:eastAsia="Arial" w:cstheme="minorHAnsi"/>
          </w:rPr>
          <w:t xml:space="preserve">Market transformation programs aim to transform the entire market for each product category. To estimate savings for the ESRPP MT program, evaluators need to estimate the natural market baseline (NMB) across the entire market. Because the NMB estimates market shares absent any ESRPP MT program influence, the NMB represents expected market shares in both participating and non-participating retailers. </w:t>
        </w:r>
      </w:ins>
    </w:p>
    <w:p w14:paraId="56818EE5" w14:textId="77777777" w:rsidR="00E3500B" w:rsidRDefault="00E3500B" w:rsidP="00E3500B">
      <w:pPr>
        <w:pStyle w:val="Heading2"/>
        <w:widowControl/>
        <w:numPr>
          <w:ilvl w:val="2"/>
          <w:numId w:val="82"/>
        </w:numPr>
        <w:jc w:val="left"/>
        <w:rPr>
          <w:ins w:id="2550" w:author="Celia Johnson" w:date="2022-09-06T13:24:00Z"/>
        </w:rPr>
      </w:pPr>
      <w:bookmarkStart w:id="2551" w:name="_Toc105195141"/>
      <w:bookmarkStart w:id="2552" w:name="_Toc113365565"/>
      <w:bookmarkStart w:id="2553" w:name="_Toc113619885"/>
      <w:ins w:id="2554" w:author="Celia Johnson" w:date="2022-09-06T13:24:00Z">
        <w:r>
          <w:lastRenderedPageBreak/>
          <w:t>Data for NMB Determination</w:t>
        </w:r>
        <w:bookmarkEnd w:id="2551"/>
        <w:bookmarkEnd w:id="2552"/>
        <w:bookmarkEnd w:id="2553"/>
      </w:ins>
    </w:p>
    <w:p w14:paraId="4353BD0F" w14:textId="77777777" w:rsidR="00E3500B" w:rsidRPr="004E53BA" w:rsidRDefault="00E3500B" w:rsidP="00E3500B">
      <w:pPr>
        <w:rPr>
          <w:ins w:id="2555" w:author="Celia Johnson" w:date="2022-09-06T13:24:00Z"/>
          <w:rFonts w:eastAsia="Arial"/>
        </w:rPr>
      </w:pPr>
      <w:ins w:id="2556" w:author="Celia Johnson" w:date="2022-09-06T13:24:00Z">
        <w:r w:rsidRPr="0086756F">
          <w:rPr>
            <w:rFonts w:eastAsia="Arial" w:cstheme="minorHAnsi"/>
          </w:rPr>
          <w:t xml:space="preserve">The NMB calculation </w:t>
        </w:r>
        <w:r>
          <w:rPr>
            <w:rFonts w:eastAsia="Arial" w:cstheme="minorHAnsi"/>
          </w:rPr>
          <w:t xml:space="preserve">should account for historical as well as regionally specific trends in sales and market shares of ESRPP sponsored products. This may require additional data sources to supplement program sales data obtained from the ESRPP data portal as retailers provide only 12 months of historical sales when a new ESRPP sponsor joins the program or a new product category is added. For example, the CY2021 evaluation of </w:t>
        </w:r>
        <w:proofErr w:type="spellStart"/>
        <w:r>
          <w:rPr>
            <w:rFonts w:eastAsia="Arial" w:cstheme="minorHAnsi"/>
          </w:rPr>
          <w:t>ComEd’s</w:t>
        </w:r>
        <w:proofErr w:type="spellEnd"/>
        <w:r>
          <w:rPr>
            <w:rFonts w:eastAsia="Arial" w:cstheme="minorHAnsi"/>
          </w:rPr>
          <w:t xml:space="preserve"> ESRPP pilot combined</w:t>
        </w:r>
        <w:r w:rsidRPr="0086756F">
          <w:rPr>
            <w:rFonts w:eastAsia="Arial" w:cstheme="minorHAnsi"/>
          </w:rPr>
          <w:t xml:space="preserve"> ESRPP tracking data from participating retailers and historical reported market shares from a prior </w:t>
        </w:r>
        <w:r w:rsidRPr="54761DD4">
          <w:rPr>
            <w:rFonts w:eastAsia="Arial"/>
          </w:rPr>
          <w:t>program sponsor in Wisconsin, Focus on Energy</w:t>
        </w:r>
        <w:r w:rsidRPr="0086756F">
          <w:rPr>
            <w:rFonts w:eastAsia="Arial" w:cstheme="minorHAnsi"/>
          </w:rPr>
          <w:t xml:space="preserve">. Because the </w:t>
        </w:r>
        <w:r>
          <w:rPr>
            <w:rFonts w:eastAsia="Arial" w:cstheme="minorHAnsi"/>
          </w:rPr>
          <w:t xml:space="preserve">ComEd </w:t>
        </w:r>
        <w:r w:rsidRPr="0086756F">
          <w:rPr>
            <w:rFonts w:eastAsia="Arial" w:cstheme="minorHAnsi"/>
          </w:rPr>
          <w:t>ESRPP MT initiative began in 2020, historical</w:t>
        </w:r>
        <w:r>
          <w:rPr>
            <w:rFonts w:eastAsia="Arial" w:cstheme="minorHAnsi"/>
          </w:rPr>
          <w:t xml:space="preserve"> sales</w:t>
        </w:r>
        <w:r w:rsidRPr="0086756F">
          <w:rPr>
            <w:rFonts w:eastAsia="Arial" w:cstheme="minorHAnsi"/>
          </w:rPr>
          <w:t xml:space="preserve"> data</w:t>
        </w:r>
        <w:r>
          <w:rPr>
            <w:rFonts w:eastAsia="Arial" w:cstheme="minorHAnsi"/>
          </w:rPr>
          <w:t xml:space="preserve"> only covered</w:t>
        </w:r>
        <w:r w:rsidRPr="0086756F">
          <w:rPr>
            <w:rFonts w:eastAsia="Arial" w:cstheme="minorHAnsi"/>
          </w:rPr>
          <w:t xml:space="preserve"> 2019 </w:t>
        </w:r>
        <w:r>
          <w:rPr>
            <w:rFonts w:eastAsia="Arial" w:cstheme="minorHAnsi"/>
          </w:rPr>
          <w:t>through 2020</w:t>
        </w:r>
        <w:r w:rsidRPr="0086756F">
          <w:rPr>
            <w:rFonts w:eastAsia="Arial" w:cstheme="minorHAnsi"/>
          </w:rPr>
          <w:t xml:space="preserve"> for Illinois retailers. Focus on Energy sponsored ESRPP from March 2016 – December 2018, and thus</w:t>
        </w:r>
        <w:r>
          <w:rPr>
            <w:rFonts w:eastAsia="Arial" w:cstheme="minorHAnsi"/>
          </w:rPr>
          <w:t xml:space="preserve"> provided Midwest sales </w:t>
        </w:r>
        <w:r w:rsidRPr="0086756F">
          <w:rPr>
            <w:rFonts w:eastAsia="Arial" w:cstheme="minorHAnsi"/>
          </w:rPr>
          <w:t xml:space="preserve">data </w:t>
        </w:r>
        <w:r>
          <w:rPr>
            <w:rFonts w:eastAsia="Arial" w:cstheme="minorHAnsi"/>
          </w:rPr>
          <w:t>covering</w:t>
        </w:r>
        <w:r w:rsidRPr="0086756F">
          <w:rPr>
            <w:rFonts w:eastAsia="Arial" w:cstheme="minorHAnsi"/>
          </w:rPr>
          <w:t xml:space="preserve"> March 2015 – December 2018</w:t>
        </w:r>
        <w:r>
          <w:rPr>
            <w:rFonts w:eastAsia="Arial" w:cstheme="minorHAnsi"/>
          </w:rPr>
          <w:t xml:space="preserve">, which left a gap of only five months in the data series, from </w:t>
        </w:r>
        <w:r w:rsidRPr="0086756F">
          <w:rPr>
            <w:rFonts w:eastAsia="Arial" w:cstheme="minorHAnsi"/>
          </w:rPr>
          <w:t>January through May of 2019.</w:t>
        </w:r>
        <w:r>
          <w:rPr>
            <w:rFonts w:eastAsia="Arial" w:cstheme="minorHAnsi"/>
          </w:rPr>
          <w:t xml:space="preserve"> </w:t>
        </w:r>
      </w:ins>
    </w:p>
    <w:p w14:paraId="7E88C86E" w14:textId="77777777" w:rsidR="00E3500B" w:rsidRPr="0086756F" w:rsidRDefault="00E3500B" w:rsidP="00E3500B">
      <w:pPr>
        <w:rPr>
          <w:ins w:id="2557" w:author="Celia Johnson" w:date="2022-09-06T13:24:00Z"/>
          <w:rFonts w:eastAsia="Arial"/>
        </w:rPr>
      </w:pPr>
      <w:ins w:id="2558" w:author="Celia Johnson" w:date="2022-09-06T13:24:00Z">
        <w:r w:rsidRPr="1B6F6109">
          <w:rPr>
            <w:rFonts w:eastAsia="Arial"/>
          </w:rPr>
          <w:t xml:space="preserve">Supplementing </w:t>
        </w:r>
        <w:proofErr w:type="spellStart"/>
        <w:r w:rsidRPr="1B6F6109">
          <w:rPr>
            <w:rFonts w:eastAsia="Arial"/>
          </w:rPr>
          <w:t>ComEd’s</w:t>
        </w:r>
        <w:proofErr w:type="spellEnd"/>
        <w:r w:rsidRPr="1B6F6109">
          <w:rPr>
            <w:rFonts w:eastAsia="Arial"/>
          </w:rPr>
          <w:t xml:space="preserve"> ESRPP portal data with ESRPP reported market shares from Wisconsin Focus on Energy provide</w:t>
        </w:r>
        <w:r>
          <w:rPr>
            <w:rFonts w:eastAsia="Arial"/>
          </w:rPr>
          <w:t>d</w:t>
        </w:r>
        <w:r w:rsidRPr="1B6F6109">
          <w:rPr>
            <w:rFonts w:eastAsia="Arial"/>
          </w:rPr>
          <w:t xml:space="preserve"> a more robust dataset with which to estimate market shares and control for any naturally occurring trends prior to the launch of ESRPP in Illinois. </w:t>
        </w:r>
        <w:r>
          <w:rPr>
            <w:rStyle w:val="cf01"/>
            <w:rFonts w:eastAsiaTheme="majorEastAsia"/>
          </w:rPr>
          <w:t>The Wisconsin data provided additional Midwest representation to compare with other national data</w:t>
        </w:r>
        <w:r w:rsidRPr="1B6F6109">
          <w:rPr>
            <w:rFonts w:eastAsia="Arial"/>
          </w:rPr>
          <w:t>. The data from Wisconsin contains all the same fields as the ComEd data since it is an extract</w:t>
        </w:r>
        <w:r>
          <w:rPr>
            <w:rFonts w:eastAsia="Arial"/>
          </w:rPr>
          <w:t>ion</w:t>
        </w:r>
        <w:r w:rsidRPr="1B6F6109">
          <w:rPr>
            <w:rFonts w:eastAsia="Arial"/>
          </w:rPr>
          <w:t xml:space="preserve"> from the same ESRPP data portal.</w:t>
        </w:r>
      </w:ins>
    </w:p>
    <w:p w14:paraId="607E17F3" w14:textId="77777777" w:rsidR="00E3500B" w:rsidRDefault="00E3500B" w:rsidP="00E3500B">
      <w:pPr>
        <w:pStyle w:val="Heading2"/>
        <w:widowControl/>
        <w:numPr>
          <w:ilvl w:val="2"/>
          <w:numId w:val="82"/>
        </w:numPr>
        <w:jc w:val="left"/>
        <w:rPr>
          <w:ins w:id="2559" w:author="Celia Johnson" w:date="2022-09-06T13:24:00Z"/>
        </w:rPr>
      </w:pPr>
      <w:bookmarkStart w:id="2560" w:name="_Toc113365566"/>
      <w:bookmarkStart w:id="2561" w:name="_Toc113619886"/>
      <w:ins w:id="2562" w:author="Celia Johnson" w:date="2022-09-06T13:24:00Z">
        <w:r>
          <w:t>NMB Algorithm</w:t>
        </w:r>
        <w:bookmarkEnd w:id="2560"/>
        <w:bookmarkEnd w:id="2561"/>
      </w:ins>
    </w:p>
    <w:p w14:paraId="6069A602" w14:textId="77777777" w:rsidR="00E3500B" w:rsidRDefault="00E3500B" w:rsidP="00E3500B">
      <w:pPr>
        <w:rPr>
          <w:ins w:id="2563" w:author="Celia Johnson" w:date="2022-09-06T13:24:00Z"/>
          <w:rFonts w:ascii="Cambria Math" w:eastAsia="Arial" w:hAnsi="Cambria Math" w:cstheme="minorHAnsi"/>
          <w:i/>
        </w:rPr>
      </w:pPr>
      <w:ins w:id="2564" w:author="Celia Johnson" w:date="2022-09-06T13:24:00Z">
        <w:r>
          <w:rPr>
            <w:rFonts w:eastAsia="Arial" w:cstheme="minorHAnsi"/>
          </w:rPr>
          <w:t xml:space="preserve">The algorithm used to quantify the natural market baseline for current configurations of refrigerator and clothes washer market shares is specified as a </w:t>
        </w:r>
        <w:r w:rsidRPr="54761DD4">
          <w:rPr>
            <w:rFonts w:eastAsia="Arial"/>
          </w:rPr>
          <w:t>linear</w:t>
        </w:r>
        <w:r>
          <w:rPr>
            <w:rStyle w:val="FootnoteReference"/>
            <w:rFonts w:eastAsia="Arial"/>
          </w:rPr>
          <w:footnoteReference w:id="167"/>
        </w:r>
        <w:r w:rsidRPr="54761DD4">
          <w:rPr>
            <w:rFonts w:eastAsia="Arial"/>
          </w:rPr>
          <w:t xml:space="preserve"> forecast </w:t>
        </w:r>
        <w:r>
          <w:rPr>
            <w:rFonts w:eastAsia="Arial" w:cstheme="minorHAnsi"/>
          </w:rPr>
          <w:t>based primarily on historical sales data</w:t>
        </w:r>
        <w:r>
          <w:rPr>
            <w:rStyle w:val="FootnoteReference"/>
            <w:rFonts w:eastAsia="Arial" w:cstheme="minorHAnsi"/>
          </w:rPr>
          <w:footnoteReference w:id="168"/>
        </w:r>
        <w:r>
          <w:rPr>
            <w:rFonts w:eastAsia="Arial" w:cstheme="minorHAnsi"/>
          </w:rPr>
          <w:t>. The actual, annual efficient market shares should be used to derive a linear function to predict the market shares in subsequent years. Equation 1 shows the general form of the NMB that should be used for both clothes washers and refrigerators.</w:t>
        </w:r>
        <w:r w:rsidRPr="00DD5FB8">
          <w:rPr>
            <w:rFonts w:ascii="Cambria Math" w:eastAsia="Arial" w:hAnsi="Cambria Math" w:cstheme="minorHAnsi"/>
            <w:i/>
          </w:rPr>
          <w:t xml:space="preserve"> </w:t>
        </w:r>
      </w:ins>
    </w:p>
    <w:p w14:paraId="501287AC" w14:textId="77777777" w:rsidR="00E3500B" w:rsidRDefault="00E3500B" w:rsidP="00E3500B">
      <w:pPr>
        <w:pStyle w:val="Caption"/>
        <w:rPr>
          <w:ins w:id="2569" w:author="Celia Johnson" w:date="2022-09-06T13:24:00Z"/>
          <w:rFonts w:ascii="Cambria Math" w:eastAsia="Arial" w:hAnsi="Cambria Math"/>
          <w:i/>
        </w:rPr>
      </w:pPr>
      <w:ins w:id="2570" w:author="Celia Johnson" w:date="2022-09-06T13:24:00Z">
        <w:r>
          <w:t xml:space="preserve">Equation </w:t>
        </w:r>
        <w:r>
          <w:fldChar w:fldCharType="begin"/>
        </w:r>
        <w:r>
          <w:instrText xml:space="preserve"> SEQ Equation \* ARABIC </w:instrText>
        </w:r>
        <w:r>
          <w:fldChar w:fldCharType="separate"/>
        </w:r>
        <w:r>
          <w:rPr>
            <w:noProof/>
          </w:rPr>
          <w:t>1</w:t>
        </w:r>
        <w:r>
          <w:rPr>
            <w:noProof/>
          </w:rPr>
          <w:fldChar w:fldCharType="end"/>
        </w:r>
        <w:r>
          <w:t xml:space="preserve">. NMB Algorithm </w:t>
        </w:r>
      </w:ins>
    </w:p>
    <w:p w14:paraId="71EBAF5E" w14:textId="77777777" w:rsidR="00E3500B" w:rsidRPr="003E1233" w:rsidRDefault="00573A1D" w:rsidP="00E3500B">
      <w:pPr>
        <w:rPr>
          <w:ins w:id="2571" w:author="Celia Johnson" w:date="2022-09-06T13:24:00Z"/>
          <w:rFonts w:eastAsia="Arial" w:cstheme="minorHAnsi"/>
        </w:rPr>
      </w:pPr>
      <m:oMathPara>
        <m:oMath>
          <m:sSub>
            <m:sSubPr>
              <m:ctrlPr>
                <w:ins w:id="2572" w:author="Celia Johnson" w:date="2022-09-06T13:24:00Z">
                  <w:rPr>
                    <w:rFonts w:ascii="Cambria Math" w:eastAsia="Arial" w:hAnsi="Cambria Math" w:cstheme="minorHAnsi"/>
                    <w:i/>
                  </w:rPr>
                </w:ins>
              </m:ctrlPr>
            </m:sSubPr>
            <m:e>
              <m:r>
                <w:ins w:id="2573" w:author="Celia Johnson" w:date="2022-09-06T13:24:00Z">
                  <w:rPr>
                    <w:rFonts w:ascii="Cambria Math" w:eastAsia="Arial" w:hAnsi="Cambria Math" w:cstheme="minorHAnsi"/>
                  </w:rPr>
                  <m:t>MS</m:t>
                </w:ins>
              </m:r>
            </m:e>
            <m:sub>
              <m:r>
                <w:ins w:id="2574" w:author="Celia Johnson" w:date="2022-09-06T13:24:00Z">
                  <w:rPr>
                    <w:rFonts w:ascii="Cambria Math" w:eastAsia="Arial" w:hAnsi="Cambria Math" w:cstheme="minorHAnsi"/>
                  </w:rPr>
                  <m:t>n</m:t>
                </w:ins>
              </m:r>
            </m:sub>
          </m:sSub>
          <m:r>
            <w:ins w:id="2575" w:author="Celia Johnson" w:date="2022-09-06T13:24:00Z">
              <w:rPr>
                <w:rFonts w:ascii="Cambria Math" w:eastAsia="Arial" w:hAnsi="Cambria Math" w:cstheme="minorHAnsi"/>
              </w:rPr>
              <m:t xml:space="preserve">=a+ </m:t>
            </w:ins>
          </m:r>
          <m:f>
            <m:fPr>
              <m:ctrlPr>
                <w:ins w:id="2576" w:author="Celia Johnson" w:date="2022-09-06T13:24:00Z">
                  <w:rPr>
                    <w:rFonts w:ascii="Cambria Math" w:eastAsia="Arial" w:hAnsi="Cambria Math" w:cstheme="minorHAnsi"/>
                    <w:i/>
                  </w:rPr>
                </w:ins>
              </m:ctrlPr>
            </m:fPr>
            <m:num>
              <m:nary>
                <m:naryPr>
                  <m:chr m:val="∑"/>
                  <m:limLoc m:val="undOvr"/>
                  <m:subHide m:val="1"/>
                  <m:supHide m:val="1"/>
                  <m:ctrlPr>
                    <w:ins w:id="2577" w:author="Celia Johnson" w:date="2022-09-06T13:24:00Z">
                      <w:rPr>
                        <w:rFonts w:ascii="Cambria Math" w:eastAsia="Arial" w:hAnsi="Cambria Math" w:cstheme="minorHAnsi"/>
                        <w:i/>
                      </w:rPr>
                    </w:ins>
                  </m:ctrlPr>
                </m:naryPr>
                <m:sub/>
                <m:sup/>
                <m:e>
                  <m:d>
                    <m:dPr>
                      <m:ctrlPr>
                        <w:ins w:id="2578" w:author="Celia Johnson" w:date="2022-09-06T13:24:00Z">
                          <w:rPr>
                            <w:rFonts w:ascii="Cambria Math" w:eastAsia="Arial" w:hAnsi="Cambria Math" w:cstheme="minorHAnsi"/>
                            <w:i/>
                          </w:rPr>
                        </w:ins>
                      </m:ctrlPr>
                    </m:dPr>
                    <m:e>
                      <m:sSub>
                        <m:sSubPr>
                          <m:ctrlPr>
                            <w:ins w:id="2579" w:author="Celia Johnson" w:date="2022-09-06T13:24:00Z">
                              <w:rPr>
                                <w:rFonts w:ascii="Cambria Math" w:eastAsia="Arial" w:hAnsi="Cambria Math" w:cstheme="minorHAnsi"/>
                                <w:i/>
                              </w:rPr>
                            </w:ins>
                          </m:ctrlPr>
                        </m:sSubPr>
                        <m:e>
                          <m:r>
                            <w:ins w:id="2580" w:author="Celia Johnson" w:date="2022-09-06T13:24:00Z">
                              <w:rPr>
                                <w:rFonts w:ascii="Cambria Math" w:eastAsia="Arial" w:hAnsi="Cambria Math" w:cstheme="minorHAnsi"/>
                              </w:rPr>
                              <m:t>year</m:t>
                            </w:ins>
                          </m:r>
                        </m:e>
                        <m:sub>
                          <m:r>
                            <w:ins w:id="2581" w:author="Celia Johnson" w:date="2022-09-06T13:24:00Z">
                              <w:rPr>
                                <w:rFonts w:ascii="Cambria Math" w:eastAsia="Arial" w:hAnsi="Cambria Math" w:cstheme="minorHAnsi"/>
                              </w:rPr>
                              <m:t>i</m:t>
                            </w:ins>
                          </m:r>
                        </m:sub>
                      </m:sSub>
                      <m:r>
                        <w:ins w:id="2582" w:author="Celia Johnson" w:date="2022-09-06T13:24:00Z">
                          <w:rPr>
                            <w:rFonts w:ascii="Cambria Math" w:eastAsia="Arial" w:hAnsi="Cambria Math" w:cstheme="minorHAnsi"/>
                          </w:rPr>
                          <m:t>-</m:t>
                        </w:ins>
                      </m:r>
                      <m:acc>
                        <m:accPr>
                          <m:chr m:val="̅"/>
                          <m:ctrlPr>
                            <w:ins w:id="2583" w:author="Celia Johnson" w:date="2022-09-06T13:24:00Z">
                              <w:rPr>
                                <w:rFonts w:ascii="Cambria Math" w:eastAsia="Arial" w:hAnsi="Cambria Math" w:cstheme="minorHAnsi"/>
                                <w:i/>
                              </w:rPr>
                            </w:ins>
                          </m:ctrlPr>
                        </m:accPr>
                        <m:e>
                          <m:r>
                            <w:ins w:id="2584" w:author="Celia Johnson" w:date="2022-09-06T13:24:00Z">
                              <w:rPr>
                                <w:rFonts w:ascii="Cambria Math" w:eastAsia="Arial" w:hAnsi="Cambria Math" w:cstheme="minorHAnsi"/>
                              </w:rPr>
                              <m:t>year</m:t>
                            </w:ins>
                          </m:r>
                        </m:e>
                      </m:acc>
                    </m:e>
                  </m:d>
                </m:e>
              </m:nary>
              <m:d>
                <m:dPr>
                  <m:ctrlPr>
                    <w:ins w:id="2585" w:author="Celia Johnson" w:date="2022-09-06T13:24:00Z">
                      <w:rPr>
                        <w:rFonts w:ascii="Cambria Math" w:eastAsia="Arial" w:hAnsi="Cambria Math" w:cstheme="minorHAnsi"/>
                        <w:i/>
                      </w:rPr>
                    </w:ins>
                  </m:ctrlPr>
                </m:dPr>
                <m:e>
                  <m:sSub>
                    <m:sSubPr>
                      <m:ctrlPr>
                        <w:ins w:id="2586" w:author="Celia Johnson" w:date="2022-09-06T13:24:00Z">
                          <w:rPr>
                            <w:rFonts w:ascii="Cambria Math" w:eastAsia="Arial" w:hAnsi="Cambria Math" w:cstheme="minorHAnsi"/>
                            <w:i/>
                          </w:rPr>
                        </w:ins>
                      </m:ctrlPr>
                    </m:sSubPr>
                    <m:e>
                      <m:r>
                        <w:ins w:id="2587" w:author="Celia Johnson" w:date="2022-09-06T13:24:00Z">
                          <w:rPr>
                            <w:rFonts w:ascii="Cambria Math" w:eastAsia="Arial" w:hAnsi="Cambria Math" w:cstheme="minorHAnsi"/>
                          </w:rPr>
                          <m:t>MS</m:t>
                        </w:ins>
                      </m:r>
                    </m:e>
                    <m:sub>
                      <m:r>
                        <w:ins w:id="2588" w:author="Celia Johnson" w:date="2022-09-06T13:24:00Z">
                          <w:rPr>
                            <w:rFonts w:ascii="Cambria Math" w:eastAsia="Arial" w:hAnsi="Cambria Math" w:cstheme="minorHAnsi"/>
                          </w:rPr>
                          <m:t>i</m:t>
                        </w:ins>
                      </m:r>
                    </m:sub>
                  </m:sSub>
                  <m:r>
                    <w:ins w:id="2589" w:author="Celia Johnson" w:date="2022-09-06T13:24:00Z">
                      <w:rPr>
                        <w:rFonts w:ascii="Cambria Math" w:eastAsia="Arial" w:hAnsi="Cambria Math" w:cstheme="minorHAnsi"/>
                      </w:rPr>
                      <m:t>-</m:t>
                    </w:ins>
                  </m:r>
                  <m:acc>
                    <m:accPr>
                      <m:chr m:val="̅"/>
                      <m:ctrlPr>
                        <w:ins w:id="2590" w:author="Celia Johnson" w:date="2022-09-06T13:24:00Z">
                          <w:rPr>
                            <w:rFonts w:ascii="Cambria Math" w:eastAsia="Arial" w:hAnsi="Cambria Math" w:cstheme="minorHAnsi"/>
                            <w:i/>
                          </w:rPr>
                        </w:ins>
                      </m:ctrlPr>
                    </m:accPr>
                    <m:e>
                      <m:r>
                        <w:ins w:id="2591" w:author="Celia Johnson" w:date="2022-09-06T13:24:00Z">
                          <w:rPr>
                            <w:rFonts w:ascii="Cambria Math" w:eastAsia="Arial" w:hAnsi="Cambria Math" w:cstheme="minorHAnsi"/>
                          </w:rPr>
                          <m:t>MS</m:t>
                        </w:ins>
                      </m:r>
                    </m:e>
                  </m:acc>
                </m:e>
              </m:d>
            </m:num>
            <m:den>
              <m:nary>
                <m:naryPr>
                  <m:chr m:val="∑"/>
                  <m:limLoc m:val="undOvr"/>
                  <m:subHide m:val="1"/>
                  <m:supHide m:val="1"/>
                  <m:ctrlPr>
                    <w:ins w:id="2592" w:author="Celia Johnson" w:date="2022-09-06T13:24:00Z">
                      <w:rPr>
                        <w:rFonts w:ascii="Cambria Math" w:eastAsia="Arial" w:hAnsi="Cambria Math" w:cstheme="minorHAnsi"/>
                        <w:i/>
                      </w:rPr>
                    </w:ins>
                  </m:ctrlPr>
                </m:naryPr>
                <m:sub/>
                <m:sup/>
                <m:e>
                  <m:sSup>
                    <m:sSupPr>
                      <m:ctrlPr>
                        <w:ins w:id="2593" w:author="Celia Johnson" w:date="2022-09-06T13:24:00Z">
                          <w:rPr>
                            <w:rFonts w:ascii="Cambria Math" w:eastAsia="Arial" w:hAnsi="Cambria Math" w:cstheme="minorHAnsi"/>
                            <w:i/>
                          </w:rPr>
                        </w:ins>
                      </m:ctrlPr>
                    </m:sSupPr>
                    <m:e>
                      <m:d>
                        <m:dPr>
                          <m:ctrlPr>
                            <w:ins w:id="2594" w:author="Celia Johnson" w:date="2022-09-06T13:24:00Z">
                              <w:rPr>
                                <w:rFonts w:ascii="Cambria Math" w:eastAsia="Arial" w:hAnsi="Cambria Math" w:cstheme="minorHAnsi"/>
                                <w:i/>
                              </w:rPr>
                            </w:ins>
                          </m:ctrlPr>
                        </m:dPr>
                        <m:e>
                          <m:sSub>
                            <m:sSubPr>
                              <m:ctrlPr>
                                <w:ins w:id="2595" w:author="Celia Johnson" w:date="2022-09-06T13:24:00Z">
                                  <w:rPr>
                                    <w:rFonts w:ascii="Cambria Math" w:eastAsia="Arial" w:hAnsi="Cambria Math" w:cstheme="minorHAnsi"/>
                                    <w:i/>
                                  </w:rPr>
                                </w:ins>
                              </m:ctrlPr>
                            </m:sSubPr>
                            <m:e>
                              <m:r>
                                <w:ins w:id="2596" w:author="Celia Johnson" w:date="2022-09-06T13:24:00Z">
                                  <w:rPr>
                                    <w:rFonts w:ascii="Cambria Math" w:eastAsia="Arial" w:hAnsi="Cambria Math" w:cstheme="minorHAnsi"/>
                                  </w:rPr>
                                  <m:t>year</m:t>
                                </w:ins>
                              </m:r>
                            </m:e>
                            <m:sub>
                              <m:r>
                                <w:ins w:id="2597" w:author="Celia Johnson" w:date="2022-09-06T13:24:00Z">
                                  <w:rPr>
                                    <w:rFonts w:ascii="Cambria Math" w:eastAsia="Arial" w:hAnsi="Cambria Math" w:cstheme="minorHAnsi"/>
                                  </w:rPr>
                                  <m:t>i</m:t>
                                </w:ins>
                              </m:r>
                            </m:sub>
                          </m:sSub>
                          <m:r>
                            <w:ins w:id="2598" w:author="Celia Johnson" w:date="2022-09-06T13:24:00Z">
                              <w:rPr>
                                <w:rFonts w:ascii="Cambria Math" w:eastAsia="Arial" w:hAnsi="Cambria Math" w:cstheme="minorHAnsi"/>
                              </w:rPr>
                              <m:t>-</m:t>
                            </w:ins>
                          </m:r>
                          <m:acc>
                            <m:accPr>
                              <m:chr m:val="̅"/>
                              <m:ctrlPr>
                                <w:ins w:id="2599" w:author="Celia Johnson" w:date="2022-09-06T13:24:00Z">
                                  <w:rPr>
                                    <w:rFonts w:ascii="Cambria Math" w:eastAsia="Arial" w:hAnsi="Cambria Math" w:cstheme="minorHAnsi"/>
                                    <w:i/>
                                  </w:rPr>
                                </w:ins>
                              </m:ctrlPr>
                            </m:accPr>
                            <m:e>
                              <m:r>
                                <w:ins w:id="2600" w:author="Celia Johnson" w:date="2022-09-06T13:24:00Z">
                                  <w:rPr>
                                    <w:rFonts w:ascii="Cambria Math" w:eastAsia="Arial" w:hAnsi="Cambria Math" w:cstheme="minorHAnsi"/>
                                  </w:rPr>
                                  <m:t>year</m:t>
                                </w:ins>
                              </m:r>
                            </m:e>
                          </m:acc>
                        </m:e>
                      </m:d>
                    </m:e>
                    <m:sup>
                      <m:r>
                        <w:ins w:id="2601" w:author="Celia Johnson" w:date="2022-09-06T13:24:00Z">
                          <w:rPr>
                            <w:rFonts w:ascii="Cambria Math" w:eastAsia="Arial" w:hAnsi="Cambria Math" w:cstheme="minorHAnsi"/>
                          </w:rPr>
                          <m:t>2</m:t>
                        </w:ins>
                      </m:r>
                    </m:sup>
                  </m:sSup>
                </m:e>
              </m:nary>
            </m:den>
          </m:f>
          <m:r>
            <w:ins w:id="2602" w:author="Celia Johnson" w:date="2022-09-06T13:24:00Z">
              <w:rPr>
                <w:rFonts w:ascii="Cambria Math" w:eastAsia="Arial" w:hAnsi="Cambria Math" w:cstheme="minorHAnsi"/>
              </w:rPr>
              <m:t>*</m:t>
            </w:ins>
          </m:r>
          <m:sSub>
            <m:sSubPr>
              <m:ctrlPr>
                <w:ins w:id="2603" w:author="Celia Johnson" w:date="2022-09-06T13:24:00Z">
                  <w:rPr>
                    <w:rFonts w:ascii="Cambria Math" w:eastAsia="Arial" w:hAnsi="Cambria Math" w:cstheme="minorHAnsi"/>
                    <w:i/>
                  </w:rPr>
                </w:ins>
              </m:ctrlPr>
            </m:sSubPr>
            <m:e>
              <m:r>
                <w:ins w:id="2604" w:author="Celia Johnson" w:date="2022-09-06T13:24:00Z">
                  <w:rPr>
                    <w:rFonts w:ascii="Cambria Math" w:eastAsia="Arial" w:hAnsi="Cambria Math" w:cstheme="minorHAnsi"/>
                  </w:rPr>
                  <m:t>year</m:t>
                </w:ins>
              </m:r>
            </m:e>
            <m:sub>
              <m:r>
                <w:ins w:id="2605" w:author="Celia Johnson" w:date="2022-09-06T13:24:00Z">
                  <w:rPr>
                    <w:rFonts w:ascii="Cambria Math" w:eastAsia="Arial" w:hAnsi="Cambria Math" w:cstheme="minorHAnsi"/>
                  </w:rPr>
                  <m:t>n</m:t>
                </w:ins>
              </m:r>
            </m:sub>
          </m:sSub>
        </m:oMath>
      </m:oMathPara>
    </w:p>
    <w:p w14:paraId="79B399D6" w14:textId="77777777" w:rsidR="00E3500B" w:rsidRDefault="00E3500B" w:rsidP="00E3500B">
      <w:pPr>
        <w:rPr>
          <w:ins w:id="2606" w:author="Celia Johnson" w:date="2022-09-06T13:24:00Z"/>
          <w:rFonts w:eastAsia="Arial" w:cstheme="minorHAnsi"/>
        </w:rPr>
      </w:pPr>
      <w:ins w:id="2607" w:author="Celia Johnson" w:date="2022-09-06T13:24:00Z">
        <w:r>
          <w:rPr>
            <w:rFonts w:eastAsia="Arial" w:cstheme="minorHAnsi"/>
          </w:rPr>
          <w:t xml:space="preserve">Where </w:t>
        </w:r>
        <w:r w:rsidRPr="007E0401">
          <w:rPr>
            <w:rFonts w:eastAsia="Arial" w:cstheme="minorHAnsi"/>
            <w:i/>
            <w:iCs/>
          </w:rPr>
          <w:t>MS</w:t>
        </w:r>
        <w:r>
          <w:rPr>
            <w:rFonts w:eastAsia="Arial" w:cstheme="minorHAnsi"/>
          </w:rPr>
          <w:t xml:space="preserve"> is the expected annual market share, </w:t>
        </w:r>
        <w:r w:rsidRPr="007E0401">
          <w:rPr>
            <w:rFonts w:eastAsia="Arial" w:cstheme="minorHAnsi"/>
            <w:i/>
            <w:iCs/>
          </w:rPr>
          <w:t>year</w:t>
        </w:r>
        <w:r>
          <w:rPr>
            <w:rFonts w:eastAsia="Arial" w:cstheme="minorHAnsi"/>
          </w:rPr>
          <w:t xml:space="preserve"> is the actual year, </w:t>
        </w:r>
        <w:proofErr w:type="spellStart"/>
        <w:r w:rsidRPr="007E0401">
          <w:rPr>
            <w:rFonts w:eastAsia="Arial" w:cstheme="minorHAnsi"/>
            <w:i/>
            <w:iCs/>
          </w:rPr>
          <w:t>i</w:t>
        </w:r>
        <w:proofErr w:type="spellEnd"/>
        <w:r>
          <w:rPr>
            <w:rFonts w:eastAsia="Arial" w:cstheme="minorHAnsi"/>
          </w:rPr>
          <w:t xml:space="preserve"> indicates the years over the baseline period, and </w:t>
        </w:r>
        <w:r w:rsidRPr="007E0401">
          <w:rPr>
            <w:rFonts w:eastAsia="Arial" w:cstheme="minorHAnsi"/>
            <w:i/>
            <w:iCs/>
          </w:rPr>
          <w:t>n</w:t>
        </w:r>
        <w:r>
          <w:rPr>
            <w:rFonts w:eastAsia="Arial" w:cstheme="minorHAnsi"/>
          </w:rPr>
          <w:t xml:space="preserve"> is the forecasted year. </w:t>
        </w:r>
      </w:ins>
    </w:p>
    <w:p w14:paraId="7A21AE22" w14:textId="77777777" w:rsidR="00E3500B" w:rsidRDefault="00E3500B" w:rsidP="00E3500B">
      <w:pPr>
        <w:pStyle w:val="Heading2"/>
        <w:widowControl/>
        <w:numPr>
          <w:ilvl w:val="2"/>
          <w:numId w:val="82"/>
        </w:numPr>
        <w:jc w:val="left"/>
        <w:rPr>
          <w:ins w:id="2608" w:author="Celia Johnson" w:date="2022-09-06T13:24:00Z"/>
        </w:rPr>
      </w:pPr>
      <w:bookmarkStart w:id="2609" w:name="_Toc105195143"/>
      <w:bookmarkStart w:id="2610" w:name="_Toc113365567"/>
      <w:bookmarkStart w:id="2611" w:name="_Toc113619887"/>
      <w:ins w:id="2612" w:author="Celia Johnson" w:date="2022-09-06T13:24:00Z">
        <w:r>
          <w:t>Criteria for NMB Updates</w:t>
        </w:r>
        <w:bookmarkEnd w:id="2609"/>
        <w:bookmarkEnd w:id="2610"/>
        <w:bookmarkEnd w:id="2611"/>
      </w:ins>
    </w:p>
    <w:p w14:paraId="7922573E" w14:textId="77777777" w:rsidR="00E3500B" w:rsidRDefault="00E3500B" w:rsidP="00E3500B">
      <w:pPr>
        <w:rPr>
          <w:ins w:id="2613" w:author="Celia Johnson" w:date="2022-09-06T13:24:00Z"/>
        </w:rPr>
      </w:pPr>
      <w:ins w:id="2614" w:author="Celia Johnson" w:date="2022-09-06T13:24:00Z">
        <w:r>
          <w:t xml:space="preserve">Over time, there may be circumstances where revisions to any natural market baseline become necessary.  Appendix C outlines five different criteria for what might constitute an update to the NMB, all of which are applicable to ESRPP. </w:t>
        </w:r>
      </w:ins>
    </w:p>
    <w:p w14:paraId="3579E055" w14:textId="77777777" w:rsidR="00E3500B" w:rsidRDefault="00E3500B">
      <w:pPr>
        <w:pStyle w:val="ListParagraph"/>
        <w:widowControl/>
        <w:numPr>
          <w:ilvl w:val="0"/>
          <w:numId w:val="115"/>
        </w:numPr>
        <w:spacing w:after="160" w:line="259" w:lineRule="auto"/>
        <w:jc w:val="left"/>
        <w:rPr>
          <w:ins w:id="2615" w:author="Celia Johnson" w:date="2022-09-06T13:24:00Z"/>
        </w:rPr>
      </w:pPr>
      <w:ins w:id="2616" w:author="Celia Johnson" w:date="2022-09-06T13:24:00Z">
        <w:r>
          <w:t xml:space="preserve">New data available. The addition of program sponsors, newly available market insights, or new data features may show the initial forecast of market shares did not account for all market dynamics </w:t>
        </w:r>
        <w:proofErr w:type="gramStart"/>
        <w:r>
          <w:t>present..</w:t>
        </w:r>
        <w:proofErr w:type="gramEnd"/>
      </w:ins>
    </w:p>
    <w:p w14:paraId="1F9FEBA1" w14:textId="77777777" w:rsidR="00E3500B" w:rsidRDefault="00E3500B">
      <w:pPr>
        <w:pStyle w:val="ListParagraph"/>
        <w:widowControl/>
        <w:numPr>
          <w:ilvl w:val="0"/>
          <w:numId w:val="115"/>
        </w:numPr>
        <w:spacing w:after="160" w:line="259" w:lineRule="auto"/>
        <w:jc w:val="left"/>
        <w:rPr>
          <w:ins w:id="2617" w:author="Celia Johnson" w:date="2022-09-06T13:24:00Z"/>
        </w:rPr>
      </w:pPr>
      <w:ins w:id="2618" w:author="Celia Johnson" w:date="2022-09-06T13:24:00Z">
        <w:r>
          <w:t xml:space="preserve">New technologies. The introduction of low cost and very efficient technologies, or the inverse with extremely popular higher energy features may alter the energy consumption or characterization of a particular product category. </w:t>
        </w:r>
      </w:ins>
    </w:p>
    <w:p w14:paraId="551F55A8" w14:textId="77777777" w:rsidR="00E3500B" w:rsidRDefault="00E3500B">
      <w:pPr>
        <w:pStyle w:val="ListParagraph"/>
        <w:widowControl/>
        <w:numPr>
          <w:ilvl w:val="0"/>
          <w:numId w:val="115"/>
        </w:numPr>
        <w:spacing w:after="160" w:line="259" w:lineRule="auto"/>
        <w:jc w:val="left"/>
        <w:rPr>
          <w:ins w:id="2619" w:author="Celia Johnson" w:date="2022-09-06T13:24:00Z"/>
        </w:rPr>
      </w:pPr>
      <w:ins w:id="2620" w:author="Celia Johnson" w:date="2022-09-06T13:24:00Z">
        <w:r>
          <w:t xml:space="preserve">Timing of Codes and Standards Change. The delay of codes and standards updates, either by government decision or economic factors. </w:t>
        </w:r>
      </w:ins>
    </w:p>
    <w:p w14:paraId="2E25E387" w14:textId="77777777" w:rsidR="00E3500B" w:rsidRDefault="00E3500B">
      <w:pPr>
        <w:pStyle w:val="ListParagraph"/>
        <w:widowControl/>
        <w:numPr>
          <w:ilvl w:val="0"/>
          <w:numId w:val="115"/>
        </w:numPr>
        <w:spacing w:after="160" w:line="259" w:lineRule="auto"/>
        <w:jc w:val="left"/>
        <w:rPr>
          <w:ins w:id="2621" w:author="Celia Johnson" w:date="2022-09-06T13:24:00Z"/>
        </w:rPr>
      </w:pPr>
      <w:ins w:id="2622" w:author="Celia Johnson" w:date="2022-09-06T13:24:00Z">
        <w:r>
          <w:t xml:space="preserve">Revisions to ENERGY STAR specifications for a product category or configuration which is currently part of the initiative. </w:t>
        </w:r>
      </w:ins>
    </w:p>
    <w:p w14:paraId="7E966F2E" w14:textId="77777777" w:rsidR="00E3500B" w:rsidRDefault="00E3500B" w:rsidP="00E3500B">
      <w:pPr>
        <w:rPr>
          <w:ins w:id="2623" w:author="Celia Johnson" w:date="2022-09-06T13:24:00Z"/>
        </w:rPr>
      </w:pPr>
      <w:ins w:id="2624" w:author="Celia Johnson" w:date="2022-09-06T13:24:00Z">
        <w:r>
          <w:t xml:space="preserve">Updates to the NMB will be made when needed, based on the examination of ongoing sales data and MPI assessments by the evaluators. At least once per plan cycle, the evaluator should review all available data and inputs into the natural market baseline to ensure it remains applicable to the current market conditions, but updates are </w:t>
        </w:r>
        <w:r>
          <w:lastRenderedPageBreak/>
          <w:t>not required if market conditions are not substantially</w:t>
        </w:r>
        <w:r>
          <w:rPr>
            <w:rStyle w:val="FootnoteReference"/>
          </w:rPr>
          <w:footnoteReference w:id="169"/>
        </w:r>
        <w:r>
          <w:t xml:space="preserve"> different from those anticipated when the most recent NMB was constructed. </w:t>
        </w:r>
      </w:ins>
    </w:p>
    <w:p w14:paraId="6C34404E" w14:textId="77777777" w:rsidR="00E3500B" w:rsidRPr="003E7FC3" w:rsidRDefault="00E3500B" w:rsidP="00E3500B">
      <w:pPr>
        <w:pStyle w:val="Heading2"/>
        <w:widowControl/>
        <w:numPr>
          <w:ilvl w:val="1"/>
          <w:numId w:val="82"/>
        </w:numPr>
        <w:jc w:val="left"/>
        <w:rPr>
          <w:ins w:id="2627" w:author="Celia Johnson" w:date="2022-09-06T13:24:00Z"/>
          <w:sz w:val="28"/>
          <w:szCs w:val="28"/>
        </w:rPr>
      </w:pPr>
      <w:bookmarkStart w:id="2628" w:name="_Toc105195144"/>
      <w:bookmarkStart w:id="2629" w:name="_Toc113365568"/>
      <w:bookmarkStart w:id="2630" w:name="_Toc113619888"/>
      <w:ins w:id="2631" w:author="Celia Johnson" w:date="2022-09-06T13:24:00Z">
        <w:r w:rsidRPr="003E7FC3">
          <w:rPr>
            <w:rFonts w:cstheme="majorHAnsi"/>
            <w:sz w:val="28"/>
            <w:szCs w:val="28"/>
          </w:rPr>
          <w:t>Unit</w:t>
        </w:r>
        <w:r w:rsidRPr="003E7FC3">
          <w:rPr>
            <w:sz w:val="28"/>
            <w:szCs w:val="28"/>
          </w:rPr>
          <w:t xml:space="preserve"> Energy Savings (UES)</w:t>
        </w:r>
        <w:bookmarkEnd w:id="2628"/>
        <w:bookmarkEnd w:id="2629"/>
        <w:bookmarkEnd w:id="2630"/>
      </w:ins>
    </w:p>
    <w:p w14:paraId="2B93CF46" w14:textId="77777777" w:rsidR="00E3500B" w:rsidRDefault="00E3500B" w:rsidP="00E3500B">
      <w:pPr>
        <w:rPr>
          <w:ins w:id="2632" w:author="Celia Johnson" w:date="2022-09-06T13:24:00Z"/>
          <w:rFonts w:ascii="Arial" w:eastAsia="Arial" w:hAnsi="Arial" w:cs="Arial"/>
        </w:rPr>
      </w:pPr>
      <w:ins w:id="2633" w:author="Celia Johnson" w:date="2022-09-06T13:24:00Z">
        <w:r w:rsidRPr="1B6F6109">
          <w:rPr>
            <w:rFonts w:eastAsiaTheme="minorEastAsia"/>
            <w:color w:val="000000" w:themeColor="text1"/>
          </w:rPr>
          <w:t>The unit energy savings (UES) for each model should be calculated using the TRM equations for each product category</w:t>
        </w:r>
        <w:r>
          <w:rPr>
            <w:rFonts w:eastAsiaTheme="minorEastAsia"/>
            <w:color w:val="000000" w:themeColor="text1"/>
          </w:rPr>
          <w:t xml:space="preserve"> and configuration</w:t>
        </w:r>
        <w:r w:rsidRPr="1B6F6109">
          <w:rPr>
            <w:rFonts w:eastAsiaTheme="minorEastAsia"/>
            <w:color w:val="000000" w:themeColor="text1"/>
          </w:rPr>
          <w:t xml:space="preserve">. Currently, </w:t>
        </w:r>
        <w:proofErr w:type="spellStart"/>
        <w:r>
          <w:rPr>
            <w:rFonts w:eastAsiaTheme="minorEastAsia"/>
            <w:color w:val="000000" w:themeColor="text1"/>
          </w:rPr>
          <w:t>ComEd’s</w:t>
        </w:r>
        <w:proofErr w:type="spellEnd"/>
        <w:r w:rsidRPr="1B6F6109">
          <w:rPr>
            <w:rFonts w:eastAsiaTheme="minorEastAsia"/>
            <w:color w:val="000000" w:themeColor="text1"/>
          </w:rPr>
          <w:t xml:space="preserve"> ESRPP</w:t>
        </w:r>
        <w:r>
          <w:rPr>
            <w:rFonts w:eastAsiaTheme="minorEastAsia"/>
            <w:color w:val="000000" w:themeColor="text1"/>
          </w:rPr>
          <w:t xml:space="preserve"> portfolio</w:t>
        </w:r>
        <w:r w:rsidRPr="1B6F6109">
          <w:rPr>
            <w:rFonts w:eastAsiaTheme="minorEastAsia"/>
            <w:color w:val="000000" w:themeColor="text1"/>
          </w:rPr>
          <w:t xml:space="preserve"> includes only clothes washers</w:t>
        </w:r>
        <w:r w:rsidRPr="1B6F6109">
          <w:rPr>
            <w:rStyle w:val="FootnoteReference"/>
            <w:rFonts w:eastAsiaTheme="minorEastAsia"/>
            <w:color w:val="000000" w:themeColor="text1"/>
          </w:rPr>
          <w:footnoteReference w:id="170"/>
        </w:r>
        <w:r w:rsidRPr="1B6F6109">
          <w:rPr>
            <w:rFonts w:eastAsiaTheme="minorEastAsia"/>
            <w:color w:val="000000" w:themeColor="text1"/>
          </w:rPr>
          <w:t xml:space="preserve"> and refrigerators</w:t>
        </w:r>
        <w:r w:rsidRPr="1B6F6109">
          <w:rPr>
            <w:rStyle w:val="FootnoteReference"/>
            <w:rFonts w:eastAsiaTheme="minorEastAsia"/>
            <w:color w:val="000000" w:themeColor="text1"/>
          </w:rPr>
          <w:footnoteReference w:id="171"/>
        </w:r>
        <w:r w:rsidRPr="1B6F6109">
          <w:rPr>
            <w:rFonts w:eastAsiaTheme="minorEastAsia"/>
            <w:color w:val="000000" w:themeColor="text1"/>
          </w:rPr>
          <w:t xml:space="preserve">. </w:t>
        </w:r>
        <w:r>
          <w:rPr>
            <w:rFonts w:eastAsiaTheme="minorEastAsia"/>
            <w:color w:val="000000" w:themeColor="text1"/>
          </w:rPr>
          <w:t xml:space="preserve">Unit and product configurations for which energy savings are not included in the Illinois TRM should be verified by program evaluators and added to this protocol as needed. </w:t>
        </w:r>
      </w:ins>
    </w:p>
    <w:p w14:paraId="6083694C" w14:textId="77777777" w:rsidR="00E3500B" w:rsidRPr="003E7FC3" w:rsidRDefault="00E3500B" w:rsidP="00E3500B">
      <w:pPr>
        <w:pStyle w:val="Heading2"/>
        <w:widowControl/>
        <w:numPr>
          <w:ilvl w:val="1"/>
          <w:numId w:val="82"/>
        </w:numPr>
        <w:jc w:val="left"/>
        <w:rPr>
          <w:ins w:id="2638" w:author="Celia Johnson" w:date="2022-09-06T13:24:00Z"/>
          <w:sz w:val="28"/>
          <w:szCs w:val="28"/>
        </w:rPr>
      </w:pPr>
      <w:bookmarkStart w:id="2639" w:name="_Toc105195145"/>
      <w:bookmarkStart w:id="2640" w:name="_Toc113365569"/>
      <w:bookmarkStart w:id="2641" w:name="_Toc113619889"/>
      <w:ins w:id="2642" w:author="Celia Johnson" w:date="2022-09-06T13:24:00Z">
        <w:r w:rsidRPr="003E7FC3">
          <w:rPr>
            <w:sz w:val="28"/>
            <w:szCs w:val="28"/>
          </w:rPr>
          <w:t>Annual ESRPP Savings</w:t>
        </w:r>
        <w:bookmarkEnd w:id="2639"/>
        <w:bookmarkEnd w:id="2640"/>
        <w:bookmarkEnd w:id="2641"/>
      </w:ins>
    </w:p>
    <w:p w14:paraId="2C6B83A5" w14:textId="77777777" w:rsidR="00E3500B" w:rsidRDefault="00E3500B" w:rsidP="00E3500B">
      <w:pPr>
        <w:jc w:val="left"/>
        <w:rPr>
          <w:ins w:id="2643" w:author="Celia Johnson" w:date="2022-09-06T13:24:00Z"/>
          <w:rFonts w:ascii="Arial" w:eastAsia="Arial" w:hAnsi="Arial" w:cs="Arial"/>
        </w:rPr>
      </w:pPr>
      <w:ins w:id="2644" w:author="Celia Johnson" w:date="2022-09-06T13:24:00Z">
        <w:r w:rsidRPr="00E070E0">
          <w:t>Equation 2 is the general equation for estimating ESRPP savings.</w:t>
        </w:r>
        <w:r>
          <w:br/>
        </w:r>
      </w:ins>
    </w:p>
    <w:p w14:paraId="33A60E29" w14:textId="77777777" w:rsidR="00E3500B" w:rsidRDefault="00E3500B" w:rsidP="00E3500B">
      <w:pPr>
        <w:pStyle w:val="Caption"/>
        <w:rPr>
          <w:ins w:id="2645" w:author="Celia Johnson" w:date="2022-09-06T13:24:00Z"/>
        </w:rPr>
      </w:pPr>
      <w:ins w:id="2646" w:author="Celia Johnson" w:date="2022-09-06T13:24:00Z">
        <w:r>
          <w:t xml:space="preserve">Equation </w:t>
        </w:r>
        <w:r>
          <w:fldChar w:fldCharType="begin"/>
        </w:r>
        <w:r>
          <w:instrText xml:space="preserve"> SEQ Equation \* ARABIC </w:instrText>
        </w:r>
        <w:r>
          <w:fldChar w:fldCharType="separate"/>
        </w:r>
        <w:r>
          <w:rPr>
            <w:noProof/>
          </w:rPr>
          <w:t>2</w:t>
        </w:r>
        <w:r>
          <w:rPr>
            <w:noProof/>
          </w:rPr>
          <w:fldChar w:fldCharType="end"/>
        </w:r>
        <w:r>
          <w:t>. ESRPP Energy Savings</w:t>
        </w:r>
      </w:ins>
    </w:p>
    <w:p w14:paraId="0479FDBC" w14:textId="77777777" w:rsidR="00E3500B" w:rsidRDefault="00E3500B" w:rsidP="00E3500B">
      <w:pPr>
        <w:jc w:val="center"/>
        <w:rPr>
          <w:ins w:id="2647" w:author="Celia Johnson" w:date="2022-09-06T13:24:00Z"/>
          <w:rFonts w:ascii="Arial" w:eastAsia="Arial" w:hAnsi="Arial" w:cs="Arial"/>
        </w:rPr>
      </w:pPr>
      <m:oMathPara>
        <m:oMath>
          <m:r>
            <w:ins w:id="2648" w:author="Celia Johnson" w:date="2022-09-06T13:24:00Z">
              <w:rPr>
                <w:rFonts w:ascii="Cambria Math" w:hAnsi="Cambria Math"/>
              </w:rPr>
              <m:t>ESRPP Savings=</m:t>
            </w:ins>
          </m:r>
          <m:d>
            <m:dPr>
              <m:ctrlPr>
                <w:ins w:id="2649" w:author="Celia Johnson" w:date="2022-09-06T13:24:00Z">
                  <w:rPr>
                    <w:rFonts w:ascii="Cambria Math" w:hAnsi="Cambria Math"/>
                    <w:i/>
                  </w:rPr>
                </w:ins>
              </m:ctrlPr>
            </m:dPr>
            <m:e>
              <m:r>
                <w:ins w:id="2650" w:author="Celia Johnson" w:date="2022-09-06T13:24:00Z">
                  <w:rPr>
                    <w:rFonts w:ascii="Cambria Math" w:hAnsi="Cambria Math"/>
                  </w:rPr>
                  <m:t>UES x Total Market Units</m:t>
                </w:ins>
              </m:r>
            </m:e>
          </m:d>
          <m:r>
            <w:ins w:id="2651" w:author="Celia Johnson" w:date="2022-09-06T13:24:00Z">
              <w:rPr>
                <w:rFonts w:ascii="Cambria Math" w:hAnsi="Cambria Math"/>
              </w:rPr>
              <m:t>-</m:t>
            </w:ins>
          </m:r>
          <m:d>
            <m:dPr>
              <m:ctrlPr>
                <w:ins w:id="2652" w:author="Celia Johnson" w:date="2022-09-06T13:24:00Z">
                  <w:rPr>
                    <w:rFonts w:ascii="Cambria Math" w:hAnsi="Cambria Math"/>
                    <w:i/>
                  </w:rPr>
                </w:ins>
              </m:ctrlPr>
            </m:dPr>
            <m:e>
              <m:r>
                <w:ins w:id="2653" w:author="Celia Johnson" w:date="2022-09-06T13:24:00Z">
                  <w:rPr>
                    <w:rFonts w:ascii="Cambria Math" w:hAnsi="Cambria Math"/>
                  </w:rPr>
                  <m:t>UES x Total Market Units*NMB</m:t>
                </w:ins>
              </m:r>
            </m:e>
          </m:d>
          <m:r>
            <w:ins w:id="2654" w:author="Celia Johnson" w:date="2022-09-06T13:24:00Z">
              <w:rPr>
                <w:rFonts w:ascii="Cambria Math" w:hAnsi="Cambria Math"/>
              </w:rPr>
              <m:t>-OPS</m:t>
            </w:ins>
          </m:r>
        </m:oMath>
      </m:oMathPara>
    </w:p>
    <w:p w14:paraId="5707C9AC" w14:textId="77777777" w:rsidR="00E3500B" w:rsidRDefault="00E3500B" w:rsidP="00E3500B">
      <w:pPr>
        <w:rPr>
          <w:ins w:id="2655" w:author="Celia Johnson" w:date="2022-09-06T13:24:00Z"/>
        </w:rPr>
      </w:pPr>
      <w:ins w:id="2656" w:author="Celia Johnson" w:date="2022-09-06T13:24:00Z">
        <w:r w:rsidRPr="00E070E0">
          <w:t>Where:</w:t>
        </w:r>
      </w:ins>
    </w:p>
    <w:p w14:paraId="60D0A40C" w14:textId="77777777" w:rsidR="00E3500B" w:rsidRDefault="00E3500B">
      <w:pPr>
        <w:pStyle w:val="ListParagraph"/>
        <w:widowControl/>
        <w:numPr>
          <w:ilvl w:val="0"/>
          <w:numId w:val="100"/>
        </w:numPr>
        <w:spacing w:after="160" w:line="259" w:lineRule="auto"/>
        <w:jc w:val="left"/>
        <w:rPr>
          <w:ins w:id="2657" w:author="Celia Johnson" w:date="2022-09-06T13:24:00Z"/>
          <w:rFonts w:eastAsiaTheme="minorEastAsia"/>
          <w:i/>
          <w:iCs/>
        </w:rPr>
      </w:pPr>
      <w:ins w:id="2658" w:author="Celia Johnson" w:date="2022-09-06T13:24:00Z">
        <w:r w:rsidRPr="708F7013">
          <w:rPr>
            <w:rFonts w:ascii="Calibri" w:eastAsia="Calibri" w:hAnsi="Calibri" w:cs="Calibri"/>
            <w:i/>
            <w:iCs/>
          </w:rPr>
          <w:t>UES</w:t>
        </w:r>
        <w:r w:rsidRPr="708F7013">
          <w:rPr>
            <w:rFonts w:ascii="Calibri" w:eastAsia="Calibri" w:hAnsi="Calibri" w:cs="Calibri"/>
          </w:rPr>
          <w:t xml:space="preserve"> is the difference between sales-weighted average annual kWh for program qualified models and federal baseline models</w:t>
        </w:r>
      </w:ins>
    </w:p>
    <w:p w14:paraId="3F325506" w14:textId="77777777" w:rsidR="00E3500B" w:rsidRDefault="00E3500B">
      <w:pPr>
        <w:pStyle w:val="ListParagraph"/>
        <w:widowControl/>
        <w:numPr>
          <w:ilvl w:val="0"/>
          <w:numId w:val="100"/>
        </w:numPr>
        <w:spacing w:after="160" w:line="259" w:lineRule="auto"/>
        <w:jc w:val="left"/>
        <w:rPr>
          <w:ins w:id="2659" w:author="Celia Johnson" w:date="2022-09-06T13:24:00Z"/>
          <w:rFonts w:eastAsiaTheme="minorEastAsia"/>
          <w:i/>
          <w:iCs/>
        </w:rPr>
      </w:pPr>
      <w:ins w:id="2660" w:author="Celia Johnson" w:date="2022-09-06T13:24:00Z">
        <w:r w:rsidRPr="708F7013">
          <w:rPr>
            <w:rFonts w:ascii="Calibri" w:eastAsia="Calibri" w:hAnsi="Calibri" w:cs="Calibri"/>
            <w:i/>
            <w:iCs/>
          </w:rPr>
          <w:t>Total Market Units</w:t>
        </w:r>
        <w:r w:rsidRPr="708F7013">
          <w:rPr>
            <w:rFonts w:ascii="Calibri" w:eastAsia="Calibri" w:hAnsi="Calibri" w:cs="Calibri"/>
          </w:rPr>
          <w:t xml:space="preserve"> are the total quantity of qualified model sales from participating retailers plus the estimated quantity of qualified units sold through non-participating retailers</w:t>
        </w:r>
        <w:r w:rsidRPr="708F7013">
          <w:rPr>
            <w:rFonts w:ascii="Arial" w:eastAsia="Arial" w:hAnsi="Arial" w:cs="Arial"/>
            <w:vertAlign w:val="superscript"/>
          </w:rPr>
          <w:t xml:space="preserve"> </w:t>
        </w:r>
      </w:ins>
    </w:p>
    <w:p w14:paraId="08F499E7" w14:textId="77777777" w:rsidR="00E3500B" w:rsidRPr="00371350" w:rsidRDefault="00E3500B">
      <w:pPr>
        <w:pStyle w:val="ListParagraph"/>
        <w:widowControl/>
        <w:numPr>
          <w:ilvl w:val="0"/>
          <w:numId w:val="100"/>
        </w:numPr>
        <w:spacing w:after="160" w:line="259" w:lineRule="auto"/>
        <w:jc w:val="left"/>
        <w:rPr>
          <w:ins w:id="2661" w:author="Celia Johnson" w:date="2022-09-06T13:24:00Z"/>
          <w:rFonts w:eastAsiaTheme="minorEastAsia"/>
          <w:i/>
          <w:iCs/>
        </w:rPr>
      </w:pPr>
      <w:ins w:id="2662" w:author="Celia Johnson" w:date="2022-09-06T13:24:00Z">
        <w:r w:rsidRPr="708F7013">
          <w:rPr>
            <w:rFonts w:ascii="Calibri" w:eastAsia="Calibri" w:hAnsi="Calibri" w:cs="Calibri"/>
            <w:i/>
            <w:iCs/>
          </w:rPr>
          <w:t xml:space="preserve">NMB </w:t>
        </w:r>
        <w:r w:rsidRPr="708F7013">
          <w:rPr>
            <w:rFonts w:ascii="Calibri" w:eastAsia="Calibri" w:hAnsi="Calibri" w:cs="Calibri"/>
          </w:rPr>
          <w:t>is the forecast natural market baseline market share</w:t>
        </w:r>
      </w:ins>
    </w:p>
    <w:p w14:paraId="2AC0FAC7" w14:textId="77777777" w:rsidR="00E3500B" w:rsidRDefault="00E3500B">
      <w:pPr>
        <w:pStyle w:val="ListParagraph"/>
        <w:widowControl/>
        <w:numPr>
          <w:ilvl w:val="0"/>
          <w:numId w:val="100"/>
        </w:numPr>
        <w:spacing w:after="160" w:line="259" w:lineRule="auto"/>
        <w:jc w:val="left"/>
        <w:rPr>
          <w:ins w:id="2663" w:author="Celia Johnson" w:date="2022-09-06T13:24:00Z"/>
          <w:rFonts w:eastAsiaTheme="minorEastAsia"/>
          <w:i/>
          <w:iCs/>
        </w:rPr>
      </w:pPr>
      <w:ins w:id="2664" w:author="Celia Johnson" w:date="2022-09-06T13:24:00Z">
        <w:r>
          <w:rPr>
            <w:rFonts w:ascii="Calibri" w:eastAsia="Calibri" w:hAnsi="Calibri" w:cs="Calibri"/>
            <w:i/>
            <w:iCs/>
          </w:rPr>
          <w:t xml:space="preserve">OPS </w:t>
        </w:r>
        <w:r w:rsidRPr="00371350">
          <w:rPr>
            <w:rFonts w:ascii="Calibri" w:eastAsia="Calibri" w:hAnsi="Calibri" w:cs="Calibri"/>
          </w:rPr>
          <w:t>is the savings from other energy efficiency programs which may overlap with ESRPP</w:t>
        </w:r>
        <w:r>
          <w:rPr>
            <w:rFonts w:ascii="Calibri" w:eastAsia="Calibri" w:hAnsi="Calibri" w:cs="Calibri"/>
          </w:rPr>
          <w:t xml:space="preserve">, see section </w:t>
        </w:r>
        <w:r>
          <w:rPr>
            <w:rFonts w:ascii="Calibri" w:eastAsia="Calibri" w:hAnsi="Calibri" w:cs="Calibri"/>
          </w:rPr>
          <w:fldChar w:fldCharType="begin"/>
        </w:r>
        <w:r>
          <w:rPr>
            <w:rFonts w:ascii="Calibri" w:eastAsia="Calibri" w:hAnsi="Calibri" w:cs="Calibri"/>
          </w:rPr>
          <w:instrText xml:space="preserve"> REF _Ref109813739 \r \h </w:instrText>
        </w:r>
      </w:ins>
      <w:r>
        <w:rPr>
          <w:rFonts w:ascii="Calibri" w:eastAsia="Calibri" w:hAnsi="Calibri" w:cs="Calibri"/>
        </w:rPr>
      </w:r>
      <w:ins w:id="2665" w:author="Celia Johnson" w:date="2022-09-06T13:24:00Z">
        <w:r>
          <w:rPr>
            <w:rFonts w:ascii="Calibri" w:eastAsia="Calibri" w:hAnsi="Calibri" w:cs="Calibri"/>
          </w:rPr>
          <w:fldChar w:fldCharType="separate"/>
        </w:r>
        <w:r>
          <w:rPr>
            <w:rFonts w:ascii="Calibri" w:eastAsia="Calibri" w:hAnsi="Calibri" w:cs="Calibri"/>
          </w:rPr>
          <w:t>6.3</w:t>
        </w:r>
        <w:r>
          <w:rPr>
            <w:rFonts w:ascii="Calibri" w:eastAsia="Calibri" w:hAnsi="Calibri" w:cs="Calibri"/>
          </w:rPr>
          <w:fldChar w:fldCharType="end"/>
        </w:r>
        <w:r w:rsidRPr="00371350">
          <w:rPr>
            <w:rFonts w:ascii="Calibri" w:eastAsia="Calibri" w:hAnsi="Calibri" w:cs="Calibri"/>
          </w:rPr>
          <w:t>.</w:t>
        </w:r>
        <w:r w:rsidRPr="708F7013">
          <w:rPr>
            <w:rFonts w:ascii="Calibri" w:eastAsia="Calibri" w:hAnsi="Calibri" w:cs="Calibri"/>
            <w:i/>
            <w:iCs/>
          </w:rPr>
          <w:t xml:space="preserve"> </w:t>
        </w:r>
      </w:ins>
    </w:p>
    <w:p w14:paraId="48615F30" w14:textId="77777777" w:rsidR="00E3500B" w:rsidRPr="00D27157" w:rsidRDefault="00E3500B" w:rsidP="00E3500B">
      <w:pPr>
        <w:pStyle w:val="Heading2"/>
        <w:widowControl/>
        <w:numPr>
          <w:ilvl w:val="2"/>
          <w:numId w:val="82"/>
        </w:numPr>
        <w:jc w:val="left"/>
        <w:rPr>
          <w:ins w:id="2666" w:author="Celia Johnson" w:date="2022-09-06T13:24:00Z"/>
          <w:sz w:val="28"/>
          <w:szCs w:val="28"/>
        </w:rPr>
      </w:pPr>
      <w:bookmarkStart w:id="2667" w:name="_Toc105195146"/>
      <w:bookmarkStart w:id="2668" w:name="_Toc113365570"/>
      <w:bookmarkStart w:id="2669" w:name="_Toc113619890"/>
      <w:ins w:id="2670" w:author="Celia Johnson" w:date="2022-09-06T13:24:00Z">
        <w:r w:rsidRPr="00D704AB">
          <w:rPr>
            <w:szCs w:val="24"/>
          </w:rPr>
          <w:t>Sales from Non-Participating Retailers</w:t>
        </w:r>
        <w:r>
          <w:rPr>
            <w:rStyle w:val="FootnoteReference"/>
            <w:rFonts w:eastAsia="Arial"/>
          </w:rPr>
          <w:footnoteReference w:id="172"/>
        </w:r>
        <w:bookmarkEnd w:id="2667"/>
        <w:bookmarkEnd w:id="2668"/>
        <w:bookmarkEnd w:id="2669"/>
      </w:ins>
    </w:p>
    <w:p w14:paraId="5A8D856F" w14:textId="77777777" w:rsidR="00E3500B" w:rsidRDefault="00E3500B" w:rsidP="00E3500B">
      <w:pPr>
        <w:rPr>
          <w:ins w:id="2673" w:author="Celia Johnson" w:date="2022-09-06T13:24:00Z"/>
        </w:rPr>
      </w:pPr>
      <w:ins w:id="2674" w:author="Celia Johnson" w:date="2022-09-06T13:24:00Z">
        <w:r>
          <w:t xml:space="preserve">National shipments data from the Association of Home Appliance Manufacturers (AHAM) should be used to estimate non-participating retailer sales that occur within the utility service territory outside of the participating retailers. </w:t>
        </w:r>
        <w:r w:rsidRPr="1B6F6109">
          <w:rPr>
            <w:i/>
            <w:iCs/>
          </w:rPr>
          <w:t xml:space="preserve">Non-Program Sales </w:t>
        </w:r>
        <w:r>
          <w:t>are estimated by Equation 3:</w:t>
        </w:r>
      </w:ins>
    </w:p>
    <w:p w14:paraId="0244DABB" w14:textId="77777777" w:rsidR="00E3500B" w:rsidRPr="00A6577B" w:rsidRDefault="00E3500B" w:rsidP="00E3500B">
      <w:pPr>
        <w:pStyle w:val="Caption"/>
        <w:rPr>
          <w:ins w:id="2675" w:author="Celia Johnson" w:date="2022-09-06T13:24:00Z"/>
        </w:rPr>
      </w:pPr>
      <w:ins w:id="2676" w:author="Celia Johnson" w:date="2022-09-06T13:24:00Z">
        <w:r>
          <w:t>Equation 3. Non-Program Sales</w:t>
        </w:r>
      </w:ins>
    </w:p>
    <w:p w14:paraId="2687DE86" w14:textId="77777777" w:rsidR="00E3500B" w:rsidRDefault="00573A1D" w:rsidP="00E3500B">
      <w:pPr>
        <w:rPr>
          <w:ins w:id="2677" w:author="Celia Johnson" w:date="2022-09-06T13:24:00Z"/>
        </w:rPr>
      </w:pPr>
      <m:oMathPara>
        <m:oMath>
          <m:sSub>
            <m:sSubPr>
              <m:ctrlPr>
                <w:ins w:id="2678" w:author="Celia Johnson" w:date="2022-09-06T13:24:00Z">
                  <w:rPr>
                    <w:rFonts w:ascii="Cambria Math" w:hAnsi="Cambria Math"/>
                    <w:i/>
                  </w:rPr>
                </w:ins>
              </m:ctrlPr>
            </m:sSubPr>
            <m:e>
              <m:r>
                <w:ins w:id="2679" w:author="Celia Johnson" w:date="2022-09-06T13:24:00Z">
                  <w:rPr>
                    <w:rFonts w:ascii="Cambria Math" w:hAnsi="Cambria Math"/>
                  </w:rPr>
                  <m:t>NPS</m:t>
                </w:ins>
              </m:r>
            </m:e>
            <m:sub>
              <m:r>
                <w:ins w:id="2680" w:author="Celia Johnson" w:date="2022-09-06T13:24:00Z">
                  <w:rPr>
                    <w:rFonts w:ascii="Cambria Math" w:hAnsi="Cambria Math"/>
                  </w:rPr>
                  <m:t>utility</m:t>
                </w:ins>
              </m:r>
            </m:sub>
          </m:sSub>
          <m:r>
            <w:ins w:id="2681" w:author="Celia Johnson" w:date="2022-09-06T13:24:00Z">
              <w:rPr>
                <w:rFonts w:ascii="Cambria Math" w:hAnsi="Cambria Math"/>
              </w:rPr>
              <m:t>=NS×</m:t>
            </w:ins>
          </m:r>
          <m:f>
            <m:fPr>
              <m:ctrlPr>
                <w:ins w:id="2682" w:author="Celia Johnson" w:date="2022-09-06T13:24:00Z">
                  <w:rPr>
                    <w:rFonts w:ascii="Cambria Math" w:hAnsi="Cambria Math"/>
                    <w:i/>
                  </w:rPr>
                </w:ins>
              </m:ctrlPr>
            </m:fPr>
            <m:num>
              <m:sSub>
                <m:sSubPr>
                  <m:ctrlPr>
                    <w:ins w:id="2683" w:author="Celia Johnson" w:date="2022-09-06T13:24:00Z">
                      <w:rPr>
                        <w:rFonts w:ascii="Cambria Math" w:hAnsi="Cambria Math"/>
                        <w:i/>
                      </w:rPr>
                    </w:ins>
                  </m:ctrlPr>
                </m:sSubPr>
                <m:e>
                  <m:r>
                    <w:ins w:id="2684" w:author="Celia Johnson" w:date="2022-09-06T13:24:00Z">
                      <w:rPr>
                        <w:rFonts w:ascii="Cambria Math" w:hAnsi="Cambria Math"/>
                      </w:rPr>
                      <m:t>HH×Saturation</m:t>
                    </w:ins>
                  </m:r>
                </m:e>
                <m:sub>
                  <m:r>
                    <w:ins w:id="2685" w:author="Celia Johnson" w:date="2022-09-06T13:24:00Z">
                      <w:rPr>
                        <w:rFonts w:ascii="Cambria Math" w:hAnsi="Cambria Math"/>
                      </w:rPr>
                      <m:t>IL</m:t>
                    </w:ins>
                  </m:r>
                </m:sub>
              </m:sSub>
            </m:num>
            <m:den>
              <m:sSub>
                <m:sSubPr>
                  <m:ctrlPr>
                    <w:ins w:id="2686" w:author="Celia Johnson" w:date="2022-09-06T13:24:00Z">
                      <w:rPr>
                        <w:rFonts w:ascii="Cambria Math" w:hAnsi="Cambria Math"/>
                        <w:i/>
                      </w:rPr>
                    </w:ins>
                  </m:ctrlPr>
                </m:sSubPr>
                <m:e>
                  <m:r>
                    <w:ins w:id="2687" w:author="Celia Johnson" w:date="2022-09-06T13:24:00Z">
                      <w:rPr>
                        <w:rFonts w:ascii="Cambria Math" w:hAnsi="Cambria Math"/>
                      </w:rPr>
                      <m:t>HH×Saturation</m:t>
                    </w:ins>
                  </m:r>
                </m:e>
                <m:sub>
                  <m:r>
                    <w:ins w:id="2688" w:author="Celia Johnson" w:date="2022-09-06T13:24:00Z">
                      <w:rPr>
                        <w:rFonts w:ascii="Cambria Math" w:hAnsi="Cambria Math"/>
                      </w:rPr>
                      <m:t>US</m:t>
                    </w:ins>
                  </m:r>
                </m:sub>
              </m:sSub>
            </m:den>
          </m:f>
          <m:r>
            <w:ins w:id="2689" w:author="Celia Johnson" w:date="2022-09-06T13:24:00Z">
              <w:rPr>
                <w:rFonts w:ascii="Cambria Math" w:hAnsi="Cambria Math"/>
              </w:rPr>
              <m:t>×</m:t>
            </w:ins>
          </m:r>
          <m:f>
            <m:fPr>
              <m:ctrlPr>
                <w:ins w:id="2690" w:author="Celia Johnson" w:date="2022-09-06T13:24:00Z">
                  <w:rPr>
                    <w:rFonts w:ascii="Cambria Math" w:hAnsi="Cambria Math"/>
                    <w:i/>
                  </w:rPr>
                </w:ins>
              </m:ctrlPr>
            </m:fPr>
            <m:num>
              <m:sSub>
                <m:sSubPr>
                  <m:ctrlPr>
                    <w:ins w:id="2691" w:author="Celia Johnson" w:date="2022-09-06T13:24:00Z">
                      <w:rPr>
                        <w:rFonts w:ascii="Cambria Math" w:hAnsi="Cambria Math"/>
                        <w:i/>
                      </w:rPr>
                    </w:ins>
                  </m:ctrlPr>
                </m:sSubPr>
                <m:e>
                  <m:r>
                    <w:ins w:id="2692" w:author="Celia Johnson" w:date="2022-09-06T13:24:00Z">
                      <w:rPr>
                        <w:rFonts w:ascii="Cambria Math" w:hAnsi="Cambria Math"/>
                      </w:rPr>
                      <m:t>ResC</m:t>
                    </w:ins>
                  </m:r>
                </m:e>
                <m:sub>
                  <m:r>
                    <w:ins w:id="2693" w:author="Celia Johnson" w:date="2022-09-06T13:24:00Z">
                      <w:rPr>
                        <w:rFonts w:ascii="Cambria Math" w:hAnsi="Cambria Math"/>
                      </w:rPr>
                      <m:t>utility</m:t>
                    </w:ins>
                  </m:r>
                </m:sub>
              </m:sSub>
            </m:num>
            <m:den>
              <m:sSub>
                <m:sSubPr>
                  <m:ctrlPr>
                    <w:ins w:id="2694" w:author="Celia Johnson" w:date="2022-09-06T13:24:00Z">
                      <w:rPr>
                        <w:rFonts w:ascii="Cambria Math" w:hAnsi="Cambria Math"/>
                        <w:i/>
                      </w:rPr>
                    </w:ins>
                  </m:ctrlPr>
                </m:sSubPr>
                <m:e>
                  <m:r>
                    <w:ins w:id="2695" w:author="Celia Johnson" w:date="2022-09-06T13:24:00Z">
                      <w:rPr>
                        <w:rFonts w:ascii="Cambria Math" w:hAnsi="Cambria Math"/>
                      </w:rPr>
                      <m:t>ResC</m:t>
                    </w:ins>
                  </m:r>
                </m:e>
                <m:sub>
                  <m:r>
                    <w:ins w:id="2696" w:author="Celia Johnson" w:date="2022-09-06T13:24:00Z">
                      <w:rPr>
                        <w:rFonts w:ascii="Cambria Math" w:hAnsi="Cambria Math"/>
                      </w:rPr>
                      <m:t>IL</m:t>
                    </w:ins>
                  </m:r>
                </m:sub>
              </m:sSub>
            </m:den>
          </m:f>
          <m:r>
            <w:ins w:id="2697" w:author="Celia Johnson" w:date="2022-09-06T13:24:00Z">
              <w:rPr>
                <w:rFonts w:ascii="Cambria Math" w:hAnsi="Cambria Math"/>
              </w:rPr>
              <m:t>×</m:t>
            </w:ins>
          </m:r>
          <m:f>
            <m:fPr>
              <m:ctrlPr>
                <w:ins w:id="2698" w:author="Celia Johnson" w:date="2022-09-06T13:24:00Z">
                  <w:rPr>
                    <w:rFonts w:ascii="Cambria Math" w:hAnsi="Cambria Math"/>
                    <w:i/>
                  </w:rPr>
                </w:ins>
              </m:ctrlPr>
            </m:fPr>
            <m:num>
              <m:sSub>
                <m:sSubPr>
                  <m:ctrlPr>
                    <w:ins w:id="2699" w:author="Celia Johnson" w:date="2022-09-06T13:24:00Z">
                      <w:rPr>
                        <w:rFonts w:ascii="Cambria Math" w:hAnsi="Cambria Math"/>
                        <w:i/>
                      </w:rPr>
                    </w:ins>
                  </m:ctrlPr>
                </m:sSubPr>
                <m:e>
                  <m:r>
                    <w:ins w:id="2700" w:author="Celia Johnson" w:date="2022-09-06T13:24:00Z">
                      <w:rPr>
                        <w:rFonts w:ascii="Cambria Math" w:hAnsi="Cambria Math"/>
                      </w:rPr>
                      <m:t>PU</m:t>
                    </w:ins>
                  </m:r>
                </m:e>
                <m:sub>
                  <m:r>
                    <w:ins w:id="2701" w:author="Celia Johnson" w:date="2022-09-06T13:24:00Z">
                      <w:rPr>
                        <w:rFonts w:ascii="Cambria Math" w:hAnsi="Cambria Math"/>
                      </w:rPr>
                      <m:t>Class</m:t>
                    </w:ins>
                  </m:r>
                </m:sub>
              </m:sSub>
            </m:num>
            <m:den>
              <m:sSub>
                <m:sSubPr>
                  <m:ctrlPr>
                    <w:ins w:id="2702" w:author="Celia Johnson" w:date="2022-09-06T13:24:00Z">
                      <w:rPr>
                        <w:rFonts w:ascii="Cambria Math" w:hAnsi="Cambria Math"/>
                        <w:i/>
                      </w:rPr>
                    </w:ins>
                  </m:ctrlPr>
                </m:sSubPr>
                <m:e>
                  <m:r>
                    <w:ins w:id="2703" w:author="Celia Johnson" w:date="2022-09-06T13:24:00Z">
                      <w:rPr>
                        <w:rFonts w:ascii="Cambria Math" w:hAnsi="Cambria Math"/>
                      </w:rPr>
                      <m:t>PU</m:t>
                    </w:ins>
                  </m:r>
                </m:e>
                <m:sub>
                  <m:r>
                    <w:ins w:id="2704" w:author="Celia Johnson" w:date="2022-09-06T13:24:00Z">
                      <w:rPr>
                        <w:rFonts w:ascii="Cambria Math" w:hAnsi="Cambria Math"/>
                      </w:rPr>
                      <m:t>Category</m:t>
                    </w:ins>
                  </m:r>
                </m:sub>
              </m:sSub>
            </m:den>
          </m:f>
          <m:r>
            <w:ins w:id="2705" w:author="Celia Johnson" w:date="2022-09-06T13:24:00Z">
              <w:rPr>
                <w:rFonts w:ascii="Cambria Math" w:hAnsi="Cambria Math"/>
              </w:rPr>
              <m:t>-PS</m:t>
            </w:ins>
          </m:r>
        </m:oMath>
      </m:oMathPara>
    </w:p>
    <w:p w14:paraId="45708310" w14:textId="77777777" w:rsidR="00E3500B" w:rsidRDefault="00E3500B" w:rsidP="00E3500B">
      <w:pPr>
        <w:rPr>
          <w:ins w:id="2706" w:author="Celia Johnson" w:date="2022-09-06T13:24:00Z"/>
        </w:rPr>
      </w:pPr>
      <w:ins w:id="2707" w:author="Celia Johnson" w:date="2022-09-06T13:24:00Z">
        <w:r>
          <w:t xml:space="preserve">where </w:t>
        </w:r>
        <w:proofErr w:type="spellStart"/>
        <w:r>
          <w:t>NPS</w:t>
        </w:r>
        <w:r>
          <w:rPr>
            <w:vertAlign w:val="subscript"/>
          </w:rPr>
          <w:t>ComEd</w:t>
        </w:r>
        <w:proofErr w:type="spellEnd"/>
        <w:r>
          <w:t xml:space="preserve"> represents </w:t>
        </w:r>
        <w:r w:rsidRPr="003D10E8">
          <w:t>Non-Program Sales</w:t>
        </w:r>
        <w:r>
          <w:t xml:space="preserve"> in the utility service territory, as </w:t>
        </w:r>
        <w:r w:rsidRPr="003D10E8">
          <w:t>calculated</w:t>
        </w:r>
        <w:r>
          <w:t xml:space="preserve"> by the product of five components: </w:t>
        </w:r>
      </w:ins>
    </w:p>
    <w:p w14:paraId="0860D921" w14:textId="77777777" w:rsidR="00E3500B" w:rsidRDefault="00E3500B">
      <w:pPr>
        <w:pStyle w:val="ListParagraph"/>
        <w:widowControl/>
        <w:numPr>
          <w:ilvl w:val="0"/>
          <w:numId w:val="114"/>
        </w:numPr>
        <w:spacing w:after="0" w:line="276" w:lineRule="auto"/>
        <w:jc w:val="left"/>
        <w:rPr>
          <w:ins w:id="2708" w:author="Celia Johnson" w:date="2022-09-06T13:24:00Z"/>
        </w:rPr>
      </w:pPr>
      <w:ins w:id="2709" w:author="Celia Johnson" w:date="2022-09-06T13:24:00Z">
        <w:r>
          <w:t xml:space="preserve">The number of national shipments, NS; </w:t>
        </w:r>
      </w:ins>
    </w:p>
    <w:p w14:paraId="06767213" w14:textId="77777777" w:rsidR="00E3500B" w:rsidRDefault="00E3500B">
      <w:pPr>
        <w:pStyle w:val="ListParagraph"/>
        <w:widowControl/>
        <w:numPr>
          <w:ilvl w:val="0"/>
          <w:numId w:val="114"/>
        </w:numPr>
        <w:spacing w:after="0" w:line="276" w:lineRule="auto"/>
        <w:jc w:val="left"/>
        <w:rPr>
          <w:ins w:id="2710" w:author="Celia Johnson" w:date="2022-09-06T13:24:00Z"/>
        </w:rPr>
      </w:pPr>
      <w:ins w:id="2711" w:author="Celia Johnson" w:date="2022-09-06T13:24:00Z">
        <w:r>
          <w:t>The state’s share of the national appliances, represented by HH</w:t>
        </w:r>
        <w:r w:rsidRPr="00785BF2">
          <w:rPr>
            <w:vertAlign w:val="subscript"/>
          </w:rPr>
          <w:t>IL</w:t>
        </w:r>
        <w:r>
          <w:t xml:space="preserve">, the number of Illinois households weighted by </w:t>
        </w:r>
        <w:proofErr w:type="spellStart"/>
        <w:r w:rsidRPr="0019008B">
          <w:t>Saturation</w:t>
        </w:r>
        <w:r w:rsidRPr="00785BF2">
          <w:rPr>
            <w:vertAlign w:val="subscript"/>
          </w:rPr>
          <w:t>IL</w:t>
        </w:r>
        <w:proofErr w:type="spellEnd"/>
        <w:r>
          <w:t xml:space="preserve">, </w:t>
        </w:r>
        <w:r w:rsidRPr="0019008B">
          <w:t>the</w:t>
        </w:r>
        <w:r>
          <w:t xml:space="preserve"> saturation of appliances within Illinois households, divided by </w:t>
        </w:r>
        <w:proofErr w:type="spellStart"/>
        <w:r>
          <w:t>HH</w:t>
        </w:r>
        <w:r w:rsidRPr="00785BF2">
          <w:rPr>
            <w:vertAlign w:val="subscript"/>
          </w:rPr>
          <w:t>us</w:t>
        </w:r>
        <w:proofErr w:type="spellEnd"/>
        <w:r w:rsidRPr="003D10E8">
          <w:t>, the</w:t>
        </w:r>
        <w:r>
          <w:t xml:space="preserve"> national number of households weighted by </w:t>
        </w:r>
        <w:proofErr w:type="spellStart"/>
        <w:r>
          <w:t>Saturation</w:t>
        </w:r>
        <w:r w:rsidRPr="00785BF2">
          <w:rPr>
            <w:vertAlign w:val="subscript"/>
          </w:rPr>
          <w:t>US</w:t>
        </w:r>
        <w:proofErr w:type="spellEnd"/>
        <w:r w:rsidRPr="003D10E8">
          <w:t xml:space="preserve">, </w:t>
        </w:r>
        <w:r>
          <w:t xml:space="preserve">the saturation of appliances within households nationally; </w:t>
        </w:r>
      </w:ins>
    </w:p>
    <w:p w14:paraId="09030764" w14:textId="77777777" w:rsidR="00E3500B" w:rsidRDefault="00E3500B">
      <w:pPr>
        <w:pStyle w:val="ListParagraph"/>
        <w:widowControl/>
        <w:numPr>
          <w:ilvl w:val="0"/>
          <w:numId w:val="114"/>
        </w:numPr>
        <w:spacing w:after="0" w:line="276" w:lineRule="auto"/>
        <w:jc w:val="left"/>
        <w:rPr>
          <w:ins w:id="2712" w:author="Celia Johnson" w:date="2022-09-06T13:24:00Z"/>
        </w:rPr>
      </w:pPr>
      <w:ins w:id="2713" w:author="Celia Johnson" w:date="2022-09-06T13:24:00Z">
        <w:r>
          <w:t xml:space="preserve">The utility share of the state’s residential customers, represented by </w:t>
        </w:r>
        <w:proofErr w:type="spellStart"/>
        <w:r w:rsidRPr="003D10E8">
          <w:t>ResC</w:t>
        </w:r>
        <w:r>
          <w:rPr>
            <w:vertAlign w:val="subscript"/>
          </w:rPr>
          <w:t>utility</w:t>
        </w:r>
        <w:proofErr w:type="spellEnd"/>
        <w:r w:rsidRPr="003D10E8">
          <w:t xml:space="preserve">, </w:t>
        </w:r>
        <w:r>
          <w:t xml:space="preserve">the number of </w:t>
        </w:r>
        <w:r w:rsidRPr="003D10E8">
          <w:t>residential customer accounts</w:t>
        </w:r>
        <w:r>
          <w:t xml:space="preserve"> in the utility’s territory divided by </w:t>
        </w:r>
        <w:proofErr w:type="spellStart"/>
        <w:r w:rsidRPr="003D10E8">
          <w:t>ResC</w:t>
        </w:r>
        <w:r w:rsidRPr="00785BF2">
          <w:rPr>
            <w:vertAlign w:val="subscript"/>
          </w:rPr>
          <w:t>IL</w:t>
        </w:r>
        <w:proofErr w:type="spellEnd"/>
        <w:r>
          <w:rPr>
            <w:vertAlign w:val="subscript"/>
          </w:rPr>
          <w:t xml:space="preserve">, </w:t>
        </w:r>
        <w:r>
          <w:t xml:space="preserve">the number of </w:t>
        </w:r>
        <w:r w:rsidRPr="003D10E8">
          <w:t>residential customer accounts</w:t>
        </w:r>
        <w:r>
          <w:t xml:space="preserve"> in the state; </w:t>
        </w:r>
      </w:ins>
    </w:p>
    <w:p w14:paraId="543F3B8D" w14:textId="77777777" w:rsidR="00E3500B" w:rsidRDefault="00E3500B">
      <w:pPr>
        <w:pStyle w:val="ListParagraph"/>
        <w:widowControl/>
        <w:numPr>
          <w:ilvl w:val="0"/>
          <w:numId w:val="114"/>
        </w:numPr>
        <w:spacing w:after="0" w:line="276" w:lineRule="auto"/>
        <w:jc w:val="left"/>
        <w:rPr>
          <w:ins w:id="2714" w:author="Celia Johnson" w:date="2022-09-06T13:24:00Z"/>
        </w:rPr>
      </w:pPr>
      <w:ins w:id="2715" w:author="Celia Johnson" w:date="2022-09-06T13:24:00Z">
        <w:r>
          <w:lastRenderedPageBreak/>
          <w:t xml:space="preserve">Configuration split, represented by </w:t>
        </w:r>
        <w:proofErr w:type="spellStart"/>
        <w:r>
          <w:t>PU</w:t>
        </w:r>
        <w:r w:rsidRPr="00785BF2">
          <w:rPr>
            <w:vertAlign w:val="subscript"/>
          </w:rPr>
          <w:t>Class</w:t>
        </w:r>
        <w:proofErr w:type="spellEnd"/>
        <w:r>
          <w:t>, the number of program units per class (</w:t>
        </w:r>
        <w:proofErr w:type="gramStart"/>
        <w:r>
          <w:t>e.g.</w:t>
        </w:r>
        <w:proofErr w:type="gramEnd"/>
        <w:r>
          <w:t xml:space="preserve"> top-loading clothes washers), divided by </w:t>
        </w:r>
        <w:proofErr w:type="spellStart"/>
        <w:r>
          <w:t>PU</w:t>
        </w:r>
        <w:r w:rsidRPr="00785BF2">
          <w:rPr>
            <w:vertAlign w:val="subscript"/>
          </w:rPr>
          <w:t>Category</w:t>
        </w:r>
        <w:proofErr w:type="spellEnd"/>
        <w:r w:rsidRPr="003D10E8">
          <w:t xml:space="preserve">, </w:t>
        </w:r>
        <w:r>
          <w:t xml:space="preserve">the number of program units per category (e.g. clothes washers); </w:t>
        </w:r>
      </w:ins>
    </w:p>
    <w:p w14:paraId="18DC8138" w14:textId="77777777" w:rsidR="00E3500B" w:rsidRDefault="00E3500B">
      <w:pPr>
        <w:pStyle w:val="ListParagraph"/>
        <w:widowControl/>
        <w:numPr>
          <w:ilvl w:val="0"/>
          <w:numId w:val="114"/>
        </w:numPr>
        <w:spacing w:after="0" w:line="276" w:lineRule="auto"/>
        <w:jc w:val="left"/>
        <w:rPr>
          <w:ins w:id="2716" w:author="Celia Johnson" w:date="2022-09-06T13:24:00Z"/>
        </w:rPr>
      </w:pPr>
      <w:ins w:id="2717" w:author="Celia Johnson" w:date="2022-09-06T13:24:00Z">
        <w:r>
          <w:t>Sales from participating retailers, PS.</w:t>
        </w:r>
      </w:ins>
    </w:p>
    <w:p w14:paraId="5E55F185" w14:textId="77777777" w:rsidR="00E3500B" w:rsidRPr="00D90A0C" w:rsidRDefault="00E3500B" w:rsidP="00E3500B">
      <w:pPr>
        <w:pStyle w:val="Heading2"/>
        <w:widowControl/>
        <w:numPr>
          <w:ilvl w:val="2"/>
          <w:numId w:val="82"/>
        </w:numPr>
        <w:jc w:val="left"/>
        <w:rPr>
          <w:ins w:id="2718" w:author="Celia Johnson" w:date="2022-09-06T13:24:00Z"/>
          <w:szCs w:val="24"/>
        </w:rPr>
      </w:pPr>
      <w:bookmarkStart w:id="2719" w:name="_Toc105195147"/>
      <w:bookmarkStart w:id="2720" w:name="_Toc113365571"/>
      <w:bookmarkStart w:id="2721" w:name="_Toc113619891"/>
      <w:ins w:id="2722" w:author="Celia Johnson" w:date="2022-09-06T13:24:00Z">
        <w:r w:rsidRPr="00D90A0C">
          <w:rPr>
            <w:szCs w:val="24"/>
          </w:rPr>
          <w:t>Savings from Non-participating Retailers</w:t>
        </w:r>
        <w:bookmarkEnd w:id="2719"/>
        <w:bookmarkEnd w:id="2720"/>
        <w:bookmarkEnd w:id="2721"/>
      </w:ins>
    </w:p>
    <w:p w14:paraId="221F73A7" w14:textId="77777777" w:rsidR="00E3500B" w:rsidRDefault="00E3500B" w:rsidP="00E3500B">
      <w:pPr>
        <w:rPr>
          <w:ins w:id="2723" w:author="Celia Johnson" w:date="2022-09-06T13:24:00Z"/>
          <w:rFonts w:eastAsiaTheme="minorEastAsia"/>
        </w:rPr>
      </w:pPr>
      <w:ins w:id="2724" w:author="Celia Johnson" w:date="2022-09-06T13:24:00Z">
        <w:r>
          <w:rPr>
            <w:rFonts w:eastAsiaTheme="minorEastAsia"/>
          </w:rPr>
          <w:t>R</w:t>
        </w:r>
        <w:r w:rsidRPr="1B6F6109">
          <w:rPr>
            <w:rFonts w:eastAsiaTheme="minorEastAsia"/>
          </w:rPr>
          <w:t xml:space="preserve">etailer decision making is complex, and retailers consider many factors when deciding whether to mimic other retailers in the market. For example, firm A may not have the resources to conduct primary research on which products are likely to appeal to consumers over the next buying cycle. In this case, they may copy a competitor, firm B, if firm A believes firm B to have access to better information about trends in consumer demand. Alternatively, firm C may try to differentiate from firms A and B and may decide to purchase a different set of products, especially if firm C believes they do not have the resources to compete directly with firms A or B. Or firm C may use their own information and expectations of what their consumers will demand. </w:t>
        </w:r>
      </w:ins>
    </w:p>
    <w:p w14:paraId="2BA49C92" w14:textId="77777777" w:rsidR="00E3500B" w:rsidRDefault="00E3500B" w:rsidP="00E3500B">
      <w:pPr>
        <w:rPr>
          <w:ins w:id="2725" w:author="Celia Johnson" w:date="2022-09-06T13:24:00Z"/>
          <w:rFonts w:eastAsiaTheme="minorEastAsia"/>
        </w:rPr>
      </w:pPr>
      <w:ins w:id="2726" w:author="Celia Johnson" w:date="2022-09-06T13:24:00Z">
        <w:r>
          <w:rPr>
            <w:rFonts w:eastAsiaTheme="minorEastAsia"/>
          </w:rPr>
          <w:t xml:space="preserve">Evaluators should determine the appropriate lift for non-participating retailers. Research can include secondary reviews of research papers </w:t>
        </w:r>
        <w:r w:rsidRPr="1B6F6109">
          <w:rPr>
            <w:rFonts w:eastAsiaTheme="minorEastAsia"/>
          </w:rPr>
          <w:t xml:space="preserve">discussing inventory management, product substitution and pricing strategies, optimal retailer stocking levels competitive dynamics, strategy and organizational survival, retailer power and market performance, why firms imitate one another, and strategies of low market share businesses. </w:t>
        </w:r>
        <w:r>
          <w:rPr>
            <w:rFonts w:eastAsiaTheme="minorEastAsia"/>
          </w:rPr>
          <w:t xml:space="preserve">Evaluators may also conduct primary research with retailers within the utility service territory to assess net lift from non-participating retailers. </w:t>
        </w:r>
      </w:ins>
    </w:p>
    <w:p w14:paraId="65174AC7" w14:textId="77777777" w:rsidR="00E3500B" w:rsidRPr="004D42DF" w:rsidRDefault="00E3500B" w:rsidP="00E3500B">
      <w:pPr>
        <w:rPr>
          <w:ins w:id="2727" w:author="Celia Johnson" w:date="2022-09-06T13:24:00Z"/>
          <w:rFonts w:eastAsiaTheme="minorEastAsia"/>
        </w:rPr>
      </w:pPr>
      <w:ins w:id="2728" w:author="Celia Johnson" w:date="2022-09-06T13:24:00Z">
        <w:r>
          <w:rPr>
            <w:rFonts w:eastAsiaTheme="minorEastAsia"/>
          </w:rPr>
          <w:t xml:space="preserve">The ComEd evaluation team conducted a detailed literature review of 17 different research papers. </w:t>
        </w:r>
        <w:r w:rsidRPr="1B6F6109">
          <w:rPr>
            <w:rFonts w:eastAsiaTheme="minorEastAsia"/>
          </w:rPr>
          <w:t xml:space="preserve">While the literature review was not conclusive, there are certain conditions under which retailers may choose to imitate their competitors. Marketing and stocking behavior was highly structured for smaller retailers. In comparison, larger box stores specialize in higher volume of lower-end washers. However, none of the papers directly supported the claim that non-participating retailers will mirror decisions made by participating retailers. </w:t>
        </w:r>
        <w:proofErr w:type="spellStart"/>
        <w:r>
          <w:rPr>
            <w:rFonts w:eastAsiaTheme="minorEastAsia"/>
          </w:rPr>
          <w:t>ComEd’s</w:t>
        </w:r>
        <w:proofErr w:type="spellEnd"/>
        <w:r>
          <w:rPr>
            <w:rFonts w:eastAsiaTheme="minorEastAsia"/>
          </w:rPr>
          <w:t xml:space="preserve"> evaluator determined the </w:t>
        </w:r>
        <w:r w:rsidRPr="1B6F6109">
          <w:rPr>
            <w:rFonts w:eastAsiaTheme="minorEastAsia"/>
          </w:rPr>
          <w:t>net lift for non-participating retailers should be set at 50% of the lift observed in participating retailers</w:t>
        </w:r>
        <w:r>
          <w:rPr>
            <w:rFonts w:eastAsiaTheme="minorEastAsia"/>
          </w:rPr>
          <w:t xml:space="preserve"> in ComEd territory, to acknowledge the program may be influencing non-participating retailers, but further investigation is needed to understand the full nature of program influence on non-participating retailers</w:t>
        </w:r>
        <w:r w:rsidRPr="1B6F6109">
          <w:rPr>
            <w:rFonts w:eastAsiaTheme="minorEastAsia"/>
          </w:rPr>
          <w:t xml:space="preserve">. </w:t>
        </w:r>
      </w:ins>
    </w:p>
    <w:p w14:paraId="499CA7E8" w14:textId="77777777" w:rsidR="00E3500B" w:rsidRPr="00A57982" w:rsidRDefault="00E3500B" w:rsidP="00E3500B">
      <w:pPr>
        <w:pStyle w:val="Heading2"/>
        <w:widowControl/>
        <w:numPr>
          <w:ilvl w:val="2"/>
          <w:numId w:val="82"/>
        </w:numPr>
        <w:jc w:val="left"/>
        <w:rPr>
          <w:ins w:id="2729" w:author="Celia Johnson" w:date="2022-09-06T13:24:00Z"/>
          <w:szCs w:val="24"/>
        </w:rPr>
      </w:pPr>
      <w:bookmarkStart w:id="2730" w:name="_Toc105195148"/>
      <w:bookmarkStart w:id="2731" w:name="_Ref109813739"/>
      <w:bookmarkStart w:id="2732" w:name="_Toc113365572"/>
      <w:bookmarkStart w:id="2733" w:name="_Toc113619892"/>
      <w:ins w:id="2734" w:author="Celia Johnson" w:date="2022-09-06T13:24:00Z">
        <w:r>
          <w:t>Interactions with Other Efficiency Programs</w:t>
        </w:r>
        <w:bookmarkEnd w:id="2730"/>
        <w:bookmarkEnd w:id="2731"/>
        <w:bookmarkEnd w:id="2732"/>
        <w:bookmarkEnd w:id="2733"/>
      </w:ins>
    </w:p>
    <w:p w14:paraId="19E2538A" w14:textId="77777777" w:rsidR="00E3500B" w:rsidRDefault="00E3500B" w:rsidP="00E3500B">
      <w:pPr>
        <w:rPr>
          <w:ins w:id="2735" w:author="Celia Johnson" w:date="2022-09-06T13:24:00Z"/>
          <w:rFonts w:eastAsiaTheme="minorEastAsia"/>
        </w:rPr>
      </w:pPr>
      <w:ins w:id="2736" w:author="Celia Johnson" w:date="2022-09-06T13:24:00Z">
        <w:r w:rsidRPr="1B6F6109">
          <w:rPr>
            <w:rFonts w:eastAsiaTheme="minorEastAsia"/>
          </w:rPr>
          <w:t xml:space="preserve">In order to avoid double counting savings from the same piece of equipment, the </w:t>
        </w:r>
        <w:r>
          <w:rPr>
            <w:rFonts w:eastAsiaTheme="minorEastAsia"/>
          </w:rPr>
          <w:t xml:space="preserve">like-for-like </w:t>
        </w:r>
        <w:r w:rsidRPr="1B6F6109">
          <w:rPr>
            <w:rFonts w:eastAsiaTheme="minorEastAsia"/>
          </w:rPr>
          <w:t xml:space="preserve">energy and demand savings from other resource acquisition programs (i.e., </w:t>
        </w:r>
        <w:proofErr w:type="spellStart"/>
        <w:r w:rsidRPr="1B6F6109">
          <w:rPr>
            <w:rFonts w:eastAsiaTheme="minorEastAsia"/>
          </w:rPr>
          <w:t>ComEd’s</w:t>
        </w:r>
        <w:proofErr w:type="spellEnd"/>
        <w:r w:rsidRPr="1B6F6109">
          <w:rPr>
            <w:rFonts w:eastAsiaTheme="minorEastAsia"/>
          </w:rPr>
          <w:t xml:space="preserve"> Appliance Rebate Program) should be removed from the ESRPP savings. Tracking data from resource acquisition programs are likely to differ from the program administrator data portal provided through the ESRPP, which may require additional data cleaning and processing. </w:t>
        </w:r>
      </w:ins>
    </w:p>
    <w:p w14:paraId="1AAB89F6" w14:textId="77777777" w:rsidR="00E3500B" w:rsidRDefault="00E3500B" w:rsidP="00E3500B">
      <w:pPr>
        <w:rPr>
          <w:ins w:id="2737" w:author="Celia Johnson" w:date="2022-09-06T13:24:00Z"/>
          <w:rFonts w:eastAsiaTheme="minorEastAsia"/>
        </w:rPr>
      </w:pPr>
      <w:ins w:id="2738" w:author="Celia Johnson" w:date="2022-09-06T13:24:00Z">
        <w:r w:rsidRPr="1B6F6109">
          <w:rPr>
            <w:rFonts w:eastAsiaTheme="minorEastAsia"/>
          </w:rPr>
          <w:t xml:space="preserve">Tracking data from other resource acquisition programs should be cleaned and categorized using the same procedures which are applied to the </w:t>
        </w:r>
        <w:r>
          <w:rPr>
            <w:rFonts w:eastAsiaTheme="minorEastAsia"/>
          </w:rPr>
          <w:t xml:space="preserve">ESRPP </w:t>
        </w:r>
        <w:r w:rsidRPr="1B6F6109">
          <w:rPr>
            <w:rFonts w:eastAsiaTheme="minorEastAsia"/>
          </w:rPr>
          <w:t>sales portal data. Only the net energy and net demand savings from product configurations</w:t>
        </w:r>
        <w:r>
          <w:rPr>
            <w:rFonts w:eastAsiaTheme="minorEastAsia"/>
          </w:rPr>
          <w:t xml:space="preserve"> and efficiency tiers</w:t>
        </w:r>
        <w:r w:rsidRPr="1B6F6109">
          <w:rPr>
            <w:rFonts w:eastAsiaTheme="minorEastAsia"/>
          </w:rPr>
          <w:t xml:space="preserve"> which match the efficiency categories incented through ESRPP should be removed. ESRPP does not apply a NTG ratio as other programs since program savings are only those above the natural market baseline, referred to here as gross ESRPP savings. Verified net savings for ESRPP are then equal to gross program savings less net downstream savings. </w:t>
        </w:r>
      </w:ins>
    </w:p>
    <w:p w14:paraId="41D85804" w14:textId="77777777" w:rsidR="00E3500B" w:rsidRDefault="00E3500B" w:rsidP="00E3500B">
      <w:pPr>
        <w:rPr>
          <w:ins w:id="2739" w:author="Celia Johnson" w:date="2022-09-06T13:41:00Z"/>
          <w:rFonts w:cstheme="minorHAnsi"/>
        </w:rPr>
      </w:pPr>
    </w:p>
    <w:p w14:paraId="23B56D64" w14:textId="77777777" w:rsidR="00E3500B" w:rsidRDefault="00E3500B" w:rsidP="00E3500B">
      <w:pPr>
        <w:rPr>
          <w:ins w:id="2740" w:author="Celia Johnson" w:date="2022-09-06T13:43:00Z"/>
          <w:rFonts w:cstheme="minorHAnsi"/>
        </w:rPr>
      </w:pPr>
    </w:p>
    <w:p w14:paraId="02326A4D" w14:textId="77777777" w:rsidR="00E3500B" w:rsidRDefault="00E3500B" w:rsidP="00E3500B">
      <w:pPr>
        <w:rPr>
          <w:ins w:id="2741" w:author="Celia Johnson" w:date="2022-09-06T13:43:00Z"/>
          <w:rFonts w:cstheme="minorHAnsi"/>
        </w:rPr>
      </w:pPr>
    </w:p>
    <w:p w14:paraId="6324BEB3" w14:textId="77777777" w:rsidR="00E3500B" w:rsidRDefault="00E3500B" w:rsidP="00E3500B">
      <w:pPr>
        <w:rPr>
          <w:ins w:id="2742" w:author="Celia Johnson" w:date="2022-09-06T13:43:00Z"/>
          <w:rFonts w:cstheme="minorHAnsi"/>
        </w:rPr>
      </w:pPr>
    </w:p>
    <w:p w14:paraId="13B4B1BF" w14:textId="77777777" w:rsidR="00E3500B" w:rsidRPr="005F75ED" w:rsidRDefault="00E3500B" w:rsidP="00E3500B">
      <w:pPr>
        <w:rPr>
          <w:ins w:id="2743" w:author="Celia Johnson" w:date="2022-09-06T13:24:00Z"/>
          <w:rFonts w:cstheme="minorHAnsi"/>
        </w:rPr>
      </w:pPr>
    </w:p>
    <w:p w14:paraId="1613B944" w14:textId="77777777" w:rsidR="00E3500B" w:rsidRPr="006D2CCF" w:rsidRDefault="00E3500B" w:rsidP="00E3500B">
      <w:pPr>
        <w:rPr>
          <w:ins w:id="2744" w:author="Celia Johnson" w:date="2022-09-06T13:22:00Z"/>
          <w:rFonts w:eastAsiaTheme="majorEastAsia"/>
        </w:rPr>
      </w:pPr>
    </w:p>
    <w:p w14:paraId="0DB7271E" w14:textId="77777777" w:rsidR="00E3500B" w:rsidRDefault="00E3500B" w:rsidP="00E3500B">
      <w:pPr>
        <w:pStyle w:val="Heading1"/>
        <w:widowControl/>
        <w:numPr>
          <w:ilvl w:val="0"/>
          <w:numId w:val="82"/>
        </w:numPr>
        <w:tabs>
          <w:tab w:val="left" w:pos="720"/>
        </w:tabs>
        <w:spacing w:before="120" w:after="200"/>
        <w:ind w:left="0" w:firstLine="0"/>
        <w:rPr>
          <w:ins w:id="2745" w:author="Celia Johnson" w:date="2022-09-06T13:43:00Z"/>
          <w:rStyle w:val="Heading1Char"/>
        </w:rPr>
      </w:pPr>
      <w:bookmarkStart w:id="2746" w:name="_Toc113365573"/>
      <w:bookmarkStart w:id="2747" w:name="_Toc113619893"/>
      <w:ins w:id="2748" w:author="Celia Johnson" w:date="2022-09-06T13:32:00Z">
        <w:r>
          <w:rPr>
            <w:rStyle w:val="Heading1Char"/>
          </w:rPr>
          <w:lastRenderedPageBreak/>
          <w:t>Addendum: Stretch Code Market Transformation Programs</w:t>
        </w:r>
        <w:bookmarkEnd w:id="2746"/>
        <w:bookmarkEnd w:id="2747"/>
        <w:r>
          <w:rPr>
            <w:rStyle w:val="Heading1Char"/>
          </w:rPr>
          <w:t xml:space="preserve"> </w:t>
        </w:r>
      </w:ins>
    </w:p>
    <w:p w14:paraId="46647354" w14:textId="77777777" w:rsidR="00E3500B" w:rsidRPr="00864E02" w:rsidRDefault="00E3500B" w:rsidP="00E3500B">
      <w:pPr>
        <w:pStyle w:val="Heading2"/>
        <w:widowControl/>
        <w:numPr>
          <w:ilvl w:val="1"/>
          <w:numId w:val="82"/>
        </w:numPr>
        <w:jc w:val="left"/>
        <w:rPr>
          <w:ins w:id="2749" w:author="Celia Johnson" w:date="2022-09-06T13:44:00Z"/>
          <w:sz w:val="28"/>
          <w:szCs w:val="28"/>
        </w:rPr>
      </w:pPr>
      <w:bookmarkStart w:id="2750" w:name="_Toc113365574"/>
      <w:bookmarkStart w:id="2751" w:name="_Toc113619894"/>
      <w:ins w:id="2752" w:author="Celia Johnson" w:date="2022-09-06T13:45:00Z">
        <w:r w:rsidRPr="00854994">
          <w:rPr>
            <w:sz w:val="28"/>
            <w:szCs w:val="28"/>
          </w:rPr>
          <w:t>Introduction</w:t>
        </w:r>
      </w:ins>
      <w:bookmarkEnd w:id="2750"/>
      <w:bookmarkEnd w:id="2751"/>
    </w:p>
    <w:p w14:paraId="16A937A8" w14:textId="77777777" w:rsidR="00E3500B" w:rsidRPr="00E33458" w:rsidRDefault="00E3500B" w:rsidP="00E3500B">
      <w:pPr>
        <w:rPr>
          <w:ins w:id="2753" w:author="Celia Johnson" w:date="2022-09-06T13:44:00Z"/>
          <w:rFonts w:eastAsiaTheme="majorEastAsia"/>
        </w:rPr>
      </w:pPr>
      <w:ins w:id="2754" w:author="Celia Johnson" w:date="2022-09-06T13:44:00Z">
        <w:r w:rsidRPr="00E33458">
          <w:rPr>
            <w:rFonts w:eastAsiaTheme="majorEastAsia"/>
          </w:rPr>
          <w:t xml:space="preserve">Building codes are recognized as an effective way to move the market </w:t>
        </w:r>
        <w:r>
          <w:rPr>
            <w:rFonts w:eastAsiaTheme="majorEastAsia"/>
          </w:rPr>
          <w:t xml:space="preserve">for commercial and residential buildings </w:t>
        </w:r>
        <w:r w:rsidRPr="00E33458">
          <w:rPr>
            <w:rFonts w:eastAsiaTheme="majorEastAsia"/>
          </w:rPr>
          <w:t>toward more energy efficient buildings. Several states have energy efficiency programs that are designed to influence the building energy code and allow the utility administering the program to claim savings through</w:t>
        </w:r>
        <w:r>
          <w:rPr>
            <w:rFonts w:eastAsiaTheme="majorEastAsia"/>
          </w:rPr>
          <w:t xml:space="preserve"> a</w:t>
        </w:r>
        <w:r w:rsidRPr="00E33458">
          <w:rPr>
            <w:rFonts w:eastAsiaTheme="majorEastAsia"/>
          </w:rPr>
          <w:t xml:space="preserve"> Market Transformation</w:t>
        </w:r>
        <w:r>
          <w:rPr>
            <w:rFonts w:eastAsiaTheme="majorEastAsia"/>
          </w:rPr>
          <w:t xml:space="preserve"> (MT) approach to program design and evaluation.</w:t>
        </w:r>
        <w:r w:rsidRPr="00E33458">
          <w:rPr>
            <w:rFonts w:eastAsiaTheme="majorEastAsia"/>
          </w:rPr>
          <w:t xml:space="preserve"> California utilities have been actively influencing codes and standards since the late 1990s. States that have more recently developed code programs include Arizona, Massachusetts, Rhode Island and </w:t>
        </w:r>
        <w:r>
          <w:rPr>
            <w:rFonts w:eastAsiaTheme="majorEastAsia"/>
          </w:rPr>
          <w:t>Colorado</w:t>
        </w:r>
        <w:r w:rsidRPr="00E33458">
          <w:rPr>
            <w:rFonts w:eastAsiaTheme="majorEastAsia"/>
          </w:rPr>
          <w:t xml:space="preserve">.   </w:t>
        </w:r>
      </w:ins>
    </w:p>
    <w:p w14:paraId="74C8EF36" w14:textId="77777777" w:rsidR="00E3500B" w:rsidRDefault="00E3500B" w:rsidP="00E3500B">
      <w:pPr>
        <w:rPr>
          <w:ins w:id="2755" w:author="Celia Johnson" w:date="2022-09-06T13:45:00Z"/>
          <w:rFonts w:eastAsiaTheme="majorEastAsia"/>
        </w:rPr>
      </w:pPr>
      <w:ins w:id="2756" w:author="Celia Johnson" w:date="2022-09-06T13:44:00Z">
        <w:r w:rsidRPr="00E33458">
          <w:rPr>
            <w:rFonts w:eastAsiaTheme="majorEastAsia"/>
          </w:rPr>
          <w:t xml:space="preserve">Illinois utilities </w:t>
        </w:r>
        <w:r>
          <w:rPr>
            <w:rFonts w:eastAsiaTheme="majorEastAsia"/>
          </w:rPr>
          <w:t xml:space="preserve">can </w:t>
        </w:r>
        <w:r w:rsidRPr="00E33458">
          <w:rPr>
            <w:rFonts w:eastAsiaTheme="majorEastAsia"/>
          </w:rPr>
          <w:t xml:space="preserve">currently claim energy savings for incentivizing new construction buildings to be built beyond existing energy code requirements. </w:t>
        </w:r>
        <w:r>
          <w:rPr>
            <w:rFonts w:eastAsiaTheme="majorEastAsia"/>
          </w:rPr>
          <w:t>If a</w:t>
        </w:r>
        <w:r w:rsidRPr="00E33458">
          <w:rPr>
            <w:rFonts w:eastAsiaTheme="majorEastAsia"/>
          </w:rPr>
          <w:t xml:space="preserve"> municipality were to adopt a </w:t>
        </w:r>
        <w:r>
          <w:rPr>
            <w:rFonts w:eastAsiaTheme="majorEastAsia"/>
          </w:rPr>
          <w:t>“</w:t>
        </w:r>
        <w:r w:rsidRPr="00E33458">
          <w:rPr>
            <w:rFonts w:eastAsiaTheme="majorEastAsia"/>
          </w:rPr>
          <w:t>stretch</w:t>
        </w:r>
        <w:r>
          <w:rPr>
            <w:rFonts w:eastAsiaTheme="majorEastAsia"/>
          </w:rPr>
          <w:t>”</w:t>
        </w:r>
        <w:r w:rsidRPr="00E33458">
          <w:rPr>
            <w:rFonts w:eastAsiaTheme="majorEastAsia"/>
          </w:rPr>
          <w:t xml:space="preserve"> ene</w:t>
        </w:r>
        <w:r>
          <w:rPr>
            <w:rFonts w:eastAsiaTheme="majorEastAsia"/>
          </w:rPr>
          <w:t>r</w:t>
        </w:r>
        <w:r w:rsidRPr="00E33458">
          <w:rPr>
            <w:rFonts w:eastAsiaTheme="majorEastAsia"/>
          </w:rPr>
          <w:t xml:space="preserve">gy code—a locally mandated code or alternative compliance path </w:t>
        </w:r>
        <w:r>
          <w:rPr>
            <w:rFonts w:eastAsiaTheme="majorEastAsia"/>
          </w:rPr>
          <w:t>requiring</w:t>
        </w:r>
        <w:r w:rsidRPr="00E33458">
          <w:rPr>
            <w:rFonts w:eastAsiaTheme="majorEastAsia"/>
          </w:rPr>
          <w:t xml:space="preserve"> a level of energy efficiency </w:t>
        </w:r>
        <w:r>
          <w:rPr>
            <w:rFonts w:eastAsiaTheme="majorEastAsia"/>
          </w:rPr>
          <w:t xml:space="preserve">more stringent </w:t>
        </w:r>
        <w:r w:rsidRPr="00E33458">
          <w:rPr>
            <w:rFonts w:eastAsiaTheme="majorEastAsia"/>
          </w:rPr>
          <w:t>than the</w:t>
        </w:r>
        <w:r>
          <w:rPr>
            <w:rFonts w:eastAsiaTheme="majorEastAsia"/>
          </w:rPr>
          <w:t xml:space="preserve"> current code—the stretch code would become the baseline against which utilities could claim savings if its new construction programs were to be evaluated as a traditional resource acquisition program. If utility activities are designed and evaluated as MT programs, on the other hand, </w:t>
        </w:r>
        <w:r w:rsidRPr="00102D5A">
          <w:rPr>
            <w:rFonts w:eastAsiaTheme="majorEastAsia"/>
          </w:rPr>
          <w:t>utilit</w:t>
        </w:r>
        <w:r w:rsidRPr="005D2701">
          <w:rPr>
            <w:rFonts w:eastAsiaTheme="majorEastAsia"/>
          </w:rPr>
          <w:t xml:space="preserve">y activities would be conducted and evaluated </w:t>
        </w:r>
        <w:r>
          <w:rPr>
            <w:rFonts w:eastAsiaTheme="majorEastAsia"/>
          </w:rPr>
          <w:t>through a different lens. Key activities would include assisting the state and municipalities in developing and implementing a stretch energy code, and in providing assistance to municipalities and buildings in complying with the new code.</w:t>
        </w:r>
        <w:r w:rsidRPr="00E33458">
          <w:rPr>
            <w:rFonts w:eastAsiaTheme="majorEastAsia"/>
          </w:rPr>
          <w:t xml:space="preserve"> </w:t>
        </w:r>
        <w:r>
          <w:rPr>
            <w:rFonts w:eastAsiaTheme="majorEastAsia"/>
          </w:rPr>
          <w:t>T</w:t>
        </w:r>
        <w:r w:rsidRPr="00E33458">
          <w:rPr>
            <w:rFonts w:eastAsiaTheme="majorEastAsia"/>
          </w:rPr>
          <w:t xml:space="preserve">his document provides </w:t>
        </w:r>
        <w:r>
          <w:rPr>
            <w:rFonts w:eastAsiaTheme="majorEastAsia"/>
          </w:rPr>
          <w:t xml:space="preserve">an overview of </w:t>
        </w:r>
        <w:r w:rsidRPr="00E33458">
          <w:rPr>
            <w:rFonts w:eastAsiaTheme="majorEastAsia"/>
          </w:rPr>
          <w:t xml:space="preserve">evaluation pathways and methods </w:t>
        </w:r>
        <w:r>
          <w:rPr>
            <w:rFonts w:eastAsiaTheme="majorEastAsia"/>
          </w:rPr>
          <w:t xml:space="preserve">to be applied under a MT framework </w:t>
        </w:r>
        <w:r w:rsidRPr="00E33458">
          <w:rPr>
            <w:rFonts w:eastAsiaTheme="majorEastAsia"/>
          </w:rPr>
          <w:t xml:space="preserve">for utilities to claim savings for stretch code </w:t>
        </w:r>
        <w:r>
          <w:rPr>
            <w:rFonts w:eastAsiaTheme="majorEastAsia"/>
          </w:rPr>
          <w:t xml:space="preserve">policy </w:t>
        </w:r>
        <w:r w:rsidRPr="00E33458">
          <w:rPr>
            <w:rFonts w:eastAsiaTheme="majorEastAsia"/>
          </w:rPr>
          <w:t xml:space="preserve">advancement and </w:t>
        </w:r>
        <w:r>
          <w:rPr>
            <w:rFonts w:eastAsiaTheme="majorEastAsia"/>
          </w:rPr>
          <w:t>compliance</w:t>
        </w:r>
        <w:r w:rsidRPr="00E33458">
          <w:rPr>
            <w:rFonts w:eastAsiaTheme="majorEastAsia"/>
          </w:rPr>
          <w:t xml:space="preserve"> support. </w:t>
        </w:r>
      </w:ins>
    </w:p>
    <w:p w14:paraId="5B8DD9E2" w14:textId="77777777" w:rsidR="00E3500B" w:rsidRPr="00864E02" w:rsidRDefault="00E3500B" w:rsidP="00E3500B">
      <w:pPr>
        <w:pStyle w:val="Heading2"/>
        <w:widowControl/>
        <w:numPr>
          <w:ilvl w:val="1"/>
          <w:numId w:val="82"/>
        </w:numPr>
        <w:jc w:val="left"/>
        <w:rPr>
          <w:ins w:id="2757" w:author="Celia Johnson" w:date="2022-09-06T13:45:00Z"/>
          <w:sz w:val="28"/>
          <w:szCs w:val="28"/>
        </w:rPr>
      </w:pPr>
      <w:bookmarkStart w:id="2758" w:name="_Toc113365575"/>
      <w:bookmarkStart w:id="2759" w:name="_Toc113619895"/>
      <w:ins w:id="2760" w:author="Celia Johnson" w:date="2022-09-06T13:46:00Z">
        <w:r>
          <w:rPr>
            <w:sz w:val="28"/>
            <w:szCs w:val="28"/>
          </w:rPr>
          <w:t>Stretch Codes Paths in Illinois</w:t>
        </w:r>
      </w:ins>
      <w:bookmarkEnd w:id="2758"/>
      <w:bookmarkEnd w:id="2759"/>
    </w:p>
    <w:p w14:paraId="6BECA943" w14:textId="77777777" w:rsidR="00E3500B" w:rsidRDefault="00E3500B" w:rsidP="00E3500B">
      <w:pPr>
        <w:rPr>
          <w:ins w:id="2761" w:author="Celia Johnson" w:date="2022-09-06T13:44:00Z"/>
        </w:rPr>
      </w:pPr>
      <w:ins w:id="2762" w:author="Celia Johnson" w:date="2022-09-06T13:44:00Z">
        <w:r w:rsidRPr="00A962F9">
          <w:t>A stretch code</w:t>
        </w:r>
        <w:r>
          <w:t xml:space="preserve"> </w:t>
        </w:r>
        <w:r w:rsidRPr="00A962F9">
          <w:t xml:space="preserve">is a locally mandated code or alternative compliance path that </w:t>
        </w:r>
        <w:r w:rsidRPr="00601C88">
          <w:t>requires</w:t>
        </w:r>
        <w:r w:rsidRPr="00A962F9">
          <w:t xml:space="preserve"> a higher level of energy efficiency or sustainability than the adopted base </w:t>
        </w:r>
        <w:r>
          <w:t xml:space="preserve">energy </w:t>
        </w:r>
        <w:r w:rsidRPr="00A962F9">
          <w:t>code.</w:t>
        </w:r>
        <w:r>
          <w:t xml:space="preserve"> There are several ways that Illinois municipalities can move forward with adopting stretch codes, as described below.   </w:t>
        </w:r>
      </w:ins>
    </w:p>
    <w:p w14:paraId="71265A56" w14:textId="77777777" w:rsidR="00E3500B" w:rsidRDefault="00E3500B" w:rsidP="00E3500B">
      <w:pPr>
        <w:rPr>
          <w:ins w:id="2763" w:author="Celia Johnson" w:date="2022-09-06T13:44:00Z"/>
        </w:rPr>
      </w:pPr>
      <w:ins w:id="2764" w:author="Celia Johnson" w:date="2022-09-06T13:44:00Z">
        <w:r w:rsidRPr="005F7959">
          <w:rPr>
            <w:b/>
            <w:bCs/>
          </w:rPr>
          <w:t>Adoption of the CEJA Stretch Code.</w:t>
        </w:r>
        <w:r>
          <w:t xml:space="preserve"> Passed in September 2021, Illinois Public Act 102-0662 (the Climate and Equitable Jobs Act, or CEJA) directed the Illinois Capital Development Board (CDB), which manages the state building energy code adoption process, to create a residential and commercial stretch energy code that can be adopted by individual municipalities. Once formally adopted by a municipality, the stretch code would take the place of the municipality’s existing energy code (likely the state base energy code) and establish new minimum energy efficiency requirements for new construction, additions, and major renovation projects. </w:t>
        </w:r>
      </w:ins>
    </w:p>
    <w:p w14:paraId="67647DC4" w14:textId="77777777" w:rsidR="00E3500B" w:rsidRDefault="00E3500B" w:rsidP="00E3500B">
      <w:pPr>
        <w:rPr>
          <w:ins w:id="2765" w:author="Celia Johnson" w:date="2022-09-06T13:44:00Z"/>
        </w:rPr>
      </w:pPr>
      <w:ins w:id="2766" w:author="Celia Johnson" w:date="2022-09-06T13:44:00Z">
        <w:r>
          <w:t xml:space="preserve">Illinois municipalities have long had the option of adopting their own version of above-code energy conservation codes for commercial buildings, but no municipality has done so as of August 2022. The CEJA-mandated model stretch code, which will be available for adoption by municipalities no later than January 1, 2024, will offer a pathway to driving higher energy performance in buildings located in those municipalities. While the legislation does not require that a municipality adopt the stretch code and enforce its compliance, utilities can influence/motivate a local stretch code adoption and/or provide compliance support.  </w:t>
        </w:r>
      </w:ins>
    </w:p>
    <w:p w14:paraId="1539B108" w14:textId="77777777" w:rsidR="00E3500B" w:rsidRDefault="00E3500B" w:rsidP="00E3500B">
      <w:pPr>
        <w:rPr>
          <w:ins w:id="2767" w:author="Celia Johnson" w:date="2022-09-06T13:44:00Z"/>
        </w:rPr>
      </w:pPr>
      <w:ins w:id="2768" w:author="Celia Johnson" w:date="2022-09-06T13:44:00Z">
        <w:r w:rsidRPr="00CE45FE">
          <w:rPr>
            <w:b/>
            <w:bCs/>
          </w:rPr>
          <w:t xml:space="preserve">Adoption of energy efficiency measures </w:t>
        </w:r>
        <w:r>
          <w:rPr>
            <w:b/>
            <w:bCs/>
          </w:rPr>
          <w:t>stronger than</w:t>
        </w:r>
        <w:r w:rsidRPr="00CE45FE">
          <w:rPr>
            <w:b/>
            <w:bCs/>
          </w:rPr>
          <w:t xml:space="preserve"> the state base code.</w:t>
        </w:r>
        <w:r>
          <w:t xml:space="preserve"> Prior to the availability of the model stretch code, a jurisdiction can choose to create its own commercial stretch code that is more stringent than the state base energy code. These early adopter cities could either adopt CEJA commercial stretch code targets (prior to actual code language being developed by the State of Illinois) or adopt something stronger than the base code, and then adopt the state-developed CEJA stretch code once it is officially available if desired. There is currently, nor will there be subsequent to the availability of CEJA stretch code in 2024, a </w:t>
        </w:r>
        <w:r w:rsidRPr="00102D5A">
          <w:rPr>
            <w:i/>
            <w:iCs/>
          </w:rPr>
          <w:t>requirement</w:t>
        </w:r>
        <w:r>
          <w:t xml:space="preserve"> that cities adopt stronger energy efficiency measures than the state base code. Although Illinois municipalities already have the option to adopt commercial energy codes stronger than the base code, none have done so to date. Utilities have the opportunity to help facilitate municipality stretch code adoption. </w:t>
        </w:r>
      </w:ins>
    </w:p>
    <w:p w14:paraId="614937CD" w14:textId="77777777" w:rsidR="00E3500B" w:rsidRDefault="00E3500B" w:rsidP="00E3500B">
      <w:pPr>
        <w:rPr>
          <w:ins w:id="2769" w:author="Celia Johnson" w:date="2022-09-06T13:44:00Z"/>
        </w:rPr>
      </w:pPr>
      <w:ins w:id="2770" w:author="Celia Johnson" w:date="2022-09-06T13:44:00Z">
        <w:r>
          <w:t>For residential buildings, no jurisdiction can mandate that residential building codes be stronger than the base state energy code</w:t>
        </w:r>
        <w:r w:rsidRPr="006A1BD3">
          <w:t xml:space="preserve"> </w:t>
        </w:r>
        <w:r>
          <w:t xml:space="preserve">prior to the January 2024 availability of the CEJA stretch code, with the exception of home-rule cities that adopted an energy code prior to 2006 (and municipalities with population greater than 1 million, as described </w:t>
        </w:r>
        <w:r>
          <w:lastRenderedPageBreak/>
          <w:t xml:space="preserve">in the section below). These few cities can choose to create their own residential stretch code that is more stringent than the state base energy code. </w:t>
        </w:r>
      </w:ins>
    </w:p>
    <w:p w14:paraId="50EEA0A4" w14:textId="77777777" w:rsidR="00E3500B" w:rsidRDefault="00E3500B" w:rsidP="00E3500B">
      <w:pPr>
        <w:rPr>
          <w:ins w:id="2771" w:author="Celia Johnson" w:date="2022-09-06T13:46:00Z"/>
        </w:rPr>
      </w:pPr>
      <w:ins w:id="2772" w:author="Celia Johnson" w:date="2022-09-06T13:44:00Z">
        <w:r>
          <w:t>As in previous legislation, the City of C</w:t>
        </w:r>
        <w:r w:rsidRPr="008A43D7">
          <w:t>hicago can choose to adopt any energy conservation code</w:t>
        </w:r>
        <w:r>
          <w:t xml:space="preserve"> it desires</w:t>
        </w:r>
        <w:r w:rsidRPr="008A43D7">
          <w:t xml:space="preserve"> (for both commercial and residential buildings), as long as it is at least as efficient as the state energy code.</w:t>
        </w:r>
        <w:r>
          <w:t xml:space="preserve"> The City of Chicago may choose to adopt the CEJA Stretch Code, or its own version of a stretch code.</w:t>
        </w:r>
      </w:ins>
    </w:p>
    <w:p w14:paraId="6D95A65E" w14:textId="77777777" w:rsidR="00E3500B" w:rsidRPr="00864E02" w:rsidRDefault="00E3500B" w:rsidP="00E3500B">
      <w:pPr>
        <w:pStyle w:val="Heading2"/>
        <w:widowControl/>
        <w:numPr>
          <w:ilvl w:val="1"/>
          <w:numId w:val="82"/>
        </w:numPr>
        <w:jc w:val="left"/>
        <w:rPr>
          <w:ins w:id="2773" w:author="Celia Johnson" w:date="2022-09-06T13:44:00Z"/>
          <w:sz w:val="28"/>
          <w:szCs w:val="28"/>
        </w:rPr>
      </w:pPr>
      <w:bookmarkStart w:id="2774" w:name="_Toc112665993"/>
      <w:bookmarkStart w:id="2775" w:name="_Toc113365576"/>
      <w:bookmarkStart w:id="2776" w:name="_Toc113619896"/>
      <w:ins w:id="2777" w:author="Celia Johnson" w:date="2022-09-06T13:44:00Z">
        <w:r w:rsidRPr="00864E02">
          <w:rPr>
            <w:sz w:val="28"/>
            <w:szCs w:val="28"/>
          </w:rPr>
          <w:t>Market Transformation Stretch Code Policy Advancement and Compliance Support Program Description</w:t>
        </w:r>
        <w:bookmarkEnd w:id="2774"/>
        <w:bookmarkEnd w:id="2775"/>
        <w:bookmarkEnd w:id="2776"/>
      </w:ins>
    </w:p>
    <w:p w14:paraId="211C487B" w14:textId="77777777" w:rsidR="00E3500B" w:rsidRDefault="00E3500B" w:rsidP="00E3500B">
      <w:pPr>
        <w:rPr>
          <w:ins w:id="2778" w:author="Celia Johnson" w:date="2022-09-06T13:44:00Z"/>
        </w:rPr>
      </w:pPr>
      <w:ins w:id="2779" w:author="Celia Johnson" w:date="2022-09-06T13:44:00Z">
        <w:r w:rsidRPr="00BD251C">
          <w:rPr>
            <w:rFonts w:eastAsiaTheme="majorEastAsia"/>
          </w:rPr>
          <w:t xml:space="preserve">Attachment C of the Illinois TRM defines </w:t>
        </w:r>
        <w:r>
          <w:rPr>
            <w:rFonts w:eastAsiaTheme="majorEastAsia"/>
          </w:rPr>
          <w:t xml:space="preserve">MT </w:t>
        </w:r>
        <w:r w:rsidRPr="00BD251C">
          <w:rPr>
            <w:rFonts w:eastAsiaTheme="majorEastAsia"/>
          </w:rPr>
          <w:t>as the strategic process of intervening in a market to create lasting change that results in the accelerated adoption of energy efficient products, services, and practices.</w:t>
        </w:r>
        <w:r>
          <w:rPr>
            <w:rFonts w:eastAsiaTheme="majorEastAsia"/>
          </w:rPr>
          <w:t xml:space="preserve"> In the energy codes context, using a MT approach, utilities </w:t>
        </w:r>
        <w:r>
          <w:t xml:space="preserve">can play a role in two distinct ways: first, by supporting state and municipal efforts to advance and adopt stretch codes through technical guidance and policy development, and second, by providing stretch code compliance support through programs that provide technical assistance, enforcement assistance, and training for municipalities, contractors, and building owners. The utilities should document the MT approach by developing a logic model, associated market progress indicators, and a natural market baseline against which they can measure the effect of utility interventions in the stretch code market. </w:t>
        </w:r>
      </w:ins>
    </w:p>
    <w:p w14:paraId="5515528D" w14:textId="77777777" w:rsidR="00E3500B" w:rsidRDefault="00E3500B" w:rsidP="00E3500B">
      <w:pPr>
        <w:rPr>
          <w:ins w:id="2780" w:author="Celia Johnson" w:date="2022-09-06T13:46:00Z"/>
        </w:rPr>
      </w:pPr>
      <w:ins w:id="2781" w:author="Celia Johnson" w:date="2022-09-06T13:44:00Z">
        <w:r>
          <w:t>As outlined in Attachment C, MT programs require methods of evaluation that are substantially different from those used for Resource Acquisition Programs (RAPs). Utility actions in support of stretch code policy advancement versus stretch code compliance support are complementary but differ in many ways. The evaluation methodology must examine the effectiveness of the utility interventions pertaining to both of these sets of actions throughout the process, from the early stages of code policy development to driving compliance with a stretch code after it has been adopted by a municipality, as measured against the defined MT theory and established market progress indicators. A MT evaluation will ensure that savings are not double-counted with existing resource acquisition programs.</w:t>
        </w:r>
      </w:ins>
    </w:p>
    <w:p w14:paraId="2E0CCA15" w14:textId="77777777" w:rsidR="00E3500B" w:rsidRPr="00864E02" w:rsidRDefault="00E3500B" w:rsidP="00E3500B">
      <w:pPr>
        <w:pStyle w:val="Heading2"/>
        <w:widowControl/>
        <w:numPr>
          <w:ilvl w:val="2"/>
          <w:numId w:val="82"/>
        </w:numPr>
        <w:jc w:val="left"/>
        <w:rPr>
          <w:ins w:id="2782" w:author="Celia Johnson" w:date="2022-09-06T13:44:00Z"/>
          <w:sz w:val="28"/>
          <w:szCs w:val="28"/>
        </w:rPr>
      </w:pPr>
      <w:bookmarkStart w:id="2783" w:name="_Toc112665994"/>
      <w:bookmarkStart w:id="2784" w:name="_Toc113365577"/>
      <w:bookmarkStart w:id="2785" w:name="_Toc113619897"/>
      <w:ins w:id="2786" w:author="Celia Johnson" w:date="2022-09-06T13:44:00Z">
        <w:r>
          <w:t>Stretch Code Policy Advancement Activities</w:t>
        </w:r>
        <w:bookmarkEnd w:id="2783"/>
        <w:bookmarkEnd w:id="2784"/>
        <w:bookmarkEnd w:id="2785"/>
      </w:ins>
    </w:p>
    <w:p w14:paraId="3BB15FD2" w14:textId="77777777" w:rsidR="00E3500B" w:rsidRDefault="00E3500B" w:rsidP="00E3500B">
      <w:pPr>
        <w:rPr>
          <w:ins w:id="2787" w:author="Celia Johnson" w:date="2022-09-06T13:44:00Z"/>
        </w:rPr>
      </w:pPr>
      <w:ins w:id="2788" w:author="Celia Johnson" w:date="2022-09-06T13:44:00Z">
        <w:r>
          <w:t xml:space="preserve">The process by which a stretch code is adopted at a </w:t>
        </w:r>
        <w:r w:rsidRPr="003A26ED">
          <w:t xml:space="preserve">municipal </w:t>
        </w:r>
        <w:r>
          <w:t>level is driven by a specific municipality’s policy-making process.  Utilities may influence stretch code policy advancement by c</w:t>
        </w:r>
        <w:r w:rsidRPr="008858B9">
          <w:t xml:space="preserve">reating, providing and/or presenting </w:t>
        </w:r>
        <w:r>
          <w:t>u</w:t>
        </w:r>
        <w:r w:rsidRPr="008A242F">
          <w:t>tility</w:t>
        </w:r>
        <w:r>
          <w:t>-i</w:t>
        </w:r>
        <w:r w:rsidRPr="008A242F">
          <w:t xml:space="preserve">nitiated </w:t>
        </w:r>
        <w:r>
          <w:t>r</w:t>
        </w:r>
        <w:r w:rsidRPr="008A242F">
          <w:t>esearch</w:t>
        </w:r>
        <w:r w:rsidRPr="008858B9">
          <w:t xml:space="preserve"> to a group o</w:t>
        </w:r>
        <w:r>
          <w:t>f</w:t>
        </w:r>
        <w:r w:rsidRPr="008858B9">
          <w:t xml:space="preserve"> key stakeholders</w:t>
        </w:r>
        <w:r w:rsidRPr="00ED3FEA">
          <w:t xml:space="preserve"> </w:t>
        </w:r>
        <w:r>
          <w:t xml:space="preserve">and providing input to the policy-making process. A utility is uniquely positioned to be involved and influence the process for stretch code adoption through activities such as:  </w:t>
        </w:r>
      </w:ins>
    </w:p>
    <w:p w14:paraId="1EB5CD1D" w14:textId="77777777" w:rsidR="00E3500B" w:rsidRDefault="00E3500B">
      <w:pPr>
        <w:pStyle w:val="ListParagraph"/>
        <w:widowControl/>
        <w:numPr>
          <w:ilvl w:val="0"/>
          <w:numId w:val="119"/>
        </w:numPr>
        <w:rPr>
          <w:ins w:id="2789" w:author="Celia Johnson" w:date="2022-09-06T13:44:00Z"/>
        </w:rPr>
      </w:pPr>
      <w:ins w:id="2790" w:author="Celia Johnson" w:date="2022-09-06T13:44:00Z">
        <w:r>
          <w:t>Conducting and disseminating research</w:t>
        </w:r>
      </w:ins>
    </w:p>
    <w:p w14:paraId="3F8A9280" w14:textId="77777777" w:rsidR="00E3500B" w:rsidRDefault="00E3500B">
      <w:pPr>
        <w:pStyle w:val="ListParagraph"/>
        <w:widowControl/>
        <w:numPr>
          <w:ilvl w:val="0"/>
          <w:numId w:val="119"/>
        </w:numPr>
        <w:rPr>
          <w:ins w:id="2791" w:author="Celia Johnson" w:date="2022-09-06T13:44:00Z"/>
        </w:rPr>
      </w:pPr>
      <w:ins w:id="2792" w:author="Celia Johnson" w:date="2022-09-06T13:44:00Z">
        <w:r>
          <w:t>Actively participating in discussions at public or decision-making meetings</w:t>
        </w:r>
      </w:ins>
    </w:p>
    <w:p w14:paraId="4222FE7C" w14:textId="77777777" w:rsidR="00E3500B" w:rsidRDefault="00E3500B">
      <w:pPr>
        <w:pStyle w:val="ListParagraph"/>
        <w:widowControl/>
        <w:numPr>
          <w:ilvl w:val="0"/>
          <w:numId w:val="119"/>
        </w:numPr>
        <w:rPr>
          <w:ins w:id="2793" w:author="Celia Johnson" w:date="2022-09-06T13:44:00Z"/>
        </w:rPr>
      </w:pPr>
      <w:ins w:id="2794" w:author="Celia Johnson" w:date="2022-09-06T13:44:00Z">
        <w:r>
          <w:t>Attending public meetings (information-gathering with little-to-no participation)</w:t>
        </w:r>
      </w:ins>
    </w:p>
    <w:p w14:paraId="5389A78C" w14:textId="77777777" w:rsidR="00E3500B" w:rsidRDefault="00E3500B">
      <w:pPr>
        <w:pStyle w:val="ListParagraph"/>
        <w:widowControl/>
        <w:numPr>
          <w:ilvl w:val="0"/>
          <w:numId w:val="119"/>
        </w:numPr>
        <w:rPr>
          <w:ins w:id="2795" w:author="Celia Johnson" w:date="2022-09-06T13:44:00Z"/>
        </w:rPr>
      </w:pPr>
      <w:ins w:id="2796" w:author="Celia Johnson" w:date="2022-09-06T13:44:00Z">
        <w:r>
          <w:t>Writing and submitting comments</w:t>
        </w:r>
      </w:ins>
    </w:p>
    <w:p w14:paraId="62ED9128" w14:textId="77777777" w:rsidR="00E3500B" w:rsidRDefault="00E3500B">
      <w:pPr>
        <w:pStyle w:val="ListParagraph"/>
        <w:widowControl/>
        <w:numPr>
          <w:ilvl w:val="0"/>
          <w:numId w:val="119"/>
        </w:numPr>
        <w:rPr>
          <w:ins w:id="2797" w:author="Celia Johnson" w:date="2022-09-06T13:44:00Z"/>
        </w:rPr>
      </w:pPr>
      <w:ins w:id="2798" w:author="Celia Johnson" w:date="2022-09-06T13:44:00Z">
        <w:r>
          <w:t>Creating, providing and/or presenting information to groups of key stakeholders</w:t>
        </w:r>
      </w:ins>
    </w:p>
    <w:p w14:paraId="4EE68991" w14:textId="77777777" w:rsidR="00E3500B" w:rsidRDefault="00E3500B">
      <w:pPr>
        <w:pStyle w:val="ListParagraph"/>
        <w:widowControl/>
        <w:numPr>
          <w:ilvl w:val="0"/>
          <w:numId w:val="119"/>
        </w:numPr>
        <w:rPr>
          <w:ins w:id="2799" w:author="Celia Johnson" w:date="2022-09-06T13:44:00Z"/>
        </w:rPr>
      </w:pPr>
      <w:ins w:id="2800" w:author="Celia Johnson" w:date="2022-09-06T13:44:00Z">
        <w:r>
          <w:t>Convening stakeholder meetings to develop technical aspects/policy language</w:t>
        </w:r>
      </w:ins>
    </w:p>
    <w:p w14:paraId="7D3857F0" w14:textId="77777777" w:rsidR="00E3500B" w:rsidRDefault="00E3500B">
      <w:pPr>
        <w:pStyle w:val="ListParagraph"/>
        <w:widowControl/>
        <w:numPr>
          <w:ilvl w:val="0"/>
          <w:numId w:val="119"/>
        </w:numPr>
        <w:rPr>
          <w:ins w:id="2801" w:author="Celia Johnson" w:date="2022-09-06T13:44:00Z"/>
        </w:rPr>
      </w:pPr>
      <w:ins w:id="2802" w:author="Celia Johnson" w:date="2022-09-06T13:44:00Z">
        <w:r>
          <w:t>Submitting policy language or recommendations for consideration of adoption</w:t>
        </w:r>
      </w:ins>
    </w:p>
    <w:p w14:paraId="75929156" w14:textId="77777777" w:rsidR="00E3500B" w:rsidRDefault="00E3500B">
      <w:pPr>
        <w:pStyle w:val="ListParagraph"/>
        <w:widowControl/>
        <w:numPr>
          <w:ilvl w:val="0"/>
          <w:numId w:val="119"/>
        </w:numPr>
        <w:rPr>
          <w:ins w:id="2803" w:author="Celia Johnson" w:date="2022-09-06T13:44:00Z"/>
        </w:rPr>
      </w:pPr>
      <w:ins w:id="2804" w:author="Celia Johnson" w:date="2022-09-06T13:44:00Z">
        <w:r>
          <w:t>Funding and conducting participation in public processes on behalf of the utilities</w:t>
        </w:r>
      </w:ins>
    </w:p>
    <w:p w14:paraId="12DE99E3" w14:textId="77777777" w:rsidR="00E3500B" w:rsidRDefault="00E3500B" w:rsidP="00E3500B">
      <w:pPr>
        <w:rPr>
          <w:ins w:id="2805" w:author="Celia Johnson" w:date="2022-09-06T13:47:00Z"/>
        </w:rPr>
      </w:pPr>
      <w:ins w:id="2806" w:author="Celia Johnson" w:date="2022-09-06T13:44:00Z">
        <w:r>
          <w:t>Giving public testimony in support of or against specific policy language/ideas/a</w:t>
        </w:r>
        <w:r w:rsidRPr="00102D5A">
          <w:t xml:space="preserve">ctivities designed to </w:t>
        </w:r>
        <w:r>
          <w:t xml:space="preserve">intervene in the codes market should be documented in the Stretch Codes logic model along with the expected outcomes and outputs from those activities. The activities will have agreed- upon market progress indicators that evaluators will use to assess progress of utility influence. </w:t>
        </w:r>
      </w:ins>
    </w:p>
    <w:p w14:paraId="00C266DF" w14:textId="77777777" w:rsidR="00E3500B" w:rsidRPr="00864E02" w:rsidRDefault="00E3500B" w:rsidP="00E3500B">
      <w:pPr>
        <w:pStyle w:val="Heading2"/>
        <w:widowControl/>
        <w:numPr>
          <w:ilvl w:val="2"/>
          <w:numId w:val="82"/>
        </w:numPr>
        <w:jc w:val="left"/>
        <w:rPr>
          <w:ins w:id="2807" w:author="Celia Johnson" w:date="2022-09-06T13:44:00Z"/>
          <w:sz w:val="28"/>
          <w:szCs w:val="28"/>
        </w:rPr>
      </w:pPr>
      <w:bookmarkStart w:id="2808" w:name="_Toc112665995"/>
      <w:bookmarkStart w:id="2809" w:name="_Toc113365578"/>
      <w:bookmarkStart w:id="2810" w:name="_Toc113619898"/>
      <w:ins w:id="2811" w:author="Celia Johnson" w:date="2022-09-06T13:44:00Z">
        <w:r w:rsidRPr="00C50CEB">
          <w:t>Stretch Code Compliance Support Activities</w:t>
        </w:r>
        <w:bookmarkEnd w:id="2808"/>
        <w:bookmarkEnd w:id="2809"/>
        <w:bookmarkEnd w:id="2810"/>
      </w:ins>
    </w:p>
    <w:p w14:paraId="3CF11E7A" w14:textId="77777777" w:rsidR="00E3500B" w:rsidRDefault="00E3500B" w:rsidP="00E3500B">
      <w:pPr>
        <w:rPr>
          <w:ins w:id="2812" w:author="Celia Johnson" w:date="2022-09-06T13:44:00Z"/>
          <w:rFonts w:eastAsiaTheme="minorHAnsi"/>
        </w:rPr>
      </w:pPr>
      <w:ins w:id="2813" w:author="Celia Johnson" w:date="2022-09-06T13:44:00Z">
        <w:r w:rsidRPr="009C226D">
          <w:rPr>
            <w:rFonts w:eastAsiaTheme="minorHAnsi"/>
          </w:rPr>
          <w:t xml:space="preserve">A stretch code </w:t>
        </w:r>
        <w:r>
          <w:rPr>
            <w:rFonts w:eastAsiaTheme="minorHAnsi"/>
          </w:rPr>
          <w:t>compliance</w:t>
        </w:r>
        <w:r w:rsidRPr="009C226D">
          <w:rPr>
            <w:rFonts w:eastAsiaTheme="minorHAnsi"/>
          </w:rPr>
          <w:t xml:space="preserve"> support program works to increase compliance with an above-code policy that has been passed by the local jurisdiction where it then become</w:t>
        </w:r>
        <w:r>
          <w:rPr>
            <w:rFonts w:eastAsiaTheme="minorHAnsi"/>
          </w:rPr>
          <w:t>s</w:t>
        </w:r>
        <w:r w:rsidRPr="009C226D">
          <w:rPr>
            <w:rFonts w:eastAsiaTheme="minorHAnsi"/>
          </w:rPr>
          <w:t xml:space="preserve"> the minimum code. </w:t>
        </w:r>
        <w:r>
          <w:rPr>
            <w:rFonts w:eastAsiaTheme="minorHAnsi"/>
          </w:rPr>
          <w:t>T</w:t>
        </w:r>
        <w:r w:rsidRPr="009C226D">
          <w:rPr>
            <w:rFonts w:eastAsiaTheme="minorHAnsi"/>
          </w:rPr>
          <w:t xml:space="preserve">he stretch code </w:t>
        </w:r>
        <w:r>
          <w:rPr>
            <w:rFonts w:eastAsiaTheme="minorHAnsi"/>
          </w:rPr>
          <w:t xml:space="preserve">compliance </w:t>
        </w:r>
        <w:r w:rsidRPr="009C226D">
          <w:rPr>
            <w:rFonts w:eastAsiaTheme="minorHAnsi"/>
          </w:rPr>
          <w:t xml:space="preserve">support program is implemented once a policy is adopted. Not every building would immediately achieve 100% compliance with </w:t>
        </w:r>
        <w:r>
          <w:rPr>
            <w:rFonts w:eastAsiaTheme="minorHAnsi"/>
          </w:rPr>
          <w:t xml:space="preserve">the adopted </w:t>
        </w:r>
        <w:r w:rsidRPr="009C226D">
          <w:rPr>
            <w:rFonts w:eastAsiaTheme="minorHAnsi"/>
          </w:rPr>
          <w:t>stretch code strategies; the inclusion of utility-support programs will increase compliance over time.</w:t>
        </w:r>
        <w:r>
          <w:rPr>
            <w:rFonts w:eastAsiaTheme="minorHAnsi"/>
          </w:rPr>
          <w:t xml:space="preserve"> Similar to stretch code policy advancement, utilities have a range of options for supporting municipalities in </w:t>
        </w:r>
        <w:r>
          <w:rPr>
            <w:rFonts w:eastAsiaTheme="minorHAnsi"/>
          </w:rPr>
          <w:lastRenderedPageBreak/>
          <w:t>their implementation and enforcement efforts. Some potential code compliance support activities include:</w:t>
        </w:r>
      </w:ins>
    </w:p>
    <w:p w14:paraId="092B0145" w14:textId="77777777" w:rsidR="00E3500B" w:rsidRDefault="00E3500B">
      <w:pPr>
        <w:pStyle w:val="ListParagraph"/>
        <w:widowControl/>
        <w:numPr>
          <w:ilvl w:val="0"/>
          <w:numId w:val="120"/>
        </w:numPr>
        <w:rPr>
          <w:ins w:id="2814" w:author="Celia Johnson" w:date="2022-09-06T13:44:00Z"/>
        </w:rPr>
      </w:pPr>
      <w:ins w:id="2815" w:author="Celia Johnson" w:date="2022-09-06T13:44:00Z">
        <w:r>
          <w:t>Offering training programs targeting code officials, the design and construction community, and city staff to address knowledge gaps about general code topics, specific measures, or strategies for complying with the stretch code</w:t>
        </w:r>
      </w:ins>
    </w:p>
    <w:p w14:paraId="51DC75ED" w14:textId="77777777" w:rsidR="00E3500B" w:rsidRDefault="00E3500B">
      <w:pPr>
        <w:pStyle w:val="ListParagraph"/>
        <w:widowControl/>
        <w:numPr>
          <w:ilvl w:val="0"/>
          <w:numId w:val="120"/>
        </w:numPr>
        <w:rPr>
          <w:ins w:id="2816" w:author="Celia Johnson" w:date="2022-09-06T13:44:00Z"/>
        </w:rPr>
      </w:pPr>
      <w:ins w:id="2817" w:author="Celia Johnson" w:date="2022-09-06T13:44:00Z">
        <w:r>
          <w:t xml:space="preserve">Providing technical assistance for professionals and municipal officials that may be unsure of how to comply with or measure compliance for specific code requirements (for example, providing on-demand telephone or e-mail support, creating checklists or offering modeling assistance, or supporting a circuit rider which is a third-party specialist who is not a building code official but is expert in energy codes and compliance strategies) </w:t>
        </w:r>
      </w:ins>
    </w:p>
    <w:p w14:paraId="11A4F857" w14:textId="77777777" w:rsidR="00E3500B" w:rsidRPr="008A43D7" w:rsidRDefault="00E3500B">
      <w:pPr>
        <w:pStyle w:val="ListParagraph"/>
        <w:widowControl/>
        <w:numPr>
          <w:ilvl w:val="0"/>
          <w:numId w:val="120"/>
        </w:numPr>
        <w:rPr>
          <w:ins w:id="2818" w:author="Celia Johnson" w:date="2022-09-06T13:44:00Z"/>
        </w:rPr>
      </w:pPr>
      <w:ins w:id="2819" w:author="Celia Johnson" w:date="2022-09-06T13:44:00Z">
        <w:r>
          <w:t>Providing incentives for projects or measures that meet or exceed minimum stretch energy code requirements, such as those available through existing RAPs</w:t>
        </w:r>
      </w:ins>
    </w:p>
    <w:p w14:paraId="00D7E306" w14:textId="77777777" w:rsidR="00E3500B" w:rsidRDefault="00E3500B" w:rsidP="00E3500B">
      <w:pPr>
        <w:rPr>
          <w:ins w:id="2820" w:author="Celia Johnson" w:date="2022-09-06T13:47:00Z"/>
        </w:rPr>
      </w:pPr>
      <w:ins w:id="2821" w:author="Celia Johnson" w:date="2022-09-06T13:44:00Z">
        <w:r>
          <w:t>A</w:t>
        </w:r>
        <w:r w:rsidRPr="00012E89">
          <w:t xml:space="preserve">ctivities designed to </w:t>
        </w:r>
        <w:r>
          <w:t xml:space="preserve">intervene in the codes market should be documented in the Stretch Codes logic model along with the expected outcomes and outputs from those activities. The activities will have agreed-upon market progress indicators that evaluators will use to assess progress of utility influence. </w:t>
        </w:r>
      </w:ins>
    </w:p>
    <w:p w14:paraId="752D003E" w14:textId="77777777" w:rsidR="00E3500B" w:rsidRPr="00FC552A" w:rsidRDefault="00E3500B" w:rsidP="00E3500B">
      <w:pPr>
        <w:pStyle w:val="Heading2"/>
        <w:widowControl/>
        <w:numPr>
          <w:ilvl w:val="2"/>
          <w:numId w:val="82"/>
        </w:numPr>
        <w:jc w:val="left"/>
        <w:rPr>
          <w:ins w:id="2822" w:author="Celia Johnson" w:date="2022-09-06T13:44:00Z"/>
          <w:sz w:val="28"/>
          <w:szCs w:val="28"/>
        </w:rPr>
      </w:pPr>
      <w:bookmarkStart w:id="2823" w:name="_Toc113365579"/>
      <w:bookmarkStart w:id="2824" w:name="_Toc113619899"/>
      <w:ins w:id="2825" w:author="Celia Johnson" w:date="2022-09-06T13:47:00Z">
        <w:r>
          <w:t>Logic Model</w:t>
        </w:r>
      </w:ins>
      <w:bookmarkEnd w:id="2823"/>
      <w:bookmarkEnd w:id="2824"/>
    </w:p>
    <w:p w14:paraId="5A6F4B06" w14:textId="77777777" w:rsidR="00E3500B" w:rsidRDefault="00E3500B" w:rsidP="00E3500B">
      <w:pPr>
        <w:rPr>
          <w:ins w:id="2826" w:author="Celia Johnson" w:date="2022-09-06T13:44:00Z"/>
        </w:rPr>
      </w:pPr>
      <w:ins w:id="2827" w:author="Celia Johnson" w:date="2022-09-06T13:44:00Z">
        <w:r>
          <w:t>The starting point in development of a utility MT program is the creation of a logic model.</w:t>
        </w:r>
        <w:r w:rsidRPr="002C42F9">
          <w:t xml:space="preserve"> </w:t>
        </w:r>
        <w:r>
          <w:t>A well-constructed logic model should outline opportunities to influence the market (in this case, for driving adoption of and compliance with energy codes), barriers and constraints that inhibit the desired market changes from naturally occurring, utility activities designed to address the barriers and constraints, outputs that directly measure results of the activities, expected/desired short, medium-term, and long-term outcomes, and the linkages between all of these elements. An overview of the factors to include in the logic model is outlined below, followed by an initial draft of the logic model itself (Figure 1).</w:t>
        </w:r>
      </w:ins>
    </w:p>
    <w:p w14:paraId="7A9E1E56" w14:textId="77777777" w:rsidR="00E3500B" w:rsidRPr="00B37303" w:rsidRDefault="00E3500B" w:rsidP="00E3500B">
      <w:pPr>
        <w:rPr>
          <w:ins w:id="2828" w:author="Celia Johnson" w:date="2022-09-06T13:44:00Z"/>
        </w:rPr>
      </w:pPr>
      <w:ins w:id="2829" w:author="Celia Johnson" w:date="2022-09-06T13:44:00Z">
        <w:r>
          <w:t>Several factors highlight the opportunity for advancement of stretch energy code programs:</w:t>
        </w:r>
      </w:ins>
    </w:p>
    <w:p w14:paraId="1EFEBE6F" w14:textId="77777777" w:rsidR="00E3500B" w:rsidRDefault="00E3500B">
      <w:pPr>
        <w:pStyle w:val="ListParagraph"/>
        <w:widowControl/>
        <w:numPr>
          <w:ilvl w:val="0"/>
          <w:numId w:val="121"/>
        </w:numPr>
        <w:rPr>
          <w:ins w:id="2830" w:author="Celia Johnson" w:date="2022-09-06T13:44:00Z"/>
        </w:rPr>
      </w:pPr>
      <w:ins w:id="2831" w:author="Celia Johnson" w:date="2022-09-06T13:44:00Z">
        <w:r>
          <w:t>CEJA sets energy efficiency targets for a new state-developed stretch code that increases efficiency incrementally through 2032</w:t>
        </w:r>
      </w:ins>
    </w:p>
    <w:p w14:paraId="2DDC5F19" w14:textId="77777777" w:rsidR="00E3500B" w:rsidRDefault="00E3500B">
      <w:pPr>
        <w:pStyle w:val="ListParagraph"/>
        <w:widowControl/>
        <w:numPr>
          <w:ilvl w:val="0"/>
          <w:numId w:val="121"/>
        </w:numPr>
        <w:rPr>
          <w:ins w:id="2832" w:author="Celia Johnson" w:date="2022-09-06T13:44:00Z"/>
        </w:rPr>
      </w:pPr>
      <w:ins w:id="2833" w:author="Celia Johnson" w:date="2022-09-06T13:44:00Z">
        <w:r>
          <w:t>CEJA requires development of model stretch energy code language for commercial and residential buildings for the first energy efficiency targets by January 1, 2024</w:t>
        </w:r>
      </w:ins>
    </w:p>
    <w:p w14:paraId="7A391373" w14:textId="77777777" w:rsidR="00E3500B" w:rsidRDefault="00E3500B">
      <w:pPr>
        <w:pStyle w:val="ListParagraph"/>
        <w:widowControl/>
        <w:numPr>
          <w:ilvl w:val="0"/>
          <w:numId w:val="121"/>
        </w:numPr>
        <w:rPr>
          <w:ins w:id="2834" w:author="Celia Johnson" w:date="2022-09-06T13:44:00Z"/>
        </w:rPr>
      </w:pPr>
      <w:ins w:id="2835" w:author="Celia Johnson" w:date="2022-09-06T13:44:00Z">
        <w:r>
          <w:t>Municipalities are increasingly considering the need for responses to climate change in their planning processes, for which stricter energy codes can be a useful action</w:t>
        </w:r>
      </w:ins>
    </w:p>
    <w:p w14:paraId="7AAC2D04" w14:textId="77777777" w:rsidR="00E3500B" w:rsidRDefault="00E3500B">
      <w:pPr>
        <w:pStyle w:val="ListParagraph"/>
        <w:widowControl/>
        <w:numPr>
          <w:ilvl w:val="0"/>
          <w:numId w:val="121"/>
        </w:numPr>
        <w:rPr>
          <w:ins w:id="2836" w:author="Celia Johnson" w:date="2022-09-06T13:44:00Z"/>
        </w:rPr>
      </w:pPr>
      <w:ins w:id="2837" w:author="Celia Johnson" w:date="2022-09-06T13:44:00Z">
        <w:r>
          <w:t>Existing utility resource acquisition programs are available to provide financial and technical assistance in implementing energy efficiency measures</w:t>
        </w:r>
      </w:ins>
    </w:p>
    <w:p w14:paraId="3A47F79A" w14:textId="77777777" w:rsidR="00E3500B" w:rsidRDefault="00E3500B">
      <w:pPr>
        <w:pStyle w:val="ListParagraph"/>
        <w:widowControl/>
        <w:numPr>
          <w:ilvl w:val="0"/>
          <w:numId w:val="121"/>
        </w:numPr>
        <w:rPr>
          <w:ins w:id="2838" w:author="Celia Johnson" w:date="2022-09-06T13:47:00Z"/>
        </w:rPr>
      </w:pPr>
      <w:ins w:id="2839" w:author="Celia Johnson" w:date="2022-09-06T13:44:00Z">
        <w:r>
          <w:t>Attachment C of the IL TRM allows utilities to use energy efficiency funding to pursue a MT-based approach in support of stretch energy code advancement, implementation, and compliance</w:t>
        </w:r>
      </w:ins>
    </w:p>
    <w:p w14:paraId="75F2A03D" w14:textId="77777777" w:rsidR="00E3500B" w:rsidRPr="00DD3F30" w:rsidRDefault="00E3500B" w:rsidP="00E3500B">
      <w:pPr>
        <w:pStyle w:val="Heading2"/>
        <w:widowControl/>
        <w:numPr>
          <w:ilvl w:val="3"/>
          <w:numId w:val="82"/>
        </w:numPr>
        <w:ind w:left="1512"/>
        <w:jc w:val="left"/>
        <w:rPr>
          <w:ins w:id="2840" w:author="Celia Johnson" w:date="2022-09-06T13:44:00Z"/>
          <w:szCs w:val="24"/>
        </w:rPr>
      </w:pPr>
      <w:bookmarkStart w:id="2841" w:name="_Toc113365580"/>
      <w:bookmarkStart w:id="2842" w:name="_Toc113619900"/>
      <w:ins w:id="2843" w:author="Celia Johnson" w:date="2022-09-06T13:48:00Z">
        <w:r w:rsidRPr="00DD3F30">
          <w:rPr>
            <w:szCs w:val="24"/>
          </w:rPr>
          <w:t>Target Markets</w:t>
        </w:r>
      </w:ins>
      <w:bookmarkEnd w:id="2841"/>
      <w:bookmarkEnd w:id="2842"/>
    </w:p>
    <w:p w14:paraId="77FA476E" w14:textId="77777777" w:rsidR="00E3500B" w:rsidRDefault="00E3500B" w:rsidP="00E3500B">
      <w:pPr>
        <w:rPr>
          <w:ins w:id="2844" w:author="Celia Johnson" w:date="2022-09-06T13:44:00Z"/>
        </w:rPr>
      </w:pPr>
      <w:ins w:id="2845" w:author="Celia Johnson" w:date="2022-09-06T13:44:00Z">
        <w:r>
          <w:t xml:space="preserve">There are several sets of market </w:t>
        </w:r>
        <w:proofErr w:type="spellStart"/>
        <w:r>
          <w:t>actors</w:t>
        </w:r>
        <w:proofErr w:type="spellEnd"/>
        <w:r>
          <w:t xml:space="preserve"> that could be involved in a utility-supported code policy advancement/code compliance support program. These market actors, or target markets, are delineated into</w:t>
        </w:r>
        <w:r w:rsidRPr="00763366">
          <w:t xml:space="preserve"> t</w:t>
        </w:r>
        <w:r>
          <w:t>hree</w:t>
        </w:r>
        <w:r w:rsidRPr="00763366">
          <w:t xml:space="preserve"> main groups: the </w:t>
        </w:r>
        <w:r>
          <w:t xml:space="preserve">jurisdiction/policy-maker sector (TM1), </w:t>
        </w:r>
        <w:r w:rsidRPr="00763366">
          <w:t>the design and construction industry (TM</w:t>
        </w:r>
        <w:r>
          <w:t>2</w:t>
        </w:r>
        <w:r w:rsidRPr="00763366">
          <w:t>)</w:t>
        </w:r>
        <w:r>
          <w:t>,</w:t>
        </w:r>
        <w:r w:rsidRPr="00763366">
          <w:t xml:space="preserve"> </w:t>
        </w:r>
        <w:r>
          <w:t xml:space="preserve">and </w:t>
        </w:r>
        <w:r w:rsidRPr="00763366">
          <w:t>the enforcement industry (TM</w:t>
        </w:r>
        <w:r>
          <w:t>3</w:t>
        </w:r>
        <w:r w:rsidRPr="00763366">
          <w:t>)</w:t>
        </w:r>
        <w:r>
          <w:t xml:space="preserve">, as shown in Table 1. The TM1, TM2, and TM3 identifiers are used in the </w:t>
        </w:r>
        <w:r w:rsidRPr="00FC0AE6">
          <w:rPr>
            <w:i/>
            <w:iCs/>
          </w:rPr>
          <w:t>draft</w:t>
        </w:r>
        <w:r>
          <w:t xml:space="preserve"> logic model, below.</w:t>
        </w:r>
      </w:ins>
    </w:p>
    <w:p w14:paraId="57935027" w14:textId="77777777" w:rsidR="00E3500B" w:rsidRDefault="00E3500B" w:rsidP="00E3500B">
      <w:pPr>
        <w:pStyle w:val="Caption"/>
        <w:rPr>
          <w:ins w:id="2846" w:author="Celia Johnson" w:date="2022-09-06T13:44:00Z"/>
        </w:rPr>
      </w:pPr>
      <w:ins w:id="2847" w:author="Celia Johnson" w:date="2022-09-06T13:44:00Z">
        <w:r>
          <w:lastRenderedPageBreak/>
          <w:t xml:space="preserve">Table </w:t>
        </w:r>
        <w:r>
          <w:fldChar w:fldCharType="begin"/>
        </w:r>
        <w:r>
          <w:instrText>SEQ Table \* ARABIC</w:instrText>
        </w:r>
        <w:r>
          <w:fldChar w:fldCharType="separate"/>
        </w:r>
        <w:r>
          <w:rPr>
            <w:noProof/>
          </w:rPr>
          <w:t>1</w:t>
        </w:r>
        <w:r>
          <w:fldChar w:fldCharType="end"/>
        </w:r>
        <w:r>
          <w:t>:</w:t>
        </w:r>
        <w:r w:rsidRPr="00C76FB8">
          <w:t>Target</w:t>
        </w:r>
        <w:r>
          <w:t>ed</w:t>
        </w:r>
        <w:r w:rsidRPr="00C76FB8">
          <w:t xml:space="preserve"> market</w:t>
        </w:r>
        <w:r>
          <w:t xml:space="preserve"> actor</w:t>
        </w:r>
        <w:r w:rsidRPr="00C76FB8">
          <w:t>s for stretch code utility programs</w:t>
        </w:r>
      </w:ins>
    </w:p>
    <w:tbl>
      <w:tblPr>
        <w:tblStyle w:val="TableGrid"/>
        <w:tblW w:w="9355" w:type="dxa"/>
        <w:tblLook w:val="04A0" w:firstRow="1" w:lastRow="0" w:firstColumn="1" w:lastColumn="0" w:noHBand="0" w:noVBand="1"/>
      </w:tblPr>
      <w:tblGrid>
        <w:gridCol w:w="2715"/>
        <w:gridCol w:w="6640"/>
      </w:tblGrid>
      <w:tr w:rsidR="00E3500B" w:rsidRPr="00DF7F32" w14:paraId="355071A5" w14:textId="77777777" w:rsidTr="000B5D6A">
        <w:trPr>
          <w:trHeight w:val="246"/>
          <w:ins w:id="2848" w:author="Celia Johnson" w:date="2022-09-06T13:44:00Z"/>
        </w:trPr>
        <w:tc>
          <w:tcPr>
            <w:tcW w:w="2715" w:type="dxa"/>
          </w:tcPr>
          <w:p w14:paraId="4976D87C" w14:textId="77777777" w:rsidR="00E3500B" w:rsidRPr="00DF7F32" w:rsidRDefault="00E3500B" w:rsidP="000B5D6A">
            <w:pPr>
              <w:pStyle w:val="Bodysansserif"/>
              <w:keepNext/>
              <w:keepLines/>
              <w:rPr>
                <w:ins w:id="2849" w:author="Celia Johnson" w:date="2022-09-06T13:44:00Z"/>
                <w:rFonts w:asciiTheme="minorHAnsi" w:hAnsiTheme="minorHAnsi"/>
                <w:b/>
                <w:sz w:val="20"/>
                <w:szCs w:val="20"/>
              </w:rPr>
            </w:pPr>
            <w:ins w:id="2850" w:author="Celia Johnson" w:date="2022-09-06T13:44:00Z">
              <w:r w:rsidRPr="72CE4B49">
                <w:rPr>
                  <w:rFonts w:asciiTheme="minorHAnsi" w:hAnsiTheme="minorHAnsi"/>
                  <w:b/>
                  <w:sz w:val="20"/>
                  <w:szCs w:val="20"/>
                </w:rPr>
                <w:t>Target</w:t>
              </w:r>
              <w:r>
                <w:rPr>
                  <w:rFonts w:asciiTheme="minorHAnsi" w:hAnsiTheme="minorHAnsi"/>
                  <w:b/>
                  <w:sz w:val="20"/>
                  <w:szCs w:val="20"/>
                </w:rPr>
                <w:t>ed</w:t>
              </w:r>
              <w:r w:rsidRPr="72CE4B49">
                <w:rPr>
                  <w:rFonts w:asciiTheme="minorHAnsi" w:hAnsiTheme="minorHAnsi"/>
                  <w:b/>
                  <w:sz w:val="20"/>
                  <w:szCs w:val="20"/>
                </w:rPr>
                <w:t xml:space="preserve"> market </w:t>
              </w:r>
              <w:r>
                <w:rPr>
                  <w:rFonts w:asciiTheme="minorHAnsi" w:hAnsiTheme="minorHAnsi"/>
                  <w:b/>
                  <w:sz w:val="20"/>
                  <w:szCs w:val="20"/>
                </w:rPr>
                <w:t>actors</w:t>
              </w:r>
            </w:ins>
          </w:p>
        </w:tc>
        <w:tc>
          <w:tcPr>
            <w:tcW w:w="6640" w:type="dxa"/>
          </w:tcPr>
          <w:p w14:paraId="6F5BF199" w14:textId="77777777" w:rsidR="00E3500B" w:rsidRPr="00DF7F32" w:rsidRDefault="00E3500B" w:rsidP="000B5D6A">
            <w:pPr>
              <w:pStyle w:val="Bodysansserif"/>
              <w:keepNext/>
              <w:keepLines/>
              <w:rPr>
                <w:ins w:id="2851" w:author="Celia Johnson" w:date="2022-09-06T13:44:00Z"/>
                <w:rFonts w:asciiTheme="minorHAnsi" w:hAnsiTheme="minorHAnsi" w:cstheme="minorHAnsi"/>
                <w:b/>
                <w:bCs/>
                <w:sz w:val="20"/>
              </w:rPr>
            </w:pPr>
            <w:ins w:id="2852" w:author="Celia Johnson" w:date="2022-09-06T13:44:00Z">
              <w:r w:rsidRPr="00DF7F32">
                <w:rPr>
                  <w:rFonts w:asciiTheme="minorHAnsi" w:hAnsiTheme="minorHAnsi" w:cstheme="minorHAnsi"/>
                  <w:b/>
                  <w:bCs/>
                  <w:sz w:val="20"/>
                </w:rPr>
                <w:t xml:space="preserve">Description of actors </w:t>
              </w:r>
            </w:ins>
          </w:p>
        </w:tc>
      </w:tr>
      <w:tr w:rsidR="00E3500B" w:rsidRPr="00DF7F32" w14:paraId="568C31DE" w14:textId="77777777" w:rsidTr="000B5D6A">
        <w:trPr>
          <w:trHeight w:val="2418"/>
          <w:ins w:id="2853" w:author="Celia Johnson" w:date="2022-09-06T13:44:00Z"/>
        </w:trPr>
        <w:tc>
          <w:tcPr>
            <w:tcW w:w="2715" w:type="dxa"/>
            <w:vAlign w:val="center"/>
          </w:tcPr>
          <w:p w14:paraId="6A24928B" w14:textId="77777777" w:rsidR="00E3500B" w:rsidRPr="00DF7F32" w:rsidRDefault="00E3500B" w:rsidP="000B5D6A">
            <w:pPr>
              <w:pStyle w:val="Bodysansserif"/>
              <w:keepNext/>
              <w:keepLines/>
              <w:rPr>
                <w:ins w:id="2854" w:author="Celia Johnson" w:date="2022-09-06T13:44:00Z"/>
                <w:rFonts w:asciiTheme="minorHAnsi" w:hAnsiTheme="minorHAnsi"/>
                <w:sz w:val="20"/>
                <w:szCs w:val="20"/>
              </w:rPr>
            </w:pPr>
            <w:ins w:id="2855" w:author="Celia Johnson" w:date="2022-09-06T13:44:00Z">
              <w:r w:rsidRPr="72CE4B49">
                <w:rPr>
                  <w:rFonts w:asciiTheme="minorHAnsi" w:hAnsiTheme="minorHAnsi"/>
                  <w:b/>
                  <w:sz w:val="20"/>
                  <w:szCs w:val="20"/>
                </w:rPr>
                <w:t>Jurisdiction/Policy-Making Sector</w:t>
              </w:r>
              <w:r>
                <w:rPr>
                  <w:rFonts w:asciiTheme="minorHAnsi" w:hAnsiTheme="minorHAnsi"/>
                  <w:b/>
                  <w:sz w:val="20"/>
                  <w:szCs w:val="20"/>
                </w:rPr>
                <w:t xml:space="preserve"> (TM1)</w:t>
              </w:r>
            </w:ins>
          </w:p>
        </w:tc>
        <w:tc>
          <w:tcPr>
            <w:tcW w:w="6640" w:type="dxa"/>
            <w:vAlign w:val="center"/>
          </w:tcPr>
          <w:p w14:paraId="1816C2E7" w14:textId="77777777" w:rsidR="00E3500B" w:rsidRPr="00DF7F32" w:rsidRDefault="00E3500B">
            <w:pPr>
              <w:pStyle w:val="Bodysansserif"/>
              <w:keepNext/>
              <w:keepLines/>
              <w:numPr>
                <w:ilvl w:val="0"/>
                <w:numId w:val="116"/>
              </w:numPr>
              <w:ind w:left="387"/>
              <w:rPr>
                <w:ins w:id="2856" w:author="Celia Johnson" w:date="2022-09-06T13:44:00Z"/>
                <w:rFonts w:asciiTheme="minorHAnsi" w:hAnsiTheme="minorHAnsi" w:cstheme="minorHAnsi"/>
                <w:sz w:val="20"/>
              </w:rPr>
            </w:pPr>
            <w:ins w:id="2857" w:author="Celia Johnson" w:date="2022-09-06T13:44:00Z">
              <w:r w:rsidRPr="00DF7F32">
                <w:rPr>
                  <w:rFonts w:asciiTheme="minorHAnsi" w:hAnsiTheme="minorHAnsi" w:cstheme="minorHAnsi"/>
                  <w:bCs/>
                  <w:sz w:val="20"/>
                </w:rPr>
                <w:t xml:space="preserve">Entities and persons involved in </w:t>
              </w:r>
              <w:r>
                <w:rPr>
                  <w:rFonts w:asciiTheme="minorHAnsi" w:hAnsiTheme="minorHAnsi" w:cstheme="minorHAnsi"/>
                  <w:bCs/>
                  <w:sz w:val="20"/>
                </w:rPr>
                <w:t xml:space="preserve">state </w:t>
              </w:r>
              <w:r w:rsidRPr="00DF7F32">
                <w:rPr>
                  <w:rFonts w:asciiTheme="minorHAnsi" w:hAnsiTheme="minorHAnsi" w:cstheme="minorHAnsi"/>
                  <w:bCs/>
                  <w:sz w:val="20"/>
                </w:rPr>
                <w:t>policy development and adoption, including Capital Development Board (CDB)</w:t>
              </w:r>
              <w:r>
                <w:rPr>
                  <w:rFonts w:asciiTheme="minorHAnsi" w:hAnsiTheme="minorHAnsi" w:cstheme="minorHAnsi"/>
                  <w:bCs/>
                  <w:sz w:val="20"/>
                </w:rPr>
                <w:t>,</w:t>
              </w:r>
              <w:r w:rsidRPr="00DF7F32">
                <w:rPr>
                  <w:rFonts w:asciiTheme="minorHAnsi" w:hAnsiTheme="minorHAnsi" w:cstheme="minorHAnsi"/>
                  <w:bCs/>
                  <w:sz w:val="20"/>
                </w:rPr>
                <w:t xml:space="preserve"> Illinois Energy Codes Advisory Council, and public stakeholders</w:t>
              </w:r>
            </w:ins>
          </w:p>
          <w:p w14:paraId="3C3FDAAE" w14:textId="77777777" w:rsidR="00E3500B" w:rsidRPr="00DF7F32" w:rsidRDefault="00E3500B">
            <w:pPr>
              <w:pStyle w:val="Bodysansserif"/>
              <w:keepNext/>
              <w:keepLines/>
              <w:numPr>
                <w:ilvl w:val="0"/>
                <w:numId w:val="116"/>
              </w:numPr>
              <w:ind w:left="387"/>
              <w:rPr>
                <w:ins w:id="2858" w:author="Celia Johnson" w:date="2022-09-06T13:44:00Z"/>
                <w:rFonts w:asciiTheme="minorHAnsi" w:hAnsiTheme="minorHAnsi" w:cstheme="minorHAnsi"/>
                <w:sz w:val="20"/>
              </w:rPr>
            </w:pPr>
            <w:ins w:id="2859" w:author="Celia Johnson" w:date="2022-09-06T13:44:00Z">
              <w:r w:rsidRPr="00DF7F32">
                <w:rPr>
                  <w:rFonts w:asciiTheme="minorHAnsi" w:hAnsiTheme="minorHAnsi" w:cstheme="minorHAnsi"/>
                  <w:bCs/>
                  <w:sz w:val="20"/>
                </w:rPr>
                <w:t>Jurisdiction-level code development or adoption bodies, such as city/county councils, mayors, sustainability managers, and/or working groups (e.g., the City of Chicago Decarbonization Working Group)</w:t>
              </w:r>
            </w:ins>
          </w:p>
          <w:p w14:paraId="78B518FA" w14:textId="77777777" w:rsidR="00E3500B" w:rsidRPr="00DF7F32" w:rsidRDefault="00E3500B">
            <w:pPr>
              <w:pStyle w:val="Bodysansserif"/>
              <w:keepNext/>
              <w:keepLines/>
              <w:numPr>
                <w:ilvl w:val="0"/>
                <w:numId w:val="116"/>
              </w:numPr>
              <w:ind w:left="387"/>
              <w:rPr>
                <w:ins w:id="2860" w:author="Celia Johnson" w:date="2022-09-06T13:44:00Z"/>
                <w:rFonts w:asciiTheme="minorHAnsi" w:hAnsiTheme="minorHAnsi" w:cstheme="minorHAnsi"/>
                <w:sz w:val="20"/>
              </w:rPr>
            </w:pPr>
            <w:ins w:id="2861" w:author="Celia Johnson" w:date="2022-09-06T13:44:00Z">
              <w:r w:rsidRPr="00DF7F32">
                <w:rPr>
                  <w:rFonts w:asciiTheme="minorHAnsi" w:hAnsiTheme="minorHAnsi" w:cstheme="minorHAnsi"/>
                  <w:sz w:val="20"/>
                </w:rPr>
                <w:t>Local and state chapters of the International Code Council (ICC), ASHRAE, Illinois Council of Mayors, Metropolitan Mayors Caucus, and the numerous state and local code official associations in Illinois</w:t>
              </w:r>
            </w:ins>
          </w:p>
        </w:tc>
      </w:tr>
      <w:tr w:rsidR="00E3500B" w:rsidRPr="00DF7F32" w14:paraId="229E64D3" w14:textId="77777777" w:rsidTr="000B5D6A">
        <w:trPr>
          <w:trHeight w:val="2593"/>
          <w:ins w:id="2862" w:author="Celia Johnson" w:date="2022-09-06T13:44:00Z"/>
        </w:trPr>
        <w:tc>
          <w:tcPr>
            <w:tcW w:w="2715" w:type="dxa"/>
            <w:vAlign w:val="center"/>
          </w:tcPr>
          <w:p w14:paraId="5B620603" w14:textId="77777777" w:rsidR="00E3500B" w:rsidRPr="00DF7F32" w:rsidRDefault="00E3500B" w:rsidP="000B5D6A">
            <w:pPr>
              <w:pStyle w:val="Bodysansserif"/>
              <w:keepNext/>
              <w:keepLines/>
              <w:rPr>
                <w:ins w:id="2863" w:author="Celia Johnson" w:date="2022-09-06T13:44:00Z"/>
                <w:rFonts w:asciiTheme="minorHAnsi" w:hAnsiTheme="minorHAnsi" w:cstheme="minorHAnsi"/>
                <w:sz w:val="20"/>
              </w:rPr>
            </w:pPr>
            <w:ins w:id="2864" w:author="Celia Johnson" w:date="2022-09-06T13:44:00Z">
              <w:r w:rsidRPr="00DF7F32">
                <w:rPr>
                  <w:rFonts w:asciiTheme="minorHAnsi" w:hAnsiTheme="minorHAnsi" w:cstheme="minorHAnsi"/>
                  <w:b/>
                  <w:sz w:val="20"/>
                </w:rPr>
                <w:t>Design and construction industry</w:t>
              </w:r>
              <w:r>
                <w:rPr>
                  <w:rFonts w:asciiTheme="minorHAnsi" w:hAnsiTheme="minorHAnsi" w:cstheme="minorHAnsi"/>
                  <w:b/>
                  <w:sz w:val="20"/>
                </w:rPr>
                <w:t xml:space="preserve"> (TM2)</w:t>
              </w:r>
            </w:ins>
          </w:p>
        </w:tc>
        <w:tc>
          <w:tcPr>
            <w:tcW w:w="6640" w:type="dxa"/>
            <w:vAlign w:val="center"/>
          </w:tcPr>
          <w:p w14:paraId="5A8D7E4D" w14:textId="77777777" w:rsidR="00E3500B" w:rsidRPr="00DF7F32" w:rsidRDefault="00E3500B">
            <w:pPr>
              <w:pStyle w:val="Bodysansserif"/>
              <w:keepNext/>
              <w:keepLines/>
              <w:numPr>
                <w:ilvl w:val="0"/>
                <w:numId w:val="117"/>
              </w:numPr>
              <w:ind w:left="338"/>
              <w:rPr>
                <w:ins w:id="2865" w:author="Celia Johnson" w:date="2022-09-06T13:44:00Z"/>
                <w:rFonts w:asciiTheme="minorHAnsi" w:hAnsiTheme="minorHAnsi"/>
                <w:sz w:val="20"/>
                <w:szCs w:val="20"/>
              </w:rPr>
            </w:pPr>
            <w:ins w:id="2866" w:author="Celia Johnson" w:date="2022-09-06T13:44:00Z">
              <w:r w:rsidRPr="7E95B449">
                <w:rPr>
                  <w:rFonts w:asciiTheme="minorHAnsi" w:hAnsiTheme="minorHAnsi"/>
                  <w:sz w:val="20"/>
                  <w:szCs w:val="20"/>
                </w:rPr>
                <w:t xml:space="preserve">Construction industry market actors including builders, subcontractors, material supply houses, site superintendents, energy modelers, building scientists, architects, engineers, and designers </w:t>
              </w:r>
            </w:ins>
          </w:p>
          <w:p w14:paraId="01332851" w14:textId="77777777" w:rsidR="00E3500B" w:rsidRPr="00DF7F32" w:rsidRDefault="00E3500B">
            <w:pPr>
              <w:pStyle w:val="Bodysansserif"/>
              <w:keepNext/>
              <w:keepLines/>
              <w:numPr>
                <w:ilvl w:val="0"/>
                <w:numId w:val="117"/>
              </w:numPr>
              <w:ind w:left="338"/>
              <w:rPr>
                <w:ins w:id="2867" w:author="Celia Johnson" w:date="2022-09-06T13:44:00Z"/>
                <w:rFonts w:asciiTheme="minorHAnsi" w:hAnsiTheme="minorHAnsi" w:cstheme="minorHAnsi"/>
                <w:sz w:val="20"/>
              </w:rPr>
            </w:pPr>
            <w:ins w:id="2868" w:author="Celia Johnson" w:date="2022-09-06T13:44:00Z">
              <w:r w:rsidRPr="00DF7F32">
                <w:rPr>
                  <w:rFonts w:asciiTheme="minorHAnsi" w:hAnsiTheme="minorHAnsi" w:cstheme="minorHAnsi"/>
                  <w:sz w:val="20"/>
                </w:rPr>
                <w:t>Local and state chapters of Homebuilder Associations (HBA), American Institute of Architects (AIA), ASHRAE, International Code Council (ICC), Illinois Plumbing and Heating Association, and Illinois Green Alliance, Association of Licensed Architects, Illuminating Engineering Society, Lighting Controls Association, International Association of Lighting Designers, Building Performance Institute (BPI), Associated General Contractors of America, and others</w:t>
              </w:r>
            </w:ins>
          </w:p>
        </w:tc>
      </w:tr>
      <w:tr w:rsidR="00E3500B" w:rsidRPr="00DF7F32" w14:paraId="50148A47" w14:textId="77777777" w:rsidTr="000B5D6A">
        <w:trPr>
          <w:trHeight w:val="637"/>
          <w:ins w:id="2869" w:author="Celia Johnson" w:date="2022-09-06T13:44:00Z"/>
        </w:trPr>
        <w:tc>
          <w:tcPr>
            <w:tcW w:w="2715" w:type="dxa"/>
            <w:vAlign w:val="center"/>
          </w:tcPr>
          <w:p w14:paraId="318EAB60" w14:textId="77777777" w:rsidR="00E3500B" w:rsidRPr="00DF7F32" w:rsidRDefault="00E3500B" w:rsidP="000B5D6A">
            <w:pPr>
              <w:pStyle w:val="Bodysansserif"/>
              <w:keepNext/>
              <w:keepLines/>
              <w:rPr>
                <w:ins w:id="2870" w:author="Celia Johnson" w:date="2022-09-06T13:44:00Z"/>
                <w:rFonts w:asciiTheme="minorHAnsi" w:hAnsiTheme="minorHAnsi" w:cstheme="minorHAnsi"/>
                <w:sz w:val="20"/>
              </w:rPr>
            </w:pPr>
            <w:ins w:id="2871" w:author="Celia Johnson" w:date="2022-09-06T13:44:00Z">
              <w:r w:rsidRPr="00DF7F32">
                <w:rPr>
                  <w:rFonts w:asciiTheme="minorHAnsi" w:hAnsiTheme="minorHAnsi" w:cstheme="minorHAnsi"/>
                  <w:b/>
                  <w:sz w:val="20"/>
                </w:rPr>
                <w:t>Enforcement industry</w:t>
              </w:r>
              <w:r>
                <w:rPr>
                  <w:rFonts w:asciiTheme="minorHAnsi" w:hAnsiTheme="minorHAnsi" w:cstheme="minorHAnsi"/>
                  <w:b/>
                  <w:sz w:val="20"/>
                </w:rPr>
                <w:t xml:space="preserve"> (TM3)</w:t>
              </w:r>
            </w:ins>
          </w:p>
        </w:tc>
        <w:tc>
          <w:tcPr>
            <w:tcW w:w="6640" w:type="dxa"/>
            <w:vAlign w:val="center"/>
          </w:tcPr>
          <w:p w14:paraId="4951541C" w14:textId="77777777" w:rsidR="00E3500B" w:rsidRPr="00DF7F32" w:rsidRDefault="00E3500B">
            <w:pPr>
              <w:pStyle w:val="Bodysansserif"/>
              <w:keepNext/>
              <w:keepLines/>
              <w:numPr>
                <w:ilvl w:val="0"/>
                <w:numId w:val="118"/>
              </w:numPr>
              <w:ind w:left="338"/>
              <w:rPr>
                <w:ins w:id="2872" w:author="Celia Johnson" w:date="2022-09-06T13:44:00Z"/>
                <w:rFonts w:asciiTheme="minorHAnsi" w:hAnsiTheme="minorHAnsi" w:cstheme="minorHAnsi"/>
                <w:sz w:val="20"/>
              </w:rPr>
            </w:pPr>
            <w:ins w:id="2873" w:author="Celia Johnson" w:date="2022-09-06T13:44:00Z">
              <w:r w:rsidRPr="00DF7F32">
                <w:rPr>
                  <w:rFonts w:asciiTheme="minorHAnsi" w:hAnsiTheme="minorHAnsi" w:cstheme="minorHAnsi"/>
                  <w:sz w:val="20"/>
                </w:rPr>
                <w:t>Local building departments, code officials, and jurisdictional employees that review, permit, and inspect energy code requirements</w:t>
              </w:r>
            </w:ins>
          </w:p>
        </w:tc>
      </w:tr>
    </w:tbl>
    <w:p w14:paraId="3F09AEB1" w14:textId="77777777" w:rsidR="00E3500B" w:rsidRDefault="00E3500B" w:rsidP="00E3500B">
      <w:pPr>
        <w:spacing w:after="0"/>
        <w:jc w:val="left"/>
        <w:rPr>
          <w:ins w:id="2874" w:author="Celia Johnson" w:date="2022-09-06T13:44:00Z"/>
        </w:rPr>
      </w:pPr>
    </w:p>
    <w:p w14:paraId="717FA187" w14:textId="77777777" w:rsidR="00E3500B" w:rsidRPr="00DD3F30" w:rsidRDefault="00E3500B" w:rsidP="00E3500B">
      <w:pPr>
        <w:pStyle w:val="Heading2"/>
        <w:widowControl/>
        <w:numPr>
          <w:ilvl w:val="3"/>
          <w:numId w:val="82"/>
        </w:numPr>
        <w:ind w:left="1512"/>
        <w:jc w:val="left"/>
        <w:rPr>
          <w:ins w:id="2875" w:author="Celia Johnson" w:date="2022-09-06T13:44:00Z"/>
          <w:szCs w:val="24"/>
        </w:rPr>
      </w:pPr>
      <w:bookmarkStart w:id="2876" w:name="_Toc113365581"/>
      <w:bookmarkStart w:id="2877" w:name="_Toc113619901"/>
      <w:ins w:id="2878" w:author="Celia Johnson" w:date="2022-09-06T13:49:00Z">
        <w:r>
          <w:rPr>
            <w:szCs w:val="24"/>
          </w:rPr>
          <w:t>Major Barrier</w:t>
        </w:r>
      </w:ins>
      <w:ins w:id="2879" w:author="Celia Johnson" w:date="2022-09-06T13:50:00Z">
        <w:r>
          <w:rPr>
            <w:szCs w:val="24"/>
          </w:rPr>
          <w:t>s</w:t>
        </w:r>
      </w:ins>
      <w:bookmarkEnd w:id="2876"/>
      <w:bookmarkEnd w:id="2877"/>
    </w:p>
    <w:p w14:paraId="4864A118" w14:textId="77777777" w:rsidR="00E3500B" w:rsidRDefault="00E3500B" w:rsidP="00E3500B">
      <w:pPr>
        <w:pStyle w:val="Caption"/>
        <w:rPr>
          <w:ins w:id="2880" w:author="Celia Johnson" w:date="2022-09-06T13:50:00Z"/>
          <w:rFonts w:cs="Times New Roman"/>
          <w:b w:val="0"/>
        </w:rPr>
      </w:pPr>
      <w:ins w:id="2881" w:author="Celia Johnson" w:date="2022-09-06T13:44:00Z">
        <w:r>
          <w:rPr>
            <w:rFonts w:cs="Times New Roman"/>
            <w:b w:val="0"/>
          </w:rPr>
          <w:t>A summary of major barriers facing stretch energy code advancement and compliance are shown in Table 2.</w:t>
        </w:r>
      </w:ins>
    </w:p>
    <w:p w14:paraId="5784E2AB" w14:textId="77777777" w:rsidR="00E3500B" w:rsidRDefault="00E3500B" w:rsidP="00E3500B">
      <w:pPr>
        <w:rPr>
          <w:ins w:id="2882" w:author="Celia Johnson" w:date="2022-09-06T13:51:00Z"/>
        </w:rPr>
      </w:pPr>
    </w:p>
    <w:p w14:paraId="1FF8A8DE" w14:textId="77777777" w:rsidR="00E3500B" w:rsidRPr="00DD3F30" w:rsidRDefault="00E3500B">
      <w:pPr>
        <w:pStyle w:val="ListParagraph"/>
        <w:keepNext/>
        <w:keepLines/>
        <w:widowControl/>
        <w:numPr>
          <w:ilvl w:val="0"/>
          <w:numId w:val="123"/>
        </w:numPr>
        <w:spacing w:before="200"/>
        <w:contextualSpacing w:val="0"/>
        <w:jc w:val="left"/>
        <w:outlineLvl w:val="1"/>
        <w:rPr>
          <w:ins w:id="2883" w:author="Celia Johnson" w:date="2022-09-06T13:51:00Z"/>
          <w:rFonts w:eastAsiaTheme="majorEastAsia" w:cstheme="majorBidi"/>
          <w:vanish/>
          <w:sz w:val="24"/>
          <w:szCs w:val="24"/>
        </w:rPr>
      </w:pPr>
    </w:p>
    <w:p w14:paraId="217311F6" w14:textId="77777777" w:rsidR="00E3500B" w:rsidRPr="00DD3F30" w:rsidRDefault="00E3500B">
      <w:pPr>
        <w:pStyle w:val="ListParagraph"/>
        <w:keepNext/>
        <w:keepLines/>
        <w:widowControl/>
        <w:numPr>
          <w:ilvl w:val="0"/>
          <w:numId w:val="123"/>
        </w:numPr>
        <w:spacing w:before="200"/>
        <w:contextualSpacing w:val="0"/>
        <w:jc w:val="left"/>
        <w:outlineLvl w:val="1"/>
        <w:rPr>
          <w:ins w:id="2884" w:author="Celia Johnson" w:date="2022-09-06T13:51:00Z"/>
          <w:rFonts w:eastAsiaTheme="majorEastAsia" w:cstheme="majorBidi"/>
          <w:vanish/>
          <w:sz w:val="24"/>
          <w:szCs w:val="24"/>
        </w:rPr>
      </w:pPr>
    </w:p>
    <w:p w14:paraId="5684BE84" w14:textId="77777777" w:rsidR="00E3500B" w:rsidRPr="00DD3F30" w:rsidRDefault="00E3500B">
      <w:pPr>
        <w:pStyle w:val="ListParagraph"/>
        <w:keepNext/>
        <w:keepLines/>
        <w:widowControl/>
        <w:numPr>
          <w:ilvl w:val="0"/>
          <w:numId w:val="123"/>
        </w:numPr>
        <w:spacing w:before="200"/>
        <w:contextualSpacing w:val="0"/>
        <w:jc w:val="left"/>
        <w:outlineLvl w:val="1"/>
        <w:rPr>
          <w:ins w:id="2885" w:author="Celia Johnson" w:date="2022-09-06T13:51:00Z"/>
          <w:rFonts w:eastAsiaTheme="majorEastAsia" w:cstheme="majorBidi"/>
          <w:vanish/>
          <w:sz w:val="24"/>
          <w:szCs w:val="24"/>
        </w:rPr>
      </w:pPr>
    </w:p>
    <w:p w14:paraId="3D8DB7FA" w14:textId="77777777" w:rsidR="00E3500B" w:rsidRPr="00DD3F30" w:rsidRDefault="00E3500B">
      <w:pPr>
        <w:pStyle w:val="ListParagraph"/>
        <w:keepNext/>
        <w:keepLines/>
        <w:widowControl/>
        <w:numPr>
          <w:ilvl w:val="0"/>
          <w:numId w:val="123"/>
        </w:numPr>
        <w:spacing w:before="200"/>
        <w:contextualSpacing w:val="0"/>
        <w:jc w:val="left"/>
        <w:outlineLvl w:val="1"/>
        <w:rPr>
          <w:ins w:id="2886" w:author="Celia Johnson" w:date="2022-09-06T13:51:00Z"/>
          <w:rFonts w:eastAsiaTheme="majorEastAsia" w:cstheme="majorBidi"/>
          <w:vanish/>
          <w:sz w:val="24"/>
          <w:szCs w:val="24"/>
        </w:rPr>
      </w:pPr>
    </w:p>
    <w:p w14:paraId="00D7CC7D" w14:textId="77777777" w:rsidR="00E3500B" w:rsidRPr="00DD3F30" w:rsidRDefault="00E3500B">
      <w:pPr>
        <w:pStyle w:val="ListParagraph"/>
        <w:keepNext/>
        <w:keepLines/>
        <w:widowControl/>
        <w:numPr>
          <w:ilvl w:val="1"/>
          <w:numId w:val="123"/>
        </w:numPr>
        <w:spacing w:before="200"/>
        <w:contextualSpacing w:val="0"/>
        <w:jc w:val="left"/>
        <w:outlineLvl w:val="1"/>
        <w:rPr>
          <w:ins w:id="2887" w:author="Celia Johnson" w:date="2022-09-06T13:51:00Z"/>
          <w:rFonts w:eastAsiaTheme="majorEastAsia" w:cstheme="majorBidi"/>
          <w:vanish/>
          <w:sz w:val="24"/>
          <w:szCs w:val="24"/>
        </w:rPr>
      </w:pPr>
    </w:p>
    <w:p w14:paraId="71CC82A4" w14:textId="77777777" w:rsidR="00E3500B" w:rsidRPr="00DD3F30" w:rsidRDefault="00E3500B">
      <w:pPr>
        <w:pStyle w:val="ListParagraph"/>
        <w:keepNext/>
        <w:keepLines/>
        <w:widowControl/>
        <w:numPr>
          <w:ilvl w:val="1"/>
          <w:numId w:val="123"/>
        </w:numPr>
        <w:spacing w:before="200"/>
        <w:contextualSpacing w:val="0"/>
        <w:jc w:val="left"/>
        <w:outlineLvl w:val="1"/>
        <w:rPr>
          <w:ins w:id="2888" w:author="Celia Johnson" w:date="2022-09-06T13:51:00Z"/>
          <w:rFonts w:eastAsiaTheme="majorEastAsia" w:cstheme="majorBidi"/>
          <w:vanish/>
          <w:sz w:val="24"/>
          <w:szCs w:val="24"/>
        </w:rPr>
      </w:pPr>
    </w:p>
    <w:p w14:paraId="4DBCC65D" w14:textId="77777777" w:rsidR="00E3500B" w:rsidRPr="00DD3F30" w:rsidRDefault="00E3500B">
      <w:pPr>
        <w:pStyle w:val="ListParagraph"/>
        <w:keepNext/>
        <w:keepLines/>
        <w:widowControl/>
        <w:numPr>
          <w:ilvl w:val="1"/>
          <w:numId w:val="123"/>
        </w:numPr>
        <w:spacing w:before="200"/>
        <w:contextualSpacing w:val="0"/>
        <w:jc w:val="left"/>
        <w:outlineLvl w:val="1"/>
        <w:rPr>
          <w:ins w:id="2889" w:author="Celia Johnson" w:date="2022-09-06T13:51:00Z"/>
          <w:rFonts w:eastAsiaTheme="majorEastAsia" w:cstheme="majorBidi"/>
          <w:vanish/>
          <w:sz w:val="24"/>
          <w:szCs w:val="24"/>
        </w:rPr>
      </w:pPr>
    </w:p>
    <w:p w14:paraId="5E12BBAB" w14:textId="77777777" w:rsidR="00E3500B" w:rsidRPr="00DD3F30" w:rsidRDefault="00E3500B">
      <w:pPr>
        <w:pStyle w:val="ListParagraph"/>
        <w:keepNext/>
        <w:keepLines/>
        <w:widowControl/>
        <w:numPr>
          <w:ilvl w:val="2"/>
          <w:numId w:val="123"/>
        </w:numPr>
        <w:spacing w:before="200"/>
        <w:contextualSpacing w:val="0"/>
        <w:jc w:val="left"/>
        <w:outlineLvl w:val="1"/>
        <w:rPr>
          <w:ins w:id="2890" w:author="Celia Johnson" w:date="2022-09-06T13:51:00Z"/>
          <w:rFonts w:eastAsiaTheme="majorEastAsia" w:cstheme="majorBidi"/>
          <w:vanish/>
          <w:sz w:val="24"/>
          <w:szCs w:val="24"/>
        </w:rPr>
      </w:pPr>
    </w:p>
    <w:p w14:paraId="0FB67FD1" w14:textId="77777777" w:rsidR="00E3500B" w:rsidRPr="00DD3F30" w:rsidRDefault="00E3500B">
      <w:pPr>
        <w:pStyle w:val="ListParagraph"/>
        <w:keepNext/>
        <w:keepLines/>
        <w:widowControl/>
        <w:numPr>
          <w:ilvl w:val="2"/>
          <w:numId w:val="123"/>
        </w:numPr>
        <w:spacing w:before="200"/>
        <w:contextualSpacing w:val="0"/>
        <w:jc w:val="left"/>
        <w:outlineLvl w:val="1"/>
        <w:rPr>
          <w:ins w:id="2891" w:author="Celia Johnson" w:date="2022-09-06T13:51:00Z"/>
          <w:rFonts w:eastAsiaTheme="majorEastAsia" w:cstheme="majorBidi"/>
          <w:vanish/>
          <w:sz w:val="24"/>
          <w:szCs w:val="24"/>
        </w:rPr>
      </w:pPr>
    </w:p>
    <w:p w14:paraId="67522F98" w14:textId="77777777" w:rsidR="00E3500B" w:rsidRPr="00DD3F30" w:rsidRDefault="00E3500B">
      <w:pPr>
        <w:pStyle w:val="ListParagraph"/>
        <w:keepNext/>
        <w:keepLines/>
        <w:widowControl/>
        <w:numPr>
          <w:ilvl w:val="2"/>
          <w:numId w:val="123"/>
        </w:numPr>
        <w:spacing w:before="200"/>
        <w:contextualSpacing w:val="0"/>
        <w:jc w:val="left"/>
        <w:outlineLvl w:val="1"/>
        <w:rPr>
          <w:ins w:id="2892" w:author="Celia Johnson" w:date="2022-09-06T13:51:00Z"/>
          <w:rFonts w:eastAsiaTheme="majorEastAsia" w:cstheme="majorBidi"/>
          <w:vanish/>
          <w:sz w:val="24"/>
          <w:szCs w:val="24"/>
        </w:rPr>
      </w:pPr>
    </w:p>
    <w:p w14:paraId="56F8BCAC" w14:textId="77777777" w:rsidR="00E3500B" w:rsidRPr="00DD3F30" w:rsidRDefault="00E3500B">
      <w:pPr>
        <w:pStyle w:val="ListParagraph"/>
        <w:keepNext/>
        <w:keepLines/>
        <w:widowControl/>
        <w:numPr>
          <w:ilvl w:val="3"/>
          <w:numId w:val="123"/>
        </w:numPr>
        <w:spacing w:before="200"/>
        <w:contextualSpacing w:val="0"/>
        <w:jc w:val="left"/>
        <w:outlineLvl w:val="1"/>
        <w:rPr>
          <w:ins w:id="2893" w:author="Celia Johnson" w:date="2022-09-06T13:51:00Z"/>
          <w:rFonts w:eastAsiaTheme="majorEastAsia" w:cstheme="majorBidi"/>
          <w:vanish/>
          <w:sz w:val="24"/>
          <w:szCs w:val="24"/>
        </w:rPr>
      </w:pPr>
    </w:p>
    <w:p w14:paraId="1F6B0640" w14:textId="77777777" w:rsidR="00E3500B" w:rsidRPr="00DD3F30" w:rsidRDefault="00E3500B">
      <w:pPr>
        <w:pStyle w:val="ListParagraph"/>
        <w:keepNext/>
        <w:keepLines/>
        <w:widowControl/>
        <w:numPr>
          <w:ilvl w:val="3"/>
          <w:numId w:val="123"/>
        </w:numPr>
        <w:spacing w:before="200"/>
        <w:contextualSpacing w:val="0"/>
        <w:jc w:val="left"/>
        <w:outlineLvl w:val="1"/>
        <w:rPr>
          <w:ins w:id="2894" w:author="Celia Johnson" w:date="2022-09-06T13:51:00Z"/>
          <w:rFonts w:eastAsiaTheme="majorEastAsia" w:cstheme="majorBidi"/>
          <w:vanish/>
          <w:sz w:val="24"/>
          <w:szCs w:val="24"/>
        </w:rPr>
      </w:pPr>
    </w:p>
    <w:p w14:paraId="67DB9113" w14:textId="77777777" w:rsidR="00E3500B" w:rsidRPr="00697E5E" w:rsidRDefault="00E3500B">
      <w:pPr>
        <w:pStyle w:val="Heading2"/>
        <w:widowControl/>
        <w:numPr>
          <w:ilvl w:val="3"/>
          <w:numId w:val="123"/>
        </w:numPr>
        <w:ind w:left="1368"/>
        <w:jc w:val="left"/>
        <w:rPr>
          <w:ins w:id="2895" w:author="Celia Johnson" w:date="2022-09-06T13:44:00Z"/>
        </w:rPr>
      </w:pPr>
      <w:bookmarkStart w:id="2896" w:name="_Toc112665999"/>
      <w:bookmarkStart w:id="2897" w:name="_Toc113365582"/>
      <w:bookmarkStart w:id="2898" w:name="_Toc113619902"/>
      <w:ins w:id="2899" w:author="Celia Johnson" w:date="2022-09-06T13:44:00Z">
        <w:r>
          <w:t>Logic Model and Stretch Code Activity Details</w:t>
        </w:r>
        <w:bookmarkEnd w:id="2896"/>
        <w:bookmarkEnd w:id="2897"/>
        <w:bookmarkEnd w:id="2898"/>
      </w:ins>
    </w:p>
    <w:p w14:paraId="6D597F35" w14:textId="77777777" w:rsidR="00E3500B" w:rsidRDefault="00E3500B" w:rsidP="00E3500B">
      <w:pPr>
        <w:rPr>
          <w:ins w:id="2900" w:author="Celia Johnson" w:date="2022-09-06T13:44:00Z"/>
        </w:rPr>
      </w:pPr>
      <w:ins w:id="2901" w:author="Celia Johnson" w:date="2022-09-06T13:44:00Z">
        <w:r>
          <w:t>The draft logic model (Figure 1) may be refined over time without requiring change to the Illinois TRM.</w:t>
        </w:r>
        <w:r w:rsidDel="0007507F">
          <w:t xml:space="preserve"> </w:t>
        </w:r>
        <w:r>
          <w:t>Further versions of logic models should align with utility program design (as the programs are developed), the development of market baselines, and evaluator-reviewed Market Progress Indicators (MPIs).</w:t>
        </w:r>
      </w:ins>
    </w:p>
    <w:p w14:paraId="1D721762" w14:textId="77777777" w:rsidR="00E3500B" w:rsidRDefault="00E3500B" w:rsidP="00E3500B">
      <w:pPr>
        <w:rPr>
          <w:ins w:id="2902" w:author="Celia Johnson" w:date="2022-09-06T13:44:00Z"/>
        </w:rPr>
      </w:pPr>
      <w:ins w:id="2903" w:author="Celia Johnson" w:date="2022-09-06T13:44:00Z">
        <w:r>
          <w:t xml:space="preserve">MPIs are the metrics that will be tracked to assess the effectiveness of the activities identified in the program logic </w:t>
        </w:r>
        <w:proofErr w:type="gramStart"/>
        <w:r>
          <w:t>model..</w:t>
        </w:r>
        <w:proofErr w:type="gramEnd"/>
        <w:r>
          <w:t xml:space="preserve"> Table 3 provides suggested utility activities that could impact the stretch energy code advancement process and </w:t>
        </w:r>
        <w:r>
          <w:fldChar w:fldCharType="begin"/>
        </w:r>
        <w:r>
          <w:instrText xml:space="preserve"> REF _Ref112397170 \h </w:instrText>
        </w:r>
      </w:ins>
      <w:ins w:id="2904" w:author="Celia Johnson" w:date="2022-09-06T13:44:00Z">
        <w:r>
          <w:fldChar w:fldCharType="separate"/>
        </w:r>
        <w:r>
          <w:t xml:space="preserve">Table </w:t>
        </w:r>
        <w:r>
          <w:rPr>
            <w:noProof/>
          </w:rPr>
          <w:t>4</w:t>
        </w:r>
        <w:r>
          <w:fldChar w:fldCharType="end"/>
        </w:r>
        <w:r>
          <w:t xml:space="preserve"> provides a similar table for utility activities that could impact stretch code compliance support. The expected level of impact shown in the right-hand column are intended to provide guidance to utilities on the relative importance of each activity from an evaluation perspective.</w:t>
        </w:r>
      </w:ins>
    </w:p>
    <w:p w14:paraId="3CF7B948" w14:textId="77777777" w:rsidR="00E3500B" w:rsidRPr="002315F2" w:rsidRDefault="00E3500B" w:rsidP="00E3500B">
      <w:pPr>
        <w:rPr>
          <w:ins w:id="2905" w:author="Celia Johnson" w:date="2022-09-06T13:44:00Z"/>
        </w:rPr>
      </w:pPr>
    </w:p>
    <w:p w14:paraId="068BDF38" w14:textId="77777777" w:rsidR="00E3500B" w:rsidRDefault="00E3500B" w:rsidP="00E3500B">
      <w:pPr>
        <w:spacing w:after="0"/>
        <w:jc w:val="left"/>
        <w:rPr>
          <w:ins w:id="2906" w:author="Celia Johnson" w:date="2022-09-06T13:44:00Z"/>
          <w:b/>
          <w:bCs/>
        </w:rPr>
      </w:pPr>
    </w:p>
    <w:p w14:paraId="3EFF1593" w14:textId="77777777" w:rsidR="00E3500B" w:rsidRDefault="00E3500B" w:rsidP="00E3500B">
      <w:pPr>
        <w:spacing w:after="0"/>
        <w:jc w:val="left"/>
        <w:rPr>
          <w:ins w:id="2907" w:author="Celia Johnson" w:date="2022-09-06T13:44:00Z"/>
          <w:b/>
          <w:bCs/>
        </w:rPr>
      </w:pPr>
    </w:p>
    <w:p w14:paraId="5AEB8503" w14:textId="77777777" w:rsidR="00E3500B" w:rsidRDefault="00E3500B" w:rsidP="00E3500B">
      <w:pPr>
        <w:spacing w:after="0"/>
        <w:jc w:val="left"/>
        <w:rPr>
          <w:ins w:id="2908" w:author="Celia Johnson" w:date="2022-09-06T13:44:00Z"/>
          <w:b/>
          <w:bCs/>
        </w:rPr>
      </w:pPr>
      <w:ins w:id="2909" w:author="Celia Johnson" w:date="2022-09-06T13:44:00Z">
        <w:r>
          <w:rPr>
            <w:b/>
            <w:bCs/>
          </w:rPr>
          <w:br w:type="page"/>
        </w:r>
      </w:ins>
    </w:p>
    <w:p w14:paraId="185AB16A" w14:textId="77777777" w:rsidR="00E3500B" w:rsidRPr="009C33BE" w:rsidRDefault="00E3500B" w:rsidP="00E3500B">
      <w:pPr>
        <w:spacing w:after="0"/>
        <w:jc w:val="left"/>
        <w:rPr>
          <w:ins w:id="2910" w:author="Celia Johnson" w:date="2022-09-06T13:44:00Z"/>
          <w:rStyle w:val="Emphasis"/>
          <w:i w:val="0"/>
        </w:rPr>
      </w:pPr>
    </w:p>
    <w:p w14:paraId="6A54E381" w14:textId="77777777" w:rsidR="00E3500B" w:rsidRDefault="00E3500B" w:rsidP="00E3500B">
      <w:pPr>
        <w:pStyle w:val="Caption"/>
        <w:rPr>
          <w:ins w:id="2911" w:author="Celia Johnson" w:date="2022-09-06T13:44:00Z"/>
        </w:rPr>
      </w:pPr>
      <w:ins w:id="2912" w:author="Celia Johnson" w:date="2022-09-06T13:44:00Z">
        <w:r>
          <w:t xml:space="preserve">Table </w:t>
        </w:r>
        <w:r>
          <w:fldChar w:fldCharType="begin"/>
        </w:r>
        <w:r>
          <w:instrText>SEQ Table \* ARABIC</w:instrText>
        </w:r>
        <w:r>
          <w:fldChar w:fldCharType="separate"/>
        </w:r>
        <w:r>
          <w:rPr>
            <w:noProof/>
          </w:rPr>
          <w:t>2</w:t>
        </w:r>
        <w:r>
          <w:fldChar w:fldCharType="end"/>
        </w:r>
        <w:r>
          <w:t>: Barriers to advancing and achieving full compliance with energy codes</w:t>
        </w:r>
      </w:ins>
    </w:p>
    <w:tbl>
      <w:tblPr>
        <w:tblStyle w:val="GridTable1Light"/>
        <w:tblW w:w="9175" w:type="dxa"/>
        <w:tblLook w:val="04A0" w:firstRow="1" w:lastRow="0" w:firstColumn="1" w:lastColumn="0" w:noHBand="0" w:noVBand="1"/>
      </w:tblPr>
      <w:tblGrid>
        <w:gridCol w:w="3728"/>
        <w:gridCol w:w="5447"/>
      </w:tblGrid>
      <w:tr w:rsidR="00E3500B" w:rsidRPr="00B70DE0" w14:paraId="37F4BBF1" w14:textId="77777777" w:rsidTr="000B5D6A">
        <w:trPr>
          <w:cnfStyle w:val="100000000000" w:firstRow="1" w:lastRow="0" w:firstColumn="0" w:lastColumn="0" w:oddVBand="0" w:evenVBand="0" w:oddHBand="0" w:evenHBand="0" w:firstRowFirstColumn="0" w:firstRowLastColumn="0" w:lastRowFirstColumn="0" w:lastRowLastColumn="0"/>
          <w:trHeight w:val="99"/>
          <w:tblHeader/>
          <w:ins w:id="2913" w:author="Celia Johnson" w:date="2022-09-06T13:44:00Z"/>
        </w:trPr>
        <w:tc>
          <w:tcPr>
            <w:cnfStyle w:val="001000000000" w:firstRow="0" w:lastRow="0" w:firstColumn="1" w:lastColumn="0" w:oddVBand="0" w:evenVBand="0" w:oddHBand="0" w:evenHBand="0" w:firstRowFirstColumn="0" w:firstRowLastColumn="0" w:lastRowFirstColumn="0" w:lastRowLastColumn="0"/>
            <w:tcW w:w="3728" w:type="dxa"/>
          </w:tcPr>
          <w:p w14:paraId="55A8CE50" w14:textId="77777777" w:rsidR="00E3500B" w:rsidRPr="00B70DE0" w:rsidRDefault="00E3500B" w:rsidP="000B5D6A">
            <w:pPr>
              <w:rPr>
                <w:ins w:id="2914" w:author="Celia Johnson" w:date="2022-09-06T13:44:00Z"/>
                <w:rFonts w:asciiTheme="minorHAnsi" w:hAnsiTheme="minorHAnsi" w:cstheme="minorHAnsi"/>
              </w:rPr>
            </w:pPr>
            <w:ins w:id="2915" w:author="Celia Johnson" w:date="2022-09-06T13:44:00Z">
              <w:r w:rsidRPr="00B70DE0">
                <w:rPr>
                  <w:rFonts w:asciiTheme="minorHAnsi" w:hAnsiTheme="minorHAnsi" w:cstheme="minorHAnsi"/>
                </w:rPr>
                <w:t xml:space="preserve">Barrier </w:t>
              </w:r>
            </w:ins>
          </w:p>
        </w:tc>
        <w:tc>
          <w:tcPr>
            <w:tcW w:w="5447" w:type="dxa"/>
          </w:tcPr>
          <w:p w14:paraId="47FFB5F8" w14:textId="77777777" w:rsidR="00E3500B" w:rsidRPr="00B70DE0" w:rsidRDefault="00E3500B" w:rsidP="000B5D6A">
            <w:pPr>
              <w:cnfStyle w:val="100000000000" w:firstRow="1" w:lastRow="0" w:firstColumn="0" w:lastColumn="0" w:oddVBand="0" w:evenVBand="0" w:oddHBand="0" w:evenHBand="0" w:firstRowFirstColumn="0" w:firstRowLastColumn="0" w:lastRowFirstColumn="0" w:lastRowLastColumn="0"/>
              <w:rPr>
                <w:ins w:id="2916" w:author="Celia Johnson" w:date="2022-09-06T13:44:00Z"/>
                <w:rFonts w:asciiTheme="minorHAnsi" w:hAnsiTheme="minorHAnsi" w:cstheme="minorBidi"/>
              </w:rPr>
            </w:pPr>
            <w:ins w:id="2917" w:author="Celia Johnson" w:date="2022-09-06T13:44:00Z">
              <w:r w:rsidRPr="72CE4B49">
                <w:rPr>
                  <w:rFonts w:asciiTheme="minorHAnsi" w:hAnsiTheme="minorHAnsi" w:cstheme="minorBidi"/>
                </w:rPr>
                <w:t xml:space="preserve">Description </w:t>
              </w:r>
            </w:ins>
          </w:p>
        </w:tc>
      </w:tr>
      <w:tr w:rsidR="00E3500B" w:rsidRPr="00B70DE0" w14:paraId="210733F0" w14:textId="77777777" w:rsidTr="000B5D6A">
        <w:trPr>
          <w:cnfStyle w:val="100000000000" w:firstRow="1" w:lastRow="0" w:firstColumn="0" w:lastColumn="0" w:oddVBand="0" w:evenVBand="0" w:oddHBand="0" w:evenHBand="0" w:firstRowFirstColumn="0" w:firstRowLastColumn="0" w:lastRowFirstColumn="0" w:lastRowLastColumn="0"/>
          <w:trHeight w:val="1066"/>
          <w:tblHeader/>
          <w:ins w:id="2918" w:author="Celia Johnson" w:date="2022-09-06T13:44:00Z"/>
        </w:trPr>
        <w:tc>
          <w:tcPr>
            <w:cnfStyle w:val="001000000000" w:firstRow="0" w:lastRow="0" w:firstColumn="1" w:lastColumn="0" w:oddVBand="0" w:evenVBand="0" w:oddHBand="0" w:evenHBand="0" w:firstRowFirstColumn="0" w:firstRowLastColumn="0" w:lastRowFirstColumn="0" w:lastRowLastColumn="0"/>
            <w:tcW w:w="3728" w:type="dxa"/>
            <w:vAlign w:val="center"/>
          </w:tcPr>
          <w:p w14:paraId="42DAE604" w14:textId="77777777" w:rsidR="00E3500B" w:rsidRPr="00E41CE6" w:rsidRDefault="00E3500B" w:rsidP="000B5D6A">
            <w:pPr>
              <w:rPr>
                <w:ins w:id="2919" w:author="Celia Johnson" w:date="2022-09-06T13:44:00Z"/>
                <w:rFonts w:asciiTheme="minorHAnsi" w:hAnsiTheme="minorHAnsi" w:cstheme="minorHAnsi"/>
                <w:b w:val="0"/>
                <w:bCs w:val="0"/>
              </w:rPr>
            </w:pPr>
            <w:ins w:id="2920" w:author="Celia Johnson" w:date="2022-09-06T13:44:00Z">
              <w:r w:rsidRPr="00E41CE6">
                <w:rPr>
                  <w:rFonts w:asciiTheme="minorHAnsi" w:hAnsiTheme="minorHAnsi" w:cstheme="minorHAnsi"/>
                  <w:b w:val="0"/>
                  <w:bCs w:val="0"/>
                </w:rPr>
                <w:t>Business and contractor community may push back against new regulation and updates to the code.</w:t>
              </w:r>
            </w:ins>
          </w:p>
        </w:tc>
        <w:tc>
          <w:tcPr>
            <w:tcW w:w="5447" w:type="dxa"/>
            <w:vAlign w:val="center"/>
          </w:tcPr>
          <w:p w14:paraId="62B6FCA5" w14:textId="77777777" w:rsidR="00E3500B" w:rsidRPr="00E41CE6" w:rsidRDefault="00E3500B" w:rsidP="000B5D6A">
            <w:pPr>
              <w:cnfStyle w:val="100000000000" w:firstRow="1" w:lastRow="0" w:firstColumn="0" w:lastColumn="0" w:oddVBand="0" w:evenVBand="0" w:oddHBand="0" w:evenHBand="0" w:firstRowFirstColumn="0" w:firstRowLastColumn="0" w:lastRowFirstColumn="0" w:lastRowLastColumn="0"/>
              <w:rPr>
                <w:ins w:id="2921" w:author="Celia Johnson" w:date="2022-09-06T13:44:00Z"/>
                <w:rFonts w:asciiTheme="minorHAnsi" w:hAnsiTheme="minorHAnsi" w:cstheme="minorBidi"/>
                <w:b w:val="0"/>
                <w:bCs w:val="0"/>
              </w:rPr>
            </w:pPr>
            <w:ins w:id="2922" w:author="Celia Johnson" w:date="2022-09-06T13:44:00Z">
              <w:r w:rsidRPr="00E41CE6">
                <w:rPr>
                  <w:rFonts w:asciiTheme="minorHAnsi" w:hAnsiTheme="minorHAnsi" w:cstheme="minorBidi"/>
                  <w:b w:val="0"/>
                  <w:bCs w:val="0"/>
                </w:rPr>
                <w:t>There is a learning curve with new codes</w:t>
              </w:r>
              <w:r>
                <w:rPr>
                  <w:rFonts w:cstheme="minorBidi"/>
                </w:rPr>
                <w:t xml:space="preserve">. </w:t>
              </w:r>
              <w:r w:rsidRPr="00FC0AE6">
                <w:rPr>
                  <w:rFonts w:cstheme="minorBidi"/>
                  <w:b w:val="0"/>
                  <w:bCs w:val="0"/>
                </w:rPr>
                <w:t>Some</w:t>
              </w:r>
              <w:r w:rsidRPr="00E41CE6">
                <w:rPr>
                  <w:rFonts w:asciiTheme="minorHAnsi" w:hAnsiTheme="minorHAnsi" w:cstheme="minorBidi"/>
                  <w:b w:val="0"/>
                  <w:bCs w:val="0"/>
                </w:rPr>
                <w:t xml:space="preserve"> contractor </w:t>
              </w:r>
              <w:r>
                <w:rPr>
                  <w:rFonts w:asciiTheme="minorHAnsi" w:hAnsiTheme="minorHAnsi" w:cstheme="minorBidi"/>
                  <w:b w:val="0"/>
                  <w:bCs w:val="0"/>
                </w:rPr>
                <w:t xml:space="preserve">and </w:t>
              </w:r>
              <w:r w:rsidRPr="00E41CE6">
                <w:rPr>
                  <w:rFonts w:asciiTheme="minorHAnsi" w:hAnsiTheme="minorHAnsi" w:cstheme="minorBidi"/>
                  <w:b w:val="0"/>
                  <w:bCs w:val="0"/>
                </w:rPr>
                <w:t xml:space="preserve">business </w:t>
              </w:r>
              <w:r>
                <w:rPr>
                  <w:rFonts w:asciiTheme="minorHAnsi" w:hAnsiTheme="minorHAnsi" w:cstheme="minorBidi"/>
                  <w:b w:val="0"/>
                  <w:bCs w:val="0"/>
                </w:rPr>
                <w:t xml:space="preserve">market actors </w:t>
              </w:r>
              <w:r w:rsidRPr="00E41CE6">
                <w:rPr>
                  <w:rFonts w:asciiTheme="minorHAnsi" w:hAnsiTheme="minorHAnsi" w:cstheme="minorBidi"/>
                  <w:b w:val="0"/>
                  <w:bCs w:val="0"/>
                </w:rPr>
                <w:t xml:space="preserve">may not want to add new regulations to their </w:t>
              </w:r>
              <w:r>
                <w:rPr>
                  <w:rFonts w:asciiTheme="minorHAnsi" w:hAnsiTheme="minorHAnsi" w:cstheme="minorBidi"/>
                  <w:b w:val="0"/>
                  <w:bCs w:val="0"/>
                </w:rPr>
                <w:t>workload</w:t>
              </w:r>
              <w:r w:rsidRPr="00E41CE6">
                <w:rPr>
                  <w:rFonts w:asciiTheme="minorHAnsi" w:hAnsiTheme="minorHAnsi" w:cstheme="minorBidi"/>
                  <w:b w:val="0"/>
                  <w:bCs w:val="0"/>
                </w:rPr>
                <w:t>, and may believe that their customers do not want to build higher performing buildings</w:t>
              </w:r>
              <w:r>
                <w:rPr>
                  <w:rFonts w:asciiTheme="minorHAnsi" w:hAnsiTheme="minorHAnsi" w:cstheme="minorBidi"/>
                  <w:b w:val="0"/>
                  <w:bCs w:val="0"/>
                </w:rPr>
                <w:t xml:space="preserve">. </w:t>
              </w:r>
            </w:ins>
          </w:p>
        </w:tc>
      </w:tr>
      <w:tr w:rsidR="00E3500B" w:rsidRPr="00B70DE0" w14:paraId="152D610E" w14:textId="77777777" w:rsidTr="000B5D6A">
        <w:trPr>
          <w:cnfStyle w:val="100000000000" w:firstRow="1" w:lastRow="0" w:firstColumn="0" w:lastColumn="0" w:oddVBand="0" w:evenVBand="0" w:oddHBand="0" w:evenHBand="0" w:firstRowFirstColumn="0" w:firstRowLastColumn="0" w:lastRowFirstColumn="0" w:lastRowLastColumn="0"/>
          <w:trHeight w:val="402"/>
          <w:tblHeader/>
          <w:ins w:id="2923" w:author="Celia Johnson" w:date="2022-09-06T13:44:00Z"/>
        </w:trPr>
        <w:tc>
          <w:tcPr>
            <w:cnfStyle w:val="001000000000" w:firstRow="0" w:lastRow="0" w:firstColumn="1" w:lastColumn="0" w:oddVBand="0" w:evenVBand="0" w:oddHBand="0" w:evenHBand="0" w:firstRowFirstColumn="0" w:firstRowLastColumn="0" w:lastRowFirstColumn="0" w:lastRowLastColumn="0"/>
            <w:tcW w:w="3728" w:type="dxa"/>
            <w:vAlign w:val="center"/>
          </w:tcPr>
          <w:p w14:paraId="2C604A8A" w14:textId="77777777" w:rsidR="00E3500B" w:rsidRPr="00E41CE6" w:rsidRDefault="00E3500B" w:rsidP="000B5D6A">
            <w:pPr>
              <w:rPr>
                <w:ins w:id="2924" w:author="Celia Johnson" w:date="2022-09-06T13:44:00Z"/>
                <w:rFonts w:asciiTheme="minorHAnsi" w:hAnsiTheme="minorHAnsi" w:cstheme="minorBidi"/>
                <w:b w:val="0"/>
                <w:bCs w:val="0"/>
              </w:rPr>
            </w:pPr>
            <w:ins w:id="2925" w:author="Celia Johnson" w:date="2022-09-06T13:44:00Z">
              <w:r w:rsidRPr="00E41CE6">
                <w:rPr>
                  <w:rFonts w:asciiTheme="minorHAnsi" w:hAnsiTheme="minorHAnsi" w:cstheme="minorBidi"/>
                  <w:b w:val="0"/>
                  <w:bCs w:val="0"/>
                </w:rPr>
                <w:t xml:space="preserve">Municipalities often have limited resources to understand and enforce more complex code.  </w:t>
              </w:r>
            </w:ins>
          </w:p>
        </w:tc>
        <w:tc>
          <w:tcPr>
            <w:tcW w:w="5447" w:type="dxa"/>
            <w:vAlign w:val="center"/>
          </w:tcPr>
          <w:p w14:paraId="05186D7F" w14:textId="77777777" w:rsidR="00E3500B" w:rsidRPr="00E41CE6" w:rsidRDefault="00E3500B" w:rsidP="000B5D6A">
            <w:pPr>
              <w:cnfStyle w:val="100000000000" w:firstRow="1" w:lastRow="0" w:firstColumn="0" w:lastColumn="0" w:oddVBand="0" w:evenVBand="0" w:oddHBand="0" w:evenHBand="0" w:firstRowFirstColumn="0" w:firstRowLastColumn="0" w:lastRowFirstColumn="0" w:lastRowLastColumn="0"/>
              <w:rPr>
                <w:ins w:id="2926" w:author="Celia Johnson" w:date="2022-09-06T13:44:00Z"/>
                <w:rFonts w:asciiTheme="minorHAnsi" w:hAnsiTheme="minorHAnsi" w:cstheme="minorHAnsi"/>
                <w:b w:val="0"/>
                <w:bCs w:val="0"/>
              </w:rPr>
            </w:pPr>
            <w:ins w:id="2927" w:author="Celia Johnson" w:date="2022-09-06T13:44:00Z">
              <w:r w:rsidRPr="00E41CE6">
                <w:rPr>
                  <w:rFonts w:asciiTheme="minorHAnsi" w:hAnsiTheme="minorHAnsi" w:cstheme="minorHAnsi"/>
                  <w:b w:val="0"/>
                  <w:bCs w:val="0"/>
                </w:rPr>
                <w:t>Energy codes are enforced by code officials that are funded through municipal budgets. Staff time and resources are limited to enforce the code</w:t>
              </w:r>
              <w:r>
                <w:rPr>
                  <w:rFonts w:asciiTheme="minorHAnsi" w:hAnsiTheme="minorHAnsi" w:cstheme="minorHAnsi"/>
                  <w:b w:val="0"/>
                  <w:bCs w:val="0"/>
                </w:rPr>
                <w:t>,</w:t>
              </w:r>
              <w:r w:rsidRPr="00E41CE6">
                <w:rPr>
                  <w:rFonts w:asciiTheme="minorHAnsi" w:hAnsiTheme="minorHAnsi" w:cstheme="minorHAnsi"/>
                  <w:b w:val="0"/>
                  <w:bCs w:val="0"/>
                </w:rPr>
                <w:t xml:space="preserve"> as well as learn how to enforce increasingly more complex codes. </w:t>
              </w:r>
            </w:ins>
          </w:p>
        </w:tc>
      </w:tr>
      <w:tr w:rsidR="00E3500B" w:rsidRPr="00B70DE0" w14:paraId="670D8C53" w14:textId="77777777" w:rsidTr="000B5D6A">
        <w:trPr>
          <w:cnfStyle w:val="100000000000" w:firstRow="1" w:lastRow="0" w:firstColumn="0" w:lastColumn="0" w:oddVBand="0" w:evenVBand="0" w:oddHBand="0" w:evenHBand="0" w:firstRowFirstColumn="0" w:firstRowLastColumn="0" w:lastRowFirstColumn="0" w:lastRowLastColumn="0"/>
          <w:trHeight w:val="608"/>
          <w:tblHeader/>
          <w:ins w:id="2928" w:author="Celia Johnson" w:date="2022-09-06T13:44:00Z"/>
        </w:trPr>
        <w:tc>
          <w:tcPr>
            <w:cnfStyle w:val="001000000000" w:firstRow="0" w:lastRow="0" w:firstColumn="1" w:lastColumn="0" w:oddVBand="0" w:evenVBand="0" w:oddHBand="0" w:evenHBand="0" w:firstRowFirstColumn="0" w:firstRowLastColumn="0" w:lastRowFirstColumn="0" w:lastRowLastColumn="0"/>
            <w:tcW w:w="3728" w:type="dxa"/>
            <w:vAlign w:val="center"/>
          </w:tcPr>
          <w:p w14:paraId="08F1073E" w14:textId="77777777" w:rsidR="00E3500B" w:rsidRPr="00E41CE6" w:rsidRDefault="00E3500B" w:rsidP="000B5D6A">
            <w:pPr>
              <w:rPr>
                <w:ins w:id="2929" w:author="Celia Johnson" w:date="2022-09-06T13:44:00Z"/>
                <w:rFonts w:asciiTheme="minorHAnsi" w:hAnsiTheme="minorHAnsi" w:cstheme="minorBidi"/>
                <w:b w:val="0"/>
                <w:bCs w:val="0"/>
              </w:rPr>
            </w:pPr>
            <w:ins w:id="2930" w:author="Celia Johnson" w:date="2022-09-06T13:44:00Z">
              <w:r w:rsidRPr="00E41CE6">
                <w:rPr>
                  <w:rFonts w:asciiTheme="minorHAnsi" w:hAnsiTheme="minorHAnsi" w:cstheme="minorBidi"/>
                  <w:b w:val="0"/>
                  <w:bCs w:val="0"/>
                </w:rPr>
                <w:t xml:space="preserve">Design and construction contractors may not be aware of updated or more complex codes.  </w:t>
              </w:r>
            </w:ins>
          </w:p>
        </w:tc>
        <w:tc>
          <w:tcPr>
            <w:tcW w:w="5447" w:type="dxa"/>
            <w:vAlign w:val="center"/>
          </w:tcPr>
          <w:p w14:paraId="21AF8EFF" w14:textId="77777777" w:rsidR="00E3500B" w:rsidRPr="00E41CE6" w:rsidRDefault="00E3500B" w:rsidP="000B5D6A">
            <w:pPr>
              <w:cnfStyle w:val="100000000000" w:firstRow="1" w:lastRow="0" w:firstColumn="0" w:lastColumn="0" w:oddVBand="0" w:evenVBand="0" w:oddHBand="0" w:evenHBand="0" w:firstRowFirstColumn="0" w:firstRowLastColumn="0" w:lastRowFirstColumn="0" w:lastRowLastColumn="0"/>
              <w:rPr>
                <w:ins w:id="2931" w:author="Celia Johnson" w:date="2022-09-06T13:44:00Z"/>
                <w:rFonts w:asciiTheme="minorHAnsi" w:hAnsiTheme="minorHAnsi" w:cstheme="minorHAnsi"/>
                <w:b w:val="0"/>
                <w:bCs w:val="0"/>
              </w:rPr>
            </w:pPr>
            <w:ins w:id="2932" w:author="Celia Johnson" w:date="2022-09-06T13:44:00Z">
              <w:r w:rsidRPr="00E41CE6">
                <w:rPr>
                  <w:rFonts w:asciiTheme="minorHAnsi" w:hAnsiTheme="minorHAnsi" w:cstheme="minorHAnsi"/>
                  <w:b w:val="0"/>
                  <w:bCs w:val="0"/>
                </w:rPr>
                <w:t xml:space="preserve">As new energy codes are adopted, building professionals need time to </w:t>
              </w:r>
              <w:r>
                <w:rPr>
                  <w:rFonts w:asciiTheme="minorHAnsi" w:hAnsiTheme="minorHAnsi" w:cstheme="minorHAnsi"/>
                  <w:b w:val="0"/>
                  <w:bCs w:val="0"/>
                </w:rPr>
                <w:t xml:space="preserve">learn about and </w:t>
              </w:r>
              <w:r w:rsidRPr="00E41CE6">
                <w:rPr>
                  <w:rFonts w:asciiTheme="minorHAnsi" w:hAnsiTheme="minorHAnsi" w:cstheme="minorHAnsi"/>
                  <w:b w:val="0"/>
                  <w:bCs w:val="0"/>
                </w:rPr>
                <w:t xml:space="preserve">understand </w:t>
              </w:r>
              <w:r>
                <w:rPr>
                  <w:rFonts w:asciiTheme="minorHAnsi" w:hAnsiTheme="minorHAnsi" w:cstheme="minorHAnsi"/>
                  <w:b w:val="0"/>
                  <w:bCs w:val="0"/>
                </w:rPr>
                <w:t xml:space="preserve">how updated codes will affect </w:t>
              </w:r>
              <w:r w:rsidRPr="00E41CE6">
                <w:rPr>
                  <w:rFonts w:asciiTheme="minorHAnsi" w:hAnsiTheme="minorHAnsi" w:cstheme="minorHAnsi"/>
                  <w:b w:val="0"/>
                  <w:bCs w:val="0"/>
                </w:rPr>
                <w:t>their current building practice</w:t>
              </w:r>
              <w:r>
                <w:rPr>
                  <w:rFonts w:asciiTheme="minorHAnsi" w:hAnsiTheme="minorHAnsi" w:cstheme="minorHAnsi"/>
                  <w:b w:val="0"/>
                  <w:bCs w:val="0"/>
                </w:rPr>
                <w:t>s</w:t>
              </w:r>
              <w:r w:rsidRPr="00E41CE6">
                <w:rPr>
                  <w:rFonts w:asciiTheme="minorHAnsi" w:hAnsiTheme="minorHAnsi" w:cstheme="minorHAnsi"/>
                  <w:b w:val="0"/>
                  <w:bCs w:val="0"/>
                </w:rPr>
                <w:t>.</w:t>
              </w:r>
            </w:ins>
          </w:p>
        </w:tc>
      </w:tr>
      <w:tr w:rsidR="00E3500B" w:rsidRPr="00B70DE0" w14:paraId="73057537" w14:textId="77777777" w:rsidTr="000B5D6A">
        <w:trPr>
          <w:cnfStyle w:val="100000000000" w:firstRow="1" w:lastRow="0" w:firstColumn="0" w:lastColumn="0" w:oddVBand="0" w:evenVBand="0" w:oddHBand="0" w:evenHBand="0" w:firstRowFirstColumn="0" w:firstRowLastColumn="0" w:lastRowFirstColumn="0" w:lastRowLastColumn="0"/>
          <w:trHeight w:val="688"/>
          <w:tblHeader/>
          <w:ins w:id="2933" w:author="Celia Johnson" w:date="2022-09-06T13:44:00Z"/>
        </w:trPr>
        <w:tc>
          <w:tcPr>
            <w:cnfStyle w:val="001000000000" w:firstRow="0" w:lastRow="0" w:firstColumn="1" w:lastColumn="0" w:oddVBand="0" w:evenVBand="0" w:oddHBand="0" w:evenHBand="0" w:firstRowFirstColumn="0" w:firstRowLastColumn="0" w:lastRowFirstColumn="0" w:lastRowLastColumn="0"/>
            <w:tcW w:w="3728" w:type="dxa"/>
            <w:vAlign w:val="center"/>
          </w:tcPr>
          <w:p w14:paraId="0DCD3521" w14:textId="77777777" w:rsidR="00E3500B" w:rsidRPr="00E41CE6" w:rsidRDefault="00E3500B" w:rsidP="000B5D6A">
            <w:pPr>
              <w:rPr>
                <w:ins w:id="2934" w:author="Celia Johnson" w:date="2022-09-06T13:44:00Z"/>
                <w:rFonts w:asciiTheme="minorHAnsi" w:hAnsiTheme="minorHAnsi" w:cstheme="minorHAnsi"/>
                <w:b w:val="0"/>
                <w:bCs w:val="0"/>
              </w:rPr>
            </w:pPr>
            <w:ins w:id="2935" w:author="Celia Johnson" w:date="2022-09-06T13:44:00Z">
              <w:r w:rsidRPr="00E41CE6">
                <w:rPr>
                  <w:rFonts w:asciiTheme="minorHAnsi" w:hAnsiTheme="minorHAnsi" w:cstheme="minorHAnsi"/>
                  <w:b w:val="0"/>
                  <w:bCs w:val="0"/>
                </w:rPr>
                <w:t>Enforcement professionals may not prioritize energy code compliance.</w:t>
              </w:r>
            </w:ins>
          </w:p>
        </w:tc>
        <w:tc>
          <w:tcPr>
            <w:tcW w:w="5447" w:type="dxa"/>
            <w:vAlign w:val="center"/>
          </w:tcPr>
          <w:p w14:paraId="147BF8D3" w14:textId="77777777" w:rsidR="00E3500B" w:rsidRPr="00E41CE6" w:rsidRDefault="00E3500B" w:rsidP="000B5D6A">
            <w:pPr>
              <w:cnfStyle w:val="100000000000" w:firstRow="1" w:lastRow="0" w:firstColumn="0" w:lastColumn="0" w:oddVBand="0" w:evenVBand="0" w:oddHBand="0" w:evenHBand="0" w:firstRowFirstColumn="0" w:firstRowLastColumn="0" w:lastRowFirstColumn="0" w:lastRowLastColumn="0"/>
              <w:rPr>
                <w:ins w:id="2936" w:author="Celia Johnson" w:date="2022-09-06T13:44:00Z"/>
                <w:rFonts w:asciiTheme="minorHAnsi" w:hAnsiTheme="minorHAnsi" w:cstheme="minorHAnsi"/>
                <w:b w:val="0"/>
                <w:bCs w:val="0"/>
              </w:rPr>
            </w:pPr>
            <w:ins w:id="2937" w:author="Celia Johnson" w:date="2022-09-06T13:44:00Z">
              <w:r w:rsidRPr="00E41CE6">
                <w:rPr>
                  <w:rFonts w:asciiTheme="minorHAnsi" w:hAnsiTheme="minorHAnsi" w:cstheme="minorHAnsi"/>
                  <w:b w:val="0"/>
                  <w:bCs w:val="0"/>
                </w:rPr>
                <w:t>Some code officials may not consider energy codes to be the same priority as other life safety codes (such as fire codes).</w:t>
              </w:r>
            </w:ins>
          </w:p>
        </w:tc>
      </w:tr>
      <w:tr w:rsidR="00E3500B" w:rsidRPr="00B70DE0" w14:paraId="3D8933FF" w14:textId="77777777" w:rsidTr="000B5D6A">
        <w:trPr>
          <w:cnfStyle w:val="100000000000" w:firstRow="1" w:lastRow="0" w:firstColumn="0" w:lastColumn="0" w:oddVBand="0" w:evenVBand="0" w:oddHBand="0" w:evenHBand="0" w:firstRowFirstColumn="0" w:firstRowLastColumn="0" w:lastRowFirstColumn="0" w:lastRowLastColumn="0"/>
          <w:trHeight w:val="628"/>
          <w:tblHeader/>
          <w:ins w:id="2938" w:author="Celia Johnson" w:date="2022-09-06T13:44:00Z"/>
        </w:trPr>
        <w:tc>
          <w:tcPr>
            <w:cnfStyle w:val="001000000000" w:firstRow="0" w:lastRow="0" w:firstColumn="1" w:lastColumn="0" w:oddVBand="0" w:evenVBand="0" w:oddHBand="0" w:evenHBand="0" w:firstRowFirstColumn="0" w:firstRowLastColumn="0" w:lastRowFirstColumn="0" w:lastRowLastColumn="0"/>
            <w:tcW w:w="3728" w:type="dxa"/>
            <w:vAlign w:val="center"/>
          </w:tcPr>
          <w:p w14:paraId="336EB285" w14:textId="77777777" w:rsidR="00E3500B" w:rsidRPr="00E41CE6" w:rsidRDefault="00E3500B" w:rsidP="000B5D6A">
            <w:pPr>
              <w:rPr>
                <w:ins w:id="2939" w:author="Celia Johnson" w:date="2022-09-06T13:44:00Z"/>
                <w:rFonts w:asciiTheme="minorHAnsi" w:hAnsiTheme="minorHAnsi" w:cstheme="minorHAnsi"/>
                <w:b w:val="0"/>
                <w:bCs w:val="0"/>
              </w:rPr>
            </w:pPr>
            <w:ins w:id="2940" w:author="Celia Johnson" w:date="2022-09-06T13:44:00Z">
              <w:r w:rsidRPr="00E41CE6">
                <w:rPr>
                  <w:rFonts w:asciiTheme="minorHAnsi" w:hAnsiTheme="minorHAnsi" w:cstheme="minorHAnsi"/>
                  <w:b w:val="0"/>
                  <w:bCs w:val="0"/>
                </w:rPr>
                <w:t>Higher upfront costs for some energy efficiency investments.</w:t>
              </w:r>
            </w:ins>
          </w:p>
        </w:tc>
        <w:tc>
          <w:tcPr>
            <w:tcW w:w="5447" w:type="dxa"/>
            <w:vAlign w:val="center"/>
          </w:tcPr>
          <w:p w14:paraId="38C375C1" w14:textId="77777777" w:rsidR="00E3500B" w:rsidRPr="00E41CE6" w:rsidRDefault="00E3500B" w:rsidP="000B5D6A">
            <w:pPr>
              <w:cnfStyle w:val="100000000000" w:firstRow="1" w:lastRow="0" w:firstColumn="0" w:lastColumn="0" w:oddVBand="0" w:evenVBand="0" w:oddHBand="0" w:evenHBand="0" w:firstRowFirstColumn="0" w:firstRowLastColumn="0" w:lastRowFirstColumn="0" w:lastRowLastColumn="0"/>
              <w:rPr>
                <w:ins w:id="2941" w:author="Celia Johnson" w:date="2022-09-06T13:44:00Z"/>
                <w:rFonts w:asciiTheme="minorHAnsi" w:hAnsiTheme="minorHAnsi" w:cstheme="minorHAnsi"/>
                <w:b w:val="0"/>
                <w:bCs w:val="0"/>
              </w:rPr>
            </w:pPr>
            <w:ins w:id="2942" w:author="Celia Johnson" w:date="2022-09-06T13:44:00Z">
              <w:r w:rsidRPr="00E41CE6">
                <w:rPr>
                  <w:rFonts w:asciiTheme="minorHAnsi" w:hAnsiTheme="minorHAnsi" w:cstheme="minorHAnsi"/>
                  <w:b w:val="0"/>
                  <w:bCs w:val="0"/>
                </w:rPr>
                <w:t xml:space="preserve">With some higher efficiency building technologies or methods, there can be a higher incremental cost as compared to less efficient alternatives. </w:t>
              </w:r>
            </w:ins>
          </w:p>
        </w:tc>
      </w:tr>
    </w:tbl>
    <w:p w14:paraId="539C9108" w14:textId="77777777" w:rsidR="00E3500B" w:rsidRDefault="00E3500B" w:rsidP="00E3500B">
      <w:pPr>
        <w:rPr>
          <w:ins w:id="2943" w:author="Celia Johnson" w:date="2022-09-06T13:44:00Z"/>
        </w:rPr>
        <w:sectPr w:rsidR="00E3500B" w:rsidSect="008472D3">
          <w:headerReference w:type="default" r:id="rId84"/>
          <w:headerReference w:type="first" r:id="rId85"/>
          <w:footerReference w:type="first" r:id="rId86"/>
          <w:pgSz w:w="12240" w:h="15840"/>
          <w:pgMar w:top="1440" w:right="1440" w:bottom="1440" w:left="1440" w:header="720" w:footer="720" w:gutter="0"/>
          <w:cols w:space="720"/>
          <w:titlePg/>
          <w:docGrid w:linePitch="400"/>
        </w:sectPr>
      </w:pPr>
    </w:p>
    <w:p w14:paraId="3874C01D" w14:textId="77777777" w:rsidR="00E3500B" w:rsidRDefault="00E3500B" w:rsidP="00E3500B">
      <w:pPr>
        <w:pStyle w:val="Caption"/>
        <w:rPr>
          <w:ins w:id="2944" w:author="Celia Johnson" w:date="2022-09-06T13:44:00Z"/>
        </w:rPr>
      </w:pPr>
      <w:ins w:id="2945" w:author="Celia Johnson" w:date="2022-09-06T13:44:00Z">
        <w:r>
          <w:lastRenderedPageBreak/>
          <w:t xml:space="preserve">Figure </w:t>
        </w:r>
        <w:r>
          <w:fldChar w:fldCharType="begin"/>
        </w:r>
        <w:r>
          <w:instrText>SEQ Figure \* ARABIC</w:instrText>
        </w:r>
        <w:r>
          <w:fldChar w:fldCharType="separate"/>
        </w:r>
        <w:r>
          <w:rPr>
            <w:noProof/>
          </w:rPr>
          <w:t>1</w:t>
        </w:r>
        <w:r>
          <w:fldChar w:fldCharType="end"/>
        </w:r>
        <w:r>
          <w:t>. Draft Logic Model for Stretch Codes Policy Advancement and Compliance Support</w:t>
        </w:r>
      </w:ins>
    </w:p>
    <w:p w14:paraId="71FAFB10" w14:textId="77777777" w:rsidR="00E3500B" w:rsidRPr="003F0988" w:rsidDel="0030360B" w:rsidRDefault="00E3500B" w:rsidP="00E3500B">
      <w:pPr>
        <w:pStyle w:val="Caption"/>
        <w:rPr>
          <w:ins w:id="2946" w:author="Celia Johnson" w:date="2022-09-06T13:44:00Z"/>
          <w:rFonts w:cs="Times New Roman"/>
        </w:rPr>
        <w:sectPr w:rsidR="00E3500B" w:rsidRPr="003F0988" w:rsidDel="0030360B" w:rsidSect="00F43D3F">
          <w:pgSz w:w="15840" w:h="12240" w:orient="landscape"/>
          <w:pgMar w:top="1440" w:right="1440" w:bottom="1440" w:left="1440" w:header="720" w:footer="720" w:gutter="0"/>
          <w:cols w:space="720"/>
          <w:titlePg/>
          <w:docGrid w:linePitch="400"/>
        </w:sectPr>
      </w:pPr>
      <w:ins w:id="2947" w:author="Celia Johnson" w:date="2022-09-06T13:44:00Z">
        <w:r>
          <w:rPr>
            <w:noProof/>
          </w:rPr>
          <w:drawing>
            <wp:inline distT="0" distB="0" distL="0" distR="0" wp14:anchorId="46B0411D" wp14:editId="72BED524">
              <wp:extent cx="8229600" cy="5628005"/>
              <wp:effectExtent l="0" t="0" r="0" b="0"/>
              <wp:docPr id="494" name="Picture 49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pic:nvPicPr>
                    <pic:blipFill>
                      <a:blip r:embed="rId87"/>
                      <a:stretch>
                        <a:fillRect/>
                      </a:stretch>
                    </pic:blipFill>
                    <pic:spPr>
                      <a:xfrm>
                        <a:off x="0" y="0"/>
                        <a:ext cx="8229600" cy="5628005"/>
                      </a:xfrm>
                      <a:prstGeom prst="rect">
                        <a:avLst/>
                      </a:prstGeom>
                    </pic:spPr>
                  </pic:pic>
                </a:graphicData>
              </a:graphic>
            </wp:inline>
          </w:drawing>
        </w:r>
      </w:ins>
    </w:p>
    <w:p w14:paraId="447E8F8C" w14:textId="77777777" w:rsidR="00E3500B" w:rsidRDefault="00E3500B" w:rsidP="00E3500B">
      <w:pPr>
        <w:pStyle w:val="Caption"/>
        <w:rPr>
          <w:ins w:id="2948" w:author="Celia Johnson" w:date="2022-09-06T13:44:00Z"/>
        </w:rPr>
      </w:pPr>
      <w:ins w:id="2949" w:author="Celia Johnson" w:date="2022-09-06T13:44:00Z">
        <w:r>
          <w:lastRenderedPageBreak/>
          <w:t xml:space="preserve">Table </w:t>
        </w:r>
        <w:r>
          <w:fldChar w:fldCharType="begin"/>
        </w:r>
        <w:r>
          <w:instrText>SEQ Table \* ARABIC</w:instrText>
        </w:r>
        <w:r>
          <w:fldChar w:fldCharType="separate"/>
        </w:r>
        <w:r>
          <w:rPr>
            <w:noProof/>
          </w:rPr>
          <w:t>3</w:t>
        </w:r>
        <w:r>
          <w:fldChar w:fldCharType="end"/>
        </w:r>
        <w:r>
          <w:t>:</w:t>
        </w:r>
        <w:r w:rsidRPr="003730B8">
          <w:t xml:space="preserve"> Expected levels of impact of utility influence for stretch code advancement</w:t>
        </w:r>
      </w:ins>
    </w:p>
    <w:tbl>
      <w:tblPr>
        <w:tblStyle w:val="GridTable1Light"/>
        <w:tblpPr w:leftFromText="180" w:rightFromText="180" w:vertAnchor="page" w:horzAnchor="margin" w:tblpY="2053"/>
        <w:tblW w:w="9212" w:type="dxa"/>
        <w:tblLayout w:type="fixed"/>
        <w:tblLook w:val="04A0" w:firstRow="1" w:lastRow="0" w:firstColumn="1" w:lastColumn="0" w:noHBand="0" w:noVBand="1"/>
      </w:tblPr>
      <w:tblGrid>
        <w:gridCol w:w="1529"/>
        <w:gridCol w:w="3326"/>
        <w:gridCol w:w="3264"/>
        <w:gridCol w:w="1093"/>
      </w:tblGrid>
      <w:tr w:rsidR="00E3500B" w:rsidRPr="003940C8" w14:paraId="70CB7446" w14:textId="77777777" w:rsidTr="000B5D6A">
        <w:trPr>
          <w:cnfStyle w:val="100000000000" w:firstRow="1" w:lastRow="0" w:firstColumn="0" w:lastColumn="0" w:oddVBand="0" w:evenVBand="0" w:oddHBand="0" w:evenHBand="0" w:firstRowFirstColumn="0" w:firstRowLastColumn="0" w:lastRowFirstColumn="0" w:lastRowLastColumn="0"/>
          <w:trHeight w:val="167"/>
          <w:tblHeader/>
          <w:ins w:id="2950" w:author="Celia Johnson" w:date="2022-09-06T13:44:00Z"/>
        </w:trPr>
        <w:tc>
          <w:tcPr>
            <w:cnfStyle w:val="001000000000" w:firstRow="0" w:lastRow="0" w:firstColumn="1" w:lastColumn="0" w:oddVBand="0" w:evenVBand="0" w:oddHBand="0" w:evenHBand="0" w:firstRowFirstColumn="0" w:firstRowLastColumn="0" w:lastRowFirstColumn="0" w:lastRowLastColumn="0"/>
            <w:tcW w:w="1529" w:type="dxa"/>
          </w:tcPr>
          <w:p w14:paraId="4655B5B7" w14:textId="77777777" w:rsidR="00E3500B" w:rsidRPr="004F02D9" w:rsidRDefault="00E3500B" w:rsidP="000B5D6A">
            <w:pPr>
              <w:pStyle w:val="Bodysansserif"/>
              <w:rPr>
                <w:ins w:id="2951" w:author="Celia Johnson" w:date="2022-09-06T13:44:00Z"/>
                <w:rFonts w:asciiTheme="minorHAnsi" w:hAnsiTheme="minorHAnsi"/>
                <w:sz w:val="18"/>
                <w:szCs w:val="18"/>
              </w:rPr>
            </w:pPr>
            <w:ins w:id="2952" w:author="Celia Johnson" w:date="2022-09-06T13:44:00Z">
              <w:r>
                <w:rPr>
                  <w:rFonts w:asciiTheme="minorHAnsi" w:hAnsiTheme="minorHAnsi"/>
                  <w:sz w:val="18"/>
                  <w:szCs w:val="18"/>
                </w:rPr>
                <w:t>Activity</w:t>
              </w:r>
            </w:ins>
          </w:p>
        </w:tc>
        <w:tc>
          <w:tcPr>
            <w:tcW w:w="3326" w:type="dxa"/>
          </w:tcPr>
          <w:p w14:paraId="61290EBC" w14:textId="77777777" w:rsidR="00E3500B" w:rsidRPr="004F02D9" w:rsidRDefault="00E3500B" w:rsidP="000B5D6A">
            <w:pPr>
              <w:pStyle w:val="Bodysansserif"/>
              <w:cnfStyle w:val="100000000000" w:firstRow="1" w:lastRow="0" w:firstColumn="0" w:lastColumn="0" w:oddVBand="0" w:evenVBand="0" w:oddHBand="0" w:evenHBand="0" w:firstRowFirstColumn="0" w:firstRowLastColumn="0" w:lastRowFirstColumn="0" w:lastRowLastColumn="0"/>
              <w:rPr>
                <w:ins w:id="2953" w:author="Celia Johnson" w:date="2022-09-06T13:44:00Z"/>
                <w:rFonts w:asciiTheme="minorHAnsi" w:hAnsiTheme="minorHAnsi"/>
                <w:sz w:val="18"/>
                <w:szCs w:val="18"/>
              </w:rPr>
            </w:pPr>
            <w:ins w:id="2954" w:author="Celia Johnson" w:date="2022-09-06T13:44:00Z">
              <w:r>
                <w:rPr>
                  <w:rFonts w:asciiTheme="minorHAnsi" w:hAnsiTheme="minorHAnsi"/>
                  <w:sz w:val="18"/>
                  <w:szCs w:val="18"/>
                </w:rPr>
                <w:t>Example Market Progress Indicators</w:t>
              </w:r>
            </w:ins>
          </w:p>
        </w:tc>
        <w:tc>
          <w:tcPr>
            <w:tcW w:w="3264" w:type="dxa"/>
          </w:tcPr>
          <w:p w14:paraId="7F2739A7" w14:textId="77777777" w:rsidR="00E3500B" w:rsidRPr="004F02D9" w:rsidRDefault="00E3500B" w:rsidP="000B5D6A">
            <w:pPr>
              <w:pStyle w:val="Bodysansserif"/>
              <w:cnfStyle w:val="100000000000" w:firstRow="1" w:lastRow="0" w:firstColumn="0" w:lastColumn="0" w:oddVBand="0" w:evenVBand="0" w:oddHBand="0" w:evenHBand="0" w:firstRowFirstColumn="0" w:firstRowLastColumn="0" w:lastRowFirstColumn="0" w:lastRowLastColumn="0"/>
              <w:rPr>
                <w:ins w:id="2955" w:author="Celia Johnson" w:date="2022-09-06T13:44:00Z"/>
                <w:rFonts w:asciiTheme="minorHAnsi" w:hAnsiTheme="minorHAnsi" w:cstheme="minorHAnsi"/>
                <w:sz w:val="18"/>
                <w:szCs w:val="18"/>
              </w:rPr>
            </w:pPr>
            <w:proofErr w:type="gramStart"/>
            <w:ins w:id="2956" w:author="Celia Johnson" w:date="2022-09-06T13:44:00Z">
              <w:r w:rsidRPr="004F02D9">
                <w:rPr>
                  <w:rFonts w:asciiTheme="minorHAnsi" w:hAnsiTheme="minorHAnsi" w:cstheme="minorHAnsi"/>
                  <w:sz w:val="18"/>
                  <w:szCs w:val="18"/>
                </w:rPr>
                <w:t>Examples</w:t>
              </w:r>
              <w:r>
                <w:rPr>
                  <w:rFonts w:asciiTheme="minorHAnsi" w:hAnsiTheme="minorHAnsi" w:cstheme="minorHAnsi"/>
                  <w:sz w:val="18"/>
                  <w:szCs w:val="18"/>
                </w:rPr>
                <w:t xml:space="preserve">  Data</w:t>
              </w:r>
              <w:proofErr w:type="gramEnd"/>
              <w:r>
                <w:rPr>
                  <w:rFonts w:asciiTheme="minorHAnsi" w:hAnsiTheme="minorHAnsi" w:cstheme="minorHAnsi"/>
                  <w:sz w:val="18"/>
                  <w:szCs w:val="18"/>
                </w:rPr>
                <w:t xml:space="preserve"> Source</w:t>
              </w:r>
            </w:ins>
          </w:p>
        </w:tc>
        <w:tc>
          <w:tcPr>
            <w:tcW w:w="1093" w:type="dxa"/>
          </w:tcPr>
          <w:p w14:paraId="1EDBC96F" w14:textId="77777777" w:rsidR="00E3500B" w:rsidRPr="004F02D9" w:rsidRDefault="00E3500B" w:rsidP="000B5D6A">
            <w:pPr>
              <w:pStyle w:val="Bodysansserif"/>
              <w:jc w:val="center"/>
              <w:cnfStyle w:val="100000000000" w:firstRow="1" w:lastRow="0" w:firstColumn="0" w:lastColumn="0" w:oddVBand="0" w:evenVBand="0" w:oddHBand="0" w:evenHBand="0" w:firstRowFirstColumn="0" w:firstRowLastColumn="0" w:lastRowFirstColumn="0" w:lastRowLastColumn="0"/>
              <w:rPr>
                <w:ins w:id="2957" w:author="Celia Johnson" w:date="2022-09-06T13:44:00Z"/>
                <w:rFonts w:asciiTheme="minorHAnsi" w:hAnsiTheme="minorHAnsi" w:cstheme="minorHAnsi"/>
                <w:sz w:val="18"/>
                <w:szCs w:val="18"/>
              </w:rPr>
            </w:pPr>
            <w:ins w:id="2958" w:author="Celia Johnson" w:date="2022-09-06T13:44:00Z">
              <w:r>
                <w:rPr>
                  <w:rFonts w:asciiTheme="minorHAnsi" w:hAnsiTheme="minorHAnsi" w:cstheme="minorHAnsi"/>
                  <w:sz w:val="18"/>
                  <w:szCs w:val="18"/>
                </w:rPr>
                <w:t>Expected Level of Impact</w:t>
              </w:r>
            </w:ins>
          </w:p>
        </w:tc>
      </w:tr>
      <w:tr w:rsidR="00E3500B" w:rsidRPr="003940C8" w14:paraId="130D0D63" w14:textId="77777777" w:rsidTr="000B5D6A">
        <w:trPr>
          <w:cnfStyle w:val="100000000000" w:firstRow="1" w:lastRow="0" w:firstColumn="0" w:lastColumn="0" w:oddVBand="0" w:evenVBand="0" w:oddHBand="0" w:evenHBand="0" w:firstRowFirstColumn="0" w:firstRowLastColumn="0" w:lastRowFirstColumn="0" w:lastRowLastColumn="0"/>
          <w:trHeight w:val="682"/>
          <w:tblHeader/>
          <w:ins w:id="2959" w:author="Celia Johnson" w:date="2022-09-06T13:44:00Z"/>
        </w:trPr>
        <w:tc>
          <w:tcPr>
            <w:cnfStyle w:val="001000000000" w:firstRow="0" w:lastRow="0" w:firstColumn="1" w:lastColumn="0" w:oddVBand="0" w:evenVBand="0" w:oddHBand="0" w:evenHBand="0" w:firstRowFirstColumn="0" w:firstRowLastColumn="0" w:lastRowFirstColumn="0" w:lastRowLastColumn="0"/>
            <w:tcW w:w="1529" w:type="dxa"/>
            <w:vMerge w:val="restart"/>
            <w:vAlign w:val="center"/>
          </w:tcPr>
          <w:p w14:paraId="4838902C" w14:textId="77777777" w:rsidR="00E3500B" w:rsidRPr="004F02D9" w:rsidRDefault="00E3500B" w:rsidP="000B5D6A">
            <w:pPr>
              <w:pStyle w:val="Bodysansserif"/>
              <w:rPr>
                <w:ins w:id="2960" w:author="Celia Johnson" w:date="2022-09-06T13:44:00Z"/>
                <w:rFonts w:asciiTheme="minorHAnsi" w:hAnsiTheme="minorHAnsi" w:cstheme="minorHAnsi"/>
                <w:sz w:val="18"/>
                <w:szCs w:val="18"/>
              </w:rPr>
            </w:pPr>
            <w:ins w:id="2961" w:author="Celia Johnson" w:date="2022-09-06T13:44:00Z">
              <w:r w:rsidRPr="004F02D9">
                <w:rPr>
                  <w:rFonts w:asciiTheme="minorHAnsi" w:hAnsiTheme="minorHAnsi" w:cstheme="minorHAnsi"/>
                  <w:sz w:val="18"/>
                  <w:szCs w:val="18"/>
                </w:rPr>
                <w:t xml:space="preserve">Utility-Initiated Research </w:t>
              </w:r>
            </w:ins>
          </w:p>
        </w:tc>
        <w:tc>
          <w:tcPr>
            <w:tcW w:w="3326" w:type="dxa"/>
            <w:vAlign w:val="center"/>
          </w:tcPr>
          <w:p w14:paraId="3CFFD3CF" w14:textId="77777777" w:rsidR="00E3500B" w:rsidRPr="004F02D9" w:rsidRDefault="00E3500B" w:rsidP="000B5D6A">
            <w:pPr>
              <w:pStyle w:val="Bodysansserif"/>
              <w:cnfStyle w:val="100000000000" w:firstRow="1" w:lastRow="0" w:firstColumn="0" w:lastColumn="0" w:oddVBand="0" w:evenVBand="0" w:oddHBand="0" w:evenHBand="0" w:firstRowFirstColumn="0" w:firstRowLastColumn="0" w:lastRowFirstColumn="0" w:lastRowLastColumn="0"/>
              <w:rPr>
                <w:ins w:id="2962" w:author="Celia Johnson" w:date="2022-09-06T13:44:00Z"/>
                <w:rFonts w:asciiTheme="minorHAnsi" w:hAnsiTheme="minorHAnsi" w:cstheme="minorHAnsi"/>
                <w:b w:val="0"/>
                <w:sz w:val="18"/>
                <w:szCs w:val="18"/>
              </w:rPr>
            </w:pPr>
            <w:ins w:id="2963" w:author="Celia Johnson" w:date="2022-09-06T13:44:00Z">
              <w:r w:rsidRPr="004F02D9">
                <w:rPr>
                  <w:rFonts w:asciiTheme="minorHAnsi" w:hAnsiTheme="minorHAnsi" w:cstheme="minorHAnsi"/>
                  <w:b w:val="0"/>
                  <w:sz w:val="18"/>
                  <w:szCs w:val="18"/>
                </w:rPr>
                <w:t xml:space="preserve">Funding and conducting research on market analysis, energy analysis, cost-effectiveness, and statewide impacts. </w:t>
              </w:r>
            </w:ins>
          </w:p>
        </w:tc>
        <w:tc>
          <w:tcPr>
            <w:tcW w:w="3264" w:type="dxa"/>
            <w:vAlign w:val="center"/>
          </w:tcPr>
          <w:p w14:paraId="3D6D6E49" w14:textId="77777777" w:rsidR="00E3500B" w:rsidRPr="004F02D9" w:rsidRDefault="00E3500B" w:rsidP="000B5D6A">
            <w:pPr>
              <w:pStyle w:val="Bodysansserif"/>
              <w:cnfStyle w:val="100000000000" w:firstRow="1" w:lastRow="0" w:firstColumn="0" w:lastColumn="0" w:oddVBand="0" w:evenVBand="0" w:oddHBand="0" w:evenHBand="0" w:firstRowFirstColumn="0" w:firstRowLastColumn="0" w:lastRowFirstColumn="0" w:lastRowLastColumn="0"/>
              <w:rPr>
                <w:ins w:id="2964" w:author="Celia Johnson" w:date="2022-09-06T13:44:00Z"/>
                <w:rFonts w:asciiTheme="minorHAnsi" w:hAnsiTheme="minorHAnsi" w:cstheme="minorHAnsi"/>
                <w:b w:val="0"/>
                <w:sz w:val="18"/>
                <w:szCs w:val="18"/>
              </w:rPr>
            </w:pPr>
            <w:ins w:id="2965" w:author="Celia Johnson" w:date="2022-09-06T13:44:00Z">
              <w:r w:rsidRPr="004F02D9">
                <w:rPr>
                  <w:rFonts w:asciiTheme="minorHAnsi" w:hAnsiTheme="minorHAnsi" w:cstheme="minorHAnsi"/>
                  <w:b w:val="0"/>
                  <w:sz w:val="18"/>
                  <w:szCs w:val="18"/>
                </w:rPr>
                <w:t>Scope of work and financial receipt for research papers, final research studies and supporting documentation.</w:t>
              </w:r>
            </w:ins>
          </w:p>
        </w:tc>
        <w:tc>
          <w:tcPr>
            <w:tcW w:w="1093" w:type="dxa"/>
            <w:vAlign w:val="center"/>
          </w:tcPr>
          <w:p w14:paraId="2A2CC84D" w14:textId="77777777" w:rsidR="00E3500B" w:rsidRPr="00003FEF" w:rsidRDefault="00E3500B" w:rsidP="000B5D6A">
            <w:pPr>
              <w:pStyle w:val="Bodysansserif"/>
              <w:jc w:val="center"/>
              <w:cnfStyle w:val="100000000000" w:firstRow="1" w:lastRow="0" w:firstColumn="0" w:lastColumn="0" w:oddVBand="0" w:evenVBand="0" w:oddHBand="0" w:evenHBand="0" w:firstRowFirstColumn="0" w:firstRowLastColumn="0" w:lastRowFirstColumn="0" w:lastRowLastColumn="0"/>
              <w:rPr>
                <w:ins w:id="2966" w:author="Celia Johnson" w:date="2022-09-06T13:44:00Z"/>
                <w:rFonts w:asciiTheme="minorHAnsi" w:hAnsiTheme="minorHAnsi" w:cstheme="minorHAnsi"/>
                <w:b w:val="0"/>
                <w:bCs w:val="0"/>
                <w:sz w:val="18"/>
                <w:szCs w:val="18"/>
              </w:rPr>
            </w:pPr>
            <w:ins w:id="2967" w:author="Celia Johnson" w:date="2022-09-06T13:44:00Z">
              <w:r w:rsidRPr="00003FEF">
                <w:rPr>
                  <w:rFonts w:asciiTheme="minorHAnsi" w:hAnsiTheme="minorHAnsi" w:cstheme="minorHAnsi"/>
                  <w:b w:val="0"/>
                  <w:bCs w:val="0"/>
                  <w:sz w:val="18"/>
                  <w:szCs w:val="18"/>
                </w:rPr>
                <w:t>High</w:t>
              </w:r>
            </w:ins>
          </w:p>
        </w:tc>
      </w:tr>
      <w:tr w:rsidR="00E3500B" w:rsidRPr="003940C8" w14:paraId="396CF562" w14:textId="77777777" w:rsidTr="000B5D6A">
        <w:trPr>
          <w:cnfStyle w:val="100000000000" w:firstRow="1" w:lastRow="0" w:firstColumn="0" w:lastColumn="0" w:oddVBand="0" w:evenVBand="0" w:oddHBand="0" w:evenHBand="0" w:firstRowFirstColumn="0" w:firstRowLastColumn="0" w:lastRowFirstColumn="0" w:lastRowLastColumn="0"/>
          <w:trHeight w:val="682"/>
          <w:tblHeader/>
          <w:ins w:id="2968" w:author="Celia Johnson" w:date="2022-09-06T13:44:00Z"/>
        </w:trPr>
        <w:tc>
          <w:tcPr>
            <w:cnfStyle w:val="001000000000" w:firstRow="0" w:lastRow="0" w:firstColumn="1" w:lastColumn="0" w:oddVBand="0" w:evenVBand="0" w:oddHBand="0" w:evenHBand="0" w:firstRowFirstColumn="0" w:firstRowLastColumn="0" w:lastRowFirstColumn="0" w:lastRowLastColumn="0"/>
            <w:tcW w:w="1529" w:type="dxa"/>
            <w:vMerge/>
            <w:vAlign w:val="center"/>
          </w:tcPr>
          <w:p w14:paraId="76C75984" w14:textId="77777777" w:rsidR="00E3500B" w:rsidRPr="004F02D9" w:rsidRDefault="00E3500B" w:rsidP="000B5D6A">
            <w:pPr>
              <w:pStyle w:val="Bodysansserif"/>
              <w:rPr>
                <w:ins w:id="2969" w:author="Celia Johnson" w:date="2022-09-06T13:44:00Z"/>
                <w:rFonts w:asciiTheme="minorHAnsi" w:hAnsiTheme="minorHAnsi" w:cstheme="minorHAnsi"/>
                <w:sz w:val="18"/>
                <w:szCs w:val="18"/>
              </w:rPr>
            </w:pPr>
          </w:p>
        </w:tc>
        <w:tc>
          <w:tcPr>
            <w:tcW w:w="3326" w:type="dxa"/>
            <w:vAlign w:val="center"/>
          </w:tcPr>
          <w:p w14:paraId="58C212E4" w14:textId="77777777" w:rsidR="00E3500B" w:rsidRPr="004F02D9" w:rsidRDefault="00E3500B" w:rsidP="000B5D6A">
            <w:pPr>
              <w:pStyle w:val="Bodysansserif"/>
              <w:cnfStyle w:val="100000000000" w:firstRow="1" w:lastRow="0" w:firstColumn="0" w:lastColumn="0" w:oddVBand="0" w:evenVBand="0" w:oddHBand="0" w:evenHBand="0" w:firstRowFirstColumn="0" w:firstRowLastColumn="0" w:lastRowFirstColumn="0" w:lastRowLastColumn="0"/>
              <w:rPr>
                <w:ins w:id="2970" w:author="Celia Johnson" w:date="2022-09-06T13:44:00Z"/>
                <w:rFonts w:asciiTheme="minorHAnsi" w:hAnsiTheme="minorHAnsi" w:cstheme="minorHAnsi"/>
                <w:b w:val="0"/>
                <w:sz w:val="18"/>
                <w:szCs w:val="18"/>
              </w:rPr>
            </w:pPr>
            <w:ins w:id="2971" w:author="Celia Johnson" w:date="2022-09-06T13:44:00Z">
              <w:r w:rsidRPr="004F02D9">
                <w:rPr>
                  <w:rFonts w:asciiTheme="minorHAnsi" w:hAnsiTheme="minorHAnsi" w:cstheme="minorHAnsi"/>
                  <w:b w:val="0"/>
                  <w:sz w:val="18"/>
                  <w:szCs w:val="18"/>
                </w:rPr>
                <w:t>Developing revisions to code language that can be used in stretch codes. Reviewing public documentation and information.</w:t>
              </w:r>
            </w:ins>
          </w:p>
        </w:tc>
        <w:tc>
          <w:tcPr>
            <w:tcW w:w="3264" w:type="dxa"/>
            <w:vAlign w:val="center"/>
          </w:tcPr>
          <w:p w14:paraId="285B8B13" w14:textId="77777777" w:rsidR="00E3500B" w:rsidRPr="004F02D9" w:rsidRDefault="00E3500B" w:rsidP="000B5D6A">
            <w:pPr>
              <w:pStyle w:val="Bodysansserif"/>
              <w:cnfStyle w:val="100000000000" w:firstRow="1" w:lastRow="0" w:firstColumn="0" w:lastColumn="0" w:oddVBand="0" w:evenVBand="0" w:oddHBand="0" w:evenHBand="0" w:firstRowFirstColumn="0" w:firstRowLastColumn="0" w:lastRowFirstColumn="0" w:lastRowLastColumn="0"/>
              <w:rPr>
                <w:ins w:id="2972" w:author="Celia Johnson" w:date="2022-09-06T13:44:00Z"/>
                <w:rFonts w:asciiTheme="minorHAnsi" w:hAnsiTheme="minorHAnsi" w:cstheme="minorHAnsi"/>
                <w:b w:val="0"/>
                <w:sz w:val="18"/>
                <w:szCs w:val="18"/>
              </w:rPr>
            </w:pPr>
            <w:ins w:id="2973" w:author="Celia Johnson" w:date="2022-09-06T13:44:00Z">
              <w:r w:rsidRPr="004F02D9">
                <w:rPr>
                  <w:rFonts w:asciiTheme="minorHAnsi" w:hAnsiTheme="minorHAnsi" w:cstheme="minorHAnsi"/>
                  <w:b w:val="0"/>
                  <w:sz w:val="18"/>
                  <w:szCs w:val="18"/>
                </w:rPr>
                <w:t>Meeting minutes, email discussions, written language revisions and rationale or included in research papers. List of reviewed public documentation and information included in research papers.</w:t>
              </w:r>
            </w:ins>
          </w:p>
        </w:tc>
        <w:tc>
          <w:tcPr>
            <w:tcW w:w="1093" w:type="dxa"/>
            <w:vAlign w:val="center"/>
          </w:tcPr>
          <w:p w14:paraId="5AF30E00" w14:textId="77777777" w:rsidR="00E3500B" w:rsidRPr="004F02D9" w:rsidRDefault="00E3500B" w:rsidP="000B5D6A">
            <w:pPr>
              <w:pStyle w:val="Bodysansserif"/>
              <w:jc w:val="center"/>
              <w:cnfStyle w:val="100000000000" w:firstRow="1" w:lastRow="0" w:firstColumn="0" w:lastColumn="0" w:oddVBand="0" w:evenVBand="0" w:oddHBand="0" w:evenHBand="0" w:firstRowFirstColumn="0" w:firstRowLastColumn="0" w:lastRowFirstColumn="0" w:lastRowLastColumn="0"/>
              <w:rPr>
                <w:ins w:id="2974" w:author="Celia Johnson" w:date="2022-09-06T13:44:00Z"/>
                <w:rFonts w:asciiTheme="minorHAnsi" w:hAnsiTheme="minorHAnsi" w:cstheme="minorHAnsi"/>
                <w:sz w:val="18"/>
                <w:szCs w:val="18"/>
              </w:rPr>
            </w:pPr>
            <w:ins w:id="2975" w:author="Celia Johnson" w:date="2022-09-06T13:44:00Z">
              <w:r>
                <w:rPr>
                  <w:rFonts w:asciiTheme="minorHAnsi" w:hAnsiTheme="minorHAnsi" w:cstheme="minorHAnsi"/>
                  <w:b w:val="0"/>
                  <w:sz w:val="18"/>
                  <w:szCs w:val="18"/>
                </w:rPr>
                <w:t>Low</w:t>
              </w:r>
            </w:ins>
          </w:p>
        </w:tc>
      </w:tr>
      <w:tr w:rsidR="00E3500B" w:rsidRPr="003940C8" w14:paraId="4D07AFAC" w14:textId="77777777" w:rsidTr="000B5D6A">
        <w:trPr>
          <w:cnfStyle w:val="100000000000" w:firstRow="1" w:lastRow="0" w:firstColumn="0" w:lastColumn="0" w:oddVBand="0" w:evenVBand="0" w:oddHBand="0" w:evenHBand="0" w:firstRowFirstColumn="0" w:firstRowLastColumn="0" w:lastRowFirstColumn="0" w:lastRowLastColumn="0"/>
          <w:trHeight w:val="1197"/>
          <w:tblHeader/>
          <w:ins w:id="2976" w:author="Celia Johnson" w:date="2022-09-06T13:44:00Z"/>
        </w:trPr>
        <w:tc>
          <w:tcPr>
            <w:cnfStyle w:val="001000000000" w:firstRow="0" w:lastRow="0" w:firstColumn="1" w:lastColumn="0" w:oddVBand="0" w:evenVBand="0" w:oddHBand="0" w:evenHBand="0" w:firstRowFirstColumn="0" w:firstRowLastColumn="0" w:lastRowFirstColumn="0" w:lastRowLastColumn="0"/>
            <w:tcW w:w="1529" w:type="dxa"/>
            <w:vMerge w:val="restart"/>
            <w:vAlign w:val="center"/>
          </w:tcPr>
          <w:p w14:paraId="240E9336" w14:textId="77777777" w:rsidR="00E3500B" w:rsidRDefault="00E3500B" w:rsidP="000B5D6A">
            <w:pPr>
              <w:pStyle w:val="Bodysansserif"/>
              <w:rPr>
                <w:ins w:id="2977" w:author="Celia Johnson" w:date="2022-09-06T13:44:00Z"/>
                <w:rFonts w:asciiTheme="minorHAnsi" w:hAnsiTheme="minorHAnsi" w:cstheme="minorHAnsi"/>
                <w:b w:val="0"/>
                <w:bCs w:val="0"/>
                <w:sz w:val="18"/>
                <w:szCs w:val="18"/>
              </w:rPr>
            </w:pPr>
          </w:p>
          <w:p w14:paraId="5E323397" w14:textId="77777777" w:rsidR="00E3500B" w:rsidRPr="004F02D9" w:rsidRDefault="00E3500B" w:rsidP="000B5D6A">
            <w:pPr>
              <w:pStyle w:val="Bodysansserif"/>
              <w:rPr>
                <w:ins w:id="2978" w:author="Celia Johnson" w:date="2022-09-06T13:44:00Z"/>
                <w:rFonts w:asciiTheme="minorHAnsi" w:hAnsiTheme="minorHAnsi" w:cstheme="minorHAnsi"/>
                <w:sz w:val="18"/>
                <w:szCs w:val="18"/>
              </w:rPr>
            </w:pPr>
            <w:ins w:id="2979" w:author="Celia Johnson" w:date="2022-09-06T13:44:00Z">
              <w:r w:rsidRPr="004F02D9">
                <w:rPr>
                  <w:rFonts w:asciiTheme="minorHAnsi" w:hAnsiTheme="minorHAnsi" w:cstheme="minorHAnsi"/>
                  <w:sz w:val="18"/>
                  <w:szCs w:val="18"/>
                </w:rPr>
                <w:t xml:space="preserve">Advocacy for Advancing Policy                   </w:t>
              </w:r>
            </w:ins>
          </w:p>
        </w:tc>
        <w:tc>
          <w:tcPr>
            <w:tcW w:w="3326" w:type="dxa"/>
            <w:vAlign w:val="center"/>
          </w:tcPr>
          <w:p w14:paraId="46F211CE" w14:textId="77777777" w:rsidR="00E3500B" w:rsidRPr="004F02D9" w:rsidRDefault="00E3500B" w:rsidP="000B5D6A">
            <w:pPr>
              <w:pStyle w:val="Bodysansserif"/>
              <w:cnfStyle w:val="100000000000" w:firstRow="1" w:lastRow="0" w:firstColumn="0" w:lastColumn="0" w:oddVBand="0" w:evenVBand="0" w:oddHBand="0" w:evenHBand="0" w:firstRowFirstColumn="0" w:firstRowLastColumn="0" w:lastRowFirstColumn="0" w:lastRowLastColumn="0"/>
              <w:rPr>
                <w:ins w:id="2980" w:author="Celia Johnson" w:date="2022-09-06T13:44:00Z"/>
                <w:rFonts w:asciiTheme="minorHAnsi" w:hAnsiTheme="minorHAnsi" w:cstheme="minorHAnsi"/>
                <w:b w:val="0"/>
                <w:sz w:val="18"/>
                <w:szCs w:val="18"/>
              </w:rPr>
            </w:pPr>
            <w:ins w:id="2981" w:author="Celia Johnson" w:date="2022-09-06T13:44:00Z">
              <w:r w:rsidRPr="004F02D9">
                <w:rPr>
                  <w:rFonts w:asciiTheme="minorHAnsi" w:hAnsiTheme="minorHAnsi" w:cstheme="minorHAnsi"/>
                  <w:b w:val="0"/>
                  <w:sz w:val="18"/>
                  <w:szCs w:val="18"/>
                </w:rPr>
                <w:t xml:space="preserve">Actively participating in discussion at public or decision-making meetings. Attending public meetings. Writing and submitting comments in ordinance development process. </w:t>
              </w:r>
            </w:ins>
          </w:p>
        </w:tc>
        <w:tc>
          <w:tcPr>
            <w:tcW w:w="3264" w:type="dxa"/>
            <w:vAlign w:val="center"/>
          </w:tcPr>
          <w:p w14:paraId="4FA1DF88" w14:textId="77777777" w:rsidR="00E3500B" w:rsidRPr="004F02D9" w:rsidRDefault="00E3500B" w:rsidP="000B5D6A">
            <w:pPr>
              <w:pStyle w:val="Bodysansserif"/>
              <w:cnfStyle w:val="100000000000" w:firstRow="1" w:lastRow="0" w:firstColumn="0" w:lastColumn="0" w:oddVBand="0" w:evenVBand="0" w:oddHBand="0" w:evenHBand="0" w:firstRowFirstColumn="0" w:firstRowLastColumn="0" w:lastRowFirstColumn="0" w:lastRowLastColumn="0"/>
              <w:rPr>
                <w:ins w:id="2982" w:author="Celia Johnson" w:date="2022-09-06T13:44:00Z"/>
                <w:rFonts w:asciiTheme="minorHAnsi" w:hAnsiTheme="minorHAnsi" w:cstheme="minorHAnsi"/>
                <w:b w:val="0"/>
                <w:sz w:val="18"/>
                <w:szCs w:val="18"/>
              </w:rPr>
            </w:pPr>
            <w:ins w:id="2983" w:author="Celia Johnson" w:date="2022-09-06T13:44:00Z">
              <w:r w:rsidRPr="004F02D9">
                <w:rPr>
                  <w:rFonts w:asciiTheme="minorHAnsi" w:hAnsiTheme="minorHAnsi" w:cstheme="minorHAnsi"/>
                  <w:b w:val="0"/>
                  <w:sz w:val="18"/>
                  <w:szCs w:val="18"/>
                </w:rPr>
                <w:t>Meeting minutes, calendars. List of comments, email discussions, written comments and rationale.</w:t>
              </w:r>
            </w:ins>
          </w:p>
        </w:tc>
        <w:tc>
          <w:tcPr>
            <w:tcW w:w="1093" w:type="dxa"/>
            <w:vAlign w:val="center"/>
          </w:tcPr>
          <w:p w14:paraId="10093A21" w14:textId="77777777" w:rsidR="00E3500B" w:rsidRPr="004F02D9" w:rsidRDefault="00E3500B" w:rsidP="000B5D6A">
            <w:pPr>
              <w:pStyle w:val="Bodysansserif"/>
              <w:jc w:val="center"/>
              <w:cnfStyle w:val="100000000000" w:firstRow="1" w:lastRow="0" w:firstColumn="0" w:lastColumn="0" w:oddVBand="0" w:evenVBand="0" w:oddHBand="0" w:evenHBand="0" w:firstRowFirstColumn="0" w:firstRowLastColumn="0" w:lastRowFirstColumn="0" w:lastRowLastColumn="0"/>
              <w:rPr>
                <w:ins w:id="2984" w:author="Celia Johnson" w:date="2022-09-06T13:44:00Z"/>
                <w:rFonts w:asciiTheme="minorHAnsi" w:hAnsiTheme="minorHAnsi" w:cstheme="minorHAnsi"/>
                <w:sz w:val="18"/>
                <w:szCs w:val="18"/>
              </w:rPr>
            </w:pPr>
            <w:ins w:id="2985" w:author="Celia Johnson" w:date="2022-09-06T13:44:00Z">
              <w:r>
                <w:rPr>
                  <w:rFonts w:asciiTheme="minorHAnsi" w:hAnsiTheme="minorHAnsi" w:cstheme="minorHAnsi"/>
                  <w:b w:val="0"/>
                  <w:sz w:val="18"/>
                  <w:szCs w:val="18"/>
                </w:rPr>
                <w:t>Medium</w:t>
              </w:r>
            </w:ins>
          </w:p>
        </w:tc>
      </w:tr>
      <w:tr w:rsidR="00E3500B" w:rsidRPr="003940C8" w14:paraId="589303E7" w14:textId="77777777" w:rsidTr="000B5D6A">
        <w:trPr>
          <w:cnfStyle w:val="100000000000" w:firstRow="1" w:lastRow="0" w:firstColumn="0" w:lastColumn="0" w:oddVBand="0" w:evenVBand="0" w:oddHBand="0" w:evenHBand="0" w:firstRowFirstColumn="0" w:firstRowLastColumn="0" w:lastRowFirstColumn="0" w:lastRowLastColumn="0"/>
          <w:trHeight w:val="861"/>
          <w:tblHeader/>
          <w:ins w:id="2986" w:author="Celia Johnson" w:date="2022-09-06T13:44:00Z"/>
        </w:trPr>
        <w:tc>
          <w:tcPr>
            <w:cnfStyle w:val="001000000000" w:firstRow="0" w:lastRow="0" w:firstColumn="1" w:lastColumn="0" w:oddVBand="0" w:evenVBand="0" w:oddHBand="0" w:evenHBand="0" w:firstRowFirstColumn="0" w:firstRowLastColumn="0" w:lastRowFirstColumn="0" w:lastRowLastColumn="0"/>
            <w:tcW w:w="1529" w:type="dxa"/>
            <w:vMerge/>
            <w:vAlign w:val="center"/>
          </w:tcPr>
          <w:p w14:paraId="3AEB2F5A" w14:textId="77777777" w:rsidR="00E3500B" w:rsidRPr="004F02D9" w:rsidRDefault="00E3500B" w:rsidP="000B5D6A">
            <w:pPr>
              <w:pStyle w:val="Bodysansserif"/>
              <w:rPr>
                <w:ins w:id="2987" w:author="Celia Johnson" w:date="2022-09-06T13:44:00Z"/>
                <w:rFonts w:asciiTheme="minorHAnsi" w:hAnsiTheme="minorHAnsi" w:cstheme="minorHAnsi"/>
                <w:sz w:val="18"/>
                <w:szCs w:val="18"/>
              </w:rPr>
            </w:pPr>
          </w:p>
        </w:tc>
        <w:tc>
          <w:tcPr>
            <w:tcW w:w="3326" w:type="dxa"/>
            <w:vAlign w:val="center"/>
          </w:tcPr>
          <w:p w14:paraId="6B846FAD" w14:textId="77777777" w:rsidR="00E3500B" w:rsidRPr="004F02D9" w:rsidRDefault="00E3500B" w:rsidP="000B5D6A">
            <w:pPr>
              <w:pStyle w:val="Bodysansserif"/>
              <w:cnfStyle w:val="100000000000" w:firstRow="1" w:lastRow="0" w:firstColumn="0" w:lastColumn="0" w:oddVBand="0" w:evenVBand="0" w:oddHBand="0" w:evenHBand="0" w:firstRowFirstColumn="0" w:firstRowLastColumn="0" w:lastRowFirstColumn="0" w:lastRowLastColumn="0"/>
              <w:rPr>
                <w:ins w:id="2988" w:author="Celia Johnson" w:date="2022-09-06T13:44:00Z"/>
                <w:rFonts w:asciiTheme="minorHAnsi" w:hAnsiTheme="minorHAnsi" w:cstheme="minorHAnsi"/>
                <w:b w:val="0"/>
                <w:sz w:val="18"/>
                <w:szCs w:val="18"/>
              </w:rPr>
            </w:pPr>
            <w:ins w:id="2989" w:author="Celia Johnson" w:date="2022-09-06T13:44:00Z">
              <w:r w:rsidRPr="004F02D9">
                <w:rPr>
                  <w:rFonts w:asciiTheme="minorHAnsi" w:hAnsiTheme="minorHAnsi" w:cstheme="minorHAnsi"/>
                  <w:b w:val="0"/>
                  <w:sz w:val="18"/>
                  <w:szCs w:val="18"/>
                </w:rPr>
                <w:t>Creating, providing and/or presenting information to a group or key stakeholders. Convening stakeholder meetings to develop technical aspects/policy language.</w:t>
              </w:r>
            </w:ins>
          </w:p>
        </w:tc>
        <w:tc>
          <w:tcPr>
            <w:tcW w:w="3264" w:type="dxa"/>
            <w:vAlign w:val="center"/>
          </w:tcPr>
          <w:p w14:paraId="52BD33D6" w14:textId="77777777" w:rsidR="00E3500B" w:rsidRPr="004F02D9" w:rsidRDefault="00E3500B" w:rsidP="000B5D6A">
            <w:pPr>
              <w:pStyle w:val="Bodysansserif"/>
              <w:cnfStyle w:val="100000000000" w:firstRow="1" w:lastRow="0" w:firstColumn="0" w:lastColumn="0" w:oddVBand="0" w:evenVBand="0" w:oddHBand="0" w:evenHBand="0" w:firstRowFirstColumn="0" w:firstRowLastColumn="0" w:lastRowFirstColumn="0" w:lastRowLastColumn="0"/>
              <w:rPr>
                <w:ins w:id="2990" w:author="Celia Johnson" w:date="2022-09-06T13:44:00Z"/>
                <w:rFonts w:asciiTheme="minorHAnsi" w:hAnsiTheme="minorHAnsi" w:cstheme="minorHAnsi"/>
                <w:b w:val="0"/>
                <w:sz w:val="18"/>
                <w:szCs w:val="18"/>
              </w:rPr>
            </w:pPr>
            <w:ins w:id="2991" w:author="Celia Johnson" w:date="2022-09-06T13:44:00Z">
              <w:r w:rsidRPr="004F02D9">
                <w:rPr>
                  <w:rFonts w:asciiTheme="minorHAnsi" w:hAnsiTheme="minorHAnsi" w:cstheme="minorHAnsi"/>
                  <w:b w:val="0"/>
                  <w:sz w:val="18"/>
                  <w:szCs w:val="18"/>
                </w:rPr>
                <w:t>Meeting agendas, meeting minutes, calendars, stakeholder list, presentations, email discussions, written language, stakeholder survey.</w:t>
              </w:r>
            </w:ins>
          </w:p>
        </w:tc>
        <w:tc>
          <w:tcPr>
            <w:tcW w:w="1093" w:type="dxa"/>
            <w:vAlign w:val="center"/>
          </w:tcPr>
          <w:p w14:paraId="3F7A797A" w14:textId="77777777" w:rsidR="00E3500B" w:rsidRPr="004F02D9" w:rsidRDefault="00E3500B" w:rsidP="000B5D6A">
            <w:pPr>
              <w:pStyle w:val="Bodysansserif"/>
              <w:jc w:val="center"/>
              <w:cnfStyle w:val="100000000000" w:firstRow="1" w:lastRow="0" w:firstColumn="0" w:lastColumn="0" w:oddVBand="0" w:evenVBand="0" w:oddHBand="0" w:evenHBand="0" w:firstRowFirstColumn="0" w:firstRowLastColumn="0" w:lastRowFirstColumn="0" w:lastRowLastColumn="0"/>
              <w:rPr>
                <w:ins w:id="2992" w:author="Celia Johnson" w:date="2022-09-06T13:44:00Z"/>
                <w:rFonts w:asciiTheme="minorHAnsi" w:hAnsiTheme="minorHAnsi" w:cstheme="minorHAnsi"/>
                <w:sz w:val="18"/>
                <w:szCs w:val="18"/>
              </w:rPr>
            </w:pPr>
            <w:ins w:id="2993" w:author="Celia Johnson" w:date="2022-09-06T13:44:00Z">
              <w:r>
                <w:rPr>
                  <w:rFonts w:asciiTheme="minorHAnsi" w:hAnsiTheme="minorHAnsi" w:cstheme="minorHAnsi"/>
                  <w:b w:val="0"/>
                  <w:sz w:val="18"/>
                  <w:szCs w:val="18"/>
                </w:rPr>
                <w:t>Medium</w:t>
              </w:r>
            </w:ins>
          </w:p>
        </w:tc>
      </w:tr>
      <w:tr w:rsidR="00E3500B" w:rsidRPr="003940C8" w14:paraId="5ABF5701" w14:textId="77777777" w:rsidTr="000B5D6A">
        <w:trPr>
          <w:cnfStyle w:val="100000000000" w:firstRow="1" w:lastRow="0" w:firstColumn="0" w:lastColumn="0" w:oddVBand="0" w:evenVBand="0" w:oddHBand="0" w:evenHBand="0" w:firstRowFirstColumn="0" w:firstRowLastColumn="0" w:lastRowFirstColumn="0" w:lastRowLastColumn="0"/>
          <w:trHeight w:val="1713"/>
          <w:tblHeader/>
          <w:ins w:id="2994" w:author="Celia Johnson" w:date="2022-09-06T13:44:00Z"/>
        </w:trPr>
        <w:tc>
          <w:tcPr>
            <w:cnfStyle w:val="001000000000" w:firstRow="0" w:lastRow="0" w:firstColumn="1" w:lastColumn="0" w:oddVBand="0" w:evenVBand="0" w:oddHBand="0" w:evenHBand="0" w:firstRowFirstColumn="0" w:firstRowLastColumn="0" w:lastRowFirstColumn="0" w:lastRowLastColumn="0"/>
            <w:tcW w:w="1529" w:type="dxa"/>
            <w:vMerge/>
            <w:vAlign w:val="center"/>
          </w:tcPr>
          <w:p w14:paraId="1B0992CE" w14:textId="77777777" w:rsidR="00E3500B" w:rsidRPr="004F02D9" w:rsidRDefault="00E3500B" w:rsidP="000B5D6A">
            <w:pPr>
              <w:pStyle w:val="Bodysansserif"/>
              <w:rPr>
                <w:ins w:id="2995" w:author="Celia Johnson" w:date="2022-09-06T13:44:00Z"/>
                <w:rFonts w:asciiTheme="minorHAnsi" w:hAnsiTheme="minorHAnsi" w:cstheme="minorHAnsi"/>
                <w:sz w:val="18"/>
                <w:szCs w:val="18"/>
              </w:rPr>
            </w:pPr>
          </w:p>
        </w:tc>
        <w:tc>
          <w:tcPr>
            <w:tcW w:w="3326" w:type="dxa"/>
            <w:vAlign w:val="center"/>
          </w:tcPr>
          <w:p w14:paraId="5951B32A" w14:textId="77777777" w:rsidR="00E3500B" w:rsidRPr="004F02D9" w:rsidRDefault="00E3500B" w:rsidP="000B5D6A">
            <w:pPr>
              <w:pStyle w:val="Bodysansserif"/>
              <w:cnfStyle w:val="100000000000" w:firstRow="1" w:lastRow="0" w:firstColumn="0" w:lastColumn="0" w:oddVBand="0" w:evenVBand="0" w:oddHBand="0" w:evenHBand="0" w:firstRowFirstColumn="0" w:firstRowLastColumn="0" w:lastRowFirstColumn="0" w:lastRowLastColumn="0"/>
              <w:rPr>
                <w:ins w:id="2996" w:author="Celia Johnson" w:date="2022-09-06T13:44:00Z"/>
                <w:rFonts w:asciiTheme="minorHAnsi" w:hAnsiTheme="minorHAnsi" w:cstheme="minorHAnsi"/>
                <w:b w:val="0"/>
                <w:sz w:val="18"/>
                <w:szCs w:val="18"/>
              </w:rPr>
            </w:pPr>
            <w:ins w:id="2997" w:author="Celia Johnson" w:date="2022-09-06T13:44:00Z">
              <w:r w:rsidRPr="004F02D9">
                <w:rPr>
                  <w:rFonts w:asciiTheme="minorHAnsi" w:hAnsiTheme="minorHAnsi" w:cstheme="minorHAnsi"/>
                  <w:b w:val="0"/>
                  <w:sz w:val="18"/>
                  <w:szCs w:val="18"/>
                </w:rPr>
                <w:t>Submitting policy language or recommendations for consideration of adoption. Funding and conducting participation in public processes on behalf of the utilities. Giving public testimony in support/against specific policy language/idea.</w:t>
              </w:r>
            </w:ins>
          </w:p>
        </w:tc>
        <w:tc>
          <w:tcPr>
            <w:tcW w:w="3264" w:type="dxa"/>
            <w:vAlign w:val="center"/>
          </w:tcPr>
          <w:p w14:paraId="2E53334B" w14:textId="77777777" w:rsidR="00E3500B" w:rsidRPr="004F02D9" w:rsidRDefault="00E3500B" w:rsidP="000B5D6A">
            <w:pPr>
              <w:pStyle w:val="Bodysansserif"/>
              <w:cnfStyle w:val="100000000000" w:firstRow="1" w:lastRow="0" w:firstColumn="0" w:lastColumn="0" w:oddVBand="0" w:evenVBand="0" w:oddHBand="0" w:evenHBand="0" w:firstRowFirstColumn="0" w:firstRowLastColumn="0" w:lastRowFirstColumn="0" w:lastRowLastColumn="0"/>
              <w:rPr>
                <w:ins w:id="2998" w:author="Celia Johnson" w:date="2022-09-06T13:44:00Z"/>
                <w:rFonts w:asciiTheme="minorHAnsi" w:hAnsiTheme="minorHAnsi" w:cstheme="minorHAnsi"/>
                <w:b w:val="0"/>
                <w:sz w:val="18"/>
                <w:szCs w:val="18"/>
              </w:rPr>
            </w:pPr>
            <w:ins w:id="2999" w:author="Celia Johnson" w:date="2022-09-06T13:44:00Z">
              <w:r w:rsidRPr="004F02D9">
                <w:rPr>
                  <w:rFonts w:asciiTheme="minorHAnsi" w:hAnsiTheme="minorHAnsi" w:cstheme="minorHAnsi"/>
                  <w:b w:val="0"/>
                  <w:sz w:val="18"/>
                  <w:szCs w:val="18"/>
                </w:rPr>
                <w:t>Submission receipt, email/physical copy of submission, policy language. Scope of work and financial receipts, list of public meetings and participation in processes. Testimony language, meeting minutes, stakeholder survey.</w:t>
              </w:r>
            </w:ins>
          </w:p>
        </w:tc>
        <w:tc>
          <w:tcPr>
            <w:tcW w:w="1093" w:type="dxa"/>
            <w:vAlign w:val="center"/>
          </w:tcPr>
          <w:p w14:paraId="48E38057" w14:textId="77777777" w:rsidR="00E3500B" w:rsidRPr="004F02D9" w:rsidRDefault="00E3500B" w:rsidP="000B5D6A">
            <w:pPr>
              <w:pStyle w:val="Bodysansserif"/>
              <w:jc w:val="center"/>
              <w:cnfStyle w:val="100000000000" w:firstRow="1" w:lastRow="0" w:firstColumn="0" w:lastColumn="0" w:oddVBand="0" w:evenVBand="0" w:oddHBand="0" w:evenHBand="0" w:firstRowFirstColumn="0" w:firstRowLastColumn="0" w:lastRowFirstColumn="0" w:lastRowLastColumn="0"/>
              <w:rPr>
                <w:ins w:id="3000" w:author="Celia Johnson" w:date="2022-09-06T13:44:00Z"/>
                <w:rFonts w:asciiTheme="minorHAnsi" w:hAnsiTheme="minorHAnsi" w:cstheme="minorHAnsi"/>
                <w:sz w:val="18"/>
                <w:szCs w:val="18"/>
              </w:rPr>
            </w:pPr>
            <w:ins w:id="3001" w:author="Celia Johnson" w:date="2022-09-06T13:44:00Z">
              <w:r>
                <w:rPr>
                  <w:rFonts w:asciiTheme="minorHAnsi" w:hAnsiTheme="minorHAnsi" w:cstheme="minorHAnsi"/>
                  <w:b w:val="0"/>
                  <w:sz w:val="18"/>
                  <w:szCs w:val="18"/>
                </w:rPr>
                <w:t>Medium</w:t>
              </w:r>
            </w:ins>
          </w:p>
        </w:tc>
      </w:tr>
      <w:tr w:rsidR="00E3500B" w:rsidRPr="003940C8" w14:paraId="7305C4F6" w14:textId="77777777" w:rsidTr="000B5D6A">
        <w:trPr>
          <w:cnfStyle w:val="100000000000" w:firstRow="1" w:lastRow="0" w:firstColumn="0" w:lastColumn="0" w:oddVBand="0" w:evenVBand="0" w:oddHBand="0" w:evenHBand="0" w:firstRowFirstColumn="0" w:firstRowLastColumn="0" w:lastRowFirstColumn="0" w:lastRowLastColumn="0"/>
          <w:trHeight w:val="1365"/>
          <w:tblHeader/>
          <w:ins w:id="3002" w:author="Celia Johnson" w:date="2022-09-06T13:44:00Z"/>
        </w:trPr>
        <w:tc>
          <w:tcPr>
            <w:cnfStyle w:val="001000000000" w:firstRow="0" w:lastRow="0" w:firstColumn="1" w:lastColumn="0" w:oddVBand="0" w:evenVBand="0" w:oddHBand="0" w:evenHBand="0" w:firstRowFirstColumn="0" w:firstRowLastColumn="0" w:lastRowFirstColumn="0" w:lastRowLastColumn="0"/>
            <w:tcW w:w="1529" w:type="dxa"/>
            <w:vAlign w:val="center"/>
          </w:tcPr>
          <w:p w14:paraId="7979B38D" w14:textId="77777777" w:rsidR="00E3500B" w:rsidRPr="004F02D9" w:rsidRDefault="00E3500B" w:rsidP="000B5D6A">
            <w:pPr>
              <w:pStyle w:val="Bodysansserif"/>
              <w:rPr>
                <w:ins w:id="3003" w:author="Celia Johnson" w:date="2022-09-06T13:44:00Z"/>
                <w:rFonts w:asciiTheme="minorHAnsi" w:hAnsiTheme="minorHAnsi" w:cstheme="minorHAnsi"/>
                <w:sz w:val="18"/>
                <w:szCs w:val="18"/>
              </w:rPr>
            </w:pPr>
            <w:ins w:id="3004" w:author="Celia Johnson" w:date="2022-09-06T13:44:00Z">
              <w:r w:rsidRPr="004F02D9">
                <w:rPr>
                  <w:rFonts w:asciiTheme="minorHAnsi" w:hAnsiTheme="minorHAnsi" w:cstheme="minorHAnsi"/>
                  <w:sz w:val="18"/>
                  <w:szCs w:val="18"/>
                </w:rPr>
                <w:t>Utility program development</w:t>
              </w:r>
            </w:ins>
          </w:p>
        </w:tc>
        <w:tc>
          <w:tcPr>
            <w:tcW w:w="3326" w:type="dxa"/>
            <w:vAlign w:val="center"/>
          </w:tcPr>
          <w:p w14:paraId="4CEA2188" w14:textId="77777777" w:rsidR="00E3500B" w:rsidRPr="004F02D9" w:rsidRDefault="00E3500B" w:rsidP="000B5D6A">
            <w:pPr>
              <w:pStyle w:val="Bodysansserif"/>
              <w:cnfStyle w:val="100000000000" w:firstRow="1" w:lastRow="0" w:firstColumn="0" w:lastColumn="0" w:oddVBand="0" w:evenVBand="0" w:oddHBand="0" w:evenHBand="0" w:firstRowFirstColumn="0" w:firstRowLastColumn="0" w:lastRowFirstColumn="0" w:lastRowLastColumn="0"/>
              <w:rPr>
                <w:ins w:id="3005" w:author="Celia Johnson" w:date="2022-09-06T13:44:00Z"/>
                <w:rFonts w:asciiTheme="minorHAnsi" w:hAnsiTheme="minorHAnsi" w:cstheme="minorHAnsi"/>
                <w:b w:val="0"/>
                <w:sz w:val="18"/>
                <w:szCs w:val="18"/>
              </w:rPr>
            </w:pPr>
            <w:ins w:id="3006" w:author="Celia Johnson" w:date="2022-09-06T13:44:00Z">
              <w:r w:rsidRPr="004F02D9">
                <w:rPr>
                  <w:rFonts w:asciiTheme="minorHAnsi" w:hAnsiTheme="minorHAnsi" w:cstheme="minorHAnsi"/>
                  <w:b w:val="0"/>
                  <w:sz w:val="18"/>
                  <w:szCs w:val="18"/>
                </w:rPr>
                <w:t>Submitting a plan to provide technical support or incentives via a utility program to support policy implementation. Creating a specific utility program to fit policy implementation needs. Receiving plan and program approval.</w:t>
              </w:r>
            </w:ins>
          </w:p>
        </w:tc>
        <w:tc>
          <w:tcPr>
            <w:tcW w:w="3264" w:type="dxa"/>
            <w:vAlign w:val="center"/>
          </w:tcPr>
          <w:p w14:paraId="4D153B3E" w14:textId="77777777" w:rsidR="00E3500B" w:rsidRPr="004F02D9" w:rsidRDefault="00E3500B" w:rsidP="000B5D6A">
            <w:pPr>
              <w:pStyle w:val="Bodysansserif"/>
              <w:cnfStyle w:val="100000000000" w:firstRow="1" w:lastRow="0" w:firstColumn="0" w:lastColumn="0" w:oddVBand="0" w:evenVBand="0" w:oddHBand="0" w:evenHBand="0" w:firstRowFirstColumn="0" w:firstRowLastColumn="0" w:lastRowFirstColumn="0" w:lastRowLastColumn="0"/>
              <w:rPr>
                <w:ins w:id="3007" w:author="Celia Johnson" w:date="2022-09-06T13:44:00Z"/>
                <w:rFonts w:asciiTheme="minorHAnsi" w:hAnsiTheme="minorHAnsi" w:cstheme="minorHAnsi"/>
                <w:b w:val="0"/>
                <w:sz w:val="18"/>
                <w:szCs w:val="18"/>
              </w:rPr>
            </w:pPr>
            <w:ins w:id="3008" w:author="Celia Johnson" w:date="2022-09-06T13:44:00Z">
              <w:r w:rsidRPr="004F02D9">
                <w:rPr>
                  <w:rFonts w:asciiTheme="minorHAnsi" w:hAnsiTheme="minorHAnsi" w:cstheme="minorHAnsi"/>
                  <w:b w:val="0"/>
                  <w:sz w:val="18"/>
                  <w:szCs w:val="18"/>
                </w:rPr>
                <w:t>Meeting minutes, presentations, email discussions, written or testimony language, stakeholder survey, stakeholder feedback on utility effects. List and details of program components specifically designed to support stretch code.</w:t>
              </w:r>
            </w:ins>
          </w:p>
        </w:tc>
        <w:tc>
          <w:tcPr>
            <w:tcW w:w="1093" w:type="dxa"/>
            <w:vAlign w:val="center"/>
          </w:tcPr>
          <w:p w14:paraId="428E9563" w14:textId="77777777" w:rsidR="00E3500B" w:rsidRPr="004F02D9" w:rsidRDefault="00E3500B" w:rsidP="000B5D6A">
            <w:pPr>
              <w:pStyle w:val="Bodysansserif"/>
              <w:jc w:val="center"/>
              <w:cnfStyle w:val="100000000000" w:firstRow="1" w:lastRow="0" w:firstColumn="0" w:lastColumn="0" w:oddVBand="0" w:evenVBand="0" w:oddHBand="0" w:evenHBand="0" w:firstRowFirstColumn="0" w:firstRowLastColumn="0" w:lastRowFirstColumn="0" w:lastRowLastColumn="0"/>
              <w:rPr>
                <w:ins w:id="3009" w:author="Celia Johnson" w:date="2022-09-06T13:44:00Z"/>
                <w:rFonts w:asciiTheme="minorHAnsi" w:hAnsiTheme="minorHAnsi" w:cstheme="minorHAnsi"/>
                <w:sz w:val="18"/>
                <w:szCs w:val="18"/>
              </w:rPr>
            </w:pPr>
            <w:ins w:id="3010" w:author="Celia Johnson" w:date="2022-09-06T13:44:00Z">
              <w:r>
                <w:rPr>
                  <w:rFonts w:asciiTheme="minorHAnsi" w:hAnsiTheme="minorHAnsi" w:cstheme="minorHAnsi"/>
                  <w:b w:val="0"/>
                  <w:sz w:val="18"/>
                  <w:szCs w:val="18"/>
                </w:rPr>
                <w:t>High</w:t>
              </w:r>
            </w:ins>
          </w:p>
        </w:tc>
      </w:tr>
      <w:tr w:rsidR="00E3500B" w:rsidRPr="003940C8" w14:paraId="29FC4080" w14:textId="77777777" w:rsidTr="000B5D6A">
        <w:trPr>
          <w:cnfStyle w:val="100000000000" w:firstRow="1" w:lastRow="0" w:firstColumn="0" w:lastColumn="0" w:oddVBand="0" w:evenVBand="0" w:oddHBand="0" w:evenHBand="0" w:firstRowFirstColumn="0" w:firstRowLastColumn="0" w:lastRowFirstColumn="0" w:lastRowLastColumn="0"/>
          <w:trHeight w:val="513"/>
          <w:tblHeader/>
          <w:ins w:id="3011" w:author="Celia Johnson" w:date="2022-09-06T13:44:00Z"/>
        </w:trPr>
        <w:tc>
          <w:tcPr>
            <w:cnfStyle w:val="001000000000" w:firstRow="0" w:lastRow="0" w:firstColumn="1" w:lastColumn="0" w:oddVBand="0" w:evenVBand="0" w:oddHBand="0" w:evenHBand="0" w:firstRowFirstColumn="0" w:firstRowLastColumn="0" w:lastRowFirstColumn="0" w:lastRowLastColumn="0"/>
            <w:tcW w:w="1529" w:type="dxa"/>
            <w:vAlign w:val="center"/>
          </w:tcPr>
          <w:p w14:paraId="3F6214F1" w14:textId="77777777" w:rsidR="00E3500B" w:rsidRPr="004F02D9" w:rsidRDefault="00E3500B" w:rsidP="000B5D6A">
            <w:pPr>
              <w:pStyle w:val="Bodysansserif"/>
              <w:rPr>
                <w:ins w:id="3012" w:author="Celia Johnson" w:date="2022-09-06T13:44:00Z"/>
                <w:rFonts w:asciiTheme="minorHAnsi" w:hAnsiTheme="minorHAnsi" w:cstheme="minorHAnsi"/>
                <w:sz w:val="18"/>
                <w:szCs w:val="18"/>
              </w:rPr>
            </w:pPr>
            <w:ins w:id="3013" w:author="Celia Johnson" w:date="2022-09-06T13:44:00Z">
              <w:r w:rsidRPr="004F02D9">
                <w:rPr>
                  <w:rFonts w:asciiTheme="minorHAnsi" w:hAnsiTheme="minorHAnsi" w:cstheme="minorHAnsi"/>
                  <w:sz w:val="18"/>
                  <w:szCs w:val="18"/>
                </w:rPr>
                <w:t>Undefined or miscellaneou</w:t>
              </w:r>
              <w:r w:rsidRPr="004F02D9">
                <w:rPr>
                  <w:rFonts w:asciiTheme="minorHAnsi" w:hAnsiTheme="minorHAnsi" w:cstheme="minorHAnsi"/>
                  <w:b w:val="0"/>
                  <w:sz w:val="18"/>
                  <w:szCs w:val="18"/>
                </w:rPr>
                <w:t>s</w:t>
              </w:r>
            </w:ins>
          </w:p>
        </w:tc>
        <w:tc>
          <w:tcPr>
            <w:tcW w:w="3326" w:type="dxa"/>
            <w:vAlign w:val="center"/>
          </w:tcPr>
          <w:p w14:paraId="30CA39E4" w14:textId="77777777" w:rsidR="00E3500B" w:rsidRPr="004F02D9" w:rsidRDefault="00E3500B" w:rsidP="000B5D6A">
            <w:pPr>
              <w:pStyle w:val="Bodysansserif"/>
              <w:cnfStyle w:val="100000000000" w:firstRow="1" w:lastRow="0" w:firstColumn="0" w:lastColumn="0" w:oddVBand="0" w:evenVBand="0" w:oddHBand="0" w:evenHBand="0" w:firstRowFirstColumn="0" w:firstRowLastColumn="0" w:lastRowFirstColumn="0" w:lastRowLastColumn="0"/>
              <w:rPr>
                <w:ins w:id="3014" w:author="Celia Johnson" w:date="2022-09-06T13:44:00Z"/>
                <w:rFonts w:asciiTheme="minorHAnsi" w:hAnsiTheme="minorHAnsi" w:cstheme="minorHAnsi"/>
                <w:b w:val="0"/>
                <w:sz w:val="18"/>
                <w:szCs w:val="18"/>
              </w:rPr>
            </w:pPr>
            <w:ins w:id="3015" w:author="Celia Johnson" w:date="2022-09-06T13:44:00Z">
              <w:r w:rsidRPr="004F02D9">
                <w:rPr>
                  <w:rFonts w:asciiTheme="minorHAnsi" w:hAnsiTheme="minorHAnsi" w:cstheme="minorHAnsi"/>
                  <w:b w:val="0"/>
                  <w:sz w:val="18"/>
                  <w:szCs w:val="18"/>
                </w:rPr>
                <w:t>Meaningful influence on code policy advancement outside of the categories of influence listed above.</w:t>
              </w:r>
            </w:ins>
          </w:p>
        </w:tc>
        <w:tc>
          <w:tcPr>
            <w:tcW w:w="3264" w:type="dxa"/>
            <w:vAlign w:val="center"/>
          </w:tcPr>
          <w:p w14:paraId="591BBF96" w14:textId="77777777" w:rsidR="00E3500B" w:rsidRPr="004F02D9" w:rsidRDefault="00E3500B" w:rsidP="000B5D6A">
            <w:pPr>
              <w:pStyle w:val="Bodysansserif"/>
              <w:tabs>
                <w:tab w:val="left" w:pos="2085"/>
              </w:tabs>
              <w:cnfStyle w:val="100000000000" w:firstRow="1" w:lastRow="0" w:firstColumn="0" w:lastColumn="0" w:oddVBand="0" w:evenVBand="0" w:oddHBand="0" w:evenHBand="0" w:firstRowFirstColumn="0" w:firstRowLastColumn="0" w:lastRowFirstColumn="0" w:lastRowLastColumn="0"/>
              <w:rPr>
                <w:ins w:id="3016" w:author="Celia Johnson" w:date="2022-09-06T13:44:00Z"/>
                <w:rFonts w:asciiTheme="minorHAnsi" w:hAnsiTheme="minorHAnsi" w:cstheme="minorHAnsi"/>
                <w:b w:val="0"/>
                <w:sz w:val="18"/>
                <w:szCs w:val="18"/>
              </w:rPr>
            </w:pPr>
            <w:ins w:id="3017" w:author="Celia Johnson" w:date="2022-09-06T13:44:00Z">
              <w:r w:rsidRPr="004F02D9">
                <w:rPr>
                  <w:rFonts w:asciiTheme="minorHAnsi" w:hAnsiTheme="minorHAnsi" w:cstheme="minorHAnsi"/>
                  <w:b w:val="0"/>
                  <w:sz w:val="18"/>
                  <w:szCs w:val="18"/>
                </w:rPr>
                <w:t>To be determined. Depends on nature and content of influence.</w:t>
              </w:r>
            </w:ins>
          </w:p>
        </w:tc>
        <w:tc>
          <w:tcPr>
            <w:tcW w:w="1093" w:type="dxa"/>
            <w:vAlign w:val="center"/>
          </w:tcPr>
          <w:p w14:paraId="1891BC94" w14:textId="77777777" w:rsidR="00E3500B" w:rsidRPr="004F02D9" w:rsidRDefault="00E3500B" w:rsidP="000B5D6A">
            <w:pPr>
              <w:pStyle w:val="Bodysansserif"/>
              <w:tabs>
                <w:tab w:val="left" w:pos="2085"/>
              </w:tabs>
              <w:jc w:val="center"/>
              <w:cnfStyle w:val="100000000000" w:firstRow="1" w:lastRow="0" w:firstColumn="0" w:lastColumn="0" w:oddVBand="0" w:evenVBand="0" w:oddHBand="0" w:evenHBand="0" w:firstRowFirstColumn="0" w:firstRowLastColumn="0" w:lastRowFirstColumn="0" w:lastRowLastColumn="0"/>
              <w:rPr>
                <w:ins w:id="3018" w:author="Celia Johnson" w:date="2022-09-06T13:44:00Z"/>
                <w:rFonts w:asciiTheme="minorHAnsi" w:hAnsiTheme="minorHAnsi" w:cstheme="minorHAnsi"/>
                <w:sz w:val="18"/>
                <w:szCs w:val="18"/>
              </w:rPr>
            </w:pPr>
            <w:ins w:id="3019" w:author="Celia Johnson" w:date="2022-09-06T13:44:00Z">
              <w:r>
                <w:rPr>
                  <w:rFonts w:asciiTheme="minorHAnsi" w:hAnsiTheme="minorHAnsi" w:cstheme="minorHAnsi"/>
                  <w:b w:val="0"/>
                  <w:sz w:val="18"/>
                  <w:szCs w:val="18"/>
                </w:rPr>
                <w:t>TBD</w:t>
              </w:r>
            </w:ins>
          </w:p>
        </w:tc>
      </w:tr>
    </w:tbl>
    <w:p w14:paraId="4D4333F5" w14:textId="77777777" w:rsidR="00E3500B" w:rsidRDefault="00E3500B" w:rsidP="00E3500B">
      <w:pPr>
        <w:rPr>
          <w:ins w:id="3020" w:author="Celia Johnson" w:date="2022-09-06T13:44:00Z"/>
        </w:rPr>
      </w:pPr>
    </w:p>
    <w:p w14:paraId="262D2675" w14:textId="77777777" w:rsidR="00E3500B" w:rsidRDefault="00E3500B" w:rsidP="00E3500B">
      <w:pPr>
        <w:spacing w:after="0"/>
        <w:jc w:val="left"/>
        <w:rPr>
          <w:ins w:id="3021" w:author="Celia Johnson" w:date="2022-09-06T13:44:00Z"/>
        </w:rPr>
      </w:pPr>
      <w:ins w:id="3022" w:author="Celia Johnson" w:date="2022-09-06T13:44:00Z">
        <w:r>
          <w:br w:type="page"/>
        </w:r>
      </w:ins>
    </w:p>
    <w:p w14:paraId="2D2911EC" w14:textId="77777777" w:rsidR="00E3500B" w:rsidRDefault="00E3500B" w:rsidP="00E3500B">
      <w:pPr>
        <w:rPr>
          <w:ins w:id="3023" w:author="Celia Johnson" w:date="2022-09-06T13:44:00Z"/>
        </w:rPr>
      </w:pPr>
    </w:p>
    <w:p w14:paraId="1BA16626" w14:textId="77777777" w:rsidR="00E3500B" w:rsidRDefault="00E3500B" w:rsidP="00E3500B">
      <w:pPr>
        <w:pStyle w:val="Caption"/>
        <w:rPr>
          <w:ins w:id="3024" w:author="Celia Johnson" w:date="2022-09-06T13:44:00Z"/>
        </w:rPr>
      </w:pPr>
      <w:bookmarkStart w:id="3025" w:name="_Ref112397170"/>
      <w:ins w:id="3026" w:author="Celia Johnson" w:date="2022-09-06T13:44:00Z">
        <w:r>
          <w:t xml:space="preserve">Table </w:t>
        </w:r>
        <w:r>
          <w:fldChar w:fldCharType="begin"/>
        </w:r>
        <w:r>
          <w:instrText>SEQ Table \* ARABIC</w:instrText>
        </w:r>
        <w:r>
          <w:fldChar w:fldCharType="separate"/>
        </w:r>
        <w:r>
          <w:rPr>
            <w:noProof/>
          </w:rPr>
          <w:t>4</w:t>
        </w:r>
        <w:r>
          <w:fldChar w:fldCharType="end"/>
        </w:r>
        <w:bookmarkEnd w:id="3025"/>
        <w:r>
          <w:t>:</w:t>
        </w:r>
        <w:r w:rsidRPr="003A48EF">
          <w:t xml:space="preserve"> Expected levels of impact of utility influence on stretch code compliance support programs</w:t>
        </w:r>
      </w:ins>
    </w:p>
    <w:tbl>
      <w:tblPr>
        <w:tblStyle w:val="TableGrid"/>
        <w:tblW w:w="8912" w:type="dxa"/>
        <w:tblInd w:w="-95" w:type="dxa"/>
        <w:tblBorders>
          <w:left w:val="none" w:sz="0" w:space="0" w:color="auto"/>
        </w:tblBorders>
        <w:tblLayout w:type="fixed"/>
        <w:tblLook w:val="04A0" w:firstRow="1" w:lastRow="0" w:firstColumn="1" w:lastColumn="0" w:noHBand="0" w:noVBand="1"/>
      </w:tblPr>
      <w:tblGrid>
        <w:gridCol w:w="1620"/>
        <w:gridCol w:w="3330"/>
        <w:gridCol w:w="2970"/>
        <w:gridCol w:w="992"/>
      </w:tblGrid>
      <w:tr w:rsidR="00E3500B" w:rsidRPr="0085445F" w14:paraId="16EF8222" w14:textId="77777777" w:rsidTr="000B5D6A">
        <w:trPr>
          <w:trHeight w:val="665"/>
          <w:tblHeader/>
          <w:ins w:id="3027" w:author="Celia Johnson" w:date="2022-09-06T13:44:00Z"/>
        </w:trPr>
        <w:tc>
          <w:tcPr>
            <w:tcW w:w="1620" w:type="dxa"/>
            <w:tcBorders>
              <w:left w:val="single" w:sz="4" w:space="0" w:color="auto"/>
            </w:tcBorders>
            <w:noWrap/>
            <w:hideMark/>
          </w:tcPr>
          <w:p w14:paraId="19D88A5C" w14:textId="77777777" w:rsidR="00E3500B" w:rsidRPr="006B5827" w:rsidRDefault="00E3500B" w:rsidP="000B5D6A">
            <w:pPr>
              <w:rPr>
                <w:ins w:id="3028" w:author="Celia Johnson" w:date="2022-09-06T13:44:00Z"/>
                <w:b/>
                <w:sz w:val="18"/>
                <w:szCs w:val="18"/>
              </w:rPr>
            </w:pPr>
            <w:ins w:id="3029" w:author="Celia Johnson" w:date="2022-09-06T13:44:00Z">
              <w:r>
                <w:rPr>
                  <w:b/>
                  <w:sz w:val="18"/>
                  <w:szCs w:val="18"/>
                </w:rPr>
                <w:t>Activity</w:t>
              </w:r>
            </w:ins>
          </w:p>
        </w:tc>
        <w:tc>
          <w:tcPr>
            <w:tcW w:w="3330" w:type="dxa"/>
            <w:noWrap/>
            <w:hideMark/>
          </w:tcPr>
          <w:p w14:paraId="2340BAFF" w14:textId="77777777" w:rsidR="00E3500B" w:rsidRPr="006B5827" w:rsidRDefault="00E3500B" w:rsidP="000B5D6A">
            <w:pPr>
              <w:rPr>
                <w:ins w:id="3030" w:author="Celia Johnson" w:date="2022-09-06T13:44:00Z"/>
                <w:b/>
                <w:sz w:val="18"/>
                <w:szCs w:val="18"/>
              </w:rPr>
            </w:pPr>
            <w:ins w:id="3031" w:author="Celia Johnson" w:date="2022-09-06T13:44:00Z">
              <w:r>
                <w:rPr>
                  <w:b/>
                  <w:sz w:val="18"/>
                  <w:szCs w:val="18"/>
                </w:rPr>
                <w:t>Example Market Progress Indicators</w:t>
              </w:r>
            </w:ins>
          </w:p>
        </w:tc>
        <w:tc>
          <w:tcPr>
            <w:tcW w:w="2970" w:type="dxa"/>
            <w:noWrap/>
            <w:hideMark/>
          </w:tcPr>
          <w:p w14:paraId="05529EBC" w14:textId="77777777" w:rsidR="00E3500B" w:rsidRPr="006B5827" w:rsidRDefault="00E3500B" w:rsidP="000B5D6A">
            <w:pPr>
              <w:rPr>
                <w:ins w:id="3032" w:author="Celia Johnson" w:date="2022-09-06T13:44:00Z"/>
                <w:b/>
                <w:sz w:val="18"/>
                <w:szCs w:val="18"/>
              </w:rPr>
            </w:pPr>
            <w:ins w:id="3033" w:author="Celia Johnson" w:date="2022-09-06T13:44:00Z">
              <w:r w:rsidRPr="006B5827">
                <w:rPr>
                  <w:b/>
                  <w:sz w:val="18"/>
                  <w:szCs w:val="18"/>
                </w:rPr>
                <w:t>Example</w:t>
              </w:r>
              <w:r>
                <w:rPr>
                  <w:b/>
                  <w:sz w:val="18"/>
                  <w:szCs w:val="18"/>
                </w:rPr>
                <w:t xml:space="preserve"> Data Source</w:t>
              </w:r>
              <w:r w:rsidRPr="006B5827">
                <w:rPr>
                  <w:b/>
                  <w:sz w:val="18"/>
                  <w:szCs w:val="18"/>
                </w:rPr>
                <w:t>s</w:t>
              </w:r>
            </w:ins>
          </w:p>
        </w:tc>
        <w:tc>
          <w:tcPr>
            <w:tcW w:w="992" w:type="dxa"/>
            <w:noWrap/>
            <w:hideMark/>
          </w:tcPr>
          <w:p w14:paraId="4DA03A75" w14:textId="77777777" w:rsidR="00E3500B" w:rsidRPr="006B5827" w:rsidRDefault="00E3500B" w:rsidP="000B5D6A">
            <w:pPr>
              <w:jc w:val="left"/>
              <w:rPr>
                <w:ins w:id="3034" w:author="Celia Johnson" w:date="2022-09-06T13:44:00Z"/>
                <w:b/>
                <w:sz w:val="18"/>
                <w:szCs w:val="18"/>
              </w:rPr>
            </w:pPr>
            <w:ins w:id="3035" w:author="Celia Johnson" w:date="2022-09-06T13:44:00Z">
              <w:r>
                <w:rPr>
                  <w:b/>
                  <w:sz w:val="18"/>
                  <w:szCs w:val="18"/>
                </w:rPr>
                <w:t>Expected Level of Impact</w:t>
              </w:r>
            </w:ins>
          </w:p>
        </w:tc>
      </w:tr>
      <w:tr w:rsidR="00E3500B" w:rsidRPr="0085445F" w14:paraId="5611CB26" w14:textId="77777777" w:rsidTr="000B5D6A">
        <w:trPr>
          <w:trHeight w:val="428"/>
          <w:ins w:id="3036" w:author="Celia Johnson" w:date="2022-09-06T13:44:00Z"/>
        </w:trPr>
        <w:tc>
          <w:tcPr>
            <w:tcW w:w="1620" w:type="dxa"/>
            <w:vMerge w:val="restart"/>
            <w:tcBorders>
              <w:left w:val="single" w:sz="4" w:space="0" w:color="auto"/>
            </w:tcBorders>
            <w:vAlign w:val="center"/>
            <w:hideMark/>
          </w:tcPr>
          <w:p w14:paraId="7D600DD7" w14:textId="77777777" w:rsidR="00E3500B" w:rsidRPr="006B5827" w:rsidRDefault="00E3500B" w:rsidP="000B5D6A">
            <w:pPr>
              <w:jc w:val="left"/>
              <w:rPr>
                <w:ins w:id="3037" w:author="Celia Johnson" w:date="2022-09-06T13:44:00Z"/>
                <w:sz w:val="18"/>
                <w:szCs w:val="18"/>
              </w:rPr>
            </w:pPr>
            <w:ins w:id="3038" w:author="Celia Johnson" w:date="2022-09-06T13:44:00Z">
              <w:r w:rsidRPr="006B5827">
                <w:rPr>
                  <w:sz w:val="18"/>
                  <w:szCs w:val="18"/>
                </w:rPr>
                <w:t>Training Sessions: Classroom, In-field, Webinar, etc.</w:t>
              </w:r>
              <w:r>
                <w:br/>
              </w:r>
            </w:ins>
          </w:p>
        </w:tc>
        <w:tc>
          <w:tcPr>
            <w:tcW w:w="3330" w:type="dxa"/>
            <w:vAlign w:val="center"/>
            <w:hideMark/>
          </w:tcPr>
          <w:p w14:paraId="68FFF9D9" w14:textId="77777777" w:rsidR="00E3500B" w:rsidRPr="006B5827" w:rsidRDefault="00E3500B" w:rsidP="000B5D6A">
            <w:pPr>
              <w:jc w:val="left"/>
              <w:rPr>
                <w:ins w:id="3039" w:author="Celia Johnson" w:date="2022-09-06T13:44:00Z"/>
                <w:sz w:val="18"/>
                <w:szCs w:val="18"/>
              </w:rPr>
            </w:pPr>
            <w:ins w:id="3040" w:author="Celia Johnson" w:date="2022-09-06T13:44:00Z">
              <w:r w:rsidRPr="006B5827">
                <w:rPr>
                  <w:sz w:val="18"/>
                  <w:szCs w:val="18"/>
                </w:rPr>
                <w:t>Curriculum covers topics where compliance improvement is possible/necessary</w:t>
              </w:r>
              <w:r>
                <w:rPr>
                  <w:sz w:val="18"/>
                  <w:szCs w:val="18"/>
                </w:rPr>
                <w:t>, using information from baseline studies</w:t>
              </w:r>
            </w:ins>
          </w:p>
        </w:tc>
        <w:tc>
          <w:tcPr>
            <w:tcW w:w="2970" w:type="dxa"/>
            <w:vAlign w:val="center"/>
            <w:hideMark/>
          </w:tcPr>
          <w:p w14:paraId="3F20E6B4" w14:textId="77777777" w:rsidR="00E3500B" w:rsidRPr="006B5827" w:rsidRDefault="00E3500B" w:rsidP="000B5D6A">
            <w:pPr>
              <w:jc w:val="left"/>
              <w:rPr>
                <w:ins w:id="3041" w:author="Celia Johnson" w:date="2022-09-06T13:44:00Z"/>
                <w:sz w:val="18"/>
                <w:szCs w:val="18"/>
              </w:rPr>
            </w:pPr>
            <w:ins w:id="3042" w:author="Celia Johnson" w:date="2022-09-06T13:44:00Z">
              <w:r w:rsidRPr="006B5827">
                <w:rPr>
                  <w:sz w:val="18"/>
                  <w:szCs w:val="18"/>
                </w:rPr>
                <w:t>Training materials such as PowerPoints or worksheets</w:t>
              </w:r>
            </w:ins>
          </w:p>
        </w:tc>
        <w:tc>
          <w:tcPr>
            <w:tcW w:w="992" w:type="dxa"/>
            <w:vMerge w:val="restart"/>
            <w:vAlign w:val="center"/>
            <w:hideMark/>
          </w:tcPr>
          <w:p w14:paraId="6C3F5E4E" w14:textId="77777777" w:rsidR="00E3500B" w:rsidRPr="006B5827" w:rsidRDefault="00E3500B" w:rsidP="000B5D6A">
            <w:pPr>
              <w:jc w:val="center"/>
              <w:rPr>
                <w:ins w:id="3043" w:author="Celia Johnson" w:date="2022-09-06T13:44:00Z"/>
                <w:sz w:val="18"/>
                <w:szCs w:val="18"/>
              </w:rPr>
            </w:pPr>
            <w:ins w:id="3044" w:author="Celia Johnson" w:date="2022-09-06T13:44:00Z">
              <w:r>
                <w:rPr>
                  <w:sz w:val="18"/>
                  <w:szCs w:val="18"/>
                </w:rPr>
                <w:t>High</w:t>
              </w:r>
            </w:ins>
          </w:p>
        </w:tc>
      </w:tr>
      <w:tr w:rsidR="00E3500B" w:rsidRPr="0085445F" w14:paraId="0B22085B" w14:textId="77777777" w:rsidTr="000B5D6A">
        <w:trPr>
          <w:trHeight w:val="428"/>
          <w:ins w:id="3045" w:author="Celia Johnson" w:date="2022-09-06T13:44:00Z"/>
        </w:trPr>
        <w:tc>
          <w:tcPr>
            <w:tcW w:w="1620" w:type="dxa"/>
            <w:vMerge/>
            <w:tcBorders>
              <w:left w:val="single" w:sz="4" w:space="0" w:color="auto"/>
            </w:tcBorders>
            <w:vAlign w:val="center"/>
            <w:hideMark/>
          </w:tcPr>
          <w:p w14:paraId="03AB518B" w14:textId="77777777" w:rsidR="00E3500B" w:rsidRPr="003F67C1" w:rsidRDefault="00E3500B" w:rsidP="000B5D6A">
            <w:pPr>
              <w:jc w:val="left"/>
              <w:rPr>
                <w:ins w:id="3046" w:author="Celia Johnson" w:date="2022-09-06T13:44:00Z"/>
                <w:sz w:val="18"/>
                <w:szCs w:val="18"/>
              </w:rPr>
            </w:pPr>
          </w:p>
        </w:tc>
        <w:tc>
          <w:tcPr>
            <w:tcW w:w="3330" w:type="dxa"/>
            <w:vAlign w:val="center"/>
            <w:hideMark/>
          </w:tcPr>
          <w:p w14:paraId="5E63E1B7" w14:textId="77777777" w:rsidR="00E3500B" w:rsidRPr="003F67C1" w:rsidRDefault="00E3500B" w:rsidP="000B5D6A">
            <w:pPr>
              <w:jc w:val="left"/>
              <w:rPr>
                <w:ins w:id="3047" w:author="Celia Johnson" w:date="2022-09-06T13:44:00Z"/>
                <w:sz w:val="18"/>
                <w:szCs w:val="18"/>
              </w:rPr>
            </w:pPr>
            <w:ins w:id="3048" w:author="Celia Johnson" w:date="2022-09-06T13:44:00Z">
              <w:r w:rsidRPr="003F67C1">
                <w:rPr>
                  <w:sz w:val="18"/>
                  <w:szCs w:val="18"/>
                </w:rPr>
                <w:t>Training sessions are frequent, accessible, and see high attendance as a result</w:t>
              </w:r>
            </w:ins>
          </w:p>
        </w:tc>
        <w:tc>
          <w:tcPr>
            <w:tcW w:w="2970" w:type="dxa"/>
            <w:vAlign w:val="center"/>
            <w:hideMark/>
          </w:tcPr>
          <w:p w14:paraId="38D7075E" w14:textId="77777777" w:rsidR="00E3500B" w:rsidRPr="003F67C1" w:rsidRDefault="00E3500B" w:rsidP="000B5D6A">
            <w:pPr>
              <w:jc w:val="left"/>
              <w:rPr>
                <w:ins w:id="3049" w:author="Celia Johnson" w:date="2022-09-06T13:44:00Z"/>
                <w:sz w:val="18"/>
                <w:szCs w:val="18"/>
              </w:rPr>
            </w:pPr>
            <w:ins w:id="3050" w:author="Celia Johnson" w:date="2022-09-06T13:44:00Z">
              <w:r w:rsidRPr="003F67C1">
                <w:rPr>
                  <w:sz w:val="18"/>
                  <w:szCs w:val="18"/>
                </w:rPr>
                <w:t>List of trainings held and attendance numbers</w:t>
              </w:r>
            </w:ins>
          </w:p>
        </w:tc>
        <w:tc>
          <w:tcPr>
            <w:tcW w:w="992" w:type="dxa"/>
            <w:vMerge/>
            <w:vAlign w:val="center"/>
            <w:hideMark/>
          </w:tcPr>
          <w:p w14:paraId="2C426B7B" w14:textId="77777777" w:rsidR="00E3500B" w:rsidRPr="003F67C1" w:rsidRDefault="00E3500B" w:rsidP="000B5D6A">
            <w:pPr>
              <w:jc w:val="center"/>
              <w:rPr>
                <w:ins w:id="3051" w:author="Celia Johnson" w:date="2022-09-06T13:44:00Z"/>
                <w:sz w:val="18"/>
                <w:szCs w:val="18"/>
              </w:rPr>
            </w:pPr>
          </w:p>
        </w:tc>
      </w:tr>
      <w:tr w:rsidR="00E3500B" w:rsidRPr="0085445F" w14:paraId="7DE83AFA" w14:textId="77777777" w:rsidTr="000B5D6A">
        <w:trPr>
          <w:trHeight w:val="428"/>
          <w:ins w:id="3052" w:author="Celia Johnson" w:date="2022-09-06T13:44:00Z"/>
        </w:trPr>
        <w:tc>
          <w:tcPr>
            <w:tcW w:w="1620" w:type="dxa"/>
            <w:vMerge/>
            <w:tcBorders>
              <w:left w:val="single" w:sz="4" w:space="0" w:color="auto"/>
            </w:tcBorders>
            <w:vAlign w:val="center"/>
            <w:hideMark/>
          </w:tcPr>
          <w:p w14:paraId="33A74727" w14:textId="77777777" w:rsidR="00E3500B" w:rsidRPr="003F67C1" w:rsidRDefault="00E3500B" w:rsidP="000B5D6A">
            <w:pPr>
              <w:jc w:val="left"/>
              <w:rPr>
                <w:ins w:id="3053" w:author="Celia Johnson" w:date="2022-09-06T13:44:00Z"/>
                <w:sz w:val="18"/>
                <w:szCs w:val="18"/>
              </w:rPr>
            </w:pPr>
          </w:p>
        </w:tc>
        <w:tc>
          <w:tcPr>
            <w:tcW w:w="3330" w:type="dxa"/>
            <w:vAlign w:val="center"/>
            <w:hideMark/>
          </w:tcPr>
          <w:p w14:paraId="33617092" w14:textId="77777777" w:rsidR="00E3500B" w:rsidRPr="003F67C1" w:rsidRDefault="00E3500B" w:rsidP="000B5D6A">
            <w:pPr>
              <w:jc w:val="left"/>
              <w:rPr>
                <w:ins w:id="3054" w:author="Celia Johnson" w:date="2022-09-06T13:44:00Z"/>
                <w:sz w:val="18"/>
                <w:szCs w:val="18"/>
              </w:rPr>
            </w:pPr>
            <w:ins w:id="3055" w:author="Celia Johnson" w:date="2022-09-06T13:44:00Z">
              <w:r w:rsidRPr="003F67C1">
                <w:rPr>
                  <w:sz w:val="18"/>
                  <w:szCs w:val="18"/>
                </w:rPr>
                <w:t>Training sessions increase knowledge</w:t>
              </w:r>
              <w:r>
                <w:rPr>
                  <w:sz w:val="18"/>
                  <w:szCs w:val="18"/>
                </w:rPr>
                <w:t xml:space="preserve"> and </w:t>
              </w:r>
              <w:r w:rsidRPr="003F67C1">
                <w:rPr>
                  <w:sz w:val="18"/>
                  <w:szCs w:val="18"/>
                </w:rPr>
                <w:t>understanding of attendees</w:t>
              </w:r>
            </w:ins>
          </w:p>
        </w:tc>
        <w:tc>
          <w:tcPr>
            <w:tcW w:w="2970" w:type="dxa"/>
            <w:vAlign w:val="center"/>
            <w:hideMark/>
          </w:tcPr>
          <w:p w14:paraId="3C285CDE" w14:textId="77777777" w:rsidR="00E3500B" w:rsidRPr="003F67C1" w:rsidRDefault="00E3500B" w:rsidP="000B5D6A">
            <w:pPr>
              <w:jc w:val="left"/>
              <w:rPr>
                <w:ins w:id="3056" w:author="Celia Johnson" w:date="2022-09-06T13:44:00Z"/>
                <w:sz w:val="18"/>
                <w:szCs w:val="18"/>
              </w:rPr>
            </w:pPr>
            <w:ins w:id="3057" w:author="Celia Johnson" w:date="2022-09-06T13:44:00Z">
              <w:r w:rsidRPr="003F67C1">
                <w:rPr>
                  <w:sz w:val="18"/>
                  <w:szCs w:val="18"/>
                </w:rPr>
                <w:t>Participant surveys completed after the training sessions</w:t>
              </w:r>
            </w:ins>
          </w:p>
        </w:tc>
        <w:tc>
          <w:tcPr>
            <w:tcW w:w="992" w:type="dxa"/>
            <w:vMerge/>
            <w:vAlign w:val="center"/>
            <w:hideMark/>
          </w:tcPr>
          <w:p w14:paraId="737F8397" w14:textId="77777777" w:rsidR="00E3500B" w:rsidRPr="003F67C1" w:rsidRDefault="00E3500B" w:rsidP="000B5D6A">
            <w:pPr>
              <w:jc w:val="center"/>
              <w:rPr>
                <w:ins w:id="3058" w:author="Celia Johnson" w:date="2022-09-06T13:44:00Z"/>
                <w:sz w:val="18"/>
                <w:szCs w:val="18"/>
              </w:rPr>
            </w:pPr>
          </w:p>
        </w:tc>
      </w:tr>
      <w:tr w:rsidR="00E3500B" w:rsidRPr="0085445F" w14:paraId="77D70F41" w14:textId="77777777" w:rsidTr="000B5D6A">
        <w:trPr>
          <w:trHeight w:val="428"/>
          <w:ins w:id="3059" w:author="Celia Johnson" w:date="2022-09-06T13:44:00Z"/>
        </w:trPr>
        <w:tc>
          <w:tcPr>
            <w:tcW w:w="1620" w:type="dxa"/>
            <w:vMerge/>
            <w:tcBorders>
              <w:left w:val="single" w:sz="4" w:space="0" w:color="auto"/>
            </w:tcBorders>
            <w:vAlign w:val="center"/>
            <w:hideMark/>
          </w:tcPr>
          <w:p w14:paraId="512B843A" w14:textId="77777777" w:rsidR="00E3500B" w:rsidRPr="003F67C1" w:rsidRDefault="00E3500B" w:rsidP="000B5D6A">
            <w:pPr>
              <w:jc w:val="left"/>
              <w:rPr>
                <w:ins w:id="3060" w:author="Celia Johnson" w:date="2022-09-06T13:44:00Z"/>
                <w:sz w:val="18"/>
                <w:szCs w:val="18"/>
              </w:rPr>
            </w:pPr>
          </w:p>
        </w:tc>
        <w:tc>
          <w:tcPr>
            <w:tcW w:w="3330" w:type="dxa"/>
            <w:vAlign w:val="center"/>
            <w:hideMark/>
          </w:tcPr>
          <w:p w14:paraId="0D7C8535" w14:textId="77777777" w:rsidR="00E3500B" w:rsidRPr="003F67C1" w:rsidRDefault="00E3500B" w:rsidP="000B5D6A">
            <w:pPr>
              <w:jc w:val="left"/>
              <w:rPr>
                <w:ins w:id="3061" w:author="Celia Johnson" w:date="2022-09-06T13:44:00Z"/>
                <w:sz w:val="18"/>
                <w:szCs w:val="18"/>
              </w:rPr>
            </w:pPr>
            <w:ins w:id="3062" w:author="Celia Johnson" w:date="2022-09-06T13:44:00Z">
              <w:r w:rsidRPr="003F67C1">
                <w:rPr>
                  <w:sz w:val="18"/>
                  <w:szCs w:val="18"/>
                </w:rPr>
                <w:t>Training sessions result in improved practices by relevant attendees</w:t>
              </w:r>
            </w:ins>
          </w:p>
        </w:tc>
        <w:tc>
          <w:tcPr>
            <w:tcW w:w="2970" w:type="dxa"/>
            <w:vAlign w:val="center"/>
            <w:hideMark/>
          </w:tcPr>
          <w:p w14:paraId="7D0EF773" w14:textId="77777777" w:rsidR="00E3500B" w:rsidRPr="003F67C1" w:rsidRDefault="00E3500B" w:rsidP="000B5D6A">
            <w:pPr>
              <w:jc w:val="left"/>
              <w:rPr>
                <w:ins w:id="3063" w:author="Celia Johnson" w:date="2022-09-06T13:44:00Z"/>
                <w:sz w:val="18"/>
                <w:szCs w:val="18"/>
              </w:rPr>
            </w:pPr>
            <w:ins w:id="3064" w:author="Celia Johnson" w:date="2022-09-06T13:44:00Z">
              <w:r w:rsidRPr="003F67C1">
                <w:rPr>
                  <w:sz w:val="18"/>
                  <w:szCs w:val="18"/>
                </w:rPr>
                <w:t>Participant surveys completed 2-6 months after the session</w:t>
              </w:r>
            </w:ins>
          </w:p>
        </w:tc>
        <w:tc>
          <w:tcPr>
            <w:tcW w:w="992" w:type="dxa"/>
            <w:vMerge/>
            <w:vAlign w:val="center"/>
            <w:hideMark/>
          </w:tcPr>
          <w:p w14:paraId="4237F5A2" w14:textId="77777777" w:rsidR="00E3500B" w:rsidRPr="003F67C1" w:rsidRDefault="00E3500B" w:rsidP="000B5D6A">
            <w:pPr>
              <w:jc w:val="center"/>
              <w:rPr>
                <w:ins w:id="3065" w:author="Celia Johnson" w:date="2022-09-06T13:44:00Z"/>
                <w:rFonts w:ascii="Times New Roman" w:hAnsi="Times New Roman"/>
              </w:rPr>
            </w:pPr>
          </w:p>
        </w:tc>
      </w:tr>
      <w:tr w:rsidR="00E3500B" w:rsidRPr="0085445F" w14:paraId="114DD6E3" w14:textId="77777777" w:rsidTr="000B5D6A">
        <w:trPr>
          <w:trHeight w:val="571"/>
          <w:ins w:id="3066" w:author="Celia Johnson" w:date="2022-09-06T13:44:00Z"/>
        </w:trPr>
        <w:tc>
          <w:tcPr>
            <w:tcW w:w="1620" w:type="dxa"/>
            <w:vMerge w:val="restart"/>
            <w:tcBorders>
              <w:left w:val="single" w:sz="4" w:space="0" w:color="auto"/>
            </w:tcBorders>
            <w:vAlign w:val="center"/>
            <w:hideMark/>
          </w:tcPr>
          <w:p w14:paraId="107134CA" w14:textId="77777777" w:rsidR="00E3500B" w:rsidRPr="006B5827" w:rsidRDefault="00E3500B" w:rsidP="000B5D6A">
            <w:pPr>
              <w:jc w:val="left"/>
              <w:rPr>
                <w:ins w:id="3067" w:author="Celia Johnson" w:date="2022-09-06T13:44:00Z"/>
                <w:sz w:val="18"/>
                <w:szCs w:val="18"/>
              </w:rPr>
            </w:pPr>
            <w:ins w:id="3068" w:author="Celia Johnson" w:date="2022-09-06T13:44:00Z">
              <w:r w:rsidRPr="006B5827">
                <w:rPr>
                  <w:sz w:val="18"/>
                  <w:szCs w:val="18"/>
                </w:rPr>
                <w:t>Phone and Email Technical Support</w:t>
              </w:r>
              <w:r>
                <w:br/>
              </w:r>
            </w:ins>
          </w:p>
        </w:tc>
        <w:tc>
          <w:tcPr>
            <w:tcW w:w="3330" w:type="dxa"/>
            <w:vAlign w:val="center"/>
            <w:hideMark/>
          </w:tcPr>
          <w:p w14:paraId="6202ECBE" w14:textId="77777777" w:rsidR="00E3500B" w:rsidRPr="006B5827" w:rsidRDefault="00E3500B" w:rsidP="000B5D6A">
            <w:pPr>
              <w:jc w:val="left"/>
              <w:rPr>
                <w:ins w:id="3069" w:author="Celia Johnson" w:date="2022-09-06T13:44:00Z"/>
                <w:sz w:val="18"/>
                <w:szCs w:val="18"/>
              </w:rPr>
            </w:pPr>
            <w:ins w:id="3070" w:author="Celia Johnson" w:date="2022-09-06T13:44:00Z">
              <w:r w:rsidRPr="006B5827">
                <w:rPr>
                  <w:sz w:val="18"/>
                  <w:szCs w:val="18"/>
                </w:rPr>
                <w:t>Experts are consistently available to answer questions regarding code updates, and these resources are advertised to relevant stakeholders</w:t>
              </w:r>
            </w:ins>
          </w:p>
        </w:tc>
        <w:tc>
          <w:tcPr>
            <w:tcW w:w="2970" w:type="dxa"/>
            <w:vAlign w:val="center"/>
            <w:hideMark/>
          </w:tcPr>
          <w:p w14:paraId="25411A2E" w14:textId="77777777" w:rsidR="00E3500B" w:rsidRPr="006B5827" w:rsidRDefault="00E3500B" w:rsidP="000B5D6A">
            <w:pPr>
              <w:jc w:val="left"/>
              <w:rPr>
                <w:ins w:id="3071" w:author="Celia Johnson" w:date="2022-09-06T13:44:00Z"/>
                <w:sz w:val="18"/>
                <w:szCs w:val="18"/>
              </w:rPr>
            </w:pPr>
            <w:ins w:id="3072" w:author="Celia Johnson" w:date="2022-09-06T13:44:00Z">
              <w:r w:rsidRPr="006B5827">
                <w:rPr>
                  <w:sz w:val="18"/>
                  <w:szCs w:val="18"/>
                </w:rPr>
                <w:t>Hours of availability for information resources, as well as marketing materials for/links to these resources</w:t>
              </w:r>
            </w:ins>
          </w:p>
        </w:tc>
        <w:tc>
          <w:tcPr>
            <w:tcW w:w="992" w:type="dxa"/>
            <w:vMerge w:val="restart"/>
            <w:vAlign w:val="center"/>
            <w:hideMark/>
          </w:tcPr>
          <w:p w14:paraId="4D96126E" w14:textId="77777777" w:rsidR="00E3500B" w:rsidRPr="00102D5A" w:rsidRDefault="00E3500B" w:rsidP="000B5D6A">
            <w:pPr>
              <w:jc w:val="center"/>
              <w:rPr>
                <w:ins w:id="3073" w:author="Celia Johnson" w:date="2022-09-06T13:44:00Z"/>
                <w:rFonts w:cstheme="minorHAnsi"/>
                <w:sz w:val="18"/>
                <w:szCs w:val="18"/>
              </w:rPr>
            </w:pPr>
            <w:ins w:id="3074" w:author="Celia Johnson" w:date="2022-09-06T13:44:00Z">
              <w:r w:rsidRPr="00102D5A">
                <w:rPr>
                  <w:rFonts w:cstheme="minorHAnsi"/>
                  <w:sz w:val="18"/>
                  <w:szCs w:val="18"/>
                </w:rPr>
                <w:t>Medium</w:t>
              </w:r>
            </w:ins>
          </w:p>
        </w:tc>
      </w:tr>
      <w:tr w:rsidR="00E3500B" w:rsidRPr="0085445F" w14:paraId="72286BB4" w14:textId="77777777" w:rsidTr="000B5D6A">
        <w:trPr>
          <w:trHeight w:val="428"/>
          <w:ins w:id="3075" w:author="Celia Johnson" w:date="2022-09-06T13:44:00Z"/>
        </w:trPr>
        <w:tc>
          <w:tcPr>
            <w:tcW w:w="1620" w:type="dxa"/>
            <w:vMerge/>
            <w:tcBorders>
              <w:left w:val="single" w:sz="4" w:space="0" w:color="auto"/>
            </w:tcBorders>
            <w:vAlign w:val="center"/>
            <w:hideMark/>
          </w:tcPr>
          <w:p w14:paraId="72397C88" w14:textId="77777777" w:rsidR="00E3500B" w:rsidRPr="003F67C1" w:rsidRDefault="00E3500B" w:rsidP="000B5D6A">
            <w:pPr>
              <w:jc w:val="left"/>
              <w:rPr>
                <w:ins w:id="3076" w:author="Celia Johnson" w:date="2022-09-06T13:44:00Z"/>
                <w:sz w:val="18"/>
                <w:szCs w:val="18"/>
              </w:rPr>
            </w:pPr>
          </w:p>
        </w:tc>
        <w:tc>
          <w:tcPr>
            <w:tcW w:w="3330" w:type="dxa"/>
            <w:vAlign w:val="center"/>
            <w:hideMark/>
          </w:tcPr>
          <w:p w14:paraId="226B64D8" w14:textId="77777777" w:rsidR="00E3500B" w:rsidRPr="003F67C1" w:rsidRDefault="00E3500B" w:rsidP="000B5D6A">
            <w:pPr>
              <w:jc w:val="left"/>
              <w:rPr>
                <w:ins w:id="3077" w:author="Celia Johnson" w:date="2022-09-06T13:44:00Z"/>
                <w:sz w:val="18"/>
                <w:szCs w:val="18"/>
              </w:rPr>
            </w:pPr>
            <w:ins w:id="3078" w:author="Celia Johnson" w:date="2022-09-06T13:44:00Z">
              <w:r w:rsidRPr="003F67C1">
                <w:rPr>
                  <w:sz w:val="18"/>
                  <w:szCs w:val="18"/>
                </w:rPr>
                <w:t>Information resources are utilized by relevant stakeholders and useful responses are given in a timely manner</w:t>
              </w:r>
            </w:ins>
          </w:p>
        </w:tc>
        <w:tc>
          <w:tcPr>
            <w:tcW w:w="2970" w:type="dxa"/>
            <w:vAlign w:val="center"/>
            <w:hideMark/>
          </w:tcPr>
          <w:p w14:paraId="0D087AA1" w14:textId="77777777" w:rsidR="00E3500B" w:rsidRPr="003F67C1" w:rsidRDefault="00E3500B" w:rsidP="000B5D6A">
            <w:pPr>
              <w:jc w:val="left"/>
              <w:rPr>
                <w:ins w:id="3079" w:author="Celia Johnson" w:date="2022-09-06T13:44:00Z"/>
                <w:sz w:val="18"/>
                <w:szCs w:val="18"/>
              </w:rPr>
            </w:pPr>
            <w:ins w:id="3080" w:author="Celia Johnson" w:date="2022-09-06T13:44:00Z">
              <w:r w:rsidRPr="003F67C1">
                <w:rPr>
                  <w:sz w:val="18"/>
                  <w:szCs w:val="18"/>
                </w:rPr>
                <w:t>Call and email records to/from information hotlines</w:t>
              </w:r>
            </w:ins>
          </w:p>
        </w:tc>
        <w:tc>
          <w:tcPr>
            <w:tcW w:w="992" w:type="dxa"/>
            <w:vMerge/>
            <w:vAlign w:val="center"/>
            <w:hideMark/>
          </w:tcPr>
          <w:p w14:paraId="195522E5" w14:textId="77777777" w:rsidR="00E3500B" w:rsidRPr="003F67C1" w:rsidRDefault="00E3500B" w:rsidP="000B5D6A">
            <w:pPr>
              <w:jc w:val="center"/>
              <w:rPr>
                <w:ins w:id="3081" w:author="Celia Johnson" w:date="2022-09-06T13:44:00Z"/>
                <w:sz w:val="18"/>
                <w:szCs w:val="18"/>
              </w:rPr>
            </w:pPr>
          </w:p>
        </w:tc>
      </w:tr>
      <w:tr w:rsidR="00E3500B" w:rsidRPr="0085445F" w14:paraId="39A0D1D2" w14:textId="77777777" w:rsidTr="000B5D6A">
        <w:trPr>
          <w:trHeight w:val="521"/>
          <w:ins w:id="3082" w:author="Celia Johnson" w:date="2022-09-06T13:44:00Z"/>
        </w:trPr>
        <w:tc>
          <w:tcPr>
            <w:tcW w:w="1620" w:type="dxa"/>
            <w:vMerge w:val="restart"/>
            <w:tcBorders>
              <w:left w:val="single" w:sz="4" w:space="0" w:color="auto"/>
            </w:tcBorders>
            <w:vAlign w:val="center"/>
          </w:tcPr>
          <w:p w14:paraId="13B8C14B" w14:textId="77777777" w:rsidR="00E3500B" w:rsidRPr="006B5827" w:rsidRDefault="00E3500B" w:rsidP="000B5D6A">
            <w:pPr>
              <w:jc w:val="left"/>
              <w:rPr>
                <w:ins w:id="3083" w:author="Celia Johnson" w:date="2022-09-06T13:44:00Z"/>
                <w:sz w:val="18"/>
                <w:szCs w:val="18"/>
              </w:rPr>
            </w:pPr>
            <w:ins w:id="3084" w:author="Celia Johnson" w:date="2022-09-06T13:44:00Z">
              <w:r w:rsidRPr="006B5827">
                <w:rPr>
                  <w:sz w:val="18"/>
                  <w:szCs w:val="18"/>
                </w:rPr>
                <w:t>Supporting a circuit rider or third-party specialist.</w:t>
              </w:r>
            </w:ins>
          </w:p>
          <w:p w14:paraId="31DC191D" w14:textId="77777777" w:rsidR="00E3500B" w:rsidRPr="006B5827" w:rsidRDefault="00E3500B" w:rsidP="000B5D6A">
            <w:pPr>
              <w:jc w:val="left"/>
              <w:rPr>
                <w:ins w:id="3085" w:author="Celia Johnson" w:date="2022-09-06T13:44:00Z"/>
                <w:sz w:val="18"/>
                <w:szCs w:val="18"/>
              </w:rPr>
            </w:pPr>
          </w:p>
        </w:tc>
        <w:tc>
          <w:tcPr>
            <w:tcW w:w="3330" w:type="dxa"/>
            <w:vAlign w:val="center"/>
          </w:tcPr>
          <w:p w14:paraId="63BC3038" w14:textId="77777777" w:rsidR="00E3500B" w:rsidRPr="006B5827" w:rsidRDefault="00E3500B" w:rsidP="000B5D6A">
            <w:pPr>
              <w:jc w:val="left"/>
              <w:rPr>
                <w:ins w:id="3086" w:author="Celia Johnson" w:date="2022-09-06T13:44:00Z"/>
                <w:sz w:val="18"/>
                <w:szCs w:val="18"/>
              </w:rPr>
            </w:pPr>
            <w:ins w:id="3087" w:author="Celia Johnson" w:date="2022-09-06T13:44:00Z">
              <w:r w:rsidRPr="006B5827">
                <w:rPr>
                  <w:sz w:val="18"/>
                  <w:szCs w:val="18"/>
                </w:rPr>
                <w:t>Credentials and effectiveness of circuit riders or specialists.</w:t>
              </w:r>
            </w:ins>
          </w:p>
        </w:tc>
        <w:tc>
          <w:tcPr>
            <w:tcW w:w="2970" w:type="dxa"/>
            <w:vAlign w:val="center"/>
          </w:tcPr>
          <w:p w14:paraId="4592C782" w14:textId="77777777" w:rsidR="00E3500B" w:rsidRPr="006B5827" w:rsidRDefault="00E3500B" w:rsidP="000B5D6A">
            <w:pPr>
              <w:jc w:val="left"/>
              <w:rPr>
                <w:ins w:id="3088" w:author="Celia Johnson" w:date="2022-09-06T13:44:00Z"/>
                <w:sz w:val="18"/>
                <w:szCs w:val="18"/>
              </w:rPr>
            </w:pPr>
            <w:ins w:id="3089" w:author="Celia Johnson" w:date="2022-09-06T13:44:00Z">
              <w:r w:rsidRPr="006B5827">
                <w:rPr>
                  <w:sz w:val="18"/>
                  <w:szCs w:val="18"/>
                </w:rPr>
                <w:t>Resume, CV and experience notes, as well as satisfaction surveys</w:t>
              </w:r>
            </w:ins>
          </w:p>
        </w:tc>
        <w:tc>
          <w:tcPr>
            <w:tcW w:w="992" w:type="dxa"/>
            <w:vMerge w:val="restart"/>
            <w:vAlign w:val="center"/>
          </w:tcPr>
          <w:p w14:paraId="2AFCA709" w14:textId="77777777" w:rsidR="00E3500B" w:rsidRPr="003F67C1" w:rsidRDefault="00E3500B" w:rsidP="000B5D6A">
            <w:pPr>
              <w:jc w:val="center"/>
              <w:rPr>
                <w:ins w:id="3090" w:author="Celia Johnson" w:date="2022-09-06T13:44:00Z"/>
                <w:sz w:val="18"/>
                <w:szCs w:val="18"/>
              </w:rPr>
            </w:pPr>
            <w:ins w:id="3091" w:author="Celia Johnson" w:date="2022-09-06T13:44:00Z">
              <w:r>
                <w:rPr>
                  <w:sz w:val="18"/>
                  <w:szCs w:val="18"/>
                </w:rPr>
                <w:t>High</w:t>
              </w:r>
            </w:ins>
          </w:p>
        </w:tc>
      </w:tr>
      <w:tr w:rsidR="00E3500B" w:rsidRPr="0085445F" w14:paraId="0BEB4846" w14:textId="77777777" w:rsidTr="000B5D6A">
        <w:trPr>
          <w:trHeight w:val="521"/>
          <w:ins w:id="3092" w:author="Celia Johnson" w:date="2022-09-06T13:44:00Z"/>
        </w:trPr>
        <w:tc>
          <w:tcPr>
            <w:tcW w:w="1620" w:type="dxa"/>
            <w:vMerge/>
            <w:tcBorders>
              <w:left w:val="single" w:sz="4" w:space="0" w:color="auto"/>
            </w:tcBorders>
            <w:vAlign w:val="center"/>
          </w:tcPr>
          <w:p w14:paraId="699E3F0D" w14:textId="77777777" w:rsidR="00E3500B" w:rsidRPr="003F67C1" w:rsidRDefault="00E3500B" w:rsidP="000B5D6A">
            <w:pPr>
              <w:jc w:val="left"/>
              <w:rPr>
                <w:ins w:id="3093" w:author="Celia Johnson" w:date="2022-09-06T13:44:00Z"/>
                <w:sz w:val="18"/>
                <w:szCs w:val="18"/>
              </w:rPr>
            </w:pPr>
          </w:p>
        </w:tc>
        <w:tc>
          <w:tcPr>
            <w:tcW w:w="3330" w:type="dxa"/>
            <w:vAlign w:val="center"/>
          </w:tcPr>
          <w:p w14:paraId="76E5C6C9" w14:textId="77777777" w:rsidR="00E3500B" w:rsidRPr="003F67C1" w:rsidRDefault="00E3500B" w:rsidP="000B5D6A">
            <w:pPr>
              <w:jc w:val="left"/>
              <w:rPr>
                <w:ins w:id="3094" w:author="Celia Johnson" w:date="2022-09-06T13:44:00Z"/>
                <w:sz w:val="18"/>
                <w:szCs w:val="18"/>
              </w:rPr>
            </w:pPr>
            <w:ins w:id="3095" w:author="Celia Johnson" w:date="2022-09-06T13:44:00Z">
              <w:r w:rsidRPr="003F67C1">
                <w:rPr>
                  <w:sz w:val="18"/>
                  <w:szCs w:val="18"/>
                </w:rPr>
                <w:t>Full time equivalence (FTE) of circuit riders or specialists</w:t>
              </w:r>
            </w:ins>
          </w:p>
        </w:tc>
        <w:tc>
          <w:tcPr>
            <w:tcW w:w="2970" w:type="dxa"/>
            <w:vAlign w:val="center"/>
          </w:tcPr>
          <w:p w14:paraId="680810E4" w14:textId="77777777" w:rsidR="00E3500B" w:rsidRPr="003F67C1" w:rsidRDefault="00E3500B" w:rsidP="000B5D6A">
            <w:pPr>
              <w:jc w:val="left"/>
              <w:rPr>
                <w:ins w:id="3096" w:author="Celia Johnson" w:date="2022-09-06T13:44:00Z"/>
                <w:sz w:val="18"/>
                <w:szCs w:val="18"/>
              </w:rPr>
            </w:pPr>
            <w:ins w:id="3097" w:author="Celia Johnson" w:date="2022-09-06T13:44:00Z">
              <w:r w:rsidRPr="003F67C1">
                <w:rPr>
                  <w:sz w:val="18"/>
                  <w:szCs w:val="18"/>
                </w:rPr>
                <w:t>Employment records and schedule information</w:t>
              </w:r>
            </w:ins>
          </w:p>
        </w:tc>
        <w:tc>
          <w:tcPr>
            <w:tcW w:w="992" w:type="dxa"/>
            <w:vMerge/>
            <w:vAlign w:val="center"/>
          </w:tcPr>
          <w:p w14:paraId="187CEF0B" w14:textId="77777777" w:rsidR="00E3500B" w:rsidRPr="003F67C1" w:rsidRDefault="00E3500B" w:rsidP="000B5D6A">
            <w:pPr>
              <w:jc w:val="center"/>
              <w:rPr>
                <w:ins w:id="3098" w:author="Celia Johnson" w:date="2022-09-06T13:44:00Z"/>
                <w:sz w:val="18"/>
                <w:szCs w:val="18"/>
              </w:rPr>
            </w:pPr>
          </w:p>
        </w:tc>
      </w:tr>
      <w:tr w:rsidR="00E3500B" w:rsidRPr="0085445F" w14:paraId="7A2DF34F" w14:textId="77777777" w:rsidTr="000B5D6A">
        <w:trPr>
          <w:trHeight w:val="521"/>
          <w:ins w:id="3099" w:author="Celia Johnson" w:date="2022-09-06T13:44:00Z"/>
        </w:trPr>
        <w:tc>
          <w:tcPr>
            <w:tcW w:w="1620" w:type="dxa"/>
            <w:tcBorders>
              <w:left w:val="single" w:sz="4" w:space="0" w:color="auto"/>
            </w:tcBorders>
            <w:vAlign w:val="center"/>
            <w:hideMark/>
          </w:tcPr>
          <w:p w14:paraId="5C405FA6" w14:textId="77777777" w:rsidR="00E3500B" w:rsidRPr="006B5827" w:rsidRDefault="00E3500B" w:rsidP="000B5D6A">
            <w:pPr>
              <w:jc w:val="left"/>
              <w:rPr>
                <w:ins w:id="3100" w:author="Celia Johnson" w:date="2022-09-06T13:44:00Z"/>
                <w:sz w:val="18"/>
                <w:szCs w:val="18"/>
              </w:rPr>
            </w:pPr>
            <w:ins w:id="3101" w:author="Celia Johnson" w:date="2022-09-06T13:44:00Z">
              <w:r w:rsidRPr="006B5827">
                <w:rPr>
                  <w:sz w:val="18"/>
                  <w:szCs w:val="18"/>
                </w:rPr>
                <w:t>Resource Development: Checklists, Field Guides, FAQs, etc.</w:t>
              </w:r>
              <w:r>
                <w:br/>
              </w:r>
            </w:ins>
          </w:p>
        </w:tc>
        <w:tc>
          <w:tcPr>
            <w:tcW w:w="3330" w:type="dxa"/>
            <w:vAlign w:val="center"/>
            <w:hideMark/>
          </w:tcPr>
          <w:p w14:paraId="2CA24251" w14:textId="77777777" w:rsidR="00E3500B" w:rsidRPr="006B5827" w:rsidRDefault="00E3500B" w:rsidP="000B5D6A">
            <w:pPr>
              <w:jc w:val="left"/>
              <w:rPr>
                <w:ins w:id="3102" w:author="Celia Johnson" w:date="2022-09-06T13:44:00Z"/>
                <w:sz w:val="18"/>
                <w:szCs w:val="18"/>
              </w:rPr>
            </w:pPr>
            <w:ins w:id="3103" w:author="Celia Johnson" w:date="2022-09-06T13:44:00Z">
              <w:r w:rsidRPr="006B5827">
                <w:rPr>
                  <w:sz w:val="18"/>
                  <w:szCs w:val="18"/>
                </w:rPr>
                <w:t>Useful resources are developed and distributed by the utility or a third party</w:t>
              </w:r>
            </w:ins>
          </w:p>
        </w:tc>
        <w:tc>
          <w:tcPr>
            <w:tcW w:w="2970" w:type="dxa"/>
            <w:vAlign w:val="center"/>
            <w:hideMark/>
          </w:tcPr>
          <w:p w14:paraId="67D6DD30" w14:textId="77777777" w:rsidR="00E3500B" w:rsidRPr="006B5827" w:rsidRDefault="00E3500B" w:rsidP="000B5D6A">
            <w:pPr>
              <w:jc w:val="left"/>
              <w:rPr>
                <w:ins w:id="3104" w:author="Celia Johnson" w:date="2022-09-06T13:44:00Z"/>
                <w:sz w:val="18"/>
                <w:szCs w:val="18"/>
              </w:rPr>
            </w:pPr>
            <w:ins w:id="3105" w:author="Celia Johnson" w:date="2022-09-06T13:44:00Z">
              <w:r w:rsidRPr="006B5827">
                <w:rPr>
                  <w:sz w:val="18"/>
                  <w:szCs w:val="18"/>
                </w:rPr>
                <w:t>Example materials and distribution pathways</w:t>
              </w:r>
            </w:ins>
          </w:p>
        </w:tc>
        <w:tc>
          <w:tcPr>
            <w:tcW w:w="992" w:type="dxa"/>
            <w:vAlign w:val="center"/>
            <w:hideMark/>
          </w:tcPr>
          <w:p w14:paraId="38F06A62" w14:textId="77777777" w:rsidR="00E3500B" w:rsidRPr="006B5827" w:rsidRDefault="00E3500B" w:rsidP="000B5D6A">
            <w:pPr>
              <w:jc w:val="center"/>
              <w:rPr>
                <w:ins w:id="3106" w:author="Celia Johnson" w:date="2022-09-06T13:44:00Z"/>
                <w:sz w:val="18"/>
                <w:szCs w:val="18"/>
              </w:rPr>
            </w:pPr>
            <w:ins w:id="3107" w:author="Celia Johnson" w:date="2022-09-06T13:44:00Z">
              <w:r>
                <w:rPr>
                  <w:sz w:val="18"/>
                  <w:szCs w:val="18"/>
                </w:rPr>
                <w:t>High</w:t>
              </w:r>
            </w:ins>
          </w:p>
        </w:tc>
      </w:tr>
      <w:tr w:rsidR="00E3500B" w:rsidRPr="0085445F" w14:paraId="319160BF" w14:textId="77777777" w:rsidTr="000B5D6A">
        <w:trPr>
          <w:trHeight w:val="953"/>
          <w:ins w:id="3108" w:author="Celia Johnson" w:date="2022-09-06T13:44:00Z"/>
        </w:trPr>
        <w:tc>
          <w:tcPr>
            <w:tcW w:w="1620" w:type="dxa"/>
            <w:tcBorders>
              <w:left w:val="single" w:sz="4" w:space="0" w:color="auto"/>
            </w:tcBorders>
            <w:vAlign w:val="center"/>
            <w:hideMark/>
          </w:tcPr>
          <w:p w14:paraId="4FDC295D" w14:textId="77777777" w:rsidR="00E3500B" w:rsidRPr="006B5827" w:rsidRDefault="00E3500B" w:rsidP="000B5D6A">
            <w:pPr>
              <w:jc w:val="left"/>
              <w:rPr>
                <w:ins w:id="3109" w:author="Celia Johnson" w:date="2022-09-06T13:44:00Z"/>
                <w:sz w:val="18"/>
                <w:szCs w:val="18"/>
              </w:rPr>
            </w:pPr>
            <w:ins w:id="3110" w:author="Celia Johnson" w:date="2022-09-06T13:44:00Z">
              <w:r w:rsidRPr="006B5827">
                <w:rPr>
                  <w:sz w:val="18"/>
                  <w:szCs w:val="18"/>
                </w:rPr>
                <w:t>Stakeholder Engagement</w:t>
              </w:r>
              <w:r>
                <w:br/>
              </w:r>
            </w:ins>
          </w:p>
        </w:tc>
        <w:tc>
          <w:tcPr>
            <w:tcW w:w="3330" w:type="dxa"/>
            <w:vAlign w:val="center"/>
            <w:hideMark/>
          </w:tcPr>
          <w:p w14:paraId="4C2BC4CD" w14:textId="77777777" w:rsidR="00E3500B" w:rsidRPr="006B5827" w:rsidRDefault="00E3500B" w:rsidP="000B5D6A">
            <w:pPr>
              <w:jc w:val="left"/>
              <w:rPr>
                <w:ins w:id="3111" w:author="Celia Johnson" w:date="2022-09-06T13:44:00Z"/>
                <w:sz w:val="18"/>
                <w:szCs w:val="18"/>
              </w:rPr>
            </w:pPr>
            <w:ins w:id="3112" w:author="Celia Johnson" w:date="2022-09-06T13:44:00Z">
              <w:r w:rsidRPr="006B5827">
                <w:rPr>
                  <w:sz w:val="18"/>
                  <w:szCs w:val="18"/>
                </w:rPr>
                <w:t>Utility participates in industry groups, maintains contact with building departments to make sure information and resources are up to date</w:t>
              </w:r>
            </w:ins>
          </w:p>
        </w:tc>
        <w:tc>
          <w:tcPr>
            <w:tcW w:w="2970" w:type="dxa"/>
            <w:vAlign w:val="center"/>
            <w:hideMark/>
          </w:tcPr>
          <w:p w14:paraId="4629DB84" w14:textId="77777777" w:rsidR="00E3500B" w:rsidRPr="006B5827" w:rsidRDefault="00E3500B" w:rsidP="000B5D6A">
            <w:pPr>
              <w:rPr>
                <w:ins w:id="3113" w:author="Celia Johnson" w:date="2022-09-06T13:44:00Z"/>
                <w:sz w:val="18"/>
                <w:szCs w:val="18"/>
              </w:rPr>
            </w:pPr>
            <w:ins w:id="3114" w:author="Celia Johnson" w:date="2022-09-06T13:44:00Z">
              <w:r w:rsidRPr="006B5827">
                <w:rPr>
                  <w:sz w:val="18"/>
                  <w:szCs w:val="18"/>
                </w:rPr>
                <w:t>Meeting minutes, emails, etc.</w:t>
              </w:r>
            </w:ins>
          </w:p>
        </w:tc>
        <w:tc>
          <w:tcPr>
            <w:tcW w:w="992" w:type="dxa"/>
            <w:vAlign w:val="center"/>
            <w:hideMark/>
          </w:tcPr>
          <w:p w14:paraId="4ED73822" w14:textId="77777777" w:rsidR="00E3500B" w:rsidRPr="003F67C1" w:rsidRDefault="00E3500B" w:rsidP="000B5D6A">
            <w:pPr>
              <w:jc w:val="center"/>
              <w:rPr>
                <w:ins w:id="3115" w:author="Celia Johnson" w:date="2022-09-06T13:44:00Z"/>
                <w:sz w:val="18"/>
                <w:szCs w:val="18"/>
              </w:rPr>
            </w:pPr>
            <w:ins w:id="3116" w:author="Celia Johnson" w:date="2022-09-06T13:44:00Z">
              <w:r>
                <w:rPr>
                  <w:sz w:val="18"/>
                  <w:szCs w:val="18"/>
                </w:rPr>
                <w:t>Medium</w:t>
              </w:r>
            </w:ins>
          </w:p>
        </w:tc>
      </w:tr>
      <w:tr w:rsidR="00E3500B" w:rsidRPr="0085445F" w14:paraId="71E72B13" w14:textId="77777777" w:rsidTr="000B5D6A">
        <w:trPr>
          <w:trHeight w:val="571"/>
          <w:ins w:id="3117" w:author="Celia Johnson" w:date="2022-09-06T13:44:00Z"/>
        </w:trPr>
        <w:tc>
          <w:tcPr>
            <w:tcW w:w="1620" w:type="dxa"/>
            <w:tcBorders>
              <w:left w:val="single" w:sz="4" w:space="0" w:color="auto"/>
            </w:tcBorders>
            <w:vAlign w:val="center"/>
          </w:tcPr>
          <w:p w14:paraId="3139448C" w14:textId="77777777" w:rsidR="00E3500B" w:rsidRPr="006B5827" w:rsidRDefault="00E3500B" w:rsidP="000B5D6A">
            <w:pPr>
              <w:jc w:val="left"/>
              <w:rPr>
                <w:ins w:id="3118" w:author="Celia Johnson" w:date="2022-09-06T13:44:00Z"/>
                <w:sz w:val="18"/>
                <w:szCs w:val="18"/>
              </w:rPr>
            </w:pPr>
            <w:ins w:id="3119" w:author="Celia Johnson" w:date="2022-09-06T13:44:00Z">
              <w:r w:rsidRPr="0052787B">
                <w:rPr>
                  <w:sz w:val="18"/>
                  <w:szCs w:val="18"/>
                </w:rPr>
                <w:t>Offering incentives for construction to the stretch code standard</w:t>
              </w:r>
            </w:ins>
          </w:p>
        </w:tc>
        <w:tc>
          <w:tcPr>
            <w:tcW w:w="3330" w:type="dxa"/>
            <w:vAlign w:val="center"/>
          </w:tcPr>
          <w:p w14:paraId="7D077B6F" w14:textId="77777777" w:rsidR="00E3500B" w:rsidRPr="003F67C1" w:rsidRDefault="00E3500B" w:rsidP="000B5D6A">
            <w:pPr>
              <w:jc w:val="left"/>
              <w:rPr>
                <w:ins w:id="3120" w:author="Celia Johnson" w:date="2022-09-06T13:44:00Z"/>
                <w:sz w:val="18"/>
                <w:szCs w:val="18"/>
              </w:rPr>
            </w:pPr>
            <w:ins w:id="3121" w:author="Celia Johnson" w:date="2022-09-06T13:44:00Z">
              <w:r>
                <w:rPr>
                  <w:sz w:val="18"/>
                  <w:szCs w:val="18"/>
                </w:rPr>
                <w:t xml:space="preserve">Utility includes a specific programmatic option that provides financial incentives for projects or specific measures that meet or exceed the stretch energy code minimum requirements  </w:t>
              </w:r>
            </w:ins>
          </w:p>
        </w:tc>
        <w:tc>
          <w:tcPr>
            <w:tcW w:w="2970" w:type="dxa"/>
            <w:vAlign w:val="center"/>
          </w:tcPr>
          <w:p w14:paraId="23174398" w14:textId="77777777" w:rsidR="00E3500B" w:rsidRPr="003F67C1" w:rsidRDefault="00E3500B" w:rsidP="000B5D6A">
            <w:pPr>
              <w:rPr>
                <w:ins w:id="3122" w:author="Celia Johnson" w:date="2022-09-06T13:44:00Z"/>
                <w:sz w:val="18"/>
                <w:szCs w:val="18"/>
              </w:rPr>
            </w:pPr>
            <w:ins w:id="3123" w:author="Celia Johnson" w:date="2022-09-06T13:44:00Z">
              <w:r>
                <w:rPr>
                  <w:sz w:val="18"/>
                  <w:szCs w:val="18"/>
                </w:rPr>
                <w:t xml:space="preserve">Plan submitted and program component in place to provide incentives </w:t>
              </w:r>
            </w:ins>
          </w:p>
        </w:tc>
        <w:tc>
          <w:tcPr>
            <w:tcW w:w="992" w:type="dxa"/>
            <w:vAlign w:val="center"/>
          </w:tcPr>
          <w:p w14:paraId="4E88D1D8" w14:textId="77777777" w:rsidR="00E3500B" w:rsidRDefault="00E3500B" w:rsidP="000B5D6A">
            <w:pPr>
              <w:jc w:val="center"/>
              <w:rPr>
                <w:ins w:id="3124" w:author="Celia Johnson" w:date="2022-09-06T13:44:00Z"/>
                <w:sz w:val="18"/>
                <w:szCs w:val="18"/>
              </w:rPr>
            </w:pPr>
            <w:ins w:id="3125" w:author="Celia Johnson" w:date="2022-09-06T13:44:00Z">
              <w:r>
                <w:rPr>
                  <w:sz w:val="18"/>
                  <w:szCs w:val="18"/>
                </w:rPr>
                <w:t>High</w:t>
              </w:r>
            </w:ins>
          </w:p>
        </w:tc>
      </w:tr>
      <w:tr w:rsidR="00E3500B" w:rsidRPr="0085445F" w14:paraId="4485B2E2" w14:textId="77777777" w:rsidTr="000B5D6A">
        <w:trPr>
          <w:trHeight w:val="63"/>
          <w:ins w:id="3126" w:author="Celia Johnson" w:date="2022-09-06T13:44:00Z"/>
        </w:trPr>
        <w:tc>
          <w:tcPr>
            <w:tcW w:w="1620" w:type="dxa"/>
            <w:tcBorders>
              <w:left w:val="single" w:sz="4" w:space="0" w:color="auto"/>
            </w:tcBorders>
            <w:vAlign w:val="center"/>
          </w:tcPr>
          <w:p w14:paraId="4C6C6F6A" w14:textId="77777777" w:rsidR="00E3500B" w:rsidRPr="003F67C1" w:rsidRDefault="00E3500B" w:rsidP="000B5D6A">
            <w:pPr>
              <w:rPr>
                <w:ins w:id="3127" w:author="Celia Johnson" w:date="2022-09-06T13:44:00Z"/>
                <w:sz w:val="18"/>
                <w:szCs w:val="18"/>
              </w:rPr>
            </w:pPr>
            <w:ins w:id="3128" w:author="Celia Johnson" w:date="2022-09-06T13:44:00Z">
              <w:r w:rsidRPr="006B5827">
                <w:rPr>
                  <w:sz w:val="18"/>
                  <w:szCs w:val="18"/>
                </w:rPr>
                <w:t>Undefined or miscellaneous</w:t>
              </w:r>
            </w:ins>
          </w:p>
        </w:tc>
        <w:tc>
          <w:tcPr>
            <w:tcW w:w="3330" w:type="dxa"/>
            <w:vAlign w:val="center"/>
          </w:tcPr>
          <w:p w14:paraId="76FB048E" w14:textId="77777777" w:rsidR="00E3500B" w:rsidRPr="003F67C1" w:rsidRDefault="00E3500B" w:rsidP="000B5D6A">
            <w:pPr>
              <w:jc w:val="left"/>
              <w:rPr>
                <w:ins w:id="3129" w:author="Celia Johnson" w:date="2022-09-06T13:44:00Z"/>
                <w:sz w:val="18"/>
                <w:szCs w:val="18"/>
              </w:rPr>
            </w:pPr>
            <w:ins w:id="3130" w:author="Celia Johnson" w:date="2022-09-06T13:44:00Z">
              <w:r w:rsidRPr="003F67C1">
                <w:rPr>
                  <w:sz w:val="18"/>
                  <w:szCs w:val="18"/>
                </w:rPr>
                <w:t>Meaningful influence on code compliance outside of the categories of influence listed above</w:t>
              </w:r>
            </w:ins>
          </w:p>
        </w:tc>
        <w:tc>
          <w:tcPr>
            <w:tcW w:w="2970" w:type="dxa"/>
            <w:vAlign w:val="center"/>
          </w:tcPr>
          <w:p w14:paraId="16EAADA1" w14:textId="77777777" w:rsidR="00E3500B" w:rsidRPr="003F67C1" w:rsidRDefault="00E3500B" w:rsidP="000B5D6A">
            <w:pPr>
              <w:rPr>
                <w:ins w:id="3131" w:author="Celia Johnson" w:date="2022-09-06T13:44:00Z"/>
                <w:sz w:val="18"/>
                <w:szCs w:val="18"/>
              </w:rPr>
            </w:pPr>
            <w:ins w:id="3132" w:author="Celia Johnson" w:date="2022-09-06T13:44:00Z">
              <w:r w:rsidRPr="003F67C1">
                <w:rPr>
                  <w:sz w:val="18"/>
                  <w:szCs w:val="18"/>
                </w:rPr>
                <w:t>To be determined. Depends on nature and content of influence</w:t>
              </w:r>
            </w:ins>
          </w:p>
        </w:tc>
        <w:tc>
          <w:tcPr>
            <w:tcW w:w="992" w:type="dxa"/>
            <w:vAlign w:val="center"/>
          </w:tcPr>
          <w:p w14:paraId="4413BEA6" w14:textId="77777777" w:rsidR="00E3500B" w:rsidRPr="003F67C1" w:rsidRDefault="00E3500B" w:rsidP="000B5D6A">
            <w:pPr>
              <w:jc w:val="center"/>
              <w:rPr>
                <w:ins w:id="3133" w:author="Celia Johnson" w:date="2022-09-06T13:44:00Z"/>
                <w:sz w:val="18"/>
                <w:szCs w:val="18"/>
              </w:rPr>
            </w:pPr>
            <w:ins w:id="3134" w:author="Celia Johnson" w:date="2022-09-06T13:44:00Z">
              <w:r>
                <w:rPr>
                  <w:sz w:val="18"/>
                  <w:szCs w:val="18"/>
                </w:rPr>
                <w:t>TBD</w:t>
              </w:r>
            </w:ins>
          </w:p>
        </w:tc>
      </w:tr>
    </w:tbl>
    <w:p w14:paraId="582C5401" w14:textId="77777777" w:rsidR="00E3500B" w:rsidRDefault="00E3500B" w:rsidP="00E3500B">
      <w:pPr>
        <w:rPr>
          <w:ins w:id="3135" w:author="Celia Johnson" w:date="2022-09-06T13:52:00Z"/>
          <w:rFonts w:eastAsiaTheme="minorHAnsi"/>
        </w:rPr>
      </w:pPr>
    </w:p>
    <w:p w14:paraId="379F8447" w14:textId="77777777" w:rsidR="00E3500B" w:rsidRPr="00DD3F30" w:rsidRDefault="00E3500B" w:rsidP="00E3500B">
      <w:pPr>
        <w:pStyle w:val="Heading2"/>
        <w:widowControl/>
        <w:numPr>
          <w:ilvl w:val="1"/>
          <w:numId w:val="82"/>
        </w:numPr>
        <w:jc w:val="left"/>
        <w:rPr>
          <w:ins w:id="3136" w:author="Celia Johnson" w:date="2022-09-06T13:44:00Z"/>
          <w:sz w:val="28"/>
          <w:szCs w:val="28"/>
        </w:rPr>
      </w:pPr>
      <w:bookmarkStart w:id="3137" w:name="_Toc113365583"/>
      <w:bookmarkStart w:id="3138" w:name="_Toc113619903"/>
      <w:ins w:id="3139" w:author="Celia Johnson" w:date="2022-09-06T13:52:00Z">
        <w:r>
          <w:rPr>
            <w:sz w:val="28"/>
            <w:szCs w:val="28"/>
          </w:rPr>
          <w:t>Next Steps</w:t>
        </w:r>
      </w:ins>
      <w:bookmarkEnd w:id="3137"/>
      <w:bookmarkEnd w:id="3138"/>
    </w:p>
    <w:p w14:paraId="7DA2706E" w14:textId="77777777" w:rsidR="00E3500B" w:rsidRDefault="00E3500B">
      <w:pPr>
        <w:pStyle w:val="ListParagraph"/>
        <w:widowControl/>
        <w:numPr>
          <w:ilvl w:val="0"/>
          <w:numId w:val="122"/>
        </w:numPr>
        <w:rPr>
          <w:ins w:id="3140" w:author="Celia Johnson" w:date="2022-09-06T13:44:00Z"/>
          <w:rFonts w:eastAsiaTheme="minorHAnsi"/>
        </w:rPr>
      </w:pPr>
      <w:ins w:id="3141" w:author="Celia Johnson" w:date="2022-09-06T13:44:00Z">
        <w:r>
          <w:rPr>
            <w:rFonts w:eastAsiaTheme="minorHAnsi"/>
          </w:rPr>
          <w:t>Finalization of Logic Model</w:t>
        </w:r>
      </w:ins>
    </w:p>
    <w:p w14:paraId="5BC02797" w14:textId="77777777" w:rsidR="00E3500B" w:rsidRDefault="00E3500B">
      <w:pPr>
        <w:pStyle w:val="ListParagraph"/>
        <w:widowControl/>
        <w:numPr>
          <w:ilvl w:val="0"/>
          <w:numId w:val="122"/>
        </w:numPr>
        <w:rPr>
          <w:ins w:id="3142" w:author="Celia Johnson" w:date="2022-09-06T13:44:00Z"/>
          <w:rFonts w:eastAsiaTheme="minorHAnsi"/>
        </w:rPr>
      </w:pPr>
      <w:ins w:id="3143" w:author="Celia Johnson" w:date="2022-09-06T13:44:00Z">
        <w:r>
          <w:rPr>
            <w:rFonts w:eastAsiaTheme="minorHAnsi"/>
          </w:rPr>
          <w:t xml:space="preserve">Finalization of market progress indicators </w:t>
        </w:r>
      </w:ins>
    </w:p>
    <w:p w14:paraId="75BBC0F7" w14:textId="77777777" w:rsidR="00E3500B" w:rsidRDefault="00E3500B">
      <w:pPr>
        <w:pStyle w:val="ListParagraph"/>
        <w:widowControl/>
        <w:numPr>
          <w:ilvl w:val="0"/>
          <w:numId w:val="122"/>
        </w:numPr>
        <w:rPr>
          <w:ins w:id="3144" w:author="Celia Johnson" w:date="2022-09-06T13:44:00Z"/>
          <w:rFonts w:eastAsiaTheme="minorHAnsi"/>
        </w:rPr>
      </w:pPr>
      <w:ins w:id="3145" w:author="Celia Johnson" w:date="2022-09-06T13:44:00Z">
        <w:r>
          <w:rPr>
            <w:rFonts w:eastAsiaTheme="minorHAnsi"/>
          </w:rPr>
          <w:t>Development of Natural Market Baseline for stretch code advancement</w:t>
        </w:r>
      </w:ins>
    </w:p>
    <w:p w14:paraId="3EE6C043" w14:textId="77777777" w:rsidR="00E3500B" w:rsidRDefault="00E3500B">
      <w:pPr>
        <w:pStyle w:val="ListParagraph"/>
        <w:widowControl/>
        <w:numPr>
          <w:ilvl w:val="0"/>
          <w:numId w:val="122"/>
        </w:numPr>
        <w:rPr>
          <w:ins w:id="3146" w:author="Celia Johnson" w:date="2022-09-06T13:44:00Z"/>
          <w:rFonts w:eastAsiaTheme="minorHAnsi"/>
        </w:rPr>
      </w:pPr>
      <w:ins w:id="3147" w:author="Celia Johnson" w:date="2022-09-06T13:44:00Z">
        <w:r>
          <w:rPr>
            <w:rFonts w:eastAsiaTheme="minorHAnsi"/>
          </w:rPr>
          <w:t>Development of Natural Market Baseline for stretch code compliance</w:t>
        </w:r>
      </w:ins>
    </w:p>
    <w:p w14:paraId="672C6E40" w14:textId="0C115C45" w:rsidR="00E3500B" w:rsidRDefault="00E3500B" w:rsidP="0030676F">
      <w:pPr>
        <w:rPr>
          <w:rFonts w:cstheme="minorHAnsi"/>
        </w:rPr>
        <w:sectPr w:rsidR="00E3500B" w:rsidSect="00B26362">
          <w:headerReference w:type="default" r:id="rId88"/>
          <w:headerReference w:type="first" r:id="rId89"/>
          <w:pgSz w:w="12240" w:h="15840"/>
          <w:pgMar w:top="1152" w:right="1440" w:bottom="765" w:left="1440" w:header="720" w:footer="720" w:gutter="0"/>
          <w:cols w:space="720"/>
          <w:docGrid w:linePitch="400"/>
        </w:sectPr>
      </w:pPr>
    </w:p>
    <w:p w14:paraId="2E8E8CB4" w14:textId="77777777" w:rsidR="0030676F" w:rsidRPr="00357311" w:rsidRDefault="0030676F" w:rsidP="0092016D">
      <w:pPr>
        <w:pStyle w:val="Heading1"/>
        <w:widowControl/>
        <w:numPr>
          <w:ilvl w:val="0"/>
          <w:numId w:val="82"/>
        </w:numPr>
        <w:tabs>
          <w:tab w:val="left" w:pos="720"/>
        </w:tabs>
        <w:spacing w:before="120" w:after="200"/>
        <w:ind w:left="0" w:firstLine="0"/>
        <w:rPr>
          <w:rStyle w:val="Heading1Char"/>
        </w:rPr>
      </w:pPr>
      <w:bookmarkStart w:id="3148" w:name="_Toc17451260"/>
      <w:bookmarkStart w:id="3149" w:name="_Toc113619904"/>
      <w:r w:rsidRPr="00357311">
        <w:rPr>
          <w:rStyle w:val="Heading1Char"/>
        </w:rPr>
        <w:lastRenderedPageBreak/>
        <w:t>Appendices</w:t>
      </w:r>
      <w:bookmarkEnd w:id="3148"/>
      <w:bookmarkEnd w:id="3149"/>
    </w:p>
    <w:p w14:paraId="2DB8AE1B" w14:textId="56187552" w:rsidR="0030676F" w:rsidRPr="00E100E7" w:rsidRDefault="0030676F" w:rsidP="0092016D">
      <w:pPr>
        <w:pStyle w:val="Heading2"/>
        <w:widowControl/>
        <w:numPr>
          <w:ilvl w:val="1"/>
          <w:numId w:val="82"/>
        </w:numPr>
        <w:jc w:val="left"/>
      </w:pPr>
      <w:bookmarkStart w:id="3150" w:name="_Toc17451261"/>
      <w:bookmarkStart w:id="3151" w:name="_Toc113619905"/>
      <w:r w:rsidRPr="00E100E7">
        <w:t>Appendix A: MT Initiative Business Plan Outline</w:t>
      </w:r>
      <w:bookmarkEnd w:id="3150"/>
      <w:bookmarkEnd w:id="3151"/>
    </w:p>
    <w:p w14:paraId="20FC1E0C" w14:textId="4CB21761" w:rsidR="0030676F" w:rsidRPr="005F75ED" w:rsidRDefault="0030676F" w:rsidP="0030676F">
      <w:pPr>
        <w:rPr>
          <w:rFonts w:cstheme="minorHAnsi"/>
        </w:rPr>
      </w:pPr>
      <w:r w:rsidRPr="005F75ED">
        <w:rPr>
          <w:rFonts w:cstheme="minorHAnsi"/>
        </w:rPr>
        <w:t xml:space="preserve">The MT Initiative Business Plan is intended to document the strategy, </w:t>
      </w:r>
      <w:r w:rsidR="008A712D" w:rsidRPr="005F75ED">
        <w:rPr>
          <w:rFonts w:cstheme="minorHAnsi"/>
        </w:rPr>
        <w:t>data,</w:t>
      </w:r>
      <w:r w:rsidRPr="005F75ED">
        <w:rPr>
          <w:rFonts w:cstheme="minorHAnsi"/>
        </w:rPr>
        <w:t xml:space="preserve"> and assumptions about the initiative at the time of launch.  It is a document that can evolve as knowledge of the market and the initiative evolves but is essential to prepare and guide launch of the initiative into the market.  </w:t>
      </w:r>
    </w:p>
    <w:p w14:paraId="03197CD8" w14:textId="77777777" w:rsidR="0030676F" w:rsidRPr="005F75ED" w:rsidRDefault="0030676F" w:rsidP="0030676F">
      <w:pPr>
        <w:rPr>
          <w:rFonts w:cstheme="minorHAnsi"/>
        </w:rPr>
      </w:pPr>
      <w:r w:rsidRPr="005F75ED">
        <w:rPr>
          <w:rFonts w:cstheme="minorHAnsi"/>
        </w:rPr>
        <w:t>Key components of the Business Plan include:</w:t>
      </w:r>
    </w:p>
    <w:p w14:paraId="03D70CB7" w14:textId="77777777" w:rsidR="0030676F" w:rsidRPr="005F75ED" w:rsidRDefault="0030676F" w:rsidP="0092016D">
      <w:pPr>
        <w:pStyle w:val="ListParagraph"/>
        <w:widowControl/>
        <w:numPr>
          <w:ilvl w:val="0"/>
          <w:numId w:val="76"/>
        </w:numPr>
        <w:contextualSpacing w:val="0"/>
        <w:rPr>
          <w:rFonts w:cstheme="minorHAnsi"/>
        </w:rPr>
      </w:pPr>
      <w:r w:rsidRPr="005F75ED">
        <w:rPr>
          <w:rFonts w:cstheme="minorHAnsi"/>
        </w:rPr>
        <w:t xml:space="preserve">Identification/description of the specific market to be targeted  </w:t>
      </w:r>
    </w:p>
    <w:p w14:paraId="6C0F7C55" w14:textId="77777777" w:rsidR="0030676F" w:rsidRPr="005F75ED" w:rsidRDefault="0030676F" w:rsidP="0092016D">
      <w:pPr>
        <w:pStyle w:val="ListParagraph"/>
        <w:widowControl/>
        <w:numPr>
          <w:ilvl w:val="0"/>
          <w:numId w:val="76"/>
        </w:numPr>
        <w:contextualSpacing w:val="0"/>
        <w:rPr>
          <w:rFonts w:cstheme="minorHAnsi"/>
        </w:rPr>
      </w:pPr>
      <w:r w:rsidRPr="005F75ED">
        <w:rPr>
          <w:rFonts w:cstheme="minorHAnsi"/>
        </w:rPr>
        <w:t xml:space="preserve">Description of the “leverage” point(s) that catalyze transformation </w:t>
      </w:r>
    </w:p>
    <w:p w14:paraId="2921AE06" w14:textId="77777777" w:rsidR="0030676F" w:rsidRPr="005F75ED" w:rsidRDefault="0030676F" w:rsidP="0092016D">
      <w:pPr>
        <w:pStyle w:val="ListParagraph"/>
        <w:widowControl/>
        <w:numPr>
          <w:ilvl w:val="0"/>
          <w:numId w:val="76"/>
        </w:numPr>
        <w:contextualSpacing w:val="0"/>
        <w:rPr>
          <w:rFonts w:cstheme="minorHAnsi"/>
        </w:rPr>
      </w:pPr>
      <w:r w:rsidRPr="005F75ED">
        <w:rPr>
          <w:rFonts w:cstheme="minorHAnsi"/>
        </w:rPr>
        <w:t>Logic Model or hypothesis of how the planned intervention will result in the desired market change</w:t>
      </w:r>
    </w:p>
    <w:p w14:paraId="0C1DEF21" w14:textId="77777777" w:rsidR="0030676F" w:rsidRPr="005F75ED" w:rsidRDefault="0030676F" w:rsidP="0092016D">
      <w:pPr>
        <w:pStyle w:val="ListParagraph"/>
        <w:widowControl/>
        <w:numPr>
          <w:ilvl w:val="1"/>
          <w:numId w:val="76"/>
        </w:numPr>
        <w:contextualSpacing w:val="0"/>
        <w:rPr>
          <w:rFonts w:cstheme="minorHAnsi"/>
        </w:rPr>
      </w:pPr>
      <w:r w:rsidRPr="005F75ED">
        <w:rPr>
          <w:rFonts w:cstheme="minorHAnsi"/>
        </w:rPr>
        <w:t>Barriers that prevent market adoption</w:t>
      </w:r>
    </w:p>
    <w:p w14:paraId="736B7B62" w14:textId="77777777" w:rsidR="0030676F" w:rsidRPr="005F75ED" w:rsidRDefault="0030676F" w:rsidP="0092016D">
      <w:pPr>
        <w:pStyle w:val="ListParagraph"/>
        <w:widowControl/>
        <w:numPr>
          <w:ilvl w:val="1"/>
          <w:numId w:val="76"/>
        </w:numPr>
        <w:contextualSpacing w:val="0"/>
        <w:rPr>
          <w:rFonts w:cstheme="minorHAnsi"/>
        </w:rPr>
      </w:pPr>
      <w:r w:rsidRPr="005F75ED">
        <w:rPr>
          <w:rFonts w:cstheme="minorHAnsi"/>
        </w:rPr>
        <w:t>Activities/interventions that will catalyze the change</w:t>
      </w:r>
    </w:p>
    <w:p w14:paraId="7D6959DB" w14:textId="77777777" w:rsidR="0030676F" w:rsidRPr="005F75ED" w:rsidRDefault="0030676F" w:rsidP="0092016D">
      <w:pPr>
        <w:pStyle w:val="ListParagraph"/>
        <w:widowControl/>
        <w:numPr>
          <w:ilvl w:val="1"/>
          <w:numId w:val="76"/>
        </w:numPr>
        <w:contextualSpacing w:val="0"/>
        <w:rPr>
          <w:rFonts w:cstheme="minorHAnsi"/>
        </w:rPr>
      </w:pPr>
      <w:r w:rsidRPr="005F75ED">
        <w:rPr>
          <w:rFonts w:cstheme="minorHAnsi"/>
        </w:rPr>
        <w:t>Outputs that result from the activities</w:t>
      </w:r>
    </w:p>
    <w:p w14:paraId="4DA91F1E" w14:textId="77777777" w:rsidR="0030676F" w:rsidRPr="005F75ED" w:rsidRDefault="0030676F" w:rsidP="0092016D">
      <w:pPr>
        <w:pStyle w:val="ListParagraph"/>
        <w:widowControl/>
        <w:numPr>
          <w:ilvl w:val="1"/>
          <w:numId w:val="76"/>
        </w:numPr>
        <w:contextualSpacing w:val="0"/>
        <w:rPr>
          <w:rFonts w:cstheme="minorHAnsi"/>
        </w:rPr>
      </w:pPr>
      <w:r w:rsidRPr="005F75ED">
        <w:rPr>
          <w:rFonts w:cstheme="minorHAnsi"/>
        </w:rPr>
        <w:t>Market Outcomes (short-, medium- and/or long-term) that are measurable responses to the activities</w:t>
      </w:r>
    </w:p>
    <w:p w14:paraId="6C1BA5C7" w14:textId="77777777" w:rsidR="0030676F" w:rsidRPr="005F75ED" w:rsidRDefault="0030676F" w:rsidP="0092016D">
      <w:pPr>
        <w:pStyle w:val="ListParagraph"/>
        <w:widowControl/>
        <w:numPr>
          <w:ilvl w:val="1"/>
          <w:numId w:val="76"/>
        </w:numPr>
        <w:contextualSpacing w:val="0"/>
        <w:rPr>
          <w:rFonts w:cstheme="minorHAnsi"/>
        </w:rPr>
      </w:pPr>
      <w:r w:rsidRPr="005F75ED">
        <w:rPr>
          <w:rFonts w:cstheme="minorHAnsi"/>
        </w:rPr>
        <w:t xml:space="preserve">Ultimate desired impact – which is the final state of the market after it is transformed. </w:t>
      </w:r>
    </w:p>
    <w:p w14:paraId="7BB3A200" w14:textId="77777777" w:rsidR="0030676F" w:rsidRPr="005F75ED" w:rsidRDefault="0030676F" w:rsidP="0092016D">
      <w:pPr>
        <w:pStyle w:val="ListParagraph"/>
        <w:widowControl/>
        <w:numPr>
          <w:ilvl w:val="0"/>
          <w:numId w:val="76"/>
        </w:numPr>
        <w:contextualSpacing w:val="0"/>
        <w:rPr>
          <w:rFonts w:cstheme="minorHAnsi"/>
        </w:rPr>
      </w:pPr>
      <w:r w:rsidRPr="005F75ED">
        <w:rPr>
          <w:rFonts w:cstheme="minorHAnsi"/>
        </w:rPr>
        <w:t>Market Progress Indicators</w:t>
      </w:r>
    </w:p>
    <w:p w14:paraId="355ACA9E" w14:textId="77777777" w:rsidR="0030676F" w:rsidRPr="005F75ED" w:rsidRDefault="0030676F" w:rsidP="0092016D">
      <w:pPr>
        <w:pStyle w:val="ListParagraph"/>
        <w:widowControl/>
        <w:numPr>
          <w:ilvl w:val="1"/>
          <w:numId w:val="76"/>
        </w:numPr>
        <w:contextualSpacing w:val="0"/>
        <w:rPr>
          <w:rFonts w:cstheme="minorHAnsi"/>
        </w:rPr>
      </w:pPr>
      <w:r w:rsidRPr="005F75ED">
        <w:rPr>
          <w:rFonts w:cstheme="minorHAnsi"/>
        </w:rPr>
        <w:t>Data collection/management plan</w:t>
      </w:r>
    </w:p>
    <w:p w14:paraId="771BE989" w14:textId="77777777" w:rsidR="0030676F" w:rsidRPr="005F75ED" w:rsidRDefault="0030676F" w:rsidP="0092016D">
      <w:pPr>
        <w:pStyle w:val="ListParagraph"/>
        <w:widowControl/>
        <w:numPr>
          <w:ilvl w:val="1"/>
          <w:numId w:val="76"/>
        </w:numPr>
        <w:contextualSpacing w:val="0"/>
        <w:rPr>
          <w:rFonts w:cstheme="minorHAnsi"/>
        </w:rPr>
      </w:pPr>
      <w:r w:rsidRPr="005F75ED">
        <w:rPr>
          <w:rFonts w:cstheme="minorHAnsi"/>
        </w:rPr>
        <w:t>Document any input from evaluators</w:t>
      </w:r>
    </w:p>
    <w:p w14:paraId="04DB1A52" w14:textId="77777777" w:rsidR="0030676F" w:rsidRPr="005F75ED" w:rsidRDefault="0030676F" w:rsidP="0092016D">
      <w:pPr>
        <w:pStyle w:val="ListParagraph"/>
        <w:widowControl/>
        <w:numPr>
          <w:ilvl w:val="0"/>
          <w:numId w:val="76"/>
        </w:numPr>
        <w:contextualSpacing w:val="0"/>
        <w:rPr>
          <w:rFonts w:cstheme="minorHAnsi"/>
        </w:rPr>
      </w:pPr>
      <w:r w:rsidRPr="005F75ED">
        <w:rPr>
          <w:rFonts w:cstheme="minorHAnsi"/>
        </w:rPr>
        <w:t>Multi-year budget</w:t>
      </w:r>
    </w:p>
    <w:p w14:paraId="648D5E7B" w14:textId="77777777" w:rsidR="0030676F" w:rsidRPr="005F75ED" w:rsidRDefault="0030676F" w:rsidP="0092016D">
      <w:pPr>
        <w:pStyle w:val="ListParagraph"/>
        <w:widowControl/>
        <w:numPr>
          <w:ilvl w:val="0"/>
          <w:numId w:val="76"/>
        </w:numPr>
        <w:contextualSpacing w:val="0"/>
        <w:rPr>
          <w:rFonts w:cstheme="minorHAnsi"/>
        </w:rPr>
      </w:pPr>
      <w:r w:rsidRPr="005F75ED">
        <w:rPr>
          <w:rFonts w:cstheme="minorHAnsi"/>
        </w:rPr>
        <w:t>Multi-year savings, including description of baseline over time</w:t>
      </w:r>
    </w:p>
    <w:p w14:paraId="1E6E7259" w14:textId="77777777" w:rsidR="0030676F" w:rsidRPr="005F75ED" w:rsidRDefault="0030676F" w:rsidP="0092016D">
      <w:pPr>
        <w:pStyle w:val="ListParagraph"/>
        <w:widowControl/>
        <w:numPr>
          <w:ilvl w:val="0"/>
          <w:numId w:val="76"/>
        </w:numPr>
        <w:contextualSpacing w:val="0"/>
        <w:rPr>
          <w:rFonts w:cstheme="minorHAnsi"/>
        </w:rPr>
      </w:pPr>
      <w:r w:rsidRPr="005F75ED">
        <w:rPr>
          <w:rFonts w:cstheme="minorHAnsi"/>
        </w:rPr>
        <w:t>Estimate of cost-effectiveness</w:t>
      </w:r>
    </w:p>
    <w:p w14:paraId="0E2575C2" w14:textId="77777777" w:rsidR="0030676F" w:rsidRPr="005F75ED" w:rsidRDefault="0030676F" w:rsidP="0092016D">
      <w:pPr>
        <w:pStyle w:val="ListParagraph"/>
        <w:widowControl/>
        <w:numPr>
          <w:ilvl w:val="0"/>
          <w:numId w:val="76"/>
        </w:numPr>
        <w:contextualSpacing w:val="0"/>
        <w:rPr>
          <w:rFonts w:cstheme="minorHAnsi"/>
        </w:rPr>
      </w:pPr>
      <w:r w:rsidRPr="005F75ED">
        <w:rPr>
          <w:rFonts w:cstheme="minorHAnsi"/>
        </w:rPr>
        <w:t>Names of utilities most likely to be involved with operating this initiative</w:t>
      </w:r>
    </w:p>
    <w:p w14:paraId="4E235A82" w14:textId="77777777" w:rsidR="0030676F" w:rsidRPr="005F75ED" w:rsidRDefault="0030676F" w:rsidP="0092016D">
      <w:pPr>
        <w:pStyle w:val="ListParagraph"/>
        <w:widowControl/>
        <w:numPr>
          <w:ilvl w:val="0"/>
          <w:numId w:val="76"/>
        </w:numPr>
        <w:contextualSpacing w:val="0"/>
        <w:rPr>
          <w:rFonts w:cstheme="minorHAnsi"/>
        </w:rPr>
      </w:pPr>
      <w:r w:rsidRPr="005F75ED">
        <w:rPr>
          <w:rFonts w:cstheme="minorHAnsi"/>
        </w:rPr>
        <w:t>Description of interaction with other programs (if any) by utility</w:t>
      </w:r>
    </w:p>
    <w:p w14:paraId="3D540E8F" w14:textId="77777777" w:rsidR="0030676F" w:rsidRPr="005F75ED" w:rsidRDefault="0030676F" w:rsidP="0092016D">
      <w:pPr>
        <w:pStyle w:val="ListParagraph"/>
        <w:widowControl/>
        <w:numPr>
          <w:ilvl w:val="0"/>
          <w:numId w:val="76"/>
        </w:numPr>
        <w:contextualSpacing w:val="0"/>
        <w:rPr>
          <w:rFonts w:cstheme="minorHAnsi"/>
        </w:rPr>
      </w:pPr>
      <w:r w:rsidRPr="005F75ED">
        <w:rPr>
          <w:rFonts w:cstheme="minorHAnsi"/>
        </w:rPr>
        <w:t>Description of Jobs or Disadvantaged Community Impacts</w:t>
      </w:r>
    </w:p>
    <w:p w14:paraId="5CBF5BEA" w14:textId="77777777" w:rsidR="0030676F" w:rsidRPr="005F75ED" w:rsidRDefault="0030676F" w:rsidP="0092016D">
      <w:pPr>
        <w:pStyle w:val="ListParagraph"/>
        <w:widowControl/>
        <w:numPr>
          <w:ilvl w:val="0"/>
          <w:numId w:val="76"/>
        </w:numPr>
        <w:contextualSpacing w:val="0"/>
        <w:rPr>
          <w:rFonts w:cstheme="minorHAnsi"/>
        </w:rPr>
      </w:pPr>
      <w:r w:rsidRPr="005F75ED">
        <w:rPr>
          <w:rFonts w:cstheme="minorHAnsi"/>
        </w:rPr>
        <w:t>Discussion of risks specific to this initiative</w:t>
      </w:r>
    </w:p>
    <w:p w14:paraId="3436034A" w14:textId="77777777" w:rsidR="0030676F" w:rsidRPr="005F75ED" w:rsidRDefault="0030676F" w:rsidP="0092016D">
      <w:pPr>
        <w:pStyle w:val="ListParagraph"/>
        <w:widowControl/>
        <w:numPr>
          <w:ilvl w:val="0"/>
          <w:numId w:val="76"/>
        </w:numPr>
        <w:contextualSpacing w:val="0"/>
        <w:rPr>
          <w:rFonts w:cstheme="minorHAnsi"/>
        </w:rPr>
      </w:pPr>
      <w:r w:rsidRPr="005F75ED">
        <w:rPr>
          <w:rFonts w:cstheme="minorHAnsi"/>
        </w:rPr>
        <w:t>Date of adoption and Date of amendment(s), if any</w:t>
      </w:r>
    </w:p>
    <w:p w14:paraId="1728FB36" w14:textId="77777777" w:rsidR="0030676F" w:rsidRPr="00E100E7" w:rsidRDefault="0030676F" w:rsidP="0092016D">
      <w:pPr>
        <w:pStyle w:val="Heading2"/>
        <w:widowControl/>
        <w:numPr>
          <w:ilvl w:val="1"/>
          <w:numId w:val="82"/>
        </w:numPr>
        <w:jc w:val="left"/>
      </w:pPr>
      <w:bookmarkStart w:id="3152" w:name="_Toc17451262"/>
      <w:bookmarkStart w:id="3153" w:name="_Toc113619906"/>
      <w:r w:rsidRPr="00E100E7">
        <w:t>Appendix B: Glossary of Terms</w:t>
      </w:r>
      <w:bookmarkEnd w:id="3152"/>
      <w:bookmarkEnd w:id="3153"/>
    </w:p>
    <w:p w14:paraId="1A3A0B7B" w14:textId="77777777" w:rsidR="0030676F" w:rsidRPr="005F75ED" w:rsidRDefault="0030676F" w:rsidP="0030676F">
      <w:pPr>
        <w:rPr>
          <w:rFonts w:cstheme="minorHAnsi"/>
        </w:rPr>
      </w:pPr>
      <w:r w:rsidRPr="005F75ED">
        <w:rPr>
          <w:rFonts w:cstheme="minorHAnsi"/>
          <w:b/>
        </w:rPr>
        <w:t xml:space="preserve">Above Natural Market Baseline Savings Net of RA Savings </w:t>
      </w:r>
      <w:r w:rsidRPr="008A040D">
        <w:rPr>
          <w:rFonts w:cstheme="minorHAnsi"/>
          <w:b/>
        </w:rPr>
        <w:t>–</w:t>
      </w:r>
      <w:r w:rsidRPr="005F75ED">
        <w:rPr>
          <w:rFonts w:cstheme="minorHAnsi"/>
        </w:rPr>
        <w:t xml:space="preserve"> The residual estimated energy savings computed by subtraction of energy savings claimed by an RA program.</w:t>
      </w:r>
    </w:p>
    <w:p w14:paraId="3FD71E63" w14:textId="77777777" w:rsidR="0030676F" w:rsidRPr="005F75ED" w:rsidRDefault="0030676F" w:rsidP="0030676F">
      <w:pPr>
        <w:rPr>
          <w:rFonts w:cstheme="minorHAnsi"/>
        </w:rPr>
      </w:pPr>
      <w:r w:rsidRPr="005F75ED">
        <w:rPr>
          <w:rFonts w:cstheme="minorHAnsi"/>
          <w:b/>
        </w:rPr>
        <w:t xml:space="preserve">Accounting – </w:t>
      </w:r>
      <w:r w:rsidRPr="005F75ED">
        <w:rPr>
          <w:rFonts w:cstheme="minorHAnsi"/>
        </w:rPr>
        <w:t xml:space="preserve">For purposes of this document, accounting refers to the practice of adjusting MT above market baseline savings to net out energy savings being claimed through any RA programs operation in the same market. </w:t>
      </w:r>
    </w:p>
    <w:p w14:paraId="3AB5985A" w14:textId="77777777" w:rsidR="0030676F" w:rsidRPr="005F75ED" w:rsidRDefault="0030676F" w:rsidP="0030676F">
      <w:pPr>
        <w:rPr>
          <w:rFonts w:cstheme="minorHAnsi"/>
        </w:rPr>
      </w:pPr>
      <w:r w:rsidRPr="005F75ED">
        <w:rPr>
          <w:rFonts w:cstheme="minorHAnsi"/>
          <w:b/>
        </w:rPr>
        <w:t xml:space="preserve">Adoption Date (of Code or Standard) – </w:t>
      </w:r>
      <w:r w:rsidRPr="005F75ED">
        <w:rPr>
          <w:rFonts w:cstheme="minorHAnsi"/>
        </w:rPr>
        <w:t>The date when the change in a building code or appliance/equipment standard was adopted by the rule-making authority.</w:t>
      </w:r>
    </w:p>
    <w:p w14:paraId="63A28D1C" w14:textId="77777777" w:rsidR="0030676F" w:rsidRPr="005F75ED" w:rsidRDefault="0030676F" w:rsidP="0030676F">
      <w:pPr>
        <w:rPr>
          <w:rFonts w:cstheme="minorHAnsi"/>
        </w:rPr>
      </w:pPr>
      <w:r w:rsidRPr="005F75ED">
        <w:rPr>
          <w:rFonts w:cstheme="minorHAnsi"/>
          <w:b/>
        </w:rPr>
        <w:t xml:space="preserve">Allocation – </w:t>
      </w:r>
      <w:r w:rsidRPr="005F75ED">
        <w:rPr>
          <w:rFonts w:cstheme="minorHAnsi"/>
        </w:rPr>
        <w:t xml:space="preserve">The process of allocating energy savings from MT programs to multiple sponsors of an MT initiative that operates across multiple sponsoring utilities; </w:t>
      </w:r>
      <w:proofErr w:type="gramStart"/>
      <w:r w:rsidRPr="005F75ED">
        <w:rPr>
          <w:rFonts w:cstheme="minorHAnsi"/>
        </w:rPr>
        <w:t>e.g.</w:t>
      </w:r>
      <w:proofErr w:type="gramEnd"/>
      <w:r w:rsidRPr="005F75ED">
        <w:rPr>
          <w:rFonts w:cstheme="minorHAnsi"/>
        </w:rPr>
        <w:t xml:space="preserve"> at a state or multiple state regional level.</w:t>
      </w:r>
    </w:p>
    <w:p w14:paraId="6E0C51E5" w14:textId="77777777" w:rsidR="0030676F" w:rsidRPr="005F75ED" w:rsidRDefault="0030676F" w:rsidP="0030676F">
      <w:pPr>
        <w:rPr>
          <w:rFonts w:cstheme="minorHAnsi"/>
        </w:rPr>
      </w:pPr>
      <w:r w:rsidRPr="005F75ED">
        <w:rPr>
          <w:rFonts w:cstheme="minorHAnsi"/>
          <w:b/>
        </w:rPr>
        <w:t xml:space="preserve">Attribution, general </w:t>
      </w:r>
      <w:r>
        <w:rPr>
          <w:rFonts w:cstheme="minorHAnsi"/>
          <w:b/>
        </w:rPr>
        <w:t>–</w:t>
      </w:r>
      <w:r w:rsidRPr="005F75ED">
        <w:rPr>
          <w:rFonts w:cstheme="minorHAnsi"/>
          <w:b/>
        </w:rPr>
        <w:t xml:space="preserve"> </w:t>
      </w:r>
      <w:r w:rsidRPr="005F75ED">
        <w:rPr>
          <w:rFonts w:cstheme="minorHAnsi"/>
        </w:rPr>
        <w:t xml:space="preserve">The concept of attributing causality for claimed energy savings to specific or general actions by the utility(s) as opposed to other agents acting in the same market. Attribution provides credible evidence that </w:t>
      </w:r>
      <w:r w:rsidRPr="005F75ED">
        <w:rPr>
          <w:rFonts w:cstheme="minorHAnsi"/>
        </w:rPr>
        <w:lastRenderedPageBreak/>
        <w:t>there is a causal link between the program activities and the outcomes achieved by the program.</w:t>
      </w:r>
      <w:r w:rsidRPr="005F75ED">
        <w:rPr>
          <w:rFonts w:cstheme="minorHAnsi"/>
          <w:szCs w:val="20"/>
        </w:rPr>
        <w:t xml:space="preserve"> </w:t>
      </w:r>
      <w:r w:rsidRPr="005F75ED">
        <w:rPr>
          <w:rFonts w:cstheme="minorHAnsi"/>
        </w:rPr>
        <w:t xml:space="preserve">  </w:t>
      </w:r>
    </w:p>
    <w:p w14:paraId="69AEBF84" w14:textId="77777777" w:rsidR="0030676F" w:rsidRPr="005F75ED" w:rsidRDefault="0030676F" w:rsidP="0030676F">
      <w:pPr>
        <w:rPr>
          <w:rFonts w:cstheme="minorHAnsi"/>
        </w:rPr>
      </w:pPr>
      <w:r w:rsidRPr="005F75ED">
        <w:rPr>
          <w:rFonts w:cstheme="minorHAnsi"/>
          <w:b/>
        </w:rPr>
        <w:t xml:space="preserve"> Attribution, MT Programs</w:t>
      </w:r>
      <w:r w:rsidRPr="005F75ED">
        <w:rPr>
          <w:rFonts w:cstheme="minorHAnsi"/>
        </w:rPr>
        <w:t xml:space="preserve"> </w:t>
      </w:r>
      <w:r w:rsidRPr="008A040D">
        <w:rPr>
          <w:rFonts w:cstheme="minorHAnsi"/>
          <w:b/>
        </w:rPr>
        <w:t>–</w:t>
      </w:r>
      <w:r>
        <w:rPr>
          <w:rFonts w:cstheme="minorHAnsi"/>
        </w:rPr>
        <w:t xml:space="preserve"> </w:t>
      </w:r>
      <w:r w:rsidRPr="005F75ED">
        <w:rPr>
          <w:rFonts w:cstheme="minorHAnsi"/>
        </w:rPr>
        <w:t xml:space="preserve">Attribution of all energy savings not counted in the Natural Market Baseline to utility funded interventions, including RA, MT, and supporting infrastructure.  Note that this is not actually a statement of causality but rather a measurement by subtraction of Natural Market Baseline.   </w:t>
      </w:r>
    </w:p>
    <w:p w14:paraId="6FF61892" w14:textId="77777777" w:rsidR="0030676F" w:rsidRPr="005F75ED" w:rsidRDefault="0030676F" w:rsidP="0030676F">
      <w:pPr>
        <w:rPr>
          <w:rFonts w:cstheme="minorHAnsi"/>
        </w:rPr>
      </w:pPr>
      <w:r w:rsidRPr="005F75ED">
        <w:rPr>
          <w:rFonts w:cstheme="minorHAnsi"/>
          <w:b/>
        </w:rPr>
        <w:t>Attribution, RA Programs</w:t>
      </w:r>
      <w:r w:rsidRPr="005F75ED">
        <w:rPr>
          <w:rFonts w:cstheme="minorHAnsi"/>
        </w:rPr>
        <w:t xml:space="preserve"> </w:t>
      </w:r>
      <w:r w:rsidRPr="008A040D">
        <w:rPr>
          <w:rFonts w:cstheme="minorHAnsi"/>
          <w:b/>
        </w:rPr>
        <w:t>–</w:t>
      </w:r>
      <w:r>
        <w:rPr>
          <w:rFonts w:cstheme="minorHAnsi"/>
        </w:rPr>
        <w:t xml:space="preserve"> </w:t>
      </w:r>
      <w:r w:rsidRPr="005F75ED">
        <w:rPr>
          <w:rFonts w:cstheme="minorHAnsi"/>
        </w:rPr>
        <w:t xml:space="preserve">In traditional RA program attribution is generally approached through application of an adjustment factor that adjusts “gross energy savings” measured through the program participants to account for “free-ridership”; i.e., those participants that would have acted without the RA program.  For RA programs, this adjustment is usually represented in a “net-to-gross” (NTG) factor that is multiplied by gross energy savings to get “net” energy savings that can be “attributable” to the RA program.  </w:t>
      </w:r>
    </w:p>
    <w:p w14:paraId="4F198F46" w14:textId="77777777" w:rsidR="0030676F" w:rsidRPr="005F75ED" w:rsidRDefault="0030676F" w:rsidP="0030676F">
      <w:pPr>
        <w:rPr>
          <w:rFonts w:cstheme="minorHAnsi"/>
        </w:rPr>
      </w:pPr>
      <w:r w:rsidRPr="005F75ED">
        <w:rPr>
          <w:rFonts w:cstheme="minorHAnsi"/>
          <w:b/>
        </w:rPr>
        <w:t xml:space="preserve">Counterfactual – </w:t>
      </w:r>
      <w:r w:rsidRPr="005F75ED">
        <w:rPr>
          <w:rFonts w:cstheme="minorHAnsi"/>
        </w:rPr>
        <w:t xml:space="preserve">A constructed alternative future that might have happened without the intervention of either the MT or RA programs.  </w:t>
      </w:r>
    </w:p>
    <w:p w14:paraId="229A628C" w14:textId="77777777" w:rsidR="0030676F" w:rsidRPr="005F75ED" w:rsidRDefault="0030676F" w:rsidP="0030676F">
      <w:pPr>
        <w:rPr>
          <w:rFonts w:cstheme="minorHAnsi"/>
        </w:rPr>
      </w:pPr>
      <w:r w:rsidRPr="005F75ED">
        <w:rPr>
          <w:rFonts w:cstheme="minorHAnsi"/>
          <w:b/>
        </w:rPr>
        <w:t xml:space="preserve">Estimated Market Transformation Savings – </w:t>
      </w:r>
      <w:r w:rsidRPr="005F75ED">
        <w:rPr>
          <w:rFonts w:cstheme="minorHAnsi"/>
        </w:rPr>
        <w:t>The residual estimated energy savings computed by subtraction of the natural market baseline savings from total market savings.  These estimated savings are assumed to be associated with all utility funded market interventions including MT and RA programs, supporting infrastructure, and codes and standards activities. Analogous to the space above the Natural Market Baseline in Figure 2.</w:t>
      </w:r>
    </w:p>
    <w:p w14:paraId="17C360D7" w14:textId="77777777" w:rsidR="0030676F" w:rsidRPr="005F75ED" w:rsidRDefault="0030676F" w:rsidP="0030676F">
      <w:pPr>
        <w:rPr>
          <w:rFonts w:cstheme="minorHAnsi"/>
        </w:rPr>
      </w:pPr>
      <w:r w:rsidRPr="005F75ED">
        <w:rPr>
          <w:rFonts w:cstheme="minorHAnsi"/>
          <w:b/>
        </w:rPr>
        <w:t>Estimated Market Transformation Savings Net of RA</w:t>
      </w:r>
      <w:r w:rsidRPr="005F75ED">
        <w:rPr>
          <w:rFonts w:cstheme="minorHAnsi"/>
        </w:rPr>
        <w:t xml:space="preserve"> </w:t>
      </w:r>
      <w:r w:rsidRPr="008A040D">
        <w:rPr>
          <w:rFonts w:cstheme="minorHAnsi"/>
          <w:b/>
        </w:rPr>
        <w:t>–</w:t>
      </w:r>
      <w:r w:rsidRPr="005F75ED">
        <w:rPr>
          <w:rFonts w:cstheme="minorHAnsi"/>
        </w:rPr>
        <w:t xml:space="preserve"> The residual estimated energy savings after subtracting energy savings claimed by a resource-acquisition (RA) program from Estimated Market Transformation energy savings operating in the same geographic service territory.</w:t>
      </w:r>
    </w:p>
    <w:p w14:paraId="3D66D2A0" w14:textId="77777777" w:rsidR="0030676F" w:rsidRPr="005F75ED" w:rsidRDefault="0030676F" w:rsidP="0030676F">
      <w:r w:rsidRPr="005F75ED">
        <w:rPr>
          <w:b/>
        </w:rPr>
        <w:t xml:space="preserve">Free Riders – </w:t>
      </w:r>
      <w:r w:rsidRPr="005F75ED">
        <w:t>A program participant who would have implemented the program’s measures or practices in the absence of the program. Free riders can be: (1) total, in which the participant’s activity would have completely replicated the program measure; (2) partial, in which the participant’s activity would have partially replicated the program measure; or (3) deferred, in which the participant’s activity would have partially or completely replicated the program measure, but at a future time beyond the program’s time frame.</w:t>
      </w:r>
    </w:p>
    <w:p w14:paraId="2CAB18A5" w14:textId="77777777" w:rsidR="0030676F" w:rsidRPr="005F75ED" w:rsidRDefault="0030676F" w:rsidP="0030676F">
      <w:pPr>
        <w:rPr>
          <w:rFonts w:cstheme="minorHAnsi"/>
        </w:rPr>
      </w:pPr>
      <w:r w:rsidRPr="005F75ED">
        <w:rPr>
          <w:rFonts w:cstheme="minorHAnsi"/>
          <w:b/>
        </w:rPr>
        <w:t xml:space="preserve">Full Category Data – </w:t>
      </w:r>
      <w:r w:rsidRPr="005F75ED">
        <w:rPr>
          <w:rFonts w:cstheme="minorHAnsi"/>
        </w:rPr>
        <w:t xml:space="preserve">Sales data (individual SKU, price and numbers sold) for all units of a specific product including both efficient and inefficient versions typically sold through a retail or distributor channel.  May also refer to data available from manufacturers or trade associations that includes all units manufactured or sold. </w:t>
      </w:r>
    </w:p>
    <w:p w14:paraId="3ADD4796" w14:textId="77777777" w:rsidR="0030676F" w:rsidRPr="005F75ED" w:rsidRDefault="0030676F" w:rsidP="0030676F">
      <w:pPr>
        <w:rPr>
          <w:rFonts w:cstheme="minorHAnsi"/>
        </w:rPr>
      </w:pPr>
      <w:r w:rsidRPr="005F75ED">
        <w:rPr>
          <w:rFonts w:cstheme="minorHAnsi"/>
          <w:b/>
        </w:rPr>
        <w:t xml:space="preserve">Hedonic Price Modelling </w:t>
      </w:r>
      <w:r w:rsidRPr="008A040D">
        <w:rPr>
          <w:rFonts w:cstheme="minorHAnsi"/>
          <w:b/>
        </w:rPr>
        <w:t>–</w:t>
      </w:r>
      <w:r w:rsidRPr="005F75ED">
        <w:rPr>
          <w:rFonts w:cstheme="minorHAnsi"/>
        </w:rPr>
        <w:t xml:space="preserve"> a statistical approach that controls for a variety of variables and attempts to isolate the incremental cost associated with the feature of interest.  </w:t>
      </w:r>
    </w:p>
    <w:p w14:paraId="56101092" w14:textId="77777777" w:rsidR="0030676F" w:rsidRDefault="0030676F" w:rsidP="0030676F">
      <w:pPr>
        <w:rPr>
          <w:rFonts w:cstheme="minorHAnsi"/>
        </w:rPr>
      </w:pPr>
      <w:r w:rsidRPr="005F75ED">
        <w:rPr>
          <w:rFonts w:cstheme="minorHAnsi"/>
          <w:b/>
        </w:rPr>
        <w:t xml:space="preserve">Logic Model – </w:t>
      </w:r>
      <w:r w:rsidRPr="005F75ED">
        <w:rPr>
          <w:rFonts w:cstheme="minorHAnsi"/>
        </w:rPr>
        <w:t>a graphic depiction of the shared relationships among the activities, outputs, and outcomes of a program. The theory of change should be visible in the logic model.</w:t>
      </w:r>
    </w:p>
    <w:p w14:paraId="41588B07" w14:textId="77777777" w:rsidR="0030676F" w:rsidRPr="005F75ED" w:rsidRDefault="0030676F" w:rsidP="0030676F">
      <w:pPr>
        <w:jc w:val="left"/>
        <w:rPr>
          <w:rFonts w:cstheme="minorHAnsi"/>
        </w:rPr>
      </w:pPr>
      <w:r w:rsidRPr="006135F1">
        <w:rPr>
          <w:rFonts w:cstheme="minorHAnsi"/>
          <w:b/>
          <w:szCs w:val="20"/>
        </w:rPr>
        <w:t>Market</w:t>
      </w:r>
      <w:r w:rsidRPr="006E633C">
        <w:rPr>
          <w:rFonts w:cstheme="minorHAnsi"/>
          <w:szCs w:val="20"/>
        </w:rPr>
        <w:t xml:space="preserve"> </w:t>
      </w:r>
      <w:r w:rsidRPr="008A040D">
        <w:rPr>
          <w:rFonts w:cstheme="minorHAnsi"/>
          <w:b/>
          <w:szCs w:val="20"/>
        </w:rPr>
        <w:t xml:space="preserve">– </w:t>
      </w:r>
      <w:r w:rsidRPr="00D91D00">
        <w:rPr>
          <w:rFonts w:cstheme="minorHAnsi"/>
          <w:szCs w:val="20"/>
        </w:rPr>
        <w:t>a</w:t>
      </w:r>
      <w:r>
        <w:rPr>
          <w:rFonts w:cstheme="minorHAnsi"/>
          <w:szCs w:val="20"/>
        </w:rPr>
        <w:t xml:space="preserve">n actual or nominal place where forces of demand and supply operate, and where buyers and sellers interact (directly or through intermediaries) to trade goods, services or contracts or instruments, for money or barter.  </w:t>
      </w:r>
    </w:p>
    <w:p w14:paraId="7CDA6B26" w14:textId="77777777" w:rsidR="0030676F" w:rsidRPr="005F75ED" w:rsidRDefault="0030676F" w:rsidP="0030676F">
      <w:pPr>
        <w:rPr>
          <w:rFonts w:cstheme="minorHAnsi"/>
        </w:rPr>
      </w:pPr>
      <w:r w:rsidRPr="005F75ED">
        <w:rPr>
          <w:rFonts w:cstheme="minorHAnsi"/>
          <w:b/>
        </w:rPr>
        <w:t xml:space="preserve">Market Progress Evaluation Report (MPER) – </w:t>
      </w:r>
      <w:r w:rsidRPr="005F75ED">
        <w:rPr>
          <w:rFonts w:cstheme="minorHAnsi"/>
        </w:rPr>
        <w:t>A report on MT program progress, usually conducted in parallel with program implementation over a relatively short (</w:t>
      </w:r>
      <w:proofErr w:type="gramStart"/>
      <w:r w:rsidRPr="005F75ED">
        <w:rPr>
          <w:rFonts w:cstheme="minorHAnsi"/>
        </w:rPr>
        <w:t>e.g.</w:t>
      </w:r>
      <w:proofErr w:type="gramEnd"/>
      <w:r w:rsidRPr="005F75ED">
        <w:rPr>
          <w:rFonts w:cstheme="minorHAnsi"/>
        </w:rPr>
        <w:t xml:space="preserve"> 12 months) timeline.  Best practices would have these evaluation activities conducted by a third party. [Note that there are regionally distinct terms for similar evaluation products, including Market Evaluation. The specific term is less important for the purpose of this framework than the need to acknowledge that market transformation requires a somewhat different evaluation scope and product than might be required of other programs.]</w:t>
      </w:r>
    </w:p>
    <w:p w14:paraId="624D8850" w14:textId="77777777" w:rsidR="0030676F" w:rsidRPr="005F75ED" w:rsidRDefault="0030676F" w:rsidP="0030676F">
      <w:pPr>
        <w:rPr>
          <w:rFonts w:cstheme="minorHAnsi"/>
        </w:rPr>
      </w:pPr>
      <w:r w:rsidRPr="005F75ED">
        <w:rPr>
          <w:rFonts w:cstheme="minorHAnsi"/>
          <w:b/>
        </w:rPr>
        <w:t>Market Progress Indicator (MPI)</w:t>
      </w:r>
      <w:r w:rsidRPr="005F75ED">
        <w:rPr>
          <w:rFonts w:cstheme="minorHAnsi"/>
        </w:rPr>
        <w:t xml:space="preserve"> </w:t>
      </w:r>
      <w:r w:rsidRPr="008A040D">
        <w:rPr>
          <w:rFonts w:cstheme="minorHAnsi"/>
          <w:b/>
        </w:rPr>
        <w:t>–</w:t>
      </w:r>
      <w:r w:rsidRPr="005F75ED">
        <w:rPr>
          <w:rFonts w:cstheme="minorHAnsi"/>
        </w:rPr>
        <w:t xml:space="preserve"> A measurement of market progress for a specific indicator of an element of MT theory described in the program logic that defines the associate barrier/opportunity/intervention strategy and anticipated outcomes from successful implementation. [Note that regional differences exist in how these indicators are labeled, including the term Market Indicator. The specific term is less important than the fact that the indicator refers to activities occurring within the market, rather than within the program, and that they will likely include long-term indicators that can take years to emerge.]</w:t>
      </w:r>
    </w:p>
    <w:p w14:paraId="53735A79" w14:textId="6737C019" w:rsidR="0030676F" w:rsidRPr="005F75ED" w:rsidRDefault="0030676F" w:rsidP="0030676F">
      <w:pPr>
        <w:rPr>
          <w:rFonts w:cstheme="minorHAnsi"/>
        </w:rPr>
      </w:pPr>
      <w:r w:rsidRPr="005F75ED">
        <w:rPr>
          <w:rFonts w:cstheme="minorHAnsi"/>
          <w:b/>
        </w:rPr>
        <w:t>Market Transformation (MT)</w:t>
      </w:r>
      <w:r w:rsidRPr="005F75ED">
        <w:rPr>
          <w:rFonts w:cstheme="minorHAnsi"/>
        </w:rPr>
        <w:t xml:space="preserve"> </w:t>
      </w:r>
      <w:r w:rsidRPr="008A040D">
        <w:rPr>
          <w:rFonts w:cstheme="minorHAnsi"/>
          <w:b/>
        </w:rPr>
        <w:t>–</w:t>
      </w:r>
      <w:r w:rsidRPr="005F75ED">
        <w:rPr>
          <w:rFonts w:cstheme="minorHAnsi"/>
        </w:rPr>
        <w:t xml:space="preserve"> The strategic process of intervening in a market to create lasting change that results </w:t>
      </w:r>
      <w:r w:rsidRPr="005F75ED">
        <w:rPr>
          <w:rFonts w:cstheme="minorHAnsi"/>
        </w:rPr>
        <w:lastRenderedPageBreak/>
        <w:t xml:space="preserve">in the accelerated adoption of energy efficient products, </w:t>
      </w:r>
      <w:r w:rsidR="008A712D" w:rsidRPr="005F75ED">
        <w:rPr>
          <w:rFonts w:cstheme="minorHAnsi"/>
        </w:rPr>
        <w:t>services,</w:t>
      </w:r>
      <w:r w:rsidRPr="005F75ED">
        <w:rPr>
          <w:rFonts w:cstheme="minorHAnsi"/>
        </w:rPr>
        <w:t xml:space="preserve"> and practices.</w:t>
      </w:r>
    </w:p>
    <w:p w14:paraId="0B62C600" w14:textId="60D17372" w:rsidR="0030676F" w:rsidRPr="005F75ED" w:rsidRDefault="0030676F" w:rsidP="0030676F">
      <w:pPr>
        <w:rPr>
          <w:rFonts w:cstheme="minorHAnsi"/>
        </w:rPr>
      </w:pPr>
      <w:r w:rsidRPr="005F75ED">
        <w:rPr>
          <w:rFonts w:cstheme="minorHAnsi"/>
          <w:b/>
        </w:rPr>
        <w:t xml:space="preserve">MT Business Plan - </w:t>
      </w:r>
      <w:r w:rsidRPr="005F75ED">
        <w:rPr>
          <w:rFonts w:cstheme="minorHAnsi"/>
        </w:rPr>
        <w:t xml:space="preserve">A document embodying the strategy, </w:t>
      </w:r>
      <w:r w:rsidR="008A712D" w:rsidRPr="005F75ED">
        <w:rPr>
          <w:rFonts w:cstheme="minorHAnsi"/>
        </w:rPr>
        <w:t>data,</w:t>
      </w:r>
      <w:r w:rsidRPr="005F75ED">
        <w:rPr>
          <w:rFonts w:cstheme="minorHAnsi"/>
        </w:rPr>
        <w:t xml:space="preserve"> and assumptions about the MT initiative at the time of launch.  It includes a description of the efficiency opportunity, targeted markets, assessment of barriers and opportunities, intervention strategies, near</w:t>
      </w:r>
      <w:r w:rsidR="003A2F1E">
        <w:rPr>
          <w:rFonts w:cstheme="minorHAnsi"/>
        </w:rPr>
        <w:t>-</w:t>
      </w:r>
      <w:r w:rsidRPr="005F75ED">
        <w:rPr>
          <w:rFonts w:cstheme="minorHAnsi"/>
        </w:rPr>
        <w:t>, mid</w:t>
      </w:r>
      <w:r w:rsidR="003A2F1E">
        <w:rPr>
          <w:rFonts w:cstheme="minorHAnsi"/>
        </w:rPr>
        <w:t>-</w:t>
      </w:r>
      <w:r w:rsidRPr="005F75ED">
        <w:rPr>
          <w:rFonts w:cstheme="minorHAnsi"/>
        </w:rPr>
        <w:t xml:space="preserve"> and long-term market outcomes, market progress indicators and key energy savings estimation assumptions.</w:t>
      </w:r>
    </w:p>
    <w:p w14:paraId="6752B302" w14:textId="77777777" w:rsidR="0030676F" w:rsidRPr="005F75ED" w:rsidRDefault="0030676F" w:rsidP="0030676F">
      <w:pPr>
        <w:rPr>
          <w:rFonts w:cstheme="minorHAnsi"/>
        </w:rPr>
      </w:pPr>
      <w:r w:rsidRPr="005F75ED">
        <w:rPr>
          <w:rFonts w:cstheme="minorHAnsi"/>
          <w:b/>
        </w:rPr>
        <w:t xml:space="preserve">Natural Market Baseline Savings – </w:t>
      </w:r>
      <w:r w:rsidRPr="005F75ED">
        <w:rPr>
          <w:rFonts w:cstheme="minorHAnsi"/>
        </w:rPr>
        <w:t>The estimated energy savings computed based on a market adoption rate forecast of what would have happened without any utility funded interventions</w:t>
      </w:r>
      <w:r w:rsidRPr="005F75ED">
        <w:rPr>
          <w:rFonts w:cstheme="minorHAnsi"/>
          <w:b/>
        </w:rPr>
        <w:t xml:space="preserve"> </w:t>
      </w:r>
      <w:r w:rsidRPr="005F75ED">
        <w:rPr>
          <w:rFonts w:cstheme="minorHAnsi"/>
        </w:rPr>
        <w:t xml:space="preserve">that may include both MT and RA programs as well as enabling infrastructure support.  The forecast of Natural Market Baseline is generally established before the start of the MT initiative but may be revised periodically. </w:t>
      </w:r>
    </w:p>
    <w:p w14:paraId="6AAA38BA" w14:textId="77777777" w:rsidR="0030676F" w:rsidRPr="005F75ED" w:rsidRDefault="0030676F" w:rsidP="0030676F">
      <w:pPr>
        <w:rPr>
          <w:rFonts w:cstheme="minorHAnsi"/>
        </w:rPr>
      </w:pPr>
      <w:r w:rsidRPr="005F75ED">
        <w:rPr>
          <w:rFonts w:cstheme="minorHAnsi"/>
          <w:b/>
        </w:rPr>
        <w:t>Resource Acquisition (RA)</w:t>
      </w:r>
      <w:r w:rsidRPr="005F75ED">
        <w:rPr>
          <w:rFonts w:cstheme="minorHAnsi"/>
        </w:rPr>
        <w:t xml:space="preserve"> </w:t>
      </w:r>
      <w:r w:rsidRPr="008A040D">
        <w:rPr>
          <w:rFonts w:cstheme="minorHAnsi"/>
          <w:b/>
        </w:rPr>
        <w:t>–</w:t>
      </w:r>
      <w:r w:rsidRPr="005F75ED">
        <w:rPr>
          <w:rFonts w:cstheme="minorHAnsi"/>
        </w:rPr>
        <w:t xml:space="preserve"> An approach to capture energy efficiency grounded in a regulatory framework which views EE as a resource that can be “acquired” through direct utility action analogous to any other “resource” considered by a utility to meet its existing and future energy requirements.</w:t>
      </w:r>
      <w:r>
        <w:rPr>
          <w:rFonts w:cstheme="minorHAnsi"/>
        </w:rPr>
        <w:t xml:space="preserve">  These can be thought of as </w:t>
      </w:r>
      <w:r>
        <w:t>traditional utility-driven energy efficiency programs that typically work at the individual consumer level, rather than the market level.</w:t>
      </w:r>
    </w:p>
    <w:p w14:paraId="1F4F3215" w14:textId="77777777" w:rsidR="0030676F" w:rsidRDefault="0030676F" w:rsidP="0030676F">
      <w:r w:rsidRPr="00E100E7">
        <w:rPr>
          <w:b/>
        </w:rPr>
        <w:t>Spillover –</w:t>
      </w:r>
      <w:r w:rsidRPr="00E100E7">
        <w:t xml:space="preserve"> Reductions in energy consumption and/or demand caused by the presence of an energy efficiency program. There can be participant and/or nonparticipant spillover: </w:t>
      </w:r>
    </w:p>
    <w:p w14:paraId="3C41026E" w14:textId="77777777" w:rsidR="0030676F" w:rsidRDefault="0030676F" w:rsidP="0092016D">
      <w:pPr>
        <w:pStyle w:val="ListParagraph"/>
        <w:widowControl/>
        <w:numPr>
          <w:ilvl w:val="0"/>
          <w:numId w:val="81"/>
        </w:numPr>
      </w:pPr>
      <w:r w:rsidRPr="00E100E7">
        <w:rPr>
          <w:b/>
        </w:rPr>
        <w:t>Participant spillover</w:t>
      </w:r>
      <w:r w:rsidRPr="00E100E7">
        <w:t xml:space="preserve"> is the additional energy savings that occur as a result of the program’s influence when a program participant independently installs incremental energy efficiency measures or applies energy-saving practices after having participated in the energy efficiency program. </w:t>
      </w:r>
    </w:p>
    <w:p w14:paraId="250715A5" w14:textId="77777777" w:rsidR="0030676F" w:rsidRPr="00E100E7" w:rsidRDefault="0030676F" w:rsidP="0092016D">
      <w:pPr>
        <w:pStyle w:val="ListParagraph"/>
        <w:widowControl/>
        <w:numPr>
          <w:ilvl w:val="0"/>
          <w:numId w:val="81"/>
        </w:numPr>
      </w:pPr>
      <w:r w:rsidRPr="00E100E7">
        <w:rPr>
          <w:b/>
        </w:rPr>
        <w:t>Nonparticipant spillover</w:t>
      </w:r>
      <w:r w:rsidRPr="00E100E7">
        <w:t xml:space="preserve"> is energy savings that occur when a program nonparticipant installs energy efficiency measures or applies energy savings practices as a result of a program’s influence. </w:t>
      </w:r>
    </w:p>
    <w:p w14:paraId="1BD6330F" w14:textId="77777777" w:rsidR="0030676F" w:rsidRPr="005F75ED" w:rsidRDefault="0030676F" w:rsidP="0030676F">
      <w:pPr>
        <w:rPr>
          <w:rFonts w:cstheme="minorHAnsi"/>
        </w:rPr>
      </w:pPr>
      <w:r w:rsidRPr="005F75ED">
        <w:rPr>
          <w:rFonts w:cstheme="minorHAnsi"/>
          <w:b/>
        </w:rPr>
        <w:t xml:space="preserve">Summative Report – </w:t>
      </w:r>
      <w:r w:rsidRPr="005F75ED">
        <w:rPr>
          <w:rFonts w:cstheme="minorHAnsi"/>
        </w:rPr>
        <w:t>An evaluation report that attempts to quantify and assess the outcome effects for a given program period.  Distinguished from “process evaluation” and consistent with “impact evaluation” in energy efficiency.</w:t>
      </w:r>
    </w:p>
    <w:p w14:paraId="0371914E" w14:textId="77777777" w:rsidR="0030676F" w:rsidRPr="005F75ED" w:rsidRDefault="0030676F" w:rsidP="0030676F">
      <w:pPr>
        <w:rPr>
          <w:rFonts w:cstheme="minorHAnsi"/>
        </w:rPr>
      </w:pPr>
      <w:r w:rsidRPr="005F75ED">
        <w:rPr>
          <w:rFonts w:cstheme="minorHAnsi"/>
          <w:b/>
        </w:rPr>
        <w:t xml:space="preserve">Total Market Savings – </w:t>
      </w:r>
      <w:r w:rsidRPr="005F75ED">
        <w:rPr>
          <w:rFonts w:cstheme="minorHAnsi"/>
        </w:rPr>
        <w:t xml:space="preserve">The estimated energy savings computed based on all market adoption above and beyond the adoption rate at the start of the MT initiative.   </w:t>
      </w:r>
    </w:p>
    <w:p w14:paraId="36E0226C" w14:textId="77777777" w:rsidR="0030676F" w:rsidRPr="00E100E7" w:rsidRDefault="0030676F" w:rsidP="0092016D">
      <w:pPr>
        <w:pStyle w:val="Heading2"/>
        <w:widowControl/>
        <w:numPr>
          <w:ilvl w:val="1"/>
          <w:numId w:val="82"/>
        </w:numPr>
        <w:jc w:val="left"/>
      </w:pPr>
      <w:bookmarkStart w:id="3154" w:name="_Toc17451263"/>
      <w:bookmarkStart w:id="3155" w:name="_Toc113619907"/>
      <w:r w:rsidRPr="00E100E7">
        <w:t>Appendix C:  References</w:t>
      </w:r>
      <w:bookmarkEnd w:id="3154"/>
      <w:bookmarkEnd w:id="3155"/>
    </w:p>
    <w:p w14:paraId="4F954ED8" w14:textId="77777777" w:rsidR="0030676F" w:rsidRPr="005F75ED" w:rsidRDefault="0030676F" w:rsidP="0030676F">
      <w:r w:rsidRPr="005F75ED">
        <w:t>Chen, Huey-</w:t>
      </w:r>
      <w:proofErr w:type="spellStart"/>
      <w:r w:rsidRPr="005F75ED">
        <w:t>Tsyh</w:t>
      </w:r>
      <w:proofErr w:type="spellEnd"/>
      <w:r w:rsidRPr="005F75ED">
        <w:t xml:space="preserve">. 1990. </w:t>
      </w:r>
      <w:r w:rsidRPr="005F75ED">
        <w:rPr>
          <w:i/>
        </w:rPr>
        <w:t>Theory-Driven Evaluations</w:t>
      </w:r>
      <w:r w:rsidRPr="005F75ED">
        <w:t>. Sage Publications.</w:t>
      </w:r>
    </w:p>
    <w:p w14:paraId="2DFE847E" w14:textId="77777777" w:rsidR="0030676F" w:rsidRPr="005F75ED" w:rsidRDefault="0030676F" w:rsidP="0030676F">
      <w:r w:rsidRPr="005F75ED">
        <w:t xml:space="preserve">EMI Consulting, 2017.  </w:t>
      </w:r>
      <w:r w:rsidRPr="005F75ED">
        <w:rPr>
          <w:i/>
        </w:rPr>
        <w:t>Con Edison 2017 Retail Products Platform (RPP) Evaluation</w:t>
      </w:r>
      <w:r w:rsidRPr="005F75ED">
        <w:t xml:space="preserve">. June 15, 2018. Accessed 6/5/2019 at https://www.dps.ny.gov/ </w:t>
      </w:r>
    </w:p>
    <w:p w14:paraId="182DAF51" w14:textId="77777777" w:rsidR="0030676F" w:rsidRPr="005F75ED" w:rsidRDefault="0030676F" w:rsidP="0030676F">
      <w:r w:rsidRPr="005F75ED">
        <w:rPr>
          <w:iCs/>
        </w:rPr>
        <w:t xml:space="preserve">EMI Consulting and Richard Ridge, 2015.  </w:t>
      </w:r>
      <w:r w:rsidRPr="005F75ED">
        <w:rPr>
          <w:i/>
          <w:iCs/>
        </w:rPr>
        <w:t>California 2016-2019 Retail Products Platform Program Pilot: Evaluation Plan</w:t>
      </w:r>
      <w:r w:rsidRPr="005F75ED">
        <w:t>.</w:t>
      </w:r>
    </w:p>
    <w:p w14:paraId="2BAB6C3A" w14:textId="77777777" w:rsidR="0030676F" w:rsidRPr="005F75ED" w:rsidRDefault="0030676F" w:rsidP="0030676F">
      <w:r w:rsidRPr="005F75ED">
        <w:t xml:space="preserve">Evaluation, Measurement and Verification Working Group, 2018.   </w:t>
      </w:r>
      <w:r w:rsidRPr="005F75ED">
        <w:rPr>
          <w:bCs/>
          <w:i/>
        </w:rPr>
        <w:t xml:space="preserve">ENERGY STAR® Retail Products Platform (RPP): Conditions and Considerations in Evaluating Market Transformation Programs and Evaluation Guidance for RPP.  </w:t>
      </w:r>
    </w:p>
    <w:p w14:paraId="6A63B094" w14:textId="77777777" w:rsidR="0030676F" w:rsidRPr="005F75ED" w:rsidRDefault="0030676F" w:rsidP="0030676F">
      <w:r w:rsidRPr="005F75ED">
        <w:t xml:space="preserve">Prahl, Ralph, and Ken Keating, 2014.  </w:t>
      </w:r>
      <w:r w:rsidRPr="005F75ED">
        <w:rPr>
          <w:i/>
        </w:rPr>
        <w:t>Building a Policy Framework to Support Energy Efficiency Market Transformation in California</w:t>
      </w:r>
      <w:r w:rsidRPr="005F75ED">
        <w:t>.  White paper written for the California Public Utilities Commission, San Francisco.</w:t>
      </w:r>
    </w:p>
    <w:p w14:paraId="0D7A10DC" w14:textId="77777777" w:rsidR="0030676F" w:rsidRDefault="0030676F" w:rsidP="0030676F">
      <w:r>
        <w:t xml:space="preserve">Navigant Consulting, February 2019.  </w:t>
      </w:r>
      <w:r w:rsidRPr="006135F1">
        <w:rPr>
          <w:i/>
          <w:iCs/>
        </w:rPr>
        <w:t>ComEd Energy Efficiency Program</w:t>
      </w:r>
      <w:r>
        <w:t xml:space="preserve"> </w:t>
      </w:r>
      <w:r w:rsidRPr="002533F9">
        <w:rPr>
          <w:i/>
          <w:iCs/>
        </w:rPr>
        <w:t>Energy Efficiency Market Transformation Summit Report</w:t>
      </w:r>
      <w:r>
        <w:t xml:space="preserve">. </w:t>
      </w:r>
      <w:hyperlink r:id="rId90" w:history="1">
        <w:r w:rsidRPr="00CE1E42">
          <w:rPr>
            <w:rStyle w:val="Hyperlink"/>
          </w:rPr>
          <w:t>https://www.navigant.com/experience/energy/2019/energy-efficiency-market-transformation-summit</w:t>
        </w:r>
      </w:hyperlink>
      <w:r>
        <w:t xml:space="preserve">  </w:t>
      </w:r>
      <w:hyperlink r:id="rId91" w:history="1">
        <w:r w:rsidRPr="00CE1E42">
          <w:rPr>
            <w:rStyle w:val="Hyperlink"/>
          </w:rPr>
          <w:t>https://www.navigant.com/-/media/www/site/downloads/energy/2019/market-transformation-summit-report.pdf?la=en&amp;utm_source=Direct&amp;utm_medium=PDF_MTS</w:t>
        </w:r>
      </w:hyperlink>
    </w:p>
    <w:p w14:paraId="1EE57B66" w14:textId="77777777" w:rsidR="0030676F" w:rsidRPr="005F75ED" w:rsidRDefault="0030676F" w:rsidP="0030676F">
      <w:r w:rsidRPr="005F75ED">
        <w:t xml:space="preserve">NMR Group, Inc., 2013.  </w:t>
      </w:r>
      <w:r w:rsidRPr="005F75ED">
        <w:rPr>
          <w:i/>
        </w:rPr>
        <w:t xml:space="preserve">A Review of Effective Practices for the Planning, Design, Implementation and Evaluation of Market Transformation Initiatives.  </w:t>
      </w:r>
      <w:r w:rsidRPr="005F75ED">
        <w:t>CALMAC study ID PGE330.01.</w:t>
      </w:r>
    </w:p>
    <w:p w14:paraId="64BBC9BA" w14:textId="77777777" w:rsidR="0030676F" w:rsidRPr="005F75ED" w:rsidRDefault="0030676F" w:rsidP="0030676F">
      <w:r w:rsidRPr="005F75ED">
        <w:t xml:space="preserve">NMR Group, Inc., 2014.  </w:t>
      </w:r>
      <w:r w:rsidRPr="005F75ED">
        <w:rPr>
          <w:i/>
        </w:rPr>
        <w:t xml:space="preserve">Methods for Measuring Market Effects of Massachusetts Energy Efficiency Programs.  </w:t>
      </w:r>
      <w:hyperlink r:id="rId92" w:history="1">
        <w:r w:rsidRPr="005F75ED">
          <w:rPr>
            <w:rStyle w:val="Hyperlink"/>
            <w:rFonts w:cstheme="minorHAnsi"/>
            <w:i/>
          </w:rPr>
          <w:t>http://ma-eeac.org/wordpress/wp-content/uploads/Methods-for-Measuring-Market-Effects-of-Massachusetts-</w:t>
        </w:r>
        <w:r w:rsidRPr="005F75ED">
          <w:rPr>
            <w:rStyle w:val="Hyperlink"/>
            <w:rFonts w:cstheme="minorHAnsi"/>
            <w:i/>
          </w:rPr>
          <w:lastRenderedPageBreak/>
          <w:t>Energy-Efficiency-Programs.pdf</w:t>
        </w:r>
      </w:hyperlink>
    </w:p>
    <w:p w14:paraId="1336BDF6" w14:textId="77777777" w:rsidR="0030676F" w:rsidRPr="005F75ED" w:rsidRDefault="0030676F" w:rsidP="0030676F">
      <w:r w:rsidRPr="005F75ED">
        <w:t xml:space="preserve">Keating, Ken, 2014.  </w:t>
      </w:r>
      <w:r w:rsidRPr="005F75ED">
        <w:rPr>
          <w:i/>
        </w:rPr>
        <w:t xml:space="preserve">Guidance on Designing and Implementing Energy Efficiency Market Transformation Initiatives.  </w:t>
      </w:r>
      <w:r w:rsidRPr="005F75ED">
        <w:t>White paper written for the California Public Utilities Commission, San Francisco.</w:t>
      </w:r>
    </w:p>
    <w:p w14:paraId="36225498" w14:textId="77777777" w:rsidR="0030676F" w:rsidRPr="005F75ED" w:rsidRDefault="0030676F" w:rsidP="0030676F">
      <w:r w:rsidRPr="005F75ED">
        <w:t xml:space="preserve">Lee, Allen, Dan Groshans, Peter Schaffer, Alexandra </w:t>
      </w:r>
      <w:proofErr w:type="spellStart"/>
      <w:r w:rsidRPr="005F75ED">
        <w:t>Rekkas</w:t>
      </w:r>
      <w:proofErr w:type="spellEnd"/>
      <w:r w:rsidRPr="005F75ED">
        <w:t xml:space="preserve">, Richard </w:t>
      </w:r>
      <w:proofErr w:type="spellStart"/>
      <w:r w:rsidRPr="005F75ED">
        <w:t>Faesy</w:t>
      </w:r>
      <w:proofErr w:type="spellEnd"/>
      <w:r w:rsidRPr="005F75ED">
        <w:t xml:space="preserve">, Lynn Hoefgen and Phil Mosenthal, 2013.  </w:t>
      </w:r>
      <w:r w:rsidRPr="005F75ED">
        <w:rPr>
          <w:i/>
        </w:rPr>
        <w:t xml:space="preserve">Attributing Building Energy Code Savings to Energy Efficiency Programs.  </w:t>
      </w:r>
      <w:r w:rsidRPr="005F75ED">
        <w:t>Report prepared for Northeast Energy Efficiency Partnerships, Innovation Electricity Efficiency, and the Institute for Market Transformation.</w:t>
      </w:r>
    </w:p>
    <w:p w14:paraId="5E1416F8" w14:textId="77777777" w:rsidR="0030676F" w:rsidRPr="005F75ED" w:rsidRDefault="0030676F" w:rsidP="0030676F">
      <w:r w:rsidRPr="005F75ED">
        <w:t xml:space="preserve">Metrics, Tracking and Performance Assessment Working Group, 2018.  </w:t>
      </w:r>
      <w:r w:rsidRPr="005F75ED">
        <w:rPr>
          <w:i/>
        </w:rPr>
        <w:t xml:space="preserve">Market Transformation Metrics and EM&amp;V Coordination Report.  </w:t>
      </w:r>
      <w:r w:rsidRPr="005F75ED">
        <w:t>White paper submitted to the New York Department of Public Service by the Clean Energy Advisory Council.</w:t>
      </w:r>
    </w:p>
    <w:p w14:paraId="43C21A6F" w14:textId="77777777" w:rsidR="0030676F" w:rsidRPr="005F75ED" w:rsidRDefault="0030676F" w:rsidP="0030676F">
      <w:r w:rsidRPr="005F75ED">
        <w:t xml:space="preserve">Ridge, Richard, Brian Arthur Smith, Julie Colvin, and Luke </w:t>
      </w:r>
      <w:proofErr w:type="spellStart"/>
      <w:r w:rsidRPr="005F75ED">
        <w:t>Nickerman</w:t>
      </w:r>
      <w:proofErr w:type="spellEnd"/>
      <w:r w:rsidRPr="005F75ED">
        <w:t xml:space="preserve">, 2015.  Modifying California’s Traditional Resource Acquisition Benefit-Cost Analysis to Accommodate Market Transformation Programs.  In </w:t>
      </w:r>
      <w:r w:rsidRPr="005F75ED">
        <w:rPr>
          <w:i/>
        </w:rPr>
        <w:t xml:space="preserve">Proceedings of the 2015 International Energy Program Evaluation Conference.  </w:t>
      </w:r>
      <w:r w:rsidRPr="005F75ED">
        <w:t>Long Beach.</w:t>
      </w:r>
    </w:p>
    <w:p w14:paraId="087CF536" w14:textId="77777777" w:rsidR="0030676F" w:rsidRPr="006135F1" w:rsidRDefault="0030676F" w:rsidP="0030676F">
      <w:r>
        <w:t xml:space="preserve">TRC, 2019.  </w:t>
      </w:r>
      <w:r>
        <w:rPr>
          <w:i/>
          <w:iCs/>
        </w:rPr>
        <w:t xml:space="preserve">Codes &amp; Standards Program Advocacy and Attribution Study.  </w:t>
      </w:r>
      <w:r>
        <w:t xml:space="preserve">CALMAC Study ID: SCE0435.01.  Report prepared for the California Public Utilities Commission.  </w:t>
      </w:r>
    </w:p>
    <w:p w14:paraId="3CD7C6C6" w14:textId="77777777" w:rsidR="0030676F" w:rsidRPr="005F75ED" w:rsidRDefault="0030676F" w:rsidP="0030676F">
      <w:r w:rsidRPr="005F75ED">
        <w:t xml:space="preserve">Weiss, Carol H. 1998. </w:t>
      </w:r>
      <w:r w:rsidRPr="005F75ED">
        <w:rPr>
          <w:i/>
        </w:rPr>
        <w:t>Evaluation Methods for Studying Programs and Policies, 2nd Edition</w:t>
      </w:r>
      <w:r w:rsidRPr="005F75ED">
        <w:t>. Upper Saddle River, New Jersey: Prentice Hall.</w:t>
      </w:r>
    </w:p>
    <w:p w14:paraId="3CF16F93" w14:textId="77777777" w:rsidR="0030676F" w:rsidRPr="005F75ED" w:rsidRDefault="0030676F" w:rsidP="0030676F">
      <w:pPr>
        <w:rPr>
          <w:rFonts w:cstheme="minorHAnsi"/>
        </w:rPr>
      </w:pPr>
    </w:p>
    <w:p w14:paraId="0DEE007A" w14:textId="77777777" w:rsidR="00A572A2" w:rsidRPr="00A572A2" w:rsidRDefault="00A572A2" w:rsidP="00A572A2">
      <w:pPr>
        <w:rPr>
          <w:rFonts w:eastAsia="Franklin Gothic Book"/>
        </w:rPr>
      </w:pPr>
    </w:p>
    <w:sectPr w:rsidR="00A572A2" w:rsidRPr="00A572A2" w:rsidSect="003577EB">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F5BE758" w14:textId="77777777" w:rsidR="003E29E0" w:rsidRDefault="003E29E0" w:rsidP="009F45F0">
      <w:pPr>
        <w:spacing w:after="0"/>
      </w:pPr>
      <w:r>
        <w:separator/>
      </w:r>
    </w:p>
    <w:p w14:paraId="13C70705" w14:textId="77777777" w:rsidR="003E29E0" w:rsidRDefault="003E29E0"/>
  </w:endnote>
  <w:endnote w:type="continuationSeparator" w:id="0">
    <w:p w14:paraId="1E0F19D6" w14:textId="77777777" w:rsidR="003E29E0" w:rsidRDefault="003E29E0" w:rsidP="009F45F0">
      <w:pPr>
        <w:spacing w:after="0"/>
      </w:pPr>
      <w:r>
        <w:continuationSeparator/>
      </w:r>
    </w:p>
    <w:p w14:paraId="445EDCEA" w14:textId="77777777" w:rsidR="003E29E0" w:rsidRDefault="003E29E0"/>
  </w:endnote>
  <w:endnote w:type="continuationNotice" w:id="1">
    <w:p w14:paraId="75181EE7" w14:textId="77777777" w:rsidR="003E29E0" w:rsidRDefault="003E29E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Franklin Gothic Book">
    <w:charset w:val="00"/>
    <w:family w:val="swiss"/>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Black">
    <w:panose1 w:val="020B0A04020102020204"/>
    <w:charset w:val="00"/>
    <w:family w:val="swiss"/>
    <w:pitch w:val="variable"/>
    <w:sig w:usb0="A00002AF" w:usb1="400078FB" w:usb2="00000000" w:usb3="00000000" w:csb0="0000009F" w:csb1="00000000"/>
  </w:font>
  <w:font w:name="Garamond">
    <w:charset w:val="00"/>
    <w:family w:val="roman"/>
    <w:pitch w:val="variable"/>
    <w:sig w:usb0="00000287" w:usb1="00000000" w:usb2="00000000" w:usb3="00000000" w:csb0="0000009F" w:csb1="00000000"/>
  </w:font>
  <w:font w:name="Adobe Caslon Pro">
    <w:altName w:val="Palatino Linotype"/>
    <w:panose1 w:val="00000000000000000000"/>
    <w:charset w:val="00"/>
    <w:family w:val="roman"/>
    <w:notTrueType/>
    <w:pitch w:val="variable"/>
    <w:sig w:usb0="00000007" w:usb1="00000001" w:usb2="00000000" w:usb3="00000000" w:csb0="00000093" w:csb1="00000000"/>
  </w:font>
  <w:font w:name="HelveticaNeueLT Std">
    <w:panose1 w:val="00000000000000000000"/>
    <w:charset w:val="00"/>
    <w:family w:val="swiss"/>
    <w:notTrueType/>
    <w:pitch w:val="variable"/>
    <w:sig w:usb0="800000AF" w:usb1="4000204A" w:usb2="00000000" w:usb3="00000000" w:csb0="00000001" w:csb1="00000000"/>
  </w:font>
  <w:font w:name="HelveticaNeueLT Std Med">
    <w:altName w:val="Arial"/>
    <w:panose1 w:val="00000000000000000000"/>
    <w:charset w:val="00"/>
    <w:family w:val="swiss"/>
    <w:notTrueType/>
    <w:pitch w:val="default"/>
    <w:sig w:usb0="00000003" w:usb1="00000000" w:usb2="00000000" w:usb3="00000000" w:csb0="00000001" w:csb1="00000000"/>
  </w:font>
  <w:font w:name="Roboto">
    <w:charset w:val="00"/>
    <w:family w:val="auto"/>
    <w:pitch w:val="variable"/>
    <w:sig w:usb0="E00002FF" w:usb1="5000205B" w:usb2="00000020" w:usb3="00000000" w:csb0="0000019F" w:csb1="00000000"/>
  </w:font>
  <w:font w:name="Cambria Math">
    <w:panose1 w:val="02040503050406030204"/>
    <w:charset w:val="00"/>
    <w:family w:val="roman"/>
    <w:pitch w:val="variable"/>
    <w:sig w:usb0="E00006FF" w:usb1="420024FF" w:usb2="02000000" w:usb3="00000000" w:csb0="0000019F" w:csb1="00000000"/>
  </w:font>
  <w:font w:name="Lato">
    <w:charset w:val="00"/>
    <w:family w:val="swiss"/>
    <w:pitch w:val="variable"/>
    <w:sig w:usb0="E10002FF" w:usb1="5000ECFF" w:usb2="00000021" w:usb3="00000000" w:csb0="0000019F" w:csb1="00000000"/>
  </w:font>
  <w:font w:name="Helvetica">
    <w:panose1 w:val="020B0604020202020204"/>
    <w:charset w:val="00"/>
    <w:family w:val="swiss"/>
    <w:pitch w:val="variable"/>
    <w:sig w:usb0="E0002EFF" w:usb1="C000785B" w:usb2="00000009" w:usb3="00000000" w:csb0="000001FF" w:csb1="00000000"/>
  </w:font>
  <w:font w:name="Gill Sans MT">
    <w:charset w:val="00"/>
    <w:family w:val="swiss"/>
    <w:pitch w:val="variable"/>
    <w:sig w:usb0="00000003" w:usb1="00000000" w:usb2="00000000" w:usb3="00000000" w:csb0="0000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2C08E0" w14:textId="652DA1BB" w:rsidR="00061B97" w:rsidRDefault="00061B97" w:rsidP="00CF6564">
    <w:pPr>
      <w:pStyle w:val="Footer"/>
    </w:pPr>
    <w:r>
      <w:t>202</w:t>
    </w:r>
    <w:del w:id="55" w:author="Kalee Whitehouse" w:date="2022-06-21T15:25:00Z">
      <w:r w:rsidR="005F3230" w:rsidDel="00BB7592">
        <w:delText>2</w:delText>
      </w:r>
    </w:del>
    <w:ins w:id="56" w:author="Kalee Whitehouse" w:date="2022-06-21T15:25:00Z">
      <w:r w:rsidR="00BB7592">
        <w:t>3</w:t>
      </w:r>
    </w:ins>
    <w:r>
      <w:t xml:space="preserve"> IL TRM v</w:t>
    </w:r>
    <w:r w:rsidR="005F3230">
      <w:t>1</w:t>
    </w:r>
    <w:del w:id="57" w:author="Kalee Whitehouse" w:date="2022-06-21T15:25:00Z">
      <w:r w:rsidR="005F3230" w:rsidDel="00BB7592">
        <w:delText>0</w:delText>
      </w:r>
    </w:del>
    <w:ins w:id="58" w:author="Kalee Whitehouse" w:date="2022-06-21T15:25:00Z">
      <w:r w:rsidR="00BB7592">
        <w:t>1</w:t>
      </w:r>
    </w:ins>
    <w:r>
      <w:t>.0 Vol. 4_</w:t>
    </w:r>
    <w:del w:id="59" w:author="Kalee Whitehouse" w:date="2022-06-21T15:24:00Z">
      <w:r w:rsidR="007804F4" w:rsidDel="00BB7592">
        <w:delText xml:space="preserve">September </w:delText>
      </w:r>
    </w:del>
    <w:ins w:id="60" w:author="Kalee Whitehouse" w:date="2022-06-21T15:24:00Z">
      <w:del w:id="61" w:author="Sam Dent" w:date="2022-08-04T12:02:00Z">
        <w:r w:rsidR="00BB7592" w:rsidDel="00ED47B9">
          <w:delText>June</w:delText>
        </w:r>
      </w:del>
      <w:del w:id="62" w:author="Sam Dent" w:date="2022-06-22T11:27:00Z">
        <w:r w:rsidR="00BB7592" w:rsidDel="00160E80">
          <w:delText>r</w:delText>
        </w:r>
      </w:del>
    </w:ins>
    <w:ins w:id="63" w:author="Sam Dent" w:date="2022-09-07T08:32:00Z">
      <w:r w:rsidR="006E7574">
        <w:t>September</w:t>
      </w:r>
    </w:ins>
    <w:ins w:id="64" w:author="Kalee Whitehouse" w:date="2022-06-21T15:24:00Z">
      <w:r w:rsidR="00BB7592">
        <w:t xml:space="preserve"> </w:t>
      </w:r>
    </w:ins>
    <w:del w:id="65" w:author="Sam Dent" w:date="2022-08-04T12:02:00Z">
      <w:r w:rsidR="002F1A77" w:rsidDel="00ED47B9">
        <w:delText>24</w:delText>
      </w:r>
    </w:del>
    <w:ins w:id="66" w:author="Sam Dent" w:date="2022-09-20T09:17:00Z">
      <w:r w:rsidR="003557B0">
        <w:t>2</w:t>
      </w:r>
      <w:del w:id="67" w:author="Kalee Whitehouse" w:date="2022-09-22T19:26:00Z">
        <w:r w:rsidR="003557B0" w:rsidDel="00CF2633">
          <w:delText>3</w:delText>
        </w:r>
      </w:del>
    </w:ins>
    <w:ins w:id="68" w:author="Kalee Whitehouse" w:date="2022-09-22T19:26:00Z">
      <w:r w:rsidR="00CF2633">
        <w:t>2</w:t>
      </w:r>
    </w:ins>
    <w:r w:rsidR="009F0201">
      <w:t>, 202</w:t>
    </w:r>
    <w:del w:id="69" w:author="Kalee Whitehouse" w:date="2022-06-21T15:24:00Z">
      <w:r w:rsidR="005F3230" w:rsidDel="00BB7592">
        <w:delText>1</w:delText>
      </w:r>
    </w:del>
    <w:ins w:id="70" w:author="Kalee Whitehouse" w:date="2022-06-21T15:24:00Z">
      <w:r w:rsidR="00BB7592">
        <w:t>2</w:t>
      </w:r>
    </w:ins>
    <w:r>
      <w:t>_</w:t>
    </w:r>
    <w:del w:id="71" w:author="Kalee Whitehouse" w:date="2022-06-21T15:24:00Z">
      <w:r w:rsidR="002F1A77" w:rsidDel="00BB7592">
        <w:delText>FINAL</w:delText>
      </w:r>
    </w:del>
    <w:ins w:id="72" w:author="Kalee Whitehouse" w:date="2022-06-21T15:24:00Z">
      <w:del w:id="73" w:author="Sam Dent" w:date="2022-09-20T09:17:00Z">
        <w:r w:rsidR="00BB7592" w:rsidDel="003557B0">
          <w:delText>DRAFT</w:delText>
        </w:r>
      </w:del>
    </w:ins>
    <w:ins w:id="74" w:author="Sam Dent" w:date="2022-09-20T09:17:00Z">
      <w:r w:rsidR="003557B0">
        <w:t>FINAL</w:t>
      </w:r>
    </w:ins>
    <w:sdt>
      <w:sdtPr>
        <w:id w:val="-1356501229"/>
        <w:docPartObj>
          <w:docPartGallery w:val="Page Numbers (Top of Page)"/>
          <w:docPartUnique/>
        </w:docPartObj>
      </w:sdtPr>
      <w:sdtEndPr/>
      <w:sdtContent>
        <w:r>
          <w:tab/>
        </w:r>
        <w:r>
          <w:tab/>
          <w:t xml:space="preserve">Page </w:t>
        </w:r>
        <w:r>
          <w:rPr>
            <w:b/>
            <w:bCs/>
            <w:sz w:val="24"/>
            <w:szCs w:val="24"/>
          </w:rPr>
          <w:fldChar w:fldCharType="begin"/>
        </w:r>
        <w:r>
          <w:rPr>
            <w:b/>
            <w:bCs/>
          </w:rPr>
          <w:instrText xml:space="preserve"> PAGE </w:instrText>
        </w:r>
        <w:r>
          <w:rPr>
            <w:b/>
            <w:bCs/>
            <w:sz w:val="24"/>
            <w:szCs w:val="24"/>
          </w:rPr>
          <w:fldChar w:fldCharType="separate"/>
        </w:r>
        <w:r>
          <w:rPr>
            <w:b/>
            <w:bCs/>
            <w:noProof/>
          </w:rPr>
          <w:t>19</w:t>
        </w:r>
        <w:r>
          <w:rPr>
            <w:b/>
            <w:bCs/>
            <w:sz w:val="24"/>
            <w:szCs w:val="24"/>
          </w:rPr>
          <w:fldChar w:fldCharType="end"/>
        </w:r>
        <w:r>
          <w:t xml:space="preserve"> of </w:t>
        </w:r>
        <w:r>
          <w:rPr>
            <w:b/>
            <w:bCs/>
            <w:sz w:val="24"/>
            <w:szCs w:val="24"/>
          </w:rPr>
          <w:fldChar w:fldCharType="begin"/>
        </w:r>
        <w:r>
          <w:rPr>
            <w:b/>
            <w:bCs/>
          </w:rPr>
          <w:instrText xml:space="preserve"> NUMPAGES  </w:instrText>
        </w:r>
        <w:r>
          <w:rPr>
            <w:b/>
            <w:bCs/>
            <w:sz w:val="24"/>
            <w:szCs w:val="24"/>
          </w:rPr>
          <w:fldChar w:fldCharType="separate"/>
        </w:r>
        <w:r>
          <w:rPr>
            <w:b/>
            <w:bCs/>
            <w:noProof/>
          </w:rPr>
          <w:t>104</w:t>
        </w:r>
        <w:r>
          <w:rPr>
            <w:b/>
            <w:bCs/>
            <w:sz w:val="24"/>
            <w:szCs w:val="24"/>
          </w:rPr>
          <w:fldChar w:fldCharType="end"/>
        </w:r>
      </w:sdtContent>
    </w:sdt>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73619B" w14:textId="77777777" w:rsidR="00E3500B" w:rsidRDefault="00E3500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3CCF0E" w14:textId="77777777" w:rsidR="00E3500B" w:rsidRDefault="00E3500B">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454C2C" w14:textId="77777777" w:rsidR="00E3500B" w:rsidRDefault="00573A1D" w:rsidP="00B37273">
    <w:pPr>
      <w:pStyle w:val="Footer"/>
      <w:jc w:val="center"/>
    </w:pPr>
    <w:sdt>
      <w:sdtPr>
        <w:id w:val="-1662074154"/>
        <w:docPartObj>
          <w:docPartGallery w:val="Page Numbers (Bottom of Page)"/>
          <w:docPartUnique/>
        </w:docPartObj>
      </w:sdtPr>
      <w:sdtEndPr/>
      <w:sdtContent>
        <w:sdt>
          <w:sdtPr>
            <w:id w:val="-80605182"/>
            <w:docPartObj>
              <w:docPartGallery w:val="Page Numbers (Top of Page)"/>
              <w:docPartUnique/>
            </w:docPartObj>
          </w:sdtPr>
          <w:sdtEndPr/>
          <w:sdtContent>
            <w:r w:rsidR="00E3500B">
              <w:t xml:space="preserve">Page </w:t>
            </w:r>
            <w:r w:rsidR="00E3500B">
              <w:rPr>
                <w:b/>
                <w:bCs/>
              </w:rPr>
              <w:fldChar w:fldCharType="begin"/>
            </w:r>
            <w:r w:rsidR="00E3500B">
              <w:rPr>
                <w:b/>
                <w:bCs/>
              </w:rPr>
              <w:instrText xml:space="preserve"> PAGE </w:instrText>
            </w:r>
            <w:r w:rsidR="00E3500B">
              <w:rPr>
                <w:b/>
                <w:bCs/>
              </w:rPr>
              <w:fldChar w:fldCharType="separate"/>
            </w:r>
            <w:r w:rsidR="00E3500B">
              <w:rPr>
                <w:b/>
                <w:bCs/>
              </w:rPr>
              <w:t>1</w:t>
            </w:r>
            <w:r w:rsidR="00E3500B">
              <w:rPr>
                <w:b/>
                <w:bCs/>
              </w:rPr>
              <w:fldChar w:fldCharType="end"/>
            </w:r>
            <w:r w:rsidR="00E3500B">
              <w:t xml:space="preserve"> of </w:t>
            </w:r>
            <w:r w:rsidR="00E3500B">
              <w:rPr>
                <w:b/>
                <w:bCs/>
              </w:rPr>
              <w:fldChar w:fldCharType="begin"/>
            </w:r>
            <w:r w:rsidR="00E3500B">
              <w:rPr>
                <w:b/>
                <w:bCs/>
              </w:rPr>
              <w:instrText xml:space="preserve"> NUMPAGES  </w:instrText>
            </w:r>
            <w:r w:rsidR="00E3500B">
              <w:rPr>
                <w:b/>
                <w:bCs/>
              </w:rPr>
              <w:fldChar w:fldCharType="separate"/>
            </w:r>
            <w:r w:rsidR="00E3500B">
              <w:rPr>
                <w:b/>
                <w:bCs/>
              </w:rPr>
              <w:t>22</w:t>
            </w:r>
            <w:r w:rsidR="00E3500B">
              <w:rPr>
                <w:b/>
                <w:bCs/>
              </w:rPr>
              <w:fldChar w:fldCharType="end"/>
            </w:r>
          </w:sdtContent>
        </w:sdt>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947FB1" w14:textId="77777777" w:rsidR="003E29E0" w:rsidRDefault="003E29E0" w:rsidP="009F45F0">
      <w:pPr>
        <w:spacing w:after="0"/>
      </w:pPr>
      <w:r>
        <w:separator/>
      </w:r>
    </w:p>
  </w:footnote>
  <w:footnote w:type="continuationSeparator" w:id="0">
    <w:p w14:paraId="7C486A41" w14:textId="77777777" w:rsidR="003E29E0" w:rsidRDefault="003E29E0" w:rsidP="00654511">
      <w:pPr>
        <w:spacing w:after="0"/>
      </w:pPr>
      <w:r>
        <w:continuationSeparator/>
      </w:r>
    </w:p>
  </w:footnote>
  <w:footnote w:type="continuationNotice" w:id="1">
    <w:p w14:paraId="741B60C6" w14:textId="77777777" w:rsidR="003E29E0" w:rsidRPr="00654511" w:rsidRDefault="003E29E0" w:rsidP="00654511">
      <w:pPr>
        <w:pStyle w:val="Footer"/>
      </w:pPr>
    </w:p>
  </w:footnote>
  <w:footnote w:id="2">
    <w:p w14:paraId="2BA2C79F" w14:textId="77777777" w:rsidR="00061B97" w:rsidRPr="00817AB1" w:rsidRDefault="00061B97" w:rsidP="00830CF8">
      <w:pPr>
        <w:pStyle w:val="FootnoteText"/>
        <w:rPr>
          <w:szCs w:val="18"/>
        </w:rPr>
      </w:pPr>
      <w:r>
        <w:rPr>
          <w:rStyle w:val="FootnoteReference"/>
          <w:rFonts w:eastAsiaTheme="majorEastAsia"/>
        </w:rPr>
        <w:footnoteRef/>
      </w:r>
      <w:r>
        <w:t xml:space="preserve"> </w:t>
      </w:r>
      <w:r>
        <w:rPr>
          <w:szCs w:val="18"/>
        </w:rPr>
        <w:t>The</w:t>
      </w:r>
      <w:r w:rsidRPr="00817AB1">
        <w:rPr>
          <w:szCs w:val="18"/>
        </w:rPr>
        <w:t xml:space="preserve"> protocol outlined here</w:t>
      </w:r>
      <w:r>
        <w:rPr>
          <w:szCs w:val="18"/>
        </w:rPr>
        <w:t xml:space="preserve"> assumes that adjustments to remove the effects of savings from program lift (participation in other utility programs), including legacy uplift, to account for move-outs and opt-outs, to normalize for effects of weather, and any other appropriate adjustments, have been made as part of the custom calculation of savings – this final savings value is referred to as “Measured Savings” in the calculations below. </w:t>
      </w:r>
    </w:p>
  </w:footnote>
  <w:footnote w:id="3">
    <w:p w14:paraId="1ED0D829" w14:textId="3330CAD8" w:rsidR="00061B97" w:rsidRDefault="00061B97" w:rsidP="00830CF8">
      <w:pPr>
        <w:pStyle w:val="FootnoteText"/>
      </w:pPr>
      <w:r>
        <w:rPr>
          <w:rStyle w:val="FootnoteReference"/>
          <w:rFonts w:eastAsiaTheme="majorEastAsia"/>
        </w:rPr>
        <w:footnoteRef/>
      </w:r>
      <w:r>
        <w:t xml:space="preserve"> </w:t>
      </w:r>
      <w:r w:rsidRPr="00B05595">
        <w:rPr>
          <w:szCs w:val="18"/>
        </w:rPr>
        <w:t>Long-Run Savings and Cost-Effectiveness of</w:t>
      </w:r>
      <w:r>
        <w:rPr>
          <w:szCs w:val="18"/>
        </w:rPr>
        <w:t xml:space="preserve"> Home Energy Reports Programs, Cadmus, October 2014. Also see additional sources in the </w:t>
      </w:r>
      <w:r w:rsidRPr="009248B3">
        <w:rPr>
          <w:smallCaps/>
          <w:szCs w:val="18"/>
        </w:rPr>
        <w:t>REFERENCE TABLE</w:t>
      </w:r>
      <w:r w:rsidR="001807F3">
        <w:rPr>
          <w:smallCaps/>
          <w:szCs w:val="18"/>
        </w:rPr>
        <w:t>S</w:t>
      </w:r>
      <w:r w:rsidR="001807F3" w:rsidRPr="001807F3">
        <w:rPr>
          <w:szCs w:val="18"/>
        </w:rPr>
        <w:t xml:space="preserve"> section</w:t>
      </w:r>
      <w:r>
        <w:rPr>
          <w:szCs w:val="18"/>
        </w:rPr>
        <w:t xml:space="preserve"> below.</w:t>
      </w:r>
    </w:p>
  </w:footnote>
  <w:footnote w:id="4">
    <w:p w14:paraId="4D01559D" w14:textId="77777777" w:rsidR="00061B97" w:rsidRDefault="00061B97" w:rsidP="00830CF8">
      <w:pPr>
        <w:pStyle w:val="FootnoteText"/>
      </w:pPr>
      <w:r>
        <w:rPr>
          <w:rStyle w:val="FootnoteReference"/>
          <w:rFonts w:eastAsiaTheme="majorEastAsia"/>
        </w:rPr>
        <w:footnoteRef/>
      </w:r>
      <w:r>
        <w:t xml:space="preserve"> </w:t>
      </w:r>
      <w:r w:rsidRPr="00FD2967">
        <w:rPr>
          <w:szCs w:val="18"/>
        </w:rPr>
        <w:t>Residential HERs-type programs: programs that regularly deliver home energy reports to residential customers through direct mail or email channels using a random control trial (RCT) experimental design. At a minimum, the reports include customer-specific usage information used for a comparison to similar households and individualized energy savings tips.</w:t>
      </w:r>
    </w:p>
  </w:footnote>
  <w:footnote w:id="5">
    <w:p w14:paraId="303F9B63" w14:textId="77777777" w:rsidR="00654D0F" w:rsidRDefault="00654D0F" w:rsidP="00654D0F">
      <w:pPr>
        <w:pStyle w:val="FootnoteText"/>
      </w:pPr>
      <w:r>
        <w:rPr>
          <w:rStyle w:val="FootnoteReference"/>
        </w:rPr>
        <w:footnoteRef/>
      </w:r>
      <w:r>
        <w:t xml:space="preserve"> </w:t>
      </w:r>
      <w:r w:rsidRPr="00226CE5">
        <w:rPr>
          <w:szCs w:val="18"/>
        </w:rPr>
        <w:t>See REFERENCE TABLE</w:t>
      </w:r>
      <w:r>
        <w:rPr>
          <w:szCs w:val="18"/>
        </w:rPr>
        <w:t>S</w:t>
      </w:r>
      <w:r w:rsidRPr="00226CE5">
        <w:rPr>
          <w:szCs w:val="18"/>
        </w:rPr>
        <w:t xml:space="preserve"> below for sources</w:t>
      </w:r>
      <w:r>
        <w:rPr>
          <w:szCs w:val="18"/>
        </w:rPr>
        <w:t>.</w:t>
      </w:r>
    </w:p>
  </w:footnote>
  <w:footnote w:id="6">
    <w:p w14:paraId="1338EE79" w14:textId="14BEB9A1" w:rsidR="00654D0F" w:rsidRDefault="00654D0F" w:rsidP="00654D0F">
      <w:pPr>
        <w:pStyle w:val="FootnoteText"/>
      </w:pPr>
      <w:r>
        <w:rPr>
          <w:rStyle w:val="FootnoteReference"/>
          <w:rFonts w:eastAsiaTheme="majorEastAsia"/>
        </w:rPr>
        <w:footnoteRef/>
      </w:r>
      <w:r>
        <w:t xml:space="preserve"> </w:t>
      </w:r>
      <w:r w:rsidRPr="00B05595">
        <w:rPr>
          <w:szCs w:val="18"/>
        </w:rPr>
        <w:t>Long-Run Savings and Cost-Effectiveness of</w:t>
      </w:r>
      <w:r>
        <w:rPr>
          <w:szCs w:val="18"/>
        </w:rPr>
        <w:t xml:space="preserve"> Home Energy Reports Programs, Cadmus, October 2014. Also see additional sources in the </w:t>
      </w:r>
      <w:r w:rsidRPr="00093A3F">
        <w:rPr>
          <w:smallCaps/>
          <w:szCs w:val="18"/>
        </w:rPr>
        <w:t>REFERENCE TABLE</w:t>
      </w:r>
      <w:r>
        <w:rPr>
          <w:szCs w:val="18"/>
        </w:rPr>
        <w:t xml:space="preserve"> below.</w:t>
      </w:r>
      <w:r w:rsidRPr="001B5B91">
        <w:rPr>
          <w:szCs w:val="18"/>
        </w:rPr>
        <w:t xml:space="preserve"> Given the </w:t>
      </w:r>
      <w:r w:rsidR="00330E35">
        <w:rPr>
          <w:szCs w:val="18"/>
        </w:rPr>
        <w:t>variab</w:t>
      </w:r>
      <w:r w:rsidR="000A3482">
        <w:rPr>
          <w:szCs w:val="18"/>
        </w:rPr>
        <w:t>le</w:t>
      </w:r>
      <w:r w:rsidR="00330E35">
        <w:rPr>
          <w:szCs w:val="18"/>
        </w:rPr>
        <w:t xml:space="preserve"> </w:t>
      </w:r>
      <w:r w:rsidR="000879E1">
        <w:rPr>
          <w:szCs w:val="18"/>
        </w:rPr>
        <w:t>characteristics of</w:t>
      </w:r>
      <w:r w:rsidRPr="001B5B91">
        <w:rPr>
          <w:szCs w:val="18"/>
        </w:rPr>
        <w:t xml:space="preserve"> persistence studies available, we acknowledge that using an average of these studies by fuel type may be</w:t>
      </w:r>
      <w:r>
        <w:rPr>
          <w:szCs w:val="18"/>
        </w:rPr>
        <w:t xml:space="preserve"> the best approximation of persistence</w:t>
      </w:r>
      <w:r w:rsidRPr="001B5B91">
        <w:rPr>
          <w:szCs w:val="18"/>
        </w:rPr>
        <w:t xml:space="preserve"> rates. However, moving forward, the TAC will i</w:t>
      </w:r>
      <w:r>
        <w:rPr>
          <w:szCs w:val="18"/>
        </w:rPr>
        <w:t>ncorporate additional</w:t>
      </w:r>
      <w:r w:rsidRPr="001B5B91">
        <w:rPr>
          <w:szCs w:val="18"/>
        </w:rPr>
        <w:t xml:space="preserve"> study values and develop the most appropriate persistence factor</w:t>
      </w:r>
      <w:r>
        <w:rPr>
          <w:szCs w:val="18"/>
        </w:rPr>
        <w:t>s,</w:t>
      </w:r>
      <w:r w:rsidRPr="001B5B91">
        <w:rPr>
          <w:szCs w:val="18"/>
        </w:rPr>
        <w:t xml:space="preserve"> taking into account </w:t>
      </w:r>
      <w:r w:rsidR="00A16533">
        <w:rPr>
          <w:szCs w:val="18"/>
        </w:rPr>
        <w:t xml:space="preserve">when possible </w:t>
      </w:r>
      <w:r w:rsidRPr="001B5B91">
        <w:rPr>
          <w:szCs w:val="18"/>
        </w:rPr>
        <w:t>participant characteristics, such as the duration of exposure, the frequency of reports, baseline usage, as well as the amount of time that has persisted since receiving their final report</w:t>
      </w:r>
      <w:r>
        <w:rPr>
          <w:szCs w:val="18"/>
        </w:rPr>
        <w:t>, and the shape of the persistence curve.</w:t>
      </w:r>
    </w:p>
  </w:footnote>
  <w:footnote w:id="7">
    <w:p w14:paraId="4F1FAFA3" w14:textId="77777777" w:rsidR="000702C6" w:rsidRDefault="000702C6" w:rsidP="000702C6">
      <w:pPr>
        <w:pStyle w:val="FootnoteText"/>
        <w:rPr>
          <w:szCs w:val="18"/>
        </w:rPr>
      </w:pPr>
      <w:r>
        <w:rPr>
          <w:rStyle w:val="FootnoteReference"/>
          <w:rFonts w:eastAsiaTheme="majorEastAsia"/>
          <w:sz w:val="18"/>
          <w:szCs w:val="18"/>
        </w:rPr>
        <w:footnoteRef/>
      </w:r>
      <w:r>
        <w:rPr>
          <w:szCs w:val="18"/>
        </w:rPr>
        <w:t xml:space="preserve"> For example, a linear fixed-effects regression (LFER) model includes a household-specific intercept to account for time-invariant, household-level factors affecting energy use, and a post program regression (PPR) model uses energy use lags to account for household-specific usage in the year prior to the program.</w:t>
      </w:r>
    </w:p>
  </w:footnote>
  <w:footnote w:id="8">
    <w:p w14:paraId="0DA1CEAB" w14:textId="77777777" w:rsidR="000702C6" w:rsidRDefault="000702C6" w:rsidP="000702C6">
      <w:pPr>
        <w:pStyle w:val="FootnoteText"/>
      </w:pPr>
      <w:r>
        <w:rPr>
          <w:rStyle w:val="FootnoteReference"/>
          <w:rFonts w:eastAsiaTheme="majorEastAsia"/>
        </w:rPr>
        <w:footnoteRef/>
      </w:r>
      <w:r>
        <w:t xml:space="preserve"> </w:t>
      </w:r>
      <w:r>
        <w:rPr>
          <w:szCs w:val="18"/>
        </w:rPr>
        <w:t>In the future, this approach could be empirically tested by comparing actual savings calculated in future program years against standard weather year results, producing a ‘realization rate’ between planned and actual savings results. Standard weather years could potentially be enhanced to better reflect these differences.</w:t>
      </w:r>
      <w:r>
        <w:t xml:space="preserve"> </w:t>
      </w:r>
    </w:p>
  </w:footnote>
  <w:footnote w:id="9">
    <w:p w14:paraId="1382306B" w14:textId="77777777" w:rsidR="000702C6" w:rsidRDefault="000702C6" w:rsidP="000702C6">
      <w:pPr>
        <w:pStyle w:val="FootnoteText"/>
      </w:pPr>
      <w:r>
        <w:rPr>
          <w:rStyle w:val="FootnoteReference"/>
          <w:rFonts w:eastAsiaTheme="majorEastAsia"/>
        </w:rPr>
        <w:footnoteRef/>
      </w:r>
      <w:r>
        <w:t xml:space="preserve"> </w:t>
      </w:r>
      <w:r>
        <w:rPr>
          <w:szCs w:val="18"/>
        </w:rPr>
        <w:t>We acknowledge that this approach is a proxy for estimating actual savings to allow for prospective calculation of lifetime savings. However, a substantial limitation to this approach is the issue of unobserved behavioral ramp-up that is likely to occur for future waves of participants.</w:t>
      </w:r>
    </w:p>
  </w:footnote>
  <w:footnote w:id="10">
    <w:p w14:paraId="0488387D" w14:textId="77777777" w:rsidR="000702C6" w:rsidRDefault="000702C6" w:rsidP="000702C6">
      <w:pPr>
        <w:pStyle w:val="FootnoteText"/>
      </w:pPr>
      <w:r>
        <w:rPr>
          <w:rStyle w:val="FootnoteReference"/>
          <w:rFonts w:eastAsiaTheme="majorEastAsia"/>
        </w:rPr>
        <w:footnoteRef/>
      </w:r>
      <w:r>
        <w:t xml:space="preserve"> Program Administrators may also choose to use a deemed one-year measure life in the absence of other evidence.</w:t>
      </w:r>
    </w:p>
  </w:footnote>
  <w:footnote w:id="11">
    <w:p w14:paraId="78EBCF0D" w14:textId="77777777" w:rsidR="000702C6" w:rsidRDefault="000702C6" w:rsidP="000702C6">
      <w:pPr>
        <w:pStyle w:val="FootnoteText"/>
        <w:rPr>
          <w:szCs w:val="18"/>
        </w:rPr>
      </w:pPr>
      <w:r>
        <w:rPr>
          <w:rStyle w:val="FootnoteReference"/>
          <w:rFonts w:eastAsiaTheme="majorEastAsia"/>
          <w:sz w:val="18"/>
          <w:szCs w:val="18"/>
        </w:rPr>
        <w:footnoteRef/>
      </w:r>
      <w:r>
        <w:rPr>
          <w:szCs w:val="18"/>
        </w:rPr>
        <w:t xml:space="preserve"> See the Illinois Behavioral protocol set forth in the IL-TRM Attachment A: IL-NTG Methods for more information concerning randomized control trials and quasi-experimental evaluation methods for non-randomized designs for behavior programs.</w:t>
      </w:r>
    </w:p>
  </w:footnote>
  <w:footnote w:id="12">
    <w:p w14:paraId="0973160B" w14:textId="77777777" w:rsidR="000702C6" w:rsidRDefault="000702C6" w:rsidP="000702C6">
      <w:pPr>
        <w:pStyle w:val="FootnoteText"/>
      </w:pPr>
      <w:r>
        <w:rPr>
          <w:rStyle w:val="FootnoteReference"/>
          <w:rFonts w:eastAsiaTheme="majorEastAsia"/>
        </w:rPr>
        <w:footnoteRef/>
      </w:r>
      <w:r>
        <w:t xml:space="preserve"> </w:t>
      </w:r>
      <w:r>
        <w:rPr>
          <w:szCs w:val="18"/>
        </w:rPr>
        <w:t>Determined as a reasonable assumption by Illinois TAC members. This assumption should continue to be updated as additional research is conducted on these types of programs, and additional evaluation should be undertaken to assess the reasonableness of this assumption for Illinois-specific programs.</w:t>
      </w:r>
    </w:p>
  </w:footnote>
  <w:footnote w:id="13">
    <w:p w14:paraId="1F216244" w14:textId="77777777" w:rsidR="000702C6" w:rsidRDefault="000702C6" w:rsidP="000702C6">
      <w:pPr>
        <w:pStyle w:val="FootnoteText"/>
        <w:rPr>
          <w:szCs w:val="18"/>
        </w:rPr>
      </w:pPr>
      <w:r>
        <w:rPr>
          <w:rStyle w:val="FootnoteReference"/>
          <w:rFonts w:eastAsiaTheme="majorEastAsia"/>
          <w:sz w:val="18"/>
          <w:szCs w:val="18"/>
        </w:rPr>
        <w:footnoteRef/>
      </w:r>
      <w:r>
        <w:rPr>
          <w:szCs w:val="18"/>
        </w:rPr>
        <w:t xml:space="preserve"> This method of applying calculated values for future year benefits is preferred. Alternatively, an effective measure life can be calculated as Effective Measure Life = Total Discounted Lifetime Savings / First Year Savings.</w:t>
      </w:r>
    </w:p>
  </w:footnote>
  <w:footnote w:id="14">
    <w:p w14:paraId="581788B8" w14:textId="77777777" w:rsidR="00A0508B" w:rsidRPr="00583016" w:rsidRDefault="00A0508B" w:rsidP="00A0508B">
      <w:pPr>
        <w:pStyle w:val="FootnoteText"/>
        <w:rPr>
          <w:szCs w:val="18"/>
        </w:rPr>
      </w:pPr>
      <w:r w:rsidRPr="00583016">
        <w:rPr>
          <w:rStyle w:val="FootnoteReference"/>
          <w:rFonts w:eastAsiaTheme="majorEastAsia"/>
          <w:sz w:val="18"/>
          <w:szCs w:val="18"/>
        </w:rPr>
        <w:footnoteRef/>
      </w:r>
      <w:r w:rsidRPr="00583016">
        <w:rPr>
          <w:szCs w:val="18"/>
        </w:rPr>
        <w:t xml:space="preserve"> </w:t>
      </w:r>
      <w:r>
        <w:rPr>
          <w:szCs w:val="18"/>
        </w:rPr>
        <w:t>Future evaluation of costs of behavior change is encouraged to help clarify this assumption. In addition, a</w:t>
      </w:r>
      <w:r w:rsidRPr="00E95317">
        <w:rPr>
          <w:szCs w:val="18"/>
        </w:rPr>
        <w:t xml:space="preserve">s noted earlier in this measure characterization, in order to ensure double counting of savings does not occur, the protocol outlined here assumes that adjustments to remove the effects of program lift have been made as part of the </w:t>
      </w:r>
      <w:r>
        <w:rPr>
          <w:szCs w:val="18"/>
        </w:rPr>
        <w:t xml:space="preserve">custom calculation of savings. </w:t>
      </w:r>
      <w:r w:rsidRPr="00E95317">
        <w:rPr>
          <w:szCs w:val="18"/>
        </w:rPr>
        <w:t>In a similar manner, given the savings accounted for by other utility programs are removed from the savings claims and cost-effectiveness for the behavior program, the incremental costs associated with such utility program incentivized measures should also be excluded from the behavior program cost-effectiveness analysis, so as to help ensure double counting of costs does not occur in the utility portfolio cost-effectiveness analysis</w:t>
      </w:r>
      <w:r>
        <w:rPr>
          <w:szCs w:val="18"/>
        </w:rPr>
        <w:t xml:space="preserve">. </w:t>
      </w:r>
    </w:p>
  </w:footnote>
  <w:footnote w:id="15">
    <w:p w14:paraId="0C792023" w14:textId="77777777" w:rsidR="000702C6" w:rsidRDefault="000702C6" w:rsidP="000702C6">
      <w:pPr>
        <w:pStyle w:val="FootnoteText"/>
      </w:pPr>
      <w:r>
        <w:rPr>
          <w:rStyle w:val="FootnoteReference"/>
          <w:rFonts w:eastAsiaTheme="majorEastAsia"/>
        </w:rPr>
        <w:footnoteRef/>
      </w:r>
      <w:r>
        <w:t xml:space="preserve"> </w:t>
      </w:r>
      <w:r>
        <w:rPr>
          <w:szCs w:val="18"/>
        </w:rPr>
        <w:t>Based on communication from Mathias Bell based on (currently unpublished) studies done by Opower, Cadmus, and LBNL. Also see</w:t>
      </w:r>
      <w:r>
        <w:t xml:space="preserve"> </w:t>
      </w:r>
      <w:r>
        <w:rPr>
          <w:szCs w:val="18"/>
        </w:rPr>
        <w:t xml:space="preserve">DTE Energy: Behavior Program Measures for Submission to 2015 MEMD - Year Three Energy Savings - Demand Savings. Energy Optimization, April 15, 2014.  http://www.michigan.gov/documents/mpsc/memd_2015_453673_7.pdf </w:t>
      </w:r>
    </w:p>
  </w:footnote>
  <w:footnote w:id="16">
    <w:p w14:paraId="1DD2962A" w14:textId="77777777" w:rsidR="000702C6" w:rsidRDefault="000702C6" w:rsidP="000702C6">
      <w:pPr>
        <w:pStyle w:val="FootnoteText"/>
        <w:rPr>
          <w:szCs w:val="18"/>
        </w:rPr>
      </w:pPr>
      <w:r>
        <w:rPr>
          <w:rStyle w:val="FootnoteReference"/>
          <w:rFonts w:eastAsiaTheme="majorEastAsia"/>
          <w:sz w:val="18"/>
          <w:szCs w:val="18"/>
        </w:rPr>
        <w:footnoteRef/>
      </w:r>
      <w:r>
        <w:rPr>
          <w:szCs w:val="18"/>
        </w:rPr>
        <w:t xml:space="preserve"> Calculation algorithms account for attrition of customers out of the service territory, as well as persistence decay. It has been noted that there may also be a need to adjust for cross-year effects of large differences in weather conditions or economic impacts. Custom savings inputs therefore are adjusted for standard year weather.</w:t>
      </w:r>
    </w:p>
  </w:footnote>
  <w:footnote w:id="17">
    <w:p w14:paraId="32D78C9F" w14:textId="77777777" w:rsidR="000702C6" w:rsidRDefault="000702C6" w:rsidP="000702C6">
      <w:pPr>
        <w:pStyle w:val="FootnoteText"/>
      </w:pPr>
      <w:r>
        <w:rPr>
          <w:rStyle w:val="FootnoteReference"/>
          <w:rFonts w:eastAsiaTheme="majorEastAsia"/>
        </w:rPr>
        <w:footnoteRef/>
      </w:r>
      <w:r>
        <w:t xml:space="preserve"> </w:t>
      </w:r>
      <w:r>
        <w:rPr>
          <w:szCs w:val="18"/>
        </w:rPr>
        <w:t>This calculation should be carried out separately for each “wave” of behavior programs, where a wave is defined as a newly launched program. For simplicity, any new wave is assumed to start at the beginning of a program year (Year 1) and may include multiple different treatment types such as usage groups, report frequency, etc. For example, any wave added after 2022 will be considered Year 1 in the year they are launched.</w:t>
      </w:r>
    </w:p>
  </w:footnote>
  <w:footnote w:id="18">
    <w:p w14:paraId="123A6E8E" w14:textId="77777777" w:rsidR="000702C6" w:rsidRDefault="000702C6" w:rsidP="000702C6">
      <w:pPr>
        <w:pStyle w:val="FootnoteText"/>
        <w:rPr>
          <w:szCs w:val="18"/>
        </w:rPr>
      </w:pPr>
      <w:r>
        <w:rPr>
          <w:rStyle w:val="FootnoteReference"/>
          <w:rFonts w:eastAsiaTheme="majorEastAsia"/>
          <w:sz w:val="18"/>
          <w:szCs w:val="18"/>
        </w:rPr>
        <w:footnoteRef/>
      </w:r>
      <w:r>
        <w:rPr>
          <w:szCs w:val="18"/>
        </w:rPr>
        <w:t xml:space="preserve"> All appropriate adjustments to remove effects of participation in other utility programs, move-outs, opt-outs, to normalize for effects related to weather, and other adjustments as determined by the program experimental design, are assumed to have been made to result in this value for “measured savings”. This value has been adjusted for standard year weather terms.</w:t>
      </w:r>
    </w:p>
  </w:footnote>
  <w:footnote w:id="19">
    <w:p w14:paraId="66AFF94D" w14:textId="77777777" w:rsidR="000702C6" w:rsidRDefault="000702C6" w:rsidP="000702C6">
      <w:pPr>
        <w:pStyle w:val="FootnoteText"/>
        <w:rPr>
          <w:ins w:id="146" w:author="Carly Olig" w:date="2022-05-04T13:59:00Z"/>
          <w:szCs w:val="18"/>
        </w:rPr>
      </w:pPr>
      <w:ins w:id="147" w:author="Carly Olig" w:date="2022-05-04T13:59:00Z">
        <w:r>
          <w:rPr>
            <w:rStyle w:val="FootnoteReference"/>
            <w:rFonts w:eastAsiaTheme="majorEastAsia"/>
            <w:sz w:val="18"/>
            <w:szCs w:val="18"/>
          </w:rPr>
          <w:footnoteRef/>
        </w:r>
        <w:r>
          <w:rPr>
            <w:szCs w:val="18"/>
          </w:rPr>
          <w:t xml:space="preserve"> This retention rate should be an historical average, based on multiple years of data, that applies for a given utility</w:t>
        </w:r>
      </w:ins>
      <w:ins w:id="148" w:author="Carly Olig" w:date="2022-05-04T14:00:00Z">
        <w:r>
          <w:rPr>
            <w:szCs w:val="18"/>
          </w:rPr>
          <w:t xml:space="preserve"> wave</w:t>
        </w:r>
      </w:ins>
      <w:ins w:id="149" w:author="Carly Olig" w:date="2022-05-04T13:59:00Z">
        <w:r>
          <w:rPr>
            <w:szCs w:val="18"/>
          </w:rPr>
          <w:t xml:space="preserve">. The retention rate should be updated on a regular basis (for example, with the program planning cycles) to make sure it remains reflective of current program and economic conditions. Evaluators will decide for each </w:t>
        </w:r>
      </w:ins>
      <w:ins w:id="150" w:author="Carly Olig" w:date="2022-05-04T14:00:00Z">
        <w:r>
          <w:rPr>
            <w:szCs w:val="18"/>
          </w:rPr>
          <w:t>wave</w:t>
        </w:r>
      </w:ins>
      <w:ins w:id="151" w:author="Carly Olig" w:date="2022-05-04T13:59:00Z">
        <w:r>
          <w:rPr>
            <w:szCs w:val="18"/>
          </w:rPr>
          <w:t xml:space="preserve"> what population the retention rate should be based on (for example: all residential customers; the entire population eligible for the program; the current program population). In making this decision, evaluators should consider data availability</w:t>
        </w:r>
      </w:ins>
      <w:ins w:id="152" w:author="Carly Olig" w:date="2022-05-04T14:01:00Z">
        <w:r>
          <w:rPr>
            <w:szCs w:val="18"/>
          </w:rPr>
          <w:t>, how long a wave has been in the program, t</w:t>
        </w:r>
      </w:ins>
      <w:ins w:id="153" w:author="Carly Olig" w:date="2022-05-04T14:02:00Z">
        <w:r>
          <w:rPr>
            <w:szCs w:val="18"/>
          </w:rPr>
          <w:t>he customer makeup of the wave</w:t>
        </w:r>
      </w:ins>
      <w:ins w:id="154" w:author="Carly Olig" w:date="2022-05-11T11:49:00Z">
        <w:r>
          <w:rPr>
            <w:szCs w:val="18"/>
          </w:rPr>
          <w:t>, and other factors as needed</w:t>
        </w:r>
      </w:ins>
      <w:ins w:id="155" w:author="Carly Olig" w:date="2022-05-04T13:59:00Z">
        <w:r>
          <w:rPr>
            <w:szCs w:val="18"/>
          </w:rPr>
          <w:t>.</w:t>
        </w:r>
      </w:ins>
    </w:p>
  </w:footnote>
  <w:footnote w:id="20">
    <w:p w14:paraId="07FBF643" w14:textId="77777777" w:rsidR="000702C6" w:rsidRDefault="000702C6" w:rsidP="000702C6">
      <w:pPr>
        <w:pStyle w:val="FootnoteText"/>
      </w:pPr>
      <w:r>
        <w:rPr>
          <w:rStyle w:val="FootnoteReference"/>
          <w:rFonts w:eastAsiaTheme="majorEastAsia"/>
        </w:rPr>
        <w:footnoteRef/>
      </w:r>
      <w:r>
        <w:t xml:space="preserve"> It is possible that some savings related to behavioral programs persist even after participants move and are therefore dropped from the program. Such persistent savings could potentially occur in two ways. First, some proportion of these potential savings likely comes from efficient measures installed on the premises and not otherwise identified through other direct program participation; this component of saving could persist even under new building ownership. Second, participants who move might continue behavior changes that save energy even in a new setting; this could continue to provide savings to the program administrator if the move was within the same utility territory. As of this time, no definitive information exists as to the level of program savings related to installed measures vs. behavioral changes, making determination of these effects highly uncertain, and sufficient data may not exist to track individual customer moves. As such, this protocol assumes no persistent savings related to customers who move. Program administrators may choose to propose and defend a methodology to calculate persisting savings net of the existing RCT for the residual effects of move-outs on a custom basis in concert with the independent evaluator and stakeholders. Such a custom treatment should be based on defensible evaluation of the proportion of persisting savings from move-outs related to installed efficient measures vs. ongoing changes in behavior, utility-specific data on total customer moves within the utility territory, and appropriate management of customers who move with regard to future behavior program participation. Management of customers who move out, and the associated persisting savings of the households and premises, should not impede the ability of the program administrator to operate the program as an RCT and maintain or expand the program size (households in treatment, etc.). Such an adjustment will be subject to evaluation risk similar to any other custom evaluation parameter.  </w:t>
      </w:r>
    </w:p>
  </w:footnote>
  <w:footnote w:id="21">
    <w:p w14:paraId="68232268" w14:textId="77777777" w:rsidR="000702C6" w:rsidRDefault="000702C6" w:rsidP="000702C6">
      <w:pPr>
        <w:pStyle w:val="FootnoteText"/>
        <w:rPr>
          <w:szCs w:val="18"/>
        </w:rPr>
      </w:pPr>
      <w:r>
        <w:rPr>
          <w:rStyle w:val="FootnoteReference"/>
          <w:rFonts w:eastAsiaTheme="majorEastAsia"/>
          <w:sz w:val="18"/>
          <w:szCs w:val="18"/>
        </w:rPr>
        <w:footnoteRef/>
      </w:r>
      <w:r>
        <w:rPr>
          <w:szCs w:val="18"/>
        </w:rPr>
        <w:t xml:space="preserve"> See REFERENCE TABLES below for sources.</w:t>
      </w:r>
    </w:p>
  </w:footnote>
  <w:footnote w:id="22">
    <w:p w14:paraId="26EBE738" w14:textId="77777777" w:rsidR="000702C6" w:rsidRDefault="000702C6" w:rsidP="000702C6">
      <w:pPr>
        <w:pStyle w:val="FootnoteText"/>
        <w:rPr>
          <w:szCs w:val="18"/>
        </w:rPr>
      </w:pPr>
      <w:r>
        <w:rPr>
          <w:rStyle w:val="FootnoteReference"/>
          <w:rFonts w:eastAsiaTheme="majorEastAsia"/>
          <w:sz w:val="18"/>
          <w:szCs w:val="18"/>
        </w:rPr>
        <w:footnoteRef/>
      </w:r>
      <w:r>
        <w:rPr>
          <w:szCs w:val="18"/>
        </w:rPr>
        <w:t xml:space="preserve"> While there are no current studies that evaluate the persistence of peak savings, without more-specific information on the actual behaviors undertaken by program participants and their corresponding peak savings, it seems reasonable to assume that peak savings will also persist in a similar pattern; both of the approaches given assume persistence in peak savings. Further evaluation should be undertaken to clarify this point and determine appropriate peak-specific persistence values.</w:t>
      </w:r>
    </w:p>
  </w:footnote>
  <w:footnote w:id="23">
    <w:p w14:paraId="4312175A" w14:textId="77777777" w:rsidR="000702C6" w:rsidRDefault="000702C6" w:rsidP="000702C6">
      <w:pPr>
        <w:pStyle w:val="FootnoteText"/>
        <w:rPr>
          <w:szCs w:val="18"/>
        </w:rPr>
      </w:pPr>
      <w:r>
        <w:rPr>
          <w:rStyle w:val="FootnoteReference"/>
          <w:rFonts w:eastAsiaTheme="majorEastAsia"/>
        </w:rPr>
        <w:footnoteRef/>
      </w:r>
      <w:r>
        <w:t xml:space="preserve"> </w:t>
      </w:r>
      <w:r>
        <w:rPr>
          <w:szCs w:val="18"/>
        </w:rPr>
        <w:t>All appropriate adjustments to remove effects of participation in other utility programs, move-outs, opt-outs, to normalize for effects related to weather, and other adjustments as determined by the program experimental design, are assumed to have been made to result in this value for “measured savings”. This value has been adjusted for standard year weather terms.</w:t>
      </w:r>
    </w:p>
  </w:footnote>
  <w:footnote w:id="24">
    <w:p w14:paraId="2816A087" w14:textId="77777777" w:rsidR="000702C6" w:rsidRDefault="000702C6" w:rsidP="000702C6">
      <w:pPr>
        <w:pStyle w:val="FootnoteText"/>
      </w:pPr>
      <w:r>
        <w:rPr>
          <w:rStyle w:val="FootnoteReference"/>
          <w:rFonts w:eastAsiaTheme="majorEastAsia"/>
        </w:rPr>
        <w:footnoteRef/>
      </w:r>
      <w:r>
        <w:t xml:space="preserve"> </w:t>
      </w:r>
      <w:r>
        <w:rPr>
          <w:szCs w:val="18"/>
        </w:rPr>
        <w:t>Based on an approach used in Michigan that gives resulting values  supported by evaluation claims. Also see</w:t>
      </w:r>
      <w:r>
        <w:t xml:space="preserve"> </w:t>
      </w:r>
      <w:r>
        <w:rPr>
          <w:szCs w:val="18"/>
        </w:rPr>
        <w:t>DTE Energy: Behavior Program Measures for Submission to 2015 MEMD - Year Three Energy Savings - Demand Savings. Energy Optimization, April 15, 2014.  http://www.michigan.gov/documents/mpsc/memd_2015_453673_7.pdf</w:t>
      </w:r>
    </w:p>
  </w:footnote>
  <w:footnote w:id="25">
    <w:p w14:paraId="071923CD" w14:textId="77777777" w:rsidR="000702C6" w:rsidRDefault="000702C6" w:rsidP="000702C6">
      <w:pPr>
        <w:pStyle w:val="FootnoteText"/>
        <w:rPr>
          <w:szCs w:val="18"/>
        </w:rPr>
      </w:pPr>
      <w:r>
        <w:rPr>
          <w:rStyle w:val="FootnoteReference"/>
          <w:rFonts w:eastAsiaTheme="majorEastAsia"/>
          <w:sz w:val="18"/>
          <w:szCs w:val="18"/>
        </w:rPr>
        <w:footnoteRef/>
      </w:r>
      <w:r>
        <w:rPr>
          <w:szCs w:val="18"/>
        </w:rPr>
        <w:t xml:space="preserve"> This calculation should be carried out separately for each “wave” of behavior programs, where a wave is defined as a newly launched program. For simplicity, any new wave is assumed to start at the beginning of a program year (Year 1) and may include multiple different treatment types such as usage groups, report frequency, etc.</w:t>
      </w:r>
    </w:p>
  </w:footnote>
  <w:footnote w:id="26">
    <w:p w14:paraId="6A7F3142" w14:textId="77777777" w:rsidR="000702C6" w:rsidRDefault="000702C6" w:rsidP="000702C6">
      <w:pPr>
        <w:pStyle w:val="FootnoteText"/>
        <w:rPr>
          <w:szCs w:val="18"/>
        </w:rPr>
      </w:pPr>
      <w:r>
        <w:rPr>
          <w:rStyle w:val="FootnoteReference"/>
          <w:rFonts w:eastAsiaTheme="majorEastAsia"/>
          <w:sz w:val="18"/>
          <w:szCs w:val="18"/>
        </w:rPr>
        <w:footnoteRef/>
      </w:r>
      <w:r>
        <w:rPr>
          <w:szCs w:val="18"/>
        </w:rPr>
        <w:t xml:space="preserve"> All appropriate adjustments to remove effects of participation in other utility programs, move-outs, opt-outs, to normalize for effects related to weather, and other adjustments as determined by the program experimental design, are assumed to have been made to result in this value for “measured savings”. This value has been adjusted for standard year weather terms.</w:t>
      </w:r>
    </w:p>
  </w:footnote>
  <w:footnote w:id="27">
    <w:p w14:paraId="2C919D40" w14:textId="77777777" w:rsidR="000702C6" w:rsidRDefault="000702C6" w:rsidP="000702C6">
      <w:pPr>
        <w:pStyle w:val="FootnoteText"/>
        <w:rPr>
          <w:szCs w:val="18"/>
        </w:rPr>
      </w:pPr>
      <w:r>
        <w:rPr>
          <w:rStyle w:val="FootnoteReference"/>
          <w:rFonts w:eastAsiaTheme="majorEastAsia"/>
          <w:sz w:val="18"/>
          <w:szCs w:val="18"/>
        </w:rPr>
        <w:footnoteRef/>
      </w:r>
      <w:r>
        <w:rPr>
          <w:szCs w:val="18"/>
        </w:rPr>
        <w:t xml:space="preserve"> See REFERENCE TABLES below for sources.</w:t>
      </w:r>
    </w:p>
  </w:footnote>
  <w:footnote w:id="28">
    <w:p w14:paraId="694A65C8" w14:textId="77777777" w:rsidR="000702C6" w:rsidRDefault="000702C6" w:rsidP="000702C6">
      <w:pPr>
        <w:pStyle w:val="FootnoteText"/>
      </w:pPr>
      <w:r>
        <w:rPr>
          <w:rStyle w:val="FootnoteReference"/>
          <w:rFonts w:eastAsiaTheme="majorEastAsia"/>
          <w:sz w:val="18"/>
          <w:szCs w:val="18"/>
        </w:rPr>
        <w:footnoteRef/>
      </w:r>
      <w:r>
        <w:rPr>
          <w:rFonts w:cstheme="minorHAnsi"/>
          <w:szCs w:val="18"/>
        </w:rPr>
        <w:t xml:space="preserve"> </w:t>
      </w:r>
      <w:r>
        <w:rPr>
          <w:szCs w:val="18"/>
        </w:rPr>
        <w:t>In the future, this approach could be empirically tested by comparing actual savings calculated in future program years against standard weather year results, producing a ‘realization rate’ between planned and actual savings results. Standard weather years could potentially be enhanced to better reflect these differences.</w:t>
      </w:r>
      <w:r>
        <w:t xml:space="preserve"> </w:t>
      </w:r>
    </w:p>
  </w:footnote>
  <w:footnote w:id="29">
    <w:p w14:paraId="662F9913" w14:textId="77777777" w:rsidR="000702C6" w:rsidDel="001F1EB1" w:rsidRDefault="000702C6" w:rsidP="000702C6">
      <w:pPr>
        <w:pStyle w:val="FootnoteText"/>
        <w:rPr>
          <w:del w:id="720" w:author="Carly Olig" w:date="2022-05-04T15:43:00Z"/>
          <w:szCs w:val="18"/>
        </w:rPr>
      </w:pPr>
      <w:del w:id="721" w:author="Carly Olig" w:date="2022-05-04T15:43:00Z">
        <w:r w:rsidDel="001F1EB1">
          <w:rPr>
            <w:rStyle w:val="FootnoteReference"/>
            <w:rFonts w:eastAsiaTheme="majorEastAsia"/>
            <w:sz w:val="18"/>
            <w:szCs w:val="18"/>
          </w:rPr>
          <w:footnoteRef/>
        </w:r>
        <w:r w:rsidDel="001F1EB1">
          <w:rPr>
            <w:szCs w:val="18"/>
          </w:rPr>
          <w:delText xml:space="preserve"> This retention rate should be an historical average, based on multiple years of data, that applies across all program waves for a given utility. The retention rate should be updated on a regular basis (for example, with the program planning cycles) to make sure it remains reflective of current program and economic conditions. Evaluators will decide for each utility what population the retention rate should be based on (for example: all residential customers; the entire population eligible for the program; the current program population). In making this decision, evaluators should consider data availability, expected changes in the program population in the planning cycle, and the eligible population for the program.</w:delText>
        </w:r>
      </w:del>
    </w:p>
  </w:footnote>
  <w:footnote w:id="30">
    <w:p w14:paraId="4B104B90" w14:textId="77777777" w:rsidR="000702C6" w:rsidDel="001F1EB1" w:rsidRDefault="000702C6" w:rsidP="000702C6">
      <w:pPr>
        <w:pStyle w:val="FootnoteText"/>
        <w:rPr>
          <w:del w:id="722" w:author="Carly Olig" w:date="2022-05-04T15:43:00Z"/>
        </w:rPr>
      </w:pPr>
      <w:del w:id="723" w:author="Carly Olig" w:date="2022-05-04T15:43:00Z">
        <w:r w:rsidDel="001F1EB1">
          <w:rPr>
            <w:rStyle w:val="FootnoteReference"/>
            <w:rFonts w:eastAsiaTheme="majorEastAsia"/>
            <w:sz w:val="18"/>
            <w:szCs w:val="18"/>
          </w:rPr>
          <w:footnoteRef/>
        </w:r>
        <w:r w:rsidDel="001F1EB1">
          <w:rPr>
            <w:szCs w:val="18"/>
          </w:rPr>
          <w:delText xml:space="preserve"> </w:delText>
        </w:r>
        <w:r w:rsidDel="001F1EB1">
          <w:delText>It is possible that some savings related to behavioral programs persist even after participants move and are therefore dropped from the program. Such persistent savings could potentially occur in two ways. First, some proportion of these potential savings likely comes from efficient measures installed on the premises and not otherwise identified through other direct program participation; this component of saving could persist even under new building ownership. Second, participants who move might continue behavior changes that save energy even in a new setting; this could continue to provide savings to the program administrator if the move was within the same utility territory. As of this time, no definitive information exists as to the level of program savings related to installed measures vs. behavioral changes, making determination of these effects highly uncertain, and sufficient data may not exist to track individual customer moves. As such, this protocol assumes no persistent savings related to customers who move. Program administrators may choose to propose and defend a methodology to calculate persisting savings net of the existing RCT for the residual effects of move-outs on a custom basis in concert with the independent evaluator and stakeholders. Such a custom treatment should be based on defensible evaluation of the proportion of persisting savings from move-outs related to installed efficient measures vs. ongoing changes in behavior, utility-specific data on total customer moves within the utility territory, and appropriate management of customers who move with regard to future behavior program participation. Management of customers who move out, and the associated persisting savings of the households and premises, should not impede the ability of the program administrator to operate the program as an RCT and maintain or expand the program size (households in treatment, etc.). Such an adjustment will be subject to evaluation risk similar to any other custom evaluation parameter.</w:delText>
        </w:r>
      </w:del>
    </w:p>
  </w:footnote>
  <w:footnote w:id="31">
    <w:p w14:paraId="7011C818" w14:textId="77777777" w:rsidR="00714AB9" w:rsidRDefault="00714AB9" w:rsidP="00714AB9">
      <w:pPr>
        <w:pStyle w:val="FootnoteText"/>
      </w:pPr>
      <w:r>
        <w:rPr>
          <w:rStyle w:val="FootnoteReference"/>
        </w:rPr>
        <w:footnoteRef/>
      </w:r>
      <w:r>
        <w:t xml:space="preserve"> Voltage optimization is also referred to a volt-var optimization (VVO) or conservation voltage reduction (CVR).</w:t>
      </w:r>
    </w:p>
  </w:footnote>
  <w:footnote w:id="32">
    <w:p w14:paraId="75362AD0" w14:textId="77777777" w:rsidR="00714AB9" w:rsidRDefault="00714AB9" w:rsidP="00714AB9">
      <w:pPr>
        <w:pStyle w:val="FootnoteText"/>
      </w:pPr>
      <w:r>
        <w:rPr>
          <w:rStyle w:val="FootnoteReference"/>
        </w:rPr>
        <w:footnoteRef/>
      </w:r>
      <w:r>
        <w:t xml:space="preserve"> For the purposes of this measure, the term feeder is synonymous with circuit.</w:t>
      </w:r>
    </w:p>
  </w:footnote>
  <w:footnote w:id="33">
    <w:p w14:paraId="3A15758F" w14:textId="77777777" w:rsidR="00714AB9" w:rsidRDefault="00714AB9" w:rsidP="00714AB9">
      <w:pPr>
        <w:pStyle w:val="FootnoteText"/>
      </w:pPr>
      <w:r>
        <w:rPr>
          <w:rStyle w:val="FootnoteReference"/>
        </w:rPr>
        <w:footnoteRef/>
      </w:r>
      <w:r>
        <w:t xml:space="preserve"> The bulk of the energy savings that occurs is thus expected to occur on the customer side of the meter, although additional savings is expected from reduced current flows along the full length of the affected feeders.</w:t>
      </w:r>
    </w:p>
  </w:footnote>
  <w:footnote w:id="34">
    <w:p w14:paraId="644BBC80" w14:textId="77777777" w:rsidR="00714AB9" w:rsidRDefault="00714AB9" w:rsidP="00714AB9">
      <w:pPr>
        <w:autoSpaceDE w:val="0"/>
        <w:autoSpaceDN w:val="0"/>
        <w:spacing w:after="0"/>
      </w:pPr>
      <w:r>
        <w:rPr>
          <w:rStyle w:val="FootnoteReference"/>
        </w:rPr>
        <w:footnoteRef/>
      </w:r>
      <w:r>
        <w:t xml:space="preserve"> Note that any VO On/Off testing for the purposes of evaluation or updating the TRM will not be counted against the utility in claiming savings. </w:t>
      </w:r>
      <w:r>
        <w:rPr>
          <w:rFonts w:cstheme="minorHAnsi"/>
          <w:color w:val="000000"/>
          <w:szCs w:val="20"/>
        </w:rPr>
        <w:t>VO On/Off testing is an experimental design that involves enabling and disabling the VO system under a predefined schedule for the purposes of testing its functionality. By following a predefined schedule, the VO On/Off design enables modeling of the impact of VO while controlling for factors that may vary over time, such as weather or weekday vs. weekend loads.</w:t>
      </w:r>
    </w:p>
  </w:footnote>
  <w:footnote w:id="35">
    <w:p w14:paraId="0E64EC81" w14:textId="77777777" w:rsidR="00BF6C2B" w:rsidRPr="00C81DF9" w:rsidRDefault="00BF6C2B" w:rsidP="00BF6C2B">
      <w:pPr>
        <w:pStyle w:val="FootnoteText"/>
        <w:rPr>
          <w:ins w:id="737" w:author="Sam Dent" w:date="2022-07-29T10:33:00Z"/>
          <w:color w:val="FF0000"/>
        </w:rPr>
      </w:pPr>
      <w:ins w:id="738" w:author="Sam Dent" w:date="2022-07-29T10:33:00Z">
        <w:r w:rsidRPr="006A01EC">
          <w:rPr>
            <w:rStyle w:val="FootnoteReference"/>
            <w:rFonts w:eastAsiaTheme="majorEastAsia"/>
          </w:rPr>
          <w:footnoteRef/>
        </w:r>
        <w:r w:rsidRPr="006A01EC">
          <w:t xml:space="preserve"> For ComEd, the first renewal can start in CY2033 with the renewal of CY2018 feeders.  For Ameren, the first renewal can start in CY2034 with the renewal of CY2019 feeders</w:t>
        </w:r>
      </w:ins>
    </w:p>
  </w:footnote>
  <w:footnote w:id="36">
    <w:p w14:paraId="7E9DDAC9" w14:textId="47923727" w:rsidR="009D0598" w:rsidRPr="009D0598" w:rsidRDefault="009D0598" w:rsidP="009D0598">
      <w:pPr>
        <w:spacing w:after="0"/>
        <w:rPr>
          <w:rFonts w:ascii="Calibri" w:eastAsiaTheme="minorHAnsi" w:hAnsi="Calibri" w:cs="Calibri"/>
          <w:sz w:val="18"/>
          <w:szCs w:val="18"/>
        </w:rPr>
      </w:pPr>
      <w:ins w:id="740" w:author="Sam Dent" w:date="2022-09-07T10:51:00Z">
        <w:r w:rsidRPr="009D0598">
          <w:rPr>
            <w:rStyle w:val="FootnoteReference"/>
            <w:rFonts w:ascii="Calibri" w:hAnsi="Calibri" w:cs="Calibri"/>
            <w:sz w:val="18"/>
            <w:szCs w:val="18"/>
          </w:rPr>
          <w:footnoteRef/>
        </w:r>
        <w:r w:rsidRPr="009D0598">
          <w:rPr>
            <w:rFonts w:ascii="Calibri" w:hAnsi="Calibri" w:cs="Calibri"/>
            <w:sz w:val="18"/>
            <w:szCs w:val="18"/>
          </w:rPr>
          <w:t xml:space="preserve"> </w:t>
        </w:r>
        <w:r w:rsidRPr="009D0598">
          <w:rPr>
            <w:rFonts w:ascii="Calibri" w:eastAsiaTheme="minorHAnsi" w:hAnsi="Calibri" w:cs="Calibri"/>
            <w:sz w:val="18"/>
            <w:szCs w:val="18"/>
          </w:rPr>
          <w:t>Climate and Equitable Jobs Act (CEJA), Public Act 102-0662, “(b-20) Each electric utility subject to this Section may include cost-effective voltage optimization measures in its plans submitted under subsections (f) and (g) of this Section, and the costs incurred by a utility to implement the measures under a Commission-approved plan shall be recovered under the provisions of Article IX or Section 16-108.5 of this Act. For purposes of this Section, the measure life of voltage optimization measures shall be 15 years. The measure life period is independent of the depreciation rate of the voltage optimization assets deployed. Utilities may claim savings from voltage optimization on circuits for more than 15 years if they can demonstrate that they have made additional investments necessary to enable voltage optimization savings to continue beyond 15 years. Such demonstrations must be subject to the review of independent evaluation.”</w:t>
        </w:r>
      </w:ins>
    </w:p>
  </w:footnote>
  <w:footnote w:id="37">
    <w:p w14:paraId="488B5444" w14:textId="77777777" w:rsidR="00714AB9" w:rsidDel="00BF6C2B" w:rsidRDefault="00714AB9" w:rsidP="00714AB9">
      <w:pPr>
        <w:pStyle w:val="FootnoteText"/>
        <w:rPr>
          <w:del w:id="750" w:author="Sam Dent" w:date="2022-07-29T10:33:00Z"/>
        </w:rPr>
      </w:pPr>
      <w:del w:id="751" w:author="Sam Dent" w:date="2022-07-29T10:33:00Z">
        <w:r w:rsidDel="00BF6C2B">
          <w:rPr>
            <w:rStyle w:val="FootnoteReference"/>
          </w:rPr>
          <w:footnoteRef/>
        </w:r>
        <w:r w:rsidDel="00BF6C2B">
          <w:delText xml:space="preserve"> This measure life is prescribed by Illinois statute 220 ILCS 5/8-103B(b-20):</w:delText>
        </w:r>
      </w:del>
    </w:p>
    <w:p w14:paraId="242C7F69" w14:textId="77777777" w:rsidR="00714AB9" w:rsidDel="00BF6C2B" w:rsidRDefault="00714AB9" w:rsidP="00714AB9">
      <w:pPr>
        <w:pStyle w:val="FootnoteText"/>
        <w:ind w:left="720"/>
        <w:rPr>
          <w:del w:id="752" w:author="Sam Dent" w:date="2022-07-29T10:33:00Z"/>
        </w:rPr>
      </w:pPr>
      <w:del w:id="753" w:author="Sam Dent" w:date="2022-07-29T10:33:00Z">
        <w:r w:rsidDel="00BF6C2B">
          <w:delText>(b-20) Each electric utility subject to this Section may include cost-effective voltage optimization measures in its plans submitted under subsections (f) and (g) of this Section, and the costs incurred by a utility to implement the measures under a Commission-approved plan shall be recovered under the provisions of Article IX or Section 16-108.5 of this Act. For purposes of this Section, the measure life of voltage optimization measures shall be 15 years. The measure life period is independent of the depreciation rate of the voltage optimization assets deployed.</w:delText>
        </w:r>
      </w:del>
    </w:p>
  </w:footnote>
  <w:footnote w:id="38">
    <w:p w14:paraId="5A20964A" w14:textId="77777777" w:rsidR="00714AB9" w:rsidRDefault="00714AB9" w:rsidP="00714AB9">
      <w:pPr>
        <w:pStyle w:val="FootnoteText"/>
      </w:pPr>
      <w:r>
        <w:rPr>
          <w:rStyle w:val="FootnoteReference"/>
        </w:rPr>
        <w:footnoteRef/>
      </w:r>
      <w:r>
        <w:t xml:space="preserve"> </w:t>
      </w:r>
      <w:r>
        <w:rPr>
          <w:rFonts w:cstheme="minorHAnsi"/>
          <w:color w:val="000000"/>
          <w:szCs w:val="20"/>
        </w:rPr>
        <w:t>VO On/Off testing is an experimental design that involves enabling and disabling the VO system under a predefined schedule for the purposes of testing its functionality. By following a predefined schedule, the VO On/Off design enables modeling of the impact of VO while controlling for factors that may vary over time, such as weather or weekday vs. weekend loads.</w:t>
      </w:r>
    </w:p>
  </w:footnote>
  <w:footnote w:id="39">
    <w:p w14:paraId="2F328919" w14:textId="77777777" w:rsidR="00714AB9" w:rsidRDefault="00714AB9" w:rsidP="00714AB9">
      <w:pPr>
        <w:tabs>
          <w:tab w:val="left" w:pos="3095"/>
        </w:tabs>
        <w:autoSpaceDE w:val="0"/>
        <w:autoSpaceDN w:val="0"/>
        <w:spacing w:after="0"/>
        <w:ind w:right="1195"/>
        <w:rPr>
          <w:rFonts w:cs="Arial"/>
          <w:szCs w:val="20"/>
        </w:rPr>
      </w:pPr>
      <w:r>
        <w:rPr>
          <w:rStyle w:val="FootnoteReference"/>
        </w:rPr>
        <w:footnoteRef/>
      </w:r>
      <w:r>
        <w:t xml:space="preserve"> </w:t>
      </w:r>
      <w:r>
        <w:rPr>
          <w:rFonts w:cs="Arial"/>
          <w:szCs w:val="20"/>
        </w:rPr>
        <w:t>If the energy consumption baseline is measured at the feeder head, an adjustment will be made to recognize line losses and loss</w:t>
      </w:r>
      <w:r>
        <w:rPr>
          <w:rFonts w:cs="Arial"/>
          <w:spacing w:val="-3"/>
          <w:szCs w:val="20"/>
        </w:rPr>
        <w:t xml:space="preserve"> </w:t>
      </w:r>
      <w:r>
        <w:rPr>
          <w:rFonts w:cs="Arial"/>
          <w:szCs w:val="20"/>
        </w:rPr>
        <w:t>savings.</w:t>
      </w:r>
    </w:p>
  </w:footnote>
  <w:footnote w:id="40">
    <w:p w14:paraId="40C2535B" w14:textId="77777777" w:rsidR="00714AB9" w:rsidRDefault="00714AB9" w:rsidP="00714AB9">
      <w:pPr>
        <w:pStyle w:val="FootnoteText"/>
      </w:pPr>
      <w:r>
        <w:rPr>
          <w:rStyle w:val="FootnoteReference"/>
        </w:rPr>
        <w:footnoteRef/>
      </w:r>
      <w:r>
        <w:t xml:space="preserve"> Temperature bins are to the ceiling of the nearest 5°F interval.</w:t>
      </w:r>
    </w:p>
  </w:footnote>
  <w:footnote w:id="41">
    <w:p w14:paraId="7A04AAA3" w14:textId="77777777" w:rsidR="00714AB9" w:rsidRDefault="00714AB9" w:rsidP="00714AB9">
      <w:pPr>
        <w:pStyle w:val="FootnoteText"/>
      </w:pPr>
      <w:r>
        <w:rPr>
          <w:rStyle w:val="FootnoteReference"/>
        </w:rPr>
        <w:footnoteRef/>
      </w:r>
      <w:r>
        <w:t xml:space="preserve"> Seasons are defined as follows; Spring: March through May; Summer: June through August; Fall: September through November; and Winter: December through February.</w:t>
      </w:r>
    </w:p>
  </w:footnote>
  <w:footnote w:id="42">
    <w:p w14:paraId="20133497" w14:textId="77777777" w:rsidR="00714AB9" w:rsidRDefault="00714AB9" w:rsidP="00714AB9">
      <w:pPr>
        <w:pStyle w:val="FootnoteText"/>
      </w:pPr>
      <w:r>
        <w:rPr>
          <w:rStyle w:val="FootnoteReference"/>
        </w:rPr>
        <w:footnoteRef/>
      </w:r>
      <w:r>
        <w:t xml:space="preserve"> Weekdays are Monday to Friday and weekends are Saturday and Sunday.</w:t>
      </w:r>
    </w:p>
  </w:footnote>
  <w:footnote w:id="43">
    <w:p w14:paraId="42B9B166" w14:textId="77777777" w:rsidR="009F14F2" w:rsidRDefault="009F14F2" w:rsidP="009F14F2">
      <w:pPr>
        <w:pStyle w:val="FootnoteText"/>
        <w:rPr>
          <w:ins w:id="757" w:author="Sam Dent" w:date="2022-07-29T10:35:00Z"/>
        </w:rPr>
      </w:pPr>
      <w:ins w:id="758" w:author="Sam Dent" w:date="2022-07-29T10:35:00Z">
        <w:r>
          <w:rPr>
            <w:rStyle w:val="FootnoteReference"/>
            <w:rFonts w:eastAsiaTheme="majorEastAsia"/>
          </w:rPr>
          <w:footnoteRef/>
        </w:r>
        <w:r>
          <w:t xml:space="preserve"> This threshold was determined based on the discussion between ComEd’s Capacity planning and Voltage Optimization group. To determine the value, ComEd considered several factors including the timeline of commissioning any future feeder, load ramping up for large customers, and the comments received from ICC and Guidehouse to claim the feeders as soon as ComEd expects to have full load. ComEd considers a feeder to have reached its full load when 70% of the projected load (at the minimum) has been materialized.</w:t>
        </w:r>
      </w:ins>
    </w:p>
  </w:footnote>
  <w:footnote w:id="44">
    <w:p w14:paraId="7CBB4CF4" w14:textId="7357CB3A" w:rsidR="008202B6" w:rsidDel="009F14F2" w:rsidRDefault="008202B6" w:rsidP="008202B6">
      <w:pPr>
        <w:pStyle w:val="FootnoteText"/>
        <w:rPr>
          <w:del w:id="760" w:author="Sam Dent" w:date="2022-07-29T10:35:00Z"/>
        </w:rPr>
      </w:pPr>
      <w:del w:id="761" w:author="Sam Dent" w:date="2022-07-29T10:35:00Z">
        <w:r w:rsidDel="009F14F2">
          <w:rPr>
            <w:rStyle w:val="FootnoteReference"/>
          </w:rPr>
          <w:footnoteRef/>
        </w:r>
        <w:r w:rsidDel="009F14F2">
          <w:delText xml:space="preserve"> This threshold was determined based on the discussion between ComEd’s Capacity planning and Voltage Optimization group. To determine the value, ComEd considered several factors including the timeline of commissioning any future feeder, load ramping up for large customers, and the comments received from ICC and Guidehouse to claim the feeders as soon as ComEd expects to have full load. ComEd considers a feeder to have reached its full load when 70% of the projected load (at the minimum) has been materialized.</w:delText>
        </w:r>
      </w:del>
    </w:p>
  </w:footnote>
  <w:footnote w:id="45">
    <w:p w14:paraId="1BD5449F" w14:textId="77777777" w:rsidR="00714AB9" w:rsidRDefault="00714AB9" w:rsidP="00714AB9">
      <w:pPr>
        <w:pStyle w:val="FootnoteText"/>
      </w:pPr>
      <w:r>
        <w:rPr>
          <w:rStyle w:val="FootnoteReference"/>
        </w:rPr>
        <w:footnoteRef/>
      </w:r>
      <w:r>
        <w:t xml:space="preserve"> In cases when less than 70% of the AMI meters are programmed to record voltage data, all available meters will be used, with the goal of utilizing as close to 70% of the meters as possible.</w:t>
      </w:r>
    </w:p>
  </w:footnote>
  <w:footnote w:id="46">
    <w:p w14:paraId="5FB65157" w14:textId="77777777" w:rsidR="00714AB9" w:rsidRDefault="00714AB9" w:rsidP="00714AB9">
      <w:pPr>
        <w:pStyle w:val="FootnoteText"/>
      </w:pPr>
      <w:r>
        <w:rPr>
          <w:rStyle w:val="FootnoteReference"/>
        </w:rPr>
        <w:footnoteRef/>
      </w:r>
      <w:r>
        <w:t xml:space="preserve"> Temperature bins are to the ceiling of the nearest 5°F interval.</w:t>
      </w:r>
    </w:p>
  </w:footnote>
  <w:footnote w:id="47">
    <w:p w14:paraId="705B5EAE" w14:textId="77777777" w:rsidR="00714AB9" w:rsidRDefault="00714AB9" w:rsidP="00714AB9">
      <w:pPr>
        <w:pStyle w:val="FootnoteText"/>
      </w:pPr>
      <w:r>
        <w:rPr>
          <w:rStyle w:val="FootnoteReference"/>
        </w:rPr>
        <w:footnoteRef/>
      </w:r>
      <w:r>
        <w:t xml:space="preserve"> Seasons are defined as follows; Spring: March through May; Summer: June through August; Fall: September through November; and Winter: December through February.</w:t>
      </w:r>
    </w:p>
  </w:footnote>
  <w:footnote w:id="48">
    <w:p w14:paraId="7C4C1E83" w14:textId="77777777" w:rsidR="00714AB9" w:rsidRDefault="00714AB9" w:rsidP="00714AB9">
      <w:pPr>
        <w:pStyle w:val="FootnoteText"/>
      </w:pPr>
      <w:r>
        <w:rPr>
          <w:rStyle w:val="FootnoteReference"/>
        </w:rPr>
        <w:footnoteRef/>
      </w:r>
      <w:r>
        <w:t xml:space="preserve"> Weekdays are Monday to Friday and weekends are Saturday and Sunday.</w:t>
      </w:r>
    </w:p>
  </w:footnote>
  <w:footnote w:id="49">
    <w:p w14:paraId="0F3B779C" w14:textId="77777777" w:rsidR="00714AB9" w:rsidRDefault="00714AB9" w:rsidP="00714AB9">
      <w:pPr>
        <w:pStyle w:val="FootnoteText"/>
      </w:pPr>
      <w:r>
        <w:rPr>
          <w:rStyle w:val="FootnoteReference"/>
        </w:rPr>
        <w:footnoteRef/>
      </w:r>
      <w:r>
        <w:t xml:space="preserve"> Temperature bins are to the ceiling of the nearest 5°F interval.</w:t>
      </w:r>
    </w:p>
  </w:footnote>
  <w:footnote w:id="50">
    <w:p w14:paraId="7768646D" w14:textId="77777777" w:rsidR="00714AB9" w:rsidRDefault="00714AB9" w:rsidP="00714AB9">
      <w:pPr>
        <w:pStyle w:val="FootnoteText"/>
      </w:pPr>
      <w:r>
        <w:rPr>
          <w:rStyle w:val="FootnoteReference"/>
        </w:rPr>
        <w:footnoteRef/>
      </w:r>
      <w:r>
        <w:t xml:space="preserve"> Seasons are defined as follows; Spring: March through May; Summer: June through August; Fall: September through November; and Winter: December through February.</w:t>
      </w:r>
    </w:p>
  </w:footnote>
  <w:footnote w:id="51">
    <w:p w14:paraId="7AE191BF" w14:textId="77777777" w:rsidR="00714AB9" w:rsidRDefault="00714AB9" w:rsidP="00714AB9">
      <w:pPr>
        <w:pStyle w:val="FootnoteText"/>
      </w:pPr>
      <w:r>
        <w:rPr>
          <w:rStyle w:val="FootnoteReference"/>
        </w:rPr>
        <w:footnoteRef/>
      </w:r>
      <w:r>
        <w:t xml:space="preserve"> Weekdays are Monday to Friday and weekends are Saturday and Sunday.</w:t>
      </w:r>
    </w:p>
  </w:footnote>
  <w:footnote w:id="52">
    <w:p w14:paraId="7A59C67D" w14:textId="77777777" w:rsidR="003B20AC" w:rsidRDefault="003B20AC" w:rsidP="003B20AC">
      <w:pPr>
        <w:pStyle w:val="FootnoteText"/>
      </w:pPr>
      <w:r>
        <w:rPr>
          <w:rStyle w:val="FootnoteReference"/>
        </w:rPr>
        <w:footnoteRef/>
      </w:r>
      <w:r>
        <w:t xml:space="preserve"> This is recommended by ComEd to ensure consistency that all the feeders under the same transformer receive same average voltage reduction using both timeseries VO ON and OFF data from the testing period.</w:t>
      </w:r>
    </w:p>
  </w:footnote>
  <w:footnote w:id="53">
    <w:p w14:paraId="3AA138CF" w14:textId="77777777" w:rsidR="00714AB9" w:rsidRDefault="00714AB9" w:rsidP="00714AB9">
      <w:pPr>
        <w:pStyle w:val="FootnoteText"/>
      </w:pPr>
      <w:r>
        <w:rPr>
          <w:rStyle w:val="FootnoteReference"/>
        </w:rPr>
        <w:footnoteRef/>
      </w:r>
      <w:r>
        <w:t xml:space="preserve"> Guidehouse. 2020. </w:t>
      </w:r>
      <w:r>
        <w:rPr>
          <w:i/>
          <w:iCs/>
        </w:rPr>
        <w:t>Supporting Documentation for Voltage Optimization TRM Measure</w:t>
      </w:r>
      <w:r>
        <w:t>. &lt;Add hyperlink when available&gt;</w:t>
      </w:r>
    </w:p>
  </w:footnote>
  <w:footnote w:id="54">
    <w:p w14:paraId="560D30BE" w14:textId="77777777" w:rsidR="00714AB9" w:rsidRDefault="00714AB9" w:rsidP="00714AB9">
      <w:pPr>
        <w:pStyle w:val="FootnoteText"/>
      </w:pPr>
      <w:r>
        <w:rPr>
          <w:rStyle w:val="FootnoteReference"/>
        </w:rPr>
        <w:footnoteRef/>
      </w:r>
      <w:r>
        <w:t xml:space="preserve"> Ibid.</w:t>
      </w:r>
    </w:p>
  </w:footnote>
  <w:footnote w:id="55">
    <w:p w14:paraId="5313D72B" w14:textId="77777777" w:rsidR="00714AB9" w:rsidRDefault="00714AB9" w:rsidP="00714AB9">
      <w:pPr>
        <w:pStyle w:val="FootnoteText"/>
      </w:pPr>
      <w:r>
        <w:rPr>
          <w:rStyle w:val="FootnoteReference"/>
        </w:rPr>
        <w:footnoteRef/>
      </w:r>
      <w:r>
        <w:t xml:space="preserve"> Ibid.</w:t>
      </w:r>
    </w:p>
  </w:footnote>
  <w:footnote w:id="56">
    <w:p w14:paraId="2F5B3896" w14:textId="77777777" w:rsidR="00B220A6" w:rsidRDefault="00B220A6" w:rsidP="00B220A6">
      <w:pPr>
        <w:pStyle w:val="FootnoteText"/>
        <w:rPr>
          <w:ins w:id="793" w:author="Sam Dent" w:date="2022-09-08T11:49:00Z"/>
        </w:rPr>
      </w:pPr>
      <w:ins w:id="794" w:author="Sam Dent" w:date="2022-09-08T11:49:00Z">
        <w:r>
          <w:rPr>
            <w:rStyle w:val="FootnoteReference"/>
            <w:rFonts w:eastAsiaTheme="majorEastAsia"/>
          </w:rPr>
          <w:footnoteRef/>
        </w:r>
        <w:r>
          <w:t xml:space="preserve"> As currently implemented, EC is typically a publicly-facing website and can be used by anyone.</w:t>
        </w:r>
      </w:ins>
    </w:p>
  </w:footnote>
  <w:footnote w:id="57">
    <w:p w14:paraId="59968DFC" w14:textId="77777777" w:rsidR="00B220A6" w:rsidRDefault="00B220A6" w:rsidP="00B220A6">
      <w:pPr>
        <w:pStyle w:val="FootnoteText"/>
        <w:rPr>
          <w:ins w:id="797" w:author="Sam Dent" w:date="2022-09-08T11:49:00Z"/>
        </w:rPr>
      </w:pPr>
      <w:ins w:id="798" w:author="Sam Dent" w:date="2022-09-08T11:49:00Z">
        <w:r>
          <w:rPr>
            <w:rStyle w:val="FootnoteReference"/>
            <w:rFonts w:eastAsiaTheme="majorEastAsia"/>
          </w:rPr>
          <w:footnoteRef/>
        </w:r>
        <w:r>
          <w:t xml:space="preserve"> Discussion of the identification of the population of utility customers who may have engaged with EC and therefore should be included in evaluation research is outside of the scope of the IL-TRM.</w:t>
        </w:r>
      </w:ins>
    </w:p>
  </w:footnote>
  <w:footnote w:id="58">
    <w:p w14:paraId="7FD1DEED" w14:textId="77777777" w:rsidR="00B220A6" w:rsidRDefault="00B220A6" w:rsidP="00B220A6">
      <w:pPr>
        <w:pStyle w:val="FootnoteText"/>
        <w:rPr>
          <w:ins w:id="904" w:author="Sam Dent" w:date="2022-09-08T11:49:00Z"/>
        </w:rPr>
      </w:pPr>
      <w:ins w:id="905" w:author="Sam Dent" w:date="2022-09-08T11:49:00Z">
        <w:r>
          <w:rPr>
            <w:rStyle w:val="FootnoteReference"/>
            <w:rFonts w:eastAsiaTheme="majorEastAsia"/>
          </w:rPr>
          <w:footnoteRef/>
        </w:r>
        <w:r>
          <w:t xml:space="preserve"> A</w:t>
        </w:r>
        <w:r w:rsidRPr="00066C76">
          <w:t xml:space="preserve">ctions include: </w:t>
        </w:r>
        <w:r>
          <w:t>(1) recommendations engaged, (2) product selected, (3) product list sorted, (4) product list filtered, (5) histogram engaged, (6) product favorites engaged, (7) search saved, (8) offer clicked, (9) compare button engaged, (10) compare started.</w:t>
        </w:r>
      </w:ins>
    </w:p>
  </w:footnote>
  <w:footnote w:id="59">
    <w:p w14:paraId="46B28A06" w14:textId="77777777" w:rsidR="00061B97" w:rsidRDefault="00061B97" w:rsidP="00D34C6E">
      <w:pPr>
        <w:pStyle w:val="FootnoteText"/>
      </w:pPr>
      <w:r w:rsidRPr="002F5FEF">
        <w:rPr>
          <w:rStyle w:val="FootnoteReference"/>
        </w:rPr>
        <w:footnoteRef/>
      </w:r>
      <w:r>
        <w:t xml:space="preserve"> Evaluation reports on those programs can be found at </w:t>
      </w:r>
      <w:hyperlink r:id="rId1" w:history="1">
        <w:r w:rsidRPr="00E25146">
          <w:rPr>
            <w:rStyle w:val="Hyperlink"/>
          </w:rPr>
          <w:t>http://www.ilsag.info/evaluation-documents.html</w:t>
        </w:r>
      </w:hyperlink>
      <w:r>
        <w:t>.</w:t>
      </w:r>
    </w:p>
  </w:footnote>
  <w:footnote w:id="60">
    <w:p w14:paraId="4A65D67B" w14:textId="77777777" w:rsidR="00061B97" w:rsidRDefault="00061B97" w:rsidP="00D34C6E">
      <w:pPr>
        <w:pStyle w:val="FootnoteText"/>
      </w:pPr>
      <w:r>
        <w:rPr>
          <w:rStyle w:val="FootnoteReference"/>
        </w:rPr>
        <w:footnoteRef/>
      </w:r>
      <w:r>
        <w:t xml:space="preserve"> The Illinois NTG Working Group consists primarily of the subset of Evaluators deliberating on NTG methodologies; however, any interested party may participate in the Illinois NTG Working Group.</w:t>
      </w:r>
    </w:p>
  </w:footnote>
  <w:footnote w:id="61">
    <w:p w14:paraId="5C1000A3" w14:textId="77777777" w:rsidR="00061B97" w:rsidRPr="00133D3F" w:rsidRDefault="00061B97" w:rsidP="00D34C6E">
      <w:pPr>
        <w:pStyle w:val="FootnoteText"/>
      </w:pPr>
      <w:r w:rsidRPr="002F5FEF">
        <w:rPr>
          <w:rStyle w:val="FootnoteReference"/>
        </w:rPr>
        <w:footnoteRef/>
      </w:r>
      <w:r w:rsidRPr="00133D3F">
        <w:t xml:space="preserve"> A probabilistic statement is not the same as the confidence and precision information calculated based on sampling theory. </w:t>
      </w:r>
    </w:p>
  </w:footnote>
  <w:footnote w:id="62">
    <w:p w14:paraId="6CF54E78" w14:textId="77777777" w:rsidR="00061B97" w:rsidRDefault="00061B97" w:rsidP="00D34C6E">
      <w:pPr>
        <w:pStyle w:val="FootnoteText"/>
      </w:pPr>
      <w:r w:rsidRPr="002F5FEF">
        <w:rPr>
          <w:rStyle w:val="FootnoteReference"/>
        </w:rPr>
        <w:footnoteRef/>
      </w:r>
      <w:r>
        <w:t xml:space="preserve"> However, a small number of program designs do lend themselves to experimental or quasi-experimental designs that allow for regression analysis of net impacts.</w:t>
      </w:r>
    </w:p>
  </w:footnote>
  <w:footnote w:id="63">
    <w:p w14:paraId="2224E343" w14:textId="77777777" w:rsidR="00A275F8" w:rsidRDefault="00A275F8" w:rsidP="00A275F8">
      <w:pPr>
        <w:pStyle w:val="FootnoteText"/>
      </w:pPr>
      <w:r>
        <w:rPr>
          <w:rStyle w:val="FootnoteReference"/>
          <w:rFonts w:eastAsiaTheme="majorEastAsia"/>
        </w:rPr>
        <w:footnoteRef/>
      </w:r>
      <w:r>
        <w:t xml:space="preserve"> Violette and Rathbun, </w:t>
      </w:r>
      <w:r>
        <w:rPr>
          <w:i/>
          <w:iCs/>
        </w:rPr>
        <w:t>Estimating Net Savings</w:t>
      </w:r>
      <w:r>
        <w:t>, 46-48.</w:t>
      </w:r>
    </w:p>
  </w:footnote>
  <w:footnote w:id="64">
    <w:p w14:paraId="19D048F5" w14:textId="75B0A1B8" w:rsidR="00061B97" w:rsidRDefault="00061B97" w:rsidP="00D34C6E">
      <w:pPr>
        <w:pStyle w:val="FootnoteText"/>
      </w:pPr>
      <w:r w:rsidRPr="002F5FEF">
        <w:rPr>
          <w:rStyle w:val="FootnoteReference"/>
        </w:rPr>
        <w:footnoteRef/>
      </w:r>
      <w:r>
        <w:t xml:space="preserve"> </w:t>
      </w:r>
      <w:r>
        <w:rPr>
          <w:rFonts w:eastAsia="Franklin Gothic Book"/>
        </w:rPr>
        <w:t>The “Free Ridership Protocol Name” in the second column of the table refers to the numbered sections in this document, e.g., “</w:t>
      </w:r>
      <w:r>
        <w:rPr>
          <w:rFonts w:eastAsia="Franklin Gothic Book"/>
        </w:rPr>
        <w:fldChar w:fldCharType="begin"/>
      </w:r>
      <w:r>
        <w:rPr>
          <w:rFonts w:eastAsia="Franklin Gothic Book"/>
        </w:rPr>
        <w:instrText xml:space="preserve"> REF _Ref442019711 \r \h </w:instrText>
      </w:r>
      <w:r>
        <w:rPr>
          <w:rFonts w:eastAsia="Franklin Gothic Book"/>
        </w:rPr>
      </w:r>
      <w:r>
        <w:rPr>
          <w:rFonts w:eastAsia="Franklin Gothic Book"/>
        </w:rPr>
        <w:fldChar w:fldCharType="separate"/>
      </w:r>
      <w:r w:rsidR="00506A44">
        <w:rPr>
          <w:rFonts w:eastAsia="Franklin Gothic Book"/>
        </w:rPr>
        <w:t>3.3</w:t>
      </w:r>
      <w:r>
        <w:rPr>
          <w:rFonts w:eastAsia="Franklin Gothic Book"/>
        </w:rPr>
        <w:fldChar w:fldCharType="end"/>
      </w:r>
      <w:r>
        <w:rPr>
          <w:rFonts w:eastAsia="Franklin Gothic Book"/>
        </w:rPr>
        <w:t xml:space="preserve"> </w:t>
      </w:r>
      <w:r>
        <w:rPr>
          <w:rFonts w:eastAsia="Franklin Gothic Book"/>
        </w:rPr>
        <w:fldChar w:fldCharType="begin"/>
      </w:r>
      <w:r>
        <w:rPr>
          <w:rFonts w:eastAsia="Franklin Gothic Book"/>
        </w:rPr>
        <w:instrText xml:space="preserve"> REF _Ref442019741 \h </w:instrText>
      </w:r>
      <w:r>
        <w:rPr>
          <w:rFonts w:eastAsia="Franklin Gothic Book"/>
        </w:rPr>
      </w:r>
      <w:r>
        <w:rPr>
          <w:rFonts w:eastAsia="Franklin Gothic Book"/>
        </w:rPr>
        <w:fldChar w:fldCharType="separate"/>
      </w:r>
      <w:r w:rsidR="00506A44" w:rsidRPr="009B67BF">
        <w:t xml:space="preserve">Small Business </w:t>
      </w:r>
      <w:r w:rsidR="00506A44">
        <w:t>Protocol</w:t>
      </w:r>
      <w:r>
        <w:rPr>
          <w:rFonts w:eastAsia="Franklin Gothic Book"/>
        </w:rPr>
        <w:fldChar w:fldCharType="end"/>
      </w:r>
      <w:r>
        <w:rPr>
          <w:rFonts w:eastAsia="Franklin Gothic Book"/>
        </w:rPr>
        <w:t>.”</w:t>
      </w:r>
    </w:p>
  </w:footnote>
  <w:footnote w:id="65">
    <w:p w14:paraId="668BA01D" w14:textId="77777777" w:rsidR="00061B97" w:rsidRDefault="00061B97" w:rsidP="00D34C6E">
      <w:pPr>
        <w:pStyle w:val="FootnoteText"/>
      </w:pPr>
      <w:r w:rsidRPr="002F5FEF">
        <w:rPr>
          <w:rStyle w:val="FootnoteReference"/>
        </w:rPr>
        <w:footnoteRef/>
      </w:r>
      <w:r>
        <w:t xml:space="preserve"> As defined in </w:t>
      </w:r>
      <w:r w:rsidRPr="00C316EC">
        <w:rPr>
          <w:rFonts w:eastAsia="Franklin Gothic Book"/>
        </w:rPr>
        <w:t>220 ILCS 5/8-103 and 220 ILCS 5/8-104</w:t>
      </w:r>
      <w:r>
        <w:rPr>
          <w:rFonts w:eastAsia="Franklin Gothic Book"/>
        </w:rPr>
        <w:t>.</w:t>
      </w:r>
    </w:p>
  </w:footnote>
  <w:footnote w:id="66">
    <w:p w14:paraId="158A72D2" w14:textId="77777777" w:rsidR="00061B97" w:rsidRDefault="00061B97" w:rsidP="00D34C6E">
      <w:pPr>
        <w:pStyle w:val="FootnoteText"/>
      </w:pPr>
      <w:r w:rsidRPr="002F5FEF">
        <w:rPr>
          <w:rStyle w:val="FootnoteReference"/>
        </w:rPr>
        <w:footnoteRef/>
      </w:r>
      <w:r>
        <w:t xml:space="preserve"> Vendors include trade allies, contractors, distributors, suppliers, and other market actors involved in the selection and installation of program-incented equipment on behalf of the participant.</w:t>
      </w:r>
    </w:p>
  </w:footnote>
  <w:footnote w:id="67">
    <w:p w14:paraId="7B63A68C" w14:textId="77777777" w:rsidR="00061B97" w:rsidRDefault="00061B97" w:rsidP="00F03E72">
      <w:pPr>
        <w:spacing w:after="0"/>
      </w:pPr>
      <w:r>
        <w:rPr>
          <w:rStyle w:val="FootnoteReference"/>
        </w:rPr>
        <w:footnoteRef/>
      </w:r>
      <w:r>
        <w:t xml:space="preserve"> </w:t>
      </w:r>
      <w:r w:rsidRPr="00F03E72">
        <w:rPr>
          <w:sz w:val="18"/>
          <w:szCs w:val="18"/>
        </w:rPr>
        <w:t>Note that the threshold value for counting spillover has been lowered from 7.0 to 5.0. The rationale for this lower threshold is: (1) the value of &gt;5 is a strong indicator of program influence on the decision to install non-rebated equipment and is currently being used in other states (e.g., California); (2) the previous value of &gt;7 set an unreasonably high standard for demonstrating program influence on the decision to install non-rebated equipment; and (3) past IL evaluation data show that a threshold of &gt;5 will improve spillover estimates as it provides a better approximation of partial spillover (i.e., where a portion of the savings for each measure installed outside the program gets credited as spillover based upon the program influence rating).</w:t>
      </w:r>
    </w:p>
  </w:footnote>
  <w:footnote w:id="68">
    <w:p w14:paraId="38F934E8" w14:textId="77777777" w:rsidR="00061B97" w:rsidRPr="00DB4998" w:rsidRDefault="00061B97" w:rsidP="00D34C6E">
      <w:pPr>
        <w:pStyle w:val="FootnoteText"/>
      </w:pPr>
      <w:r w:rsidRPr="002F5FEF">
        <w:rPr>
          <w:rStyle w:val="FootnoteReference"/>
        </w:rPr>
        <w:footnoteRef/>
      </w:r>
      <w:r>
        <w:t xml:space="preserve"> Example questions to gather engineering information to support the calculation of spillover savings may be accessed here: </w:t>
      </w:r>
      <w:hyperlink r:id="rId2" w:history="1">
        <w:r w:rsidRPr="000E4CEE">
          <w:rPr>
            <w:rStyle w:val="Hyperlink"/>
          </w:rPr>
          <w:t>http://www.ilsag.info/il_ntg_methods.html</w:t>
        </w:r>
      </w:hyperlink>
      <w:r>
        <w:t xml:space="preserve"> </w:t>
      </w:r>
      <w:r>
        <w:rPr>
          <w:rStyle w:val="Hyperlink"/>
        </w:rPr>
        <w:t xml:space="preserve"> </w:t>
      </w:r>
      <w:r w:rsidRPr="00DB4998">
        <w:t xml:space="preserve"> </w:t>
      </w:r>
    </w:p>
  </w:footnote>
  <w:footnote w:id="69">
    <w:p w14:paraId="4B6F7F6C" w14:textId="77777777" w:rsidR="00061B97" w:rsidRDefault="00061B97" w:rsidP="00D34C6E">
      <w:pPr>
        <w:pStyle w:val="FootnoteText"/>
      </w:pPr>
      <w:r>
        <w:rPr>
          <w:rStyle w:val="FootnoteReference"/>
        </w:rPr>
        <w:footnoteRef/>
      </w:r>
      <w:r>
        <w:t xml:space="preserve"> See </w:t>
      </w:r>
      <w:hyperlink r:id="rId3" w:history="1">
        <w:r w:rsidRPr="000E4CEE">
          <w:rPr>
            <w:rStyle w:val="Hyperlink"/>
          </w:rPr>
          <w:t>http://www.ilsag.info/il_ntg_methods.html</w:t>
        </w:r>
      </w:hyperlink>
      <w:r>
        <w:t xml:space="preserve"> f</w:t>
      </w:r>
      <w:r w:rsidRPr="00144C0F">
        <w:t xml:space="preserve">or detailed example questions designed to </w:t>
      </w:r>
      <w:r>
        <w:t>collect information required to</w:t>
      </w:r>
      <w:r w:rsidRPr="00144C0F">
        <w:t xml:space="preserve"> estimate </w:t>
      </w:r>
      <w:r>
        <w:t xml:space="preserve">spillover </w:t>
      </w:r>
      <w:r w:rsidRPr="00144C0F">
        <w:t xml:space="preserve">savings for </w:t>
      </w:r>
      <w:r>
        <w:t xml:space="preserve">a variety of </w:t>
      </w:r>
      <w:r w:rsidRPr="00144C0F">
        <w:t>measures</w:t>
      </w:r>
      <w:r>
        <w:t>.</w:t>
      </w:r>
    </w:p>
  </w:footnote>
  <w:footnote w:id="70">
    <w:p w14:paraId="0F783598" w14:textId="77777777" w:rsidR="00061B97" w:rsidRDefault="00061B97" w:rsidP="00D34C6E">
      <w:pPr>
        <w:pStyle w:val="FootnoteText"/>
      </w:pPr>
      <w:r>
        <w:rPr>
          <w:rStyle w:val="FootnoteReference"/>
        </w:rPr>
        <w:footnoteRef/>
      </w:r>
      <w:r>
        <w:t xml:space="preserve"> </w:t>
      </w:r>
      <w:r w:rsidRPr="00CF02C1">
        <w:t>Note that the same 5.0 threshold value is being used for both Participant and Nonparticipant Spillover.</w:t>
      </w:r>
    </w:p>
  </w:footnote>
  <w:footnote w:id="71">
    <w:p w14:paraId="11ACB627" w14:textId="77777777" w:rsidR="00061B97" w:rsidRDefault="00061B97" w:rsidP="00D34C6E">
      <w:pPr>
        <w:pStyle w:val="FootnoteText"/>
      </w:pPr>
      <w:r>
        <w:rPr>
          <w:rStyle w:val="FootnoteReference"/>
        </w:rPr>
        <w:footnoteRef/>
      </w:r>
      <w:r>
        <w:t xml:space="preserve"> This includes all samples sites including those that reported no spillover savings. </w:t>
      </w:r>
    </w:p>
  </w:footnote>
  <w:footnote w:id="72">
    <w:p w14:paraId="29D4B6E8" w14:textId="77777777" w:rsidR="00061B97" w:rsidRDefault="00061B97" w:rsidP="00D34C6E">
      <w:pPr>
        <w:pStyle w:val="FootnoteText"/>
      </w:pPr>
      <w:r w:rsidRPr="002F5FEF">
        <w:rPr>
          <w:rStyle w:val="FootnoteReference"/>
        </w:rPr>
        <w:footnoteRef/>
      </w:r>
      <w:r w:rsidRPr="00AC2A3F">
        <w:t xml:space="preserve"> </w:t>
      </w:r>
      <w:r w:rsidRPr="00912CF1">
        <w:rPr>
          <w:szCs w:val="20"/>
        </w:rPr>
        <w:t xml:space="preserve">New Construction programs intervene in the early phases of ongoing construction projects (i.e., </w:t>
      </w:r>
      <w:r w:rsidRPr="00DB30D6">
        <w:rPr>
          <w:szCs w:val="20"/>
        </w:rPr>
        <w:t>after the decision to build has been made). As a result, participation in a New Construction program would not be expected to accelerate the construction of the new building.</w:t>
      </w:r>
    </w:p>
  </w:footnote>
  <w:footnote w:id="73">
    <w:p w14:paraId="6079B9B9" w14:textId="77777777" w:rsidR="00061B97" w:rsidRPr="00FE758D" w:rsidRDefault="00061B97" w:rsidP="00D34C6E">
      <w:pPr>
        <w:pStyle w:val="Caption"/>
        <w:jc w:val="left"/>
        <w:rPr>
          <w:rFonts w:cs="Times New Roman"/>
          <w:b w:val="0"/>
          <w:sz w:val="18"/>
          <w:szCs w:val="22"/>
        </w:rPr>
      </w:pPr>
      <w:r w:rsidRPr="002F5FEF">
        <w:rPr>
          <w:rStyle w:val="FootnoteReference"/>
          <w:b w:val="0"/>
          <w:szCs w:val="20"/>
        </w:rPr>
        <w:footnoteRef/>
      </w:r>
      <w:r w:rsidRPr="004359B4">
        <w:rPr>
          <w:b w:val="0"/>
          <w:szCs w:val="20"/>
        </w:rPr>
        <w:t xml:space="preserve"> </w:t>
      </w:r>
      <w:r w:rsidRPr="004359B4">
        <w:rPr>
          <w:rFonts w:cs="Times New Roman"/>
          <w:b w:val="0"/>
          <w:szCs w:val="20"/>
        </w:rPr>
        <w:t xml:space="preserve">It should be noted that the question numbering in Figure 3-5 and Figure 3-6 is for reference </w:t>
      </w:r>
      <w:r w:rsidRPr="00B229B8">
        <w:rPr>
          <w:b w:val="0"/>
        </w:rPr>
        <w:t>purposes only; the additional questions do not have to immediately precede the counterfactual likelihood question.</w:t>
      </w:r>
    </w:p>
  </w:footnote>
  <w:footnote w:id="74">
    <w:p w14:paraId="38D6C713" w14:textId="48EB29A0" w:rsidR="00061B97" w:rsidRDefault="00061B97" w:rsidP="00D34C6E">
      <w:pPr>
        <w:pStyle w:val="FootnoteText"/>
      </w:pPr>
      <w:r w:rsidRPr="002F5FEF">
        <w:rPr>
          <w:rStyle w:val="FootnoteReference"/>
        </w:rPr>
        <w:footnoteRef/>
      </w:r>
      <w:r>
        <w:t xml:space="preserve"> </w:t>
      </w:r>
      <w:r>
        <w:rPr>
          <w:rFonts w:eastAsia="Franklin Gothic Book"/>
        </w:rPr>
        <w:t>The “Free Ridership Protocol Name” in the second column of the table refers to the numbered sections in this document, e.g., “</w:t>
      </w:r>
      <w:r>
        <w:rPr>
          <w:rFonts w:eastAsia="Franklin Gothic Book"/>
        </w:rPr>
        <w:fldChar w:fldCharType="begin"/>
      </w:r>
      <w:r>
        <w:rPr>
          <w:rFonts w:eastAsia="Franklin Gothic Book"/>
        </w:rPr>
        <w:instrText xml:space="preserve"> REF _Ref442019850 \r \h </w:instrText>
      </w:r>
      <w:r>
        <w:rPr>
          <w:rFonts w:eastAsia="Franklin Gothic Book"/>
        </w:rPr>
      </w:r>
      <w:r>
        <w:rPr>
          <w:rFonts w:eastAsia="Franklin Gothic Book"/>
        </w:rPr>
        <w:fldChar w:fldCharType="separate"/>
      </w:r>
      <w:r w:rsidR="00506A44">
        <w:rPr>
          <w:rFonts w:eastAsia="Franklin Gothic Book"/>
        </w:rPr>
        <w:t>4.6</w:t>
      </w:r>
      <w:r>
        <w:rPr>
          <w:rFonts w:eastAsia="Franklin Gothic Book"/>
        </w:rPr>
        <w:fldChar w:fldCharType="end"/>
      </w:r>
      <w:r>
        <w:rPr>
          <w:rFonts w:eastAsia="Franklin Gothic Book"/>
        </w:rPr>
        <w:t xml:space="preserve"> </w:t>
      </w:r>
      <w:r>
        <w:rPr>
          <w:rFonts w:eastAsia="Franklin Gothic Book"/>
        </w:rPr>
        <w:fldChar w:fldCharType="begin"/>
      </w:r>
      <w:r>
        <w:rPr>
          <w:rFonts w:eastAsia="Franklin Gothic Book"/>
        </w:rPr>
        <w:instrText xml:space="preserve"> REF _Ref442019865 \h </w:instrText>
      </w:r>
      <w:r>
        <w:rPr>
          <w:rFonts w:eastAsia="Franklin Gothic Book"/>
        </w:rPr>
      </w:r>
      <w:r>
        <w:rPr>
          <w:rFonts w:eastAsia="Franklin Gothic Book"/>
        </w:rPr>
        <w:fldChar w:fldCharType="separate"/>
      </w:r>
      <w:r w:rsidR="00506A44" w:rsidRPr="009B67BF">
        <w:t xml:space="preserve">Multifamily </w:t>
      </w:r>
      <w:r w:rsidR="00506A44">
        <w:t>Protocol</w:t>
      </w:r>
      <w:r>
        <w:rPr>
          <w:rFonts w:eastAsia="Franklin Gothic Book"/>
        </w:rPr>
        <w:fldChar w:fldCharType="end"/>
      </w:r>
      <w:r>
        <w:rPr>
          <w:rFonts w:eastAsia="Franklin Gothic Book"/>
        </w:rPr>
        <w:t>.”</w:t>
      </w:r>
    </w:p>
  </w:footnote>
  <w:footnote w:id="75">
    <w:p w14:paraId="229FE7B7" w14:textId="77777777" w:rsidR="00061B97" w:rsidRDefault="00061B97" w:rsidP="00D34C6E">
      <w:pPr>
        <w:pStyle w:val="FootnoteText"/>
      </w:pPr>
      <w:r>
        <w:rPr>
          <w:rStyle w:val="FootnoteReference"/>
        </w:rPr>
        <w:footnoteRef/>
      </w:r>
      <w:r>
        <w:t xml:space="preserve"> Customers who installed efficient lighting (CFL/LED) will not be eligible for NPSO if those savings are already claimed by an upstream lighting program. A separate NPSO protocol is provided specifically for upstream lighting programs.  </w:t>
      </w:r>
    </w:p>
  </w:footnote>
  <w:footnote w:id="76">
    <w:p w14:paraId="6B8919B7" w14:textId="77777777" w:rsidR="00061B97" w:rsidRPr="00133D3F" w:rsidRDefault="00061B97" w:rsidP="00D34C6E">
      <w:pPr>
        <w:pStyle w:val="FootnoteText"/>
      </w:pPr>
      <w:r w:rsidRPr="002F5FEF">
        <w:rPr>
          <w:rStyle w:val="FootnoteReference"/>
        </w:rPr>
        <w:footnoteRef/>
      </w:r>
      <w:r w:rsidRPr="00133D3F">
        <w:t xml:space="preserve"> </w:t>
      </w:r>
      <w:r w:rsidRPr="00C34F25">
        <w:t>Note that such retailer interviews are being conducted annually for the ComEd ARP evaluation, and answers are used directly in the calculation of the NTG ratio in cases where: (1) the respondent planned to have the unit picked up by the retailer; and (2) the retailer was interviewed.</w:t>
      </w:r>
    </w:p>
  </w:footnote>
  <w:footnote w:id="77">
    <w:p w14:paraId="05AC7134" w14:textId="77777777" w:rsidR="00061B97" w:rsidRPr="00133D3F" w:rsidRDefault="00061B97" w:rsidP="00D34C6E">
      <w:pPr>
        <w:pStyle w:val="FootnoteText"/>
      </w:pPr>
      <w:r w:rsidRPr="002F5FEF">
        <w:rPr>
          <w:rStyle w:val="FootnoteReference"/>
        </w:rPr>
        <w:footnoteRef/>
      </w:r>
      <w:r w:rsidRPr="00133D3F">
        <w:t xml:space="preserve"> ComEd has used this method since EPY2. Ameren began using it in EPY5. </w:t>
      </w:r>
    </w:p>
  </w:footnote>
  <w:footnote w:id="78">
    <w:p w14:paraId="437F84C6" w14:textId="77777777" w:rsidR="00061B97" w:rsidRPr="00133D3F" w:rsidRDefault="00061B97" w:rsidP="00D34C6E">
      <w:pPr>
        <w:pStyle w:val="FootnoteText"/>
      </w:pPr>
      <w:r w:rsidRPr="002F5FEF">
        <w:rPr>
          <w:rStyle w:val="FootnoteReference"/>
        </w:rPr>
        <w:footnoteRef/>
      </w:r>
      <w:r w:rsidRPr="00133D3F">
        <w:t xml:space="preserve"> The function, adjusted monetary score = (monetary score + 10)/2, increases the monetary score using a decreasing linear function. This function results in an increase in the monetary influence score of between 0 and 5 points depending on their original monetary score (i.e., an original score of 0 would become a 5, a 5 would become a 7.5, and a 10 would remain a 10</w:t>
      </w:r>
      <w:r>
        <w:t>)</w:t>
      </w:r>
      <w:r w:rsidRPr="00133D3F">
        <w:t xml:space="preserve">. In past Illinois evaluations, this adjustment has typically changed less than 10% of all monetary scores. </w:t>
      </w:r>
    </w:p>
  </w:footnote>
  <w:footnote w:id="79">
    <w:p w14:paraId="0E157234" w14:textId="77777777" w:rsidR="00061B97" w:rsidRPr="00137CC1" w:rsidRDefault="00061B97" w:rsidP="00D34C6E">
      <w:pPr>
        <w:pStyle w:val="FootnoteText"/>
      </w:pPr>
      <w:r w:rsidRPr="002F5FEF">
        <w:rPr>
          <w:rStyle w:val="FootnoteReference"/>
        </w:rPr>
        <w:footnoteRef/>
      </w:r>
      <w:r>
        <w:t xml:space="preserve"> </w:t>
      </w:r>
      <w:r w:rsidRPr="00137CC1">
        <w:t xml:space="preserve">The </w:t>
      </w:r>
      <w:r>
        <w:t>Illinois NTG W</w:t>
      </w:r>
      <w:r w:rsidRPr="00137CC1">
        <w:t xml:space="preserve">orking </w:t>
      </w:r>
      <w:r>
        <w:t>G</w:t>
      </w:r>
      <w:r w:rsidRPr="00137CC1">
        <w:t xml:space="preserve">roup discussed using this question to check </w:t>
      </w:r>
      <w:r w:rsidRPr="00067A5A">
        <w:t>for</w:t>
      </w:r>
      <w:r w:rsidRPr="00137CC1">
        <w:t xml:space="preserve"> consistencies rather than adjusting the score. </w:t>
      </w:r>
      <w:r>
        <w:t>The NTG working group</w:t>
      </w:r>
      <w:r w:rsidRPr="00137CC1">
        <w:t xml:space="preserve"> agreed that it is preferable not to directly ask about conflicting language with residential customers and </w:t>
      </w:r>
      <w:r>
        <w:t xml:space="preserve">to </w:t>
      </w:r>
      <w:r w:rsidRPr="00137CC1">
        <w:t xml:space="preserve">utilize an open ended question instead to assess possible reasons for conflicting statements. It is the experience of the NTG working group members that residential customers tend </w:t>
      </w:r>
      <w:r>
        <w:t>to be</w:t>
      </w:r>
      <w:r w:rsidRPr="00137CC1">
        <w:t xml:space="preserve"> more impatient with these types of questions and can typically respond easier to an open</w:t>
      </w:r>
      <w:r>
        <w:t>-</w:t>
      </w:r>
      <w:r w:rsidRPr="00137CC1">
        <w:t>ended question about their motivations.</w:t>
      </w:r>
    </w:p>
  </w:footnote>
  <w:footnote w:id="80">
    <w:p w14:paraId="67CAF94C" w14:textId="77777777" w:rsidR="00061B97" w:rsidRDefault="00061B97" w:rsidP="00D34C6E">
      <w:pPr>
        <w:pStyle w:val="FootnoteText"/>
      </w:pPr>
      <w:r>
        <w:rPr>
          <w:rStyle w:val="FootnoteReference"/>
        </w:rPr>
        <w:footnoteRef/>
      </w:r>
      <w:r>
        <w:t xml:space="preserve"> Evaluators should word the survey questions to reflect whether measures were free or purchased with an incentive.</w:t>
      </w:r>
    </w:p>
  </w:footnote>
  <w:footnote w:id="81">
    <w:p w14:paraId="70CAD297" w14:textId="77777777" w:rsidR="00061B97" w:rsidRDefault="00061B97" w:rsidP="00D34C6E">
      <w:pPr>
        <w:pStyle w:val="FootnoteText"/>
      </w:pPr>
      <w:r>
        <w:rPr>
          <w:rStyle w:val="FootnoteReference"/>
        </w:rPr>
        <w:footnoteRef/>
      </w:r>
      <w:r>
        <w:t xml:space="preserve"> Evaluators should word the consistency check questions to reflect whether measures were free or purchased with an incentive.</w:t>
      </w:r>
    </w:p>
  </w:footnote>
  <w:footnote w:id="82">
    <w:p w14:paraId="2FFDDFF8" w14:textId="77777777" w:rsidR="00061B97" w:rsidRDefault="00061B97" w:rsidP="00D34C6E">
      <w:pPr>
        <w:pStyle w:val="FootnoteText"/>
        <w:rPr>
          <w:szCs w:val="18"/>
        </w:rPr>
      </w:pPr>
      <w:r w:rsidRPr="002F5FEF">
        <w:rPr>
          <w:rStyle w:val="FootnoteReference"/>
          <w:szCs w:val="18"/>
        </w:rPr>
        <w:footnoteRef/>
      </w:r>
      <w:r>
        <w:rPr>
          <w:szCs w:val="18"/>
        </w:rPr>
        <w:t xml:space="preserve"> NPSO also can arise from nonparticipating customers as a direct result of general energy efficiency education and promotion efforts. A separate protocol addresses such NPSO. Care should be taken to ensure the different approaches do not double-count NPSO.</w:t>
      </w:r>
    </w:p>
  </w:footnote>
  <w:footnote w:id="83">
    <w:p w14:paraId="39860356" w14:textId="77777777" w:rsidR="00061B97" w:rsidRDefault="00061B97" w:rsidP="00D34C6E">
      <w:pPr>
        <w:pStyle w:val="FootnoteText"/>
      </w:pPr>
      <w:r>
        <w:rPr>
          <w:rStyle w:val="FootnoteReference"/>
        </w:rPr>
        <w:footnoteRef/>
      </w:r>
      <w:r>
        <w:t xml:space="preserve"> The exclusion of manufacturers from the definition of trade ally does </w:t>
      </w:r>
      <w:r w:rsidRPr="00B80B41">
        <w:rPr>
          <w:i/>
        </w:rPr>
        <w:t>not</w:t>
      </w:r>
      <w:r>
        <w:t xml:space="preserve"> suggest that manufacturers cannot create spillover. Rather, manufacturers are excluded </w:t>
      </w:r>
      <w:r w:rsidRPr="00B80B41">
        <w:t xml:space="preserve">because the methodologies outlined in this section do not apply to </w:t>
      </w:r>
      <w:r>
        <w:t xml:space="preserve">them. </w:t>
      </w:r>
    </w:p>
  </w:footnote>
  <w:footnote w:id="84">
    <w:p w14:paraId="653AD6B4" w14:textId="77777777" w:rsidR="00061B97" w:rsidRDefault="00061B97" w:rsidP="00D34C6E">
      <w:pPr>
        <w:pStyle w:val="FootnoteText"/>
      </w:pPr>
      <w:r>
        <w:rPr>
          <w:rStyle w:val="FootnoteReference"/>
        </w:rPr>
        <w:footnoteRef/>
      </w:r>
      <w:r>
        <w:t xml:space="preserve"> As some trade allies may find it difficult to directly quantify the program’s attribution effect on non-program sales, the evaluator may need to use a series of questions to guide the trade ally to provide an estimate of the overall attribution. Questions may include asking about what factors influence sales of non-program efficient equipment/products and how the program influences individual factors to provide context for an overall attribution estimate. </w:t>
      </w:r>
    </w:p>
  </w:footnote>
  <w:footnote w:id="85">
    <w:p w14:paraId="1D4B96C7" w14:textId="77777777" w:rsidR="00061B97" w:rsidRPr="00D32144" w:rsidRDefault="00061B97" w:rsidP="00D34C6E">
      <w:pPr>
        <w:pStyle w:val="FootnoteText"/>
      </w:pPr>
      <w:r w:rsidRPr="002F5FEF">
        <w:rPr>
          <w:rStyle w:val="FootnoteReference"/>
          <w:rFonts w:ascii="Calibri" w:eastAsiaTheme="majorEastAsia" w:hAnsi="Calibri"/>
        </w:rPr>
        <w:footnoteRef/>
      </w:r>
      <w:r w:rsidRPr="00D32144">
        <w:t xml:space="preserve"> </w:t>
      </w:r>
      <w:r>
        <w:t xml:space="preserve">Benefits of using AMI data can </w:t>
      </w:r>
      <w:r w:rsidRPr="00D32144">
        <w:t>include</w:t>
      </w:r>
      <w:r>
        <w:t>:</w:t>
      </w:r>
      <w:r w:rsidRPr="00D32144">
        <w:t xml:space="preserve"> having more observations per customer,</w:t>
      </w:r>
      <w:r>
        <w:t xml:space="preserve"> </w:t>
      </w:r>
      <w:r w:rsidRPr="00D32144">
        <w:t>which</w:t>
      </w:r>
      <w:r>
        <w:t xml:space="preserve"> may</w:t>
      </w:r>
      <w:r w:rsidRPr="00D32144">
        <w:t xml:space="preserve"> improve model precision; obviating concerns over billing periods with differing numbers of days; and</w:t>
      </w:r>
      <w:r>
        <w:t>, for hourly models,</w:t>
      </w:r>
      <w:r w:rsidRPr="00D32144">
        <w:t xml:space="preserve"> providing the ability to observe intraday</w:t>
      </w:r>
      <w:r>
        <w:t xml:space="preserve"> </w:t>
      </w:r>
      <w:r w:rsidRPr="00D32144">
        <w:t>load shifting in addition to energy savings.</w:t>
      </w:r>
    </w:p>
  </w:footnote>
  <w:footnote w:id="86">
    <w:p w14:paraId="77E40C88" w14:textId="6414A12C" w:rsidR="00061B97" w:rsidRDefault="00061B97" w:rsidP="00D34C6E">
      <w:pPr>
        <w:pStyle w:val="FootnoteText"/>
      </w:pPr>
      <w:r>
        <w:rPr>
          <w:rStyle w:val="FootnoteReference"/>
        </w:rPr>
        <w:footnoteRef/>
      </w:r>
      <w:r>
        <w:t xml:space="preserve"> For example, it is generally accepted that programs for income qualified customers have little to no free ridership a</w:t>
      </w:r>
      <w:r>
        <w:rPr>
          <w:rFonts w:eastAsia="Franklin Gothic Book"/>
        </w:rPr>
        <w:t>s these customers are unlikely to install the measures without the incentive of the program</w:t>
      </w:r>
      <w:r>
        <w:t xml:space="preserve">. For specific guidance on income qualified programs see Section </w:t>
      </w:r>
      <w:r>
        <w:fldChar w:fldCharType="begin"/>
      </w:r>
      <w:r>
        <w:instrText xml:space="preserve"> REF _Ref522178629 \n \h </w:instrText>
      </w:r>
      <w:r>
        <w:fldChar w:fldCharType="separate"/>
      </w:r>
      <w:r w:rsidR="00506A44">
        <w:t>4</w:t>
      </w:r>
      <w:r>
        <w:fldChar w:fldCharType="end"/>
      </w:r>
      <w:r>
        <w:t>.</w:t>
      </w:r>
    </w:p>
  </w:footnote>
  <w:footnote w:id="87">
    <w:p w14:paraId="02C1BF1C" w14:textId="77777777" w:rsidR="00061B97" w:rsidRPr="00E30F67" w:rsidRDefault="00061B97" w:rsidP="00D34C6E">
      <w:pPr>
        <w:pStyle w:val="FootnoteText"/>
        <w:rPr>
          <w:szCs w:val="18"/>
        </w:rPr>
      </w:pPr>
      <w:r w:rsidRPr="002F5FEF">
        <w:rPr>
          <w:rStyle w:val="FootnoteReference"/>
          <w:rFonts w:ascii="Calibri" w:eastAsiaTheme="majorEastAsia" w:hAnsi="Calibri"/>
          <w:szCs w:val="18"/>
        </w:rPr>
        <w:footnoteRef/>
      </w:r>
      <w:r w:rsidRPr="00D32144">
        <w:rPr>
          <w:szCs w:val="18"/>
        </w:rPr>
        <w:t xml:space="preserve"> “Panel” refers to the data set consist</w:t>
      </w:r>
      <w:r>
        <w:rPr>
          <w:szCs w:val="18"/>
        </w:rPr>
        <w:t>ing</w:t>
      </w:r>
      <w:r w:rsidRPr="00D32144">
        <w:rPr>
          <w:szCs w:val="18"/>
        </w:rPr>
        <w:t xml:space="preserve"> of time-series observations on energy consumption of a cross-section of treatment and control customers. Panel estimation techniques refer to </w:t>
      </w:r>
      <w:r>
        <w:rPr>
          <w:szCs w:val="18"/>
        </w:rPr>
        <w:t xml:space="preserve">the model’s </w:t>
      </w:r>
      <w:r w:rsidRPr="00D32144">
        <w:rPr>
          <w:szCs w:val="18"/>
        </w:rPr>
        <w:t xml:space="preserve">inclusion of terms that control for individual customer heterogeneity (e.g., customer fixed effects or a lagged dependent variable), and cluster-robust standard errors, which can accommodate differing error variances across customers and </w:t>
      </w:r>
      <w:r>
        <w:rPr>
          <w:szCs w:val="18"/>
        </w:rPr>
        <w:t xml:space="preserve">an </w:t>
      </w:r>
      <w:r w:rsidRPr="00D32144">
        <w:rPr>
          <w:szCs w:val="18"/>
        </w:rPr>
        <w:t>intracustomer correlation of errors.</w:t>
      </w:r>
    </w:p>
  </w:footnote>
  <w:footnote w:id="88">
    <w:p w14:paraId="5DCD58D5" w14:textId="4273AD64" w:rsidR="00061B97" w:rsidRDefault="00061B97" w:rsidP="00D34C6E">
      <w:pPr>
        <w:pStyle w:val="FootnoteText"/>
      </w:pPr>
      <w:r>
        <w:rPr>
          <w:rStyle w:val="FootnoteReference"/>
        </w:rPr>
        <w:footnoteRef/>
      </w:r>
      <w:r>
        <w:t xml:space="preserve"> Except in the case of income qualified programs where the use of future participants can produce an estimate of net savings. For specific guidance on income qualified programs see Section </w:t>
      </w:r>
      <w:r>
        <w:fldChar w:fldCharType="begin"/>
      </w:r>
      <w:r>
        <w:instrText xml:space="preserve"> REF _Ref522178698 \n \h </w:instrText>
      </w:r>
      <w:r>
        <w:fldChar w:fldCharType="separate"/>
      </w:r>
      <w:r w:rsidR="00506A44">
        <w:t>4</w:t>
      </w:r>
      <w:r>
        <w:fldChar w:fldCharType="end"/>
      </w:r>
      <w:r>
        <w:t>.</w:t>
      </w:r>
    </w:p>
  </w:footnote>
  <w:footnote w:id="89">
    <w:p w14:paraId="29D5BE0C" w14:textId="77777777" w:rsidR="00061B97" w:rsidRDefault="00061B97" w:rsidP="00D34C6E">
      <w:pPr>
        <w:pStyle w:val="FootnoteText"/>
      </w:pPr>
      <w:r>
        <w:rPr>
          <w:rStyle w:val="FootnoteReference"/>
        </w:rPr>
        <w:footnoteRef/>
      </w:r>
      <w:r>
        <w:t xml:space="preserve"> See Harding and Hsiaw (2013). This is a distinct method from the UMP Chapter 8 (Agnew and Goldberg, 2017) pooled fixed effects approach which can be estimated with multiple years of participants. VIA hinges on rolling enrollment and in essence uses each participant as a control and a treatment customer through time. The Chapter 8 pooled fixed effects approach uses participants from an earlier time period as a comparison group for participants from a later time period.</w:t>
      </w:r>
    </w:p>
  </w:footnote>
  <w:footnote w:id="90">
    <w:p w14:paraId="07E8949A" w14:textId="77777777" w:rsidR="00061B97" w:rsidRDefault="00061B97" w:rsidP="00D34C6E">
      <w:pPr>
        <w:pStyle w:val="FootnoteText"/>
      </w:pPr>
      <w:r>
        <w:rPr>
          <w:rStyle w:val="FootnoteReference"/>
          <w:rFonts w:eastAsiaTheme="majorEastAsia"/>
        </w:rPr>
        <w:footnoteRef/>
      </w:r>
      <w:r>
        <w:t xml:space="preserve"> For details see: </w:t>
      </w:r>
      <w:r w:rsidRPr="00883DD0">
        <w:t xml:space="preserve">Goldberg, M.; Agnew, K.; Train, K.; Fowlie, M. (2017). </w:t>
      </w:r>
      <w:r w:rsidRPr="006A57AA">
        <w:rPr>
          <w:i/>
        </w:rPr>
        <w:t xml:space="preserve">Mitigating Self-Selection Bias in Billing Analysis for Impact Evaluation. </w:t>
      </w:r>
      <w:r w:rsidRPr="001F2C04">
        <w:t>Pacific Gas and Electric Company.</w:t>
      </w:r>
      <w:r w:rsidRPr="00883DD0">
        <w:t xml:space="preserve"> CALM</w:t>
      </w:r>
      <w:r>
        <w:t>A</w:t>
      </w:r>
      <w:r w:rsidRPr="00883DD0">
        <w:t xml:space="preserve">C Study ID PGE0401.01. </w:t>
      </w:r>
      <w:r w:rsidRPr="006D5403">
        <w:t>&lt;</w:t>
      </w:r>
      <w:r w:rsidRPr="006A57AA">
        <w:t>http://www.calmac.org/publications/Mitigating_Self_Selection_Bias_in_Bill_Analysis_8.4.17.pdf</w:t>
      </w:r>
      <w:r>
        <w:t>&gt;</w:t>
      </w:r>
    </w:p>
  </w:footnote>
  <w:footnote w:id="91">
    <w:p w14:paraId="00997AF1" w14:textId="2BB1657C" w:rsidR="00061B97" w:rsidRDefault="00061B97" w:rsidP="00D34C6E">
      <w:pPr>
        <w:pStyle w:val="FootnoteText"/>
      </w:pPr>
      <w:r>
        <w:rPr>
          <w:rStyle w:val="FootnoteReference"/>
          <w:rFonts w:eastAsiaTheme="majorEastAsia"/>
        </w:rPr>
        <w:footnoteRef/>
      </w:r>
      <w:r>
        <w:t xml:space="preserve"> See Section 5.</w:t>
      </w:r>
    </w:p>
  </w:footnote>
  <w:footnote w:id="92">
    <w:p w14:paraId="1B0E1C5C" w14:textId="77777777" w:rsidR="00061B97" w:rsidRDefault="00061B97" w:rsidP="00D34C6E">
      <w:pPr>
        <w:pStyle w:val="FootnoteText"/>
      </w:pPr>
      <w:r>
        <w:rPr>
          <w:rStyle w:val="FootnoteReference"/>
          <w:rFonts w:eastAsiaTheme="majorEastAsia"/>
        </w:rPr>
        <w:footnoteRef/>
      </w:r>
      <w:r>
        <w:t xml:space="preserve"> </w:t>
      </w:r>
      <w:r w:rsidRPr="009B67BF" w:rsidDel="003B4E92">
        <w:rPr>
          <w:rFonts w:eastAsia="Calibri"/>
        </w:rPr>
        <w:t>RCTs eliminate free rider bias because the random assignment of customers to treatment and control groups equally distributes such participants between the tw</w:t>
      </w:r>
      <w:r w:rsidRPr="006300C6" w:rsidDel="003B4E92">
        <w:rPr>
          <w:szCs w:val="18"/>
        </w:rPr>
        <w:t>o.</w:t>
      </w:r>
      <w:r w:rsidRPr="006300C6">
        <w:rPr>
          <w:szCs w:val="18"/>
        </w:rPr>
        <w:t xml:space="preserve"> </w:t>
      </w:r>
      <w:r w:rsidRPr="00DD156B">
        <w:t>Due to differential attrition</w:t>
      </w:r>
      <w:r>
        <w:rPr>
          <w:szCs w:val="18"/>
        </w:rPr>
        <w:t xml:space="preserve"> and random chance, s</w:t>
      </w:r>
      <w:r w:rsidRPr="005D72DC">
        <w:rPr>
          <w:szCs w:val="18"/>
        </w:rPr>
        <w:t xml:space="preserve">mall differences </w:t>
      </w:r>
      <w:r>
        <w:rPr>
          <w:szCs w:val="18"/>
        </w:rPr>
        <w:t xml:space="preserve">may occur </w:t>
      </w:r>
      <w:r w:rsidRPr="005D72DC">
        <w:rPr>
          <w:szCs w:val="18"/>
        </w:rPr>
        <w:t xml:space="preserve">between the distributions of </w:t>
      </w:r>
      <w:r>
        <w:rPr>
          <w:szCs w:val="18"/>
        </w:rPr>
        <w:t xml:space="preserve">free riders </w:t>
      </w:r>
      <w:r w:rsidRPr="005D72DC">
        <w:rPr>
          <w:szCs w:val="18"/>
        </w:rPr>
        <w:t xml:space="preserve">in the two groups </w:t>
      </w:r>
      <w:r>
        <w:rPr>
          <w:szCs w:val="18"/>
        </w:rPr>
        <w:t>for</w:t>
      </w:r>
      <w:r w:rsidRPr="005D72DC">
        <w:rPr>
          <w:szCs w:val="18"/>
        </w:rPr>
        <w:t xml:space="preserve"> any given sample. </w:t>
      </w:r>
      <w:r>
        <w:rPr>
          <w:szCs w:val="18"/>
        </w:rPr>
        <w:t>T</w:t>
      </w:r>
      <w:r w:rsidRPr="005D72DC">
        <w:rPr>
          <w:szCs w:val="18"/>
        </w:rPr>
        <w:t>heir expected values</w:t>
      </w:r>
      <w:r>
        <w:rPr>
          <w:szCs w:val="18"/>
        </w:rPr>
        <w:t>, however,</w:t>
      </w:r>
      <w:r w:rsidRPr="005D72DC">
        <w:rPr>
          <w:szCs w:val="18"/>
        </w:rPr>
        <w:t xml:space="preserve"> will be identical, and in any case the size of any such discrepanc</w:t>
      </w:r>
      <w:r>
        <w:rPr>
          <w:szCs w:val="18"/>
        </w:rPr>
        <w:t>ies</w:t>
      </w:r>
      <w:r w:rsidRPr="005D72DC">
        <w:rPr>
          <w:szCs w:val="18"/>
        </w:rPr>
        <w:t xml:space="preserve"> shrinks as sample size increases. Thus, </w:t>
      </w:r>
      <w:r>
        <w:rPr>
          <w:szCs w:val="18"/>
        </w:rPr>
        <w:t xml:space="preserve">this </w:t>
      </w:r>
      <w:r w:rsidRPr="005D72DC">
        <w:rPr>
          <w:szCs w:val="18"/>
        </w:rPr>
        <w:t>is only a potential concern for programs with unusually small numbers of participants.</w:t>
      </w:r>
      <w:r>
        <w:rPr>
          <w:szCs w:val="18"/>
        </w:rPr>
        <w:t>)</w:t>
      </w:r>
      <w:r w:rsidRPr="009B67BF" w:rsidDel="003B4E92">
        <w:rPr>
          <w:rFonts w:eastAsia="Calibri"/>
        </w:rPr>
        <w:t xml:space="preserve"> Upon comparing the two groups’ energy consumption, free riders</w:t>
      </w:r>
      <w:r>
        <w:rPr>
          <w:rFonts w:eastAsia="Calibri"/>
        </w:rPr>
        <w:t>’</w:t>
      </w:r>
      <w:r w:rsidRPr="009B67BF" w:rsidDel="003B4E92">
        <w:rPr>
          <w:rFonts w:eastAsia="Calibri"/>
        </w:rPr>
        <w:t xml:space="preserve"> energy savings in the control group cancel out those in the treatment group, eliminating free rider bias.</w:t>
      </w:r>
    </w:p>
  </w:footnote>
  <w:footnote w:id="93">
    <w:p w14:paraId="0762C0BB" w14:textId="77777777" w:rsidR="00061B97" w:rsidRDefault="00061B97" w:rsidP="00D34C6E">
      <w:pPr>
        <w:pStyle w:val="FootnoteText"/>
      </w:pPr>
      <w:r>
        <w:rPr>
          <w:rStyle w:val="FootnoteReference"/>
          <w:rFonts w:eastAsiaTheme="majorEastAsia"/>
        </w:rPr>
        <w:footnoteRef/>
      </w:r>
      <w:r>
        <w:t xml:space="preserve"> The encouragement could take many forms including targeted marketing or direct monetary incentives. </w:t>
      </w:r>
    </w:p>
  </w:footnote>
  <w:footnote w:id="94">
    <w:p w14:paraId="7288739A" w14:textId="77777777" w:rsidR="00061B97" w:rsidRDefault="00061B97" w:rsidP="00D34C6E">
      <w:pPr>
        <w:pStyle w:val="FootnoteText"/>
      </w:pPr>
      <w:r>
        <w:rPr>
          <w:rStyle w:val="FootnoteReference"/>
          <w:rFonts w:eastAsiaTheme="majorEastAsia"/>
        </w:rPr>
        <w:footnoteRef/>
      </w:r>
      <w:r>
        <w:t xml:space="preserve"> This design does not preclude mass marketing of the program to all customers but relies on the encouragement being effective at driving the encouraged customers into the program at a higher rate than the non-encouraged customers.</w:t>
      </w:r>
    </w:p>
  </w:footnote>
  <w:footnote w:id="95">
    <w:p w14:paraId="77C7BCD6" w14:textId="77777777" w:rsidR="00061B97" w:rsidRDefault="00061B97" w:rsidP="00D34C6E">
      <w:pPr>
        <w:pStyle w:val="FootnoteText"/>
      </w:pPr>
      <w:r>
        <w:rPr>
          <w:rStyle w:val="FootnoteReference"/>
          <w:rFonts w:eastAsiaTheme="majorEastAsia"/>
        </w:rPr>
        <w:footnoteRef/>
      </w:r>
      <w:r>
        <w:t xml:space="preserve"> See, for example: </w:t>
      </w:r>
    </w:p>
    <w:p w14:paraId="44A456E7" w14:textId="77777777" w:rsidR="00061B97" w:rsidRDefault="00061B97" w:rsidP="00D34C6E">
      <w:pPr>
        <w:pStyle w:val="FootnoteText"/>
        <w:ind w:left="720"/>
      </w:pPr>
      <w:r w:rsidRPr="00883DD0">
        <w:t xml:space="preserve">Goldberg, M.; Agnew, K.; Train, K.; Fowlie, M. (2017). </w:t>
      </w:r>
      <w:r w:rsidRPr="006A57AA">
        <w:rPr>
          <w:i/>
        </w:rPr>
        <w:t xml:space="preserve">Mitigating Self-Selection Bias in Billing Analysis for Impact Evaluation. </w:t>
      </w:r>
      <w:r w:rsidRPr="001F2C04">
        <w:t>Pacific Gas and Electric Company.</w:t>
      </w:r>
      <w:r w:rsidRPr="00883DD0">
        <w:t xml:space="preserve"> CALM</w:t>
      </w:r>
      <w:r>
        <w:t>A</w:t>
      </w:r>
      <w:r w:rsidRPr="00883DD0">
        <w:t xml:space="preserve">C Study ID PGE0401.01. </w:t>
      </w:r>
      <w:r w:rsidRPr="00DD156B">
        <w:t>&lt;</w:t>
      </w:r>
      <w:r w:rsidRPr="006A57AA">
        <w:t>http://www.calmac.org/publications/Mitigating_Self_Selection_Bias_in_Bill_Analysis_8.4.17.pdf</w:t>
      </w:r>
      <w:r>
        <w:t>&gt;</w:t>
      </w:r>
    </w:p>
    <w:p w14:paraId="6FA6AAD1" w14:textId="77777777" w:rsidR="00061B97" w:rsidRPr="00883DD0" w:rsidRDefault="00061B97" w:rsidP="00D34C6E">
      <w:pPr>
        <w:pStyle w:val="FootnoteText"/>
        <w:ind w:left="720"/>
      </w:pPr>
      <w:r>
        <w:t xml:space="preserve">Fowlie, M.; Greenstone, M.; Wolfram, C. (2015). </w:t>
      </w:r>
      <w:r w:rsidRPr="001F2C04">
        <w:rPr>
          <w:i/>
        </w:rPr>
        <w:t>Are the Non-Monetary Costs of Energy Efficiency Investments Large? Understanding Low Take-up of a Free Energy Efficiency Program</w:t>
      </w:r>
      <w:r>
        <w:t>. American Economic Review: Papers and Proceedings 105(5): 201-204. &lt;</w:t>
      </w:r>
      <w:r w:rsidRPr="00883DD0">
        <w:t xml:space="preserve"> https://www.povertyactionlab.org/sites/default/files/publications/389_500%20Weatherization%20AER.pdf</w:t>
      </w:r>
      <w:r>
        <w:t>&gt;</w:t>
      </w:r>
    </w:p>
  </w:footnote>
  <w:footnote w:id="96">
    <w:p w14:paraId="67F3F807" w14:textId="0EAC4E91" w:rsidR="00061B97" w:rsidRDefault="00061B97" w:rsidP="00D34C6E">
      <w:pPr>
        <w:pStyle w:val="FootnoteText"/>
      </w:pPr>
      <w:r>
        <w:rPr>
          <w:rStyle w:val="FootnoteReference"/>
          <w:rFonts w:eastAsiaTheme="majorEastAsia"/>
        </w:rPr>
        <w:footnoteRef/>
      </w:r>
      <w:r>
        <w:t xml:space="preserve"> There are many other types of QEDs that may be appropriate for </w:t>
      </w:r>
      <w:r w:rsidR="00375534">
        <w:t>evaluation,</w:t>
      </w:r>
      <w:r>
        <w:t xml:space="preserve"> but these are some of the most commonly used for evaluation in IL. </w:t>
      </w:r>
    </w:p>
  </w:footnote>
  <w:footnote w:id="97">
    <w:p w14:paraId="157F1829" w14:textId="3D3AADE3" w:rsidR="00061B97" w:rsidRDefault="00061B97" w:rsidP="00D34C6E">
      <w:pPr>
        <w:pStyle w:val="FootnoteText"/>
      </w:pPr>
      <w:r>
        <w:rPr>
          <w:rStyle w:val="FootnoteReference"/>
        </w:rPr>
        <w:footnoteRef/>
      </w:r>
      <w:r>
        <w:t xml:space="preserve"> See Harding and Hsiaw (2013). This is a distinct method from the UMP Chapter 8 (Agnew and Goldberg, 2017) pooled fixed effects approach which can be estimated with multiple years of participants. VIA hinges on rolling enrollment and in essence uses each participant as a control and a treatment customer through time. The Chapter 8 pooled fixed effects approach using participants from an earlier time period as a comparison group for participants from a later time period. The Chapter 8 pooled fixed effects method is discussed in Section </w:t>
      </w:r>
      <w:r>
        <w:fldChar w:fldCharType="begin"/>
      </w:r>
      <w:r>
        <w:instrText xml:space="preserve"> REF _Ref518049421 \n \h </w:instrText>
      </w:r>
      <w:r>
        <w:fldChar w:fldCharType="separate"/>
      </w:r>
      <w:r w:rsidR="00506A44">
        <w:t>5.3.6</w:t>
      </w:r>
      <w:r>
        <w:fldChar w:fldCharType="end"/>
      </w:r>
      <w:r>
        <w:t>.</w:t>
      </w:r>
    </w:p>
  </w:footnote>
  <w:footnote w:id="98">
    <w:p w14:paraId="47CE9AC9" w14:textId="77777777" w:rsidR="00061B97" w:rsidRPr="005D72DC" w:rsidRDefault="00061B97" w:rsidP="00D34C6E">
      <w:pPr>
        <w:pStyle w:val="FootnoteText"/>
      </w:pPr>
      <w:r w:rsidRPr="002F5FEF">
        <w:rPr>
          <w:rStyle w:val="FootnoteReference"/>
          <w:rFonts w:ascii="Calibri" w:eastAsiaTheme="majorEastAsia" w:hAnsi="Calibri"/>
        </w:rPr>
        <w:footnoteRef/>
      </w:r>
      <w:r w:rsidRPr="00E30F67">
        <w:t xml:space="preserve"> The most common misspecifications are</w:t>
      </w:r>
      <w:r>
        <w:t>:</w:t>
      </w:r>
      <w:r w:rsidRPr="00E30F67">
        <w:t xml:space="preserve"> mistaking a nonlinear relationship for a discontinuity</w:t>
      </w:r>
      <w:r>
        <w:t>;</w:t>
      </w:r>
      <w:r w:rsidRPr="00E30F67">
        <w:t xml:space="preserve"> and failing to recognize potential interactions between assignment</w:t>
      </w:r>
      <w:r>
        <w:t>s</w:t>
      </w:r>
      <w:r w:rsidRPr="00E30F67">
        <w:t xml:space="preserve"> and the treatment studied. See W.R. Shadish, T.D. Cook </w:t>
      </w:r>
      <w:r w:rsidRPr="00D32144">
        <w:t xml:space="preserve">and D.T. Campbell, </w:t>
      </w:r>
      <w:r w:rsidRPr="00D32144">
        <w:rPr>
          <w:i/>
        </w:rPr>
        <w:t>Experimental and Quasi-Experimental Designs for Generalized Causal Inference</w:t>
      </w:r>
      <w:r w:rsidRPr="00D32144">
        <w:t xml:space="preserve">, </w:t>
      </w:r>
      <w:r>
        <w:t>W</w:t>
      </w:r>
      <w:r w:rsidRPr="00D32144">
        <w:t>adsworth 2002, pp. 229-238.</w:t>
      </w:r>
    </w:p>
  </w:footnote>
  <w:footnote w:id="99">
    <w:p w14:paraId="5C14EC35" w14:textId="77777777" w:rsidR="00061B97" w:rsidRPr="005D72DC" w:rsidRDefault="00061B97" w:rsidP="00D34C6E">
      <w:pPr>
        <w:pStyle w:val="FootnoteText"/>
        <w:ind w:left="90" w:hanging="90"/>
      </w:pPr>
      <w:r w:rsidRPr="002F5FEF">
        <w:rPr>
          <w:rStyle w:val="FootnoteReference"/>
          <w:rFonts w:ascii="Calibri" w:eastAsiaTheme="majorEastAsia" w:hAnsi="Calibri"/>
        </w:rPr>
        <w:footnoteRef/>
      </w:r>
      <w:r w:rsidRPr="005D72DC">
        <w:t xml:space="preserve"> Harding</w:t>
      </w:r>
      <w:r>
        <w:t>, M.</w:t>
      </w:r>
      <w:r w:rsidRPr="005D72DC">
        <w:t xml:space="preserve"> and Hsiaw,</w:t>
      </w:r>
      <w:r>
        <w:t xml:space="preserve"> A. 2013.</w:t>
      </w:r>
      <w:r w:rsidRPr="005D72DC">
        <w:t xml:space="preserve"> </w:t>
      </w:r>
      <w:r w:rsidRPr="005F2D93">
        <w:rPr>
          <w:i/>
        </w:rPr>
        <w:t>Goal Setting and Energy Conservation</w:t>
      </w:r>
      <w:r w:rsidRPr="005D72DC">
        <w:t xml:space="preserve"> Available at: </w:t>
      </w:r>
      <w:hyperlink r:id="rId4" w:history="1">
        <w:r w:rsidRPr="005D72DC">
          <w:rPr>
            <w:rStyle w:val="Hyperlink"/>
            <w:rFonts w:eastAsiaTheme="majorEastAsia"/>
          </w:rPr>
          <w:t>http://people.duke.edu/~mch55/resources/Harding_Goals.pdf</w:t>
        </w:r>
      </w:hyperlink>
      <w:r w:rsidRPr="005D72DC">
        <w:t>.</w:t>
      </w:r>
    </w:p>
  </w:footnote>
  <w:footnote w:id="100">
    <w:p w14:paraId="29B68944" w14:textId="77777777" w:rsidR="00061B97" w:rsidRPr="005D72DC" w:rsidRDefault="00061B97" w:rsidP="00D34C6E">
      <w:pPr>
        <w:pStyle w:val="FootnoteText"/>
      </w:pPr>
      <w:r w:rsidRPr="002F5FEF">
        <w:rPr>
          <w:rStyle w:val="FootnoteReference"/>
          <w:rFonts w:ascii="Calibri" w:eastAsiaTheme="majorEastAsia" w:hAnsi="Calibri"/>
        </w:rPr>
        <w:footnoteRef/>
      </w:r>
      <w:r w:rsidRPr="005D72DC">
        <w:t xml:space="preserve"> </w:t>
      </w:r>
      <w:r>
        <w:t>T</w:t>
      </w:r>
      <w:r w:rsidRPr="005D72DC">
        <w:t>his differs from an RCT with a recruit-and-delay design, in which customers do not choose when to opt in</w:t>
      </w:r>
      <w:r>
        <w:t>,</w:t>
      </w:r>
      <w:r w:rsidRPr="005D72DC">
        <w:t xml:space="preserve"> but instead are randomly assigned different times to opt in, </w:t>
      </w:r>
      <w:r>
        <w:t>and</w:t>
      </w:r>
      <w:r w:rsidRPr="005D72DC">
        <w:t xml:space="preserve"> </w:t>
      </w:r>
      <w:r>
        <w:t xml:space="preserve">from </w:t>
      </w:r>
      <w:r w:rsidRPr="005D72DC">
        <w:t xml:space="preserve">an RCT with a recruit-and-deny design, </w:t>
      </w:r>
      <w:r>
        <w:t xml:space="preserve">where </w:t>
      </w:r>
      <w:r w:rsidRPr="005D72DC">
        <w:t>customers are randomly denied access to the program.</w:t>
      </w:r>
    </w:p>
  </w:footnote>
  <w:footnote w:id="101">
    <w:p w14:paraId="5ABCD1A4" w14:textId="77777777" w:rsidR="00061B97" w:rsidRPr="002D24AE" w:rsidRDefault="00061B97" w:rsidP="00D34C6E">
      <w:pPr>
        <w:pStyle w:val="FootnoteText"/>
      </w:pPr>
      <w:r w:rsidRPr="002F5FEF">
        <w:rPr>
          <w:rStyle w:val="FootnoteReference"/>
          <w:rFonts w:ascii="Calibri" w:eastAsiaTheme="majorEastAsia" w:hAnsi="Calibri"/>
        </w:rPr>
        <w:footnoteRef/>
      </w:r>
      <w:r w:rsidRPr="005D72DC">
        <w:t xml:space="preserve"> </w:t>
      </w:r>
      <w:r>
        <w:t xml:space="preserve">As </w:t>
      </w:r>
      <w:r w:rsidRPr="005D72DC">
        <w:t xml:space="preserve">the validity of the VIA method depends on this assumption, it should be empirically tested to the extent possible. If program marketing is punctuated and dates of marketing exposure are known, it is possible to test whether household enrollment in any particular month is driven by marketing activity, as opposed to observed household characteristics or unobserved heterogeneity. A test of whether the energy usage of households before they opt in differs </w:t>
      </w:r>
      <w:r>
        <w:t xml:space="preserve">from </w:t>
      </w:r>
      <w:r w:rsidRPr="005D72DC">
        <w:t xml:space="preserve">households that opt in during </w:t>
      </w:r>
      <w:r w:rsidRPr="002D24AE">
        <w:t>any particular month as opposed to another month is built into the VIA regression model</w:t>
      </w:r>
      <w:r>
        <w:t>’s functional form</w:t>
      </w:r>
      <w:r w:rsidRPr="002D24AE">
        <w:t>. See Harding and Hsiaw, op. cit., for details.</w:t>
      </w:r>
    </w:p>
  </w:footnote>
  <w:footnote w:id="102">
    <w:p w14:paraId="18C3558D" w14:textId="77777777" w:rsidR="00061B97" w:rsidRPr="002D24AE" w:rsidRDefault="00061B97" w:rsidP="00D34C6E">
      <w:pPr>
        <w:pStyle w:val="FootnoteText"/>
      </w:pPr>
      <w:r w:rsidRPr="002F5FEF">
        <w:rPr>
          <w:rStyle w:val="FootnoteReference"/>
          <w:rFonts w:ascii="Calibri" w:eastAsiaTheme="majorEastAsia" w:hAnsi="Calibri"/>
          <w:szCs w:val="18"/>
        </w:rPr>
        <w:footnoteRef/>
      </w:r>
      <w:r w:rsidRPr="002D24AE">
        <w:t xml:space="preserve"> See Daniel E. Ho, Kosuke Imai, Gary King, and Elizabeth Stuart, 2007, “Matching as Nonparametric Preprocessing for Reducing Model Dependence in Parametric Causal Inference.” </w:t>
      </w:r>
      <w:r w:rsidRPr="002D24AE">
        <w:rPr>
          <w:i/>
        </w:rPr>
        <w:t>Political Analysis</w:t>
      </w:r>
      <w:r w:rsidRPr="002D24AE">
        <w:t xml:space="preserve"> 15(3): 199-236.</w:t>
      </w:r>
    </w:p>
  </w:footnote>
  <w:footnote w:id="103">
    <w:p w14:paraId="18B5B4F4" w14:textId="77777777" w:rsidR="00061B97" w:rsidRDefault="00061B97" w:rsidP="00D34C6E">
      <w:pPr>
        <w:pStyle w:val="FootnoteText"/>
      </w:pPr>
      <w:r>
        <w:rPr>
          <w:rStyle w:val="FootnoteReference"/>
          <w:rFonts w:eastAsiaTheme="majorEastAsia"/>
        </w:rPr>
        <w:footnoteRef/>
      </w:r>
      <w:r>
        <w:t xml:space="preserve"> See </w:t>
      </w:r>
      <w:r w:rsidRPr="00E30F67">
        <w:t xml:space="preserve">W.R. Shadish, T.D. Cook </w:t>
      </w:r>
      <w:r w:rsidRPr="00D32144">
        <w:t>and D.T. Campbell</w:t>
      </w:r>
      <w:r>
        <w:t>. (202).</w:t>
      </w:r>
      <w:r w:rsidRPr="00D32144">
        <w:t xml:space="preserve"> </w:t>
      </w:r>
      <w:r w:rsidRPr="00D32144">
        <w:rPr>
          <w:i/>
        </w:rPr>
        <w:t>Experimental and Quasi-Experimental Designs for Generalized Causal Inference</w:t>
      </w:r>
      <w:r>
        <w:t>.</w:t>
      </w:r>
      <w:r w:rsidRPr="00D32144">
        <w:t xml:space="preserve"> </w:t>
      </w:r>
      <w:r>
        <w:t xml:space="preserve">New York: Houghton Mifflin Company, </w:t>
      </w:r>
      <w:r w:rsidRPr="00D32144">
        <w:t xml:space="preserve">pp. </w:t>
      </w:r>
      <w:r>
        <w:t>148-153</w:t>
      </w:r>
    </w:p>
  </w:footnote>
  <w:footnote w:id="104">
    <w:p w14:paraId="0DEBA6FF" w14:textId="77777777" w:rsidR="00061B97" w:rsidRDefault="00061B97" w:rsidP="00D34C6E">
      <w:pPr>
        <w:pStyle w:val="FootnoteText"/>
      </w:pPr>
      <w:r>
        <w:rPr>
          <w:rStyle w:val="FootnoteReference"/>
          <w:rFonts w:eastAsiaTheme="majorEastAsia"/>
        </w:rPr>
        <w:footnoteRef/>
      </w:r>
      <w:r>
        <w:t xml:space="preserve"> Though there could still be a selection issue based on when customers choose to join the program. As with VIA, the assumption is that the timing of participation is basically random.</w:t>
      </w:r>
    </w:p>
  </w:footnote>
  <w:footnote w:id="105">
    <w:p w14:paraId="24723A83" w14:textId="77777777" w:rsidR="00061B97" w:rsidRDefault="00061B97" w:rsidP="00D34C6E">
      <w:pPr>
        <w:pStyle w:val="FootnoteText"/>
      </w:pPr>
      <w:r>
        <w:rPr>
          <w:rStyle w:val="FootnoteReference"/>
          <w:rFonts w:eastAsiaTheme="majorEastAsia"/>
        </w:rPr>
        <w:footnoteRef/>
      </w:r>
      <w:r>
        <w:t xml:space="preserve"> </w:t>
      </w:r>
      <w:r>
        <w:rPr>
          <w:rFonts w:eastAsia="Calibri"/>
        </w:rPr>
        <w:t xml:space="preserve">The cohort design has also been used, under certain conditions, to control for exogenous factors when estimating </w:t>
      </w:r>
      <w:r w:rsidRPr="00723FD9">
        <w:rPr>
          <w:rFonts w:eastAsia="Calibri"/>
        </w:rPr>
        <w:t>gross savings</w:t>
      </w:r>
      <w:r>
        <w:rPr>
          <w:rFonts w:eastAsia="Calibri"/>
          <w:i/>
        </w:rPr>
        <w:t xml:space="preserve">. </w:t>
      </w:r>
      <w:r>
        <w:t>See Agnew, K. and M. Goldberg. (2017). Whole Building Retrofit with Consumption Data Analysis Evaluation Protocol: Chapter 8 of the Uniform Methods Project, National Renewable Energy Laboratory.</w:t>
      </w:r>
    </w:p>
  </w:footnote>
  <w:footnote w:id="106">
    <w:p w14:paraId="4D3B7E11" w14:textId="77777777" w:rsidR="00061B97" w:rsidRDefault="00061B97" w:rsidP="00D34C6E">
      <w:pPr>
        <w:pStyle w:val="FootnoteText"/>
      </w:pPr>
      <w:r w:rsidRPr="002F5FEF">
        <w:rPr>
          <w:rStyle w:val="FootnoteReference"/>
          <w:rFonts w:ascii="Calibri" w:eastAsiaTheme="majorEastAsia" w:hAnsi="Calibri"/>
        </w:rPr>
        <w:footnoteRef/>
      </w:r>
      <w:r w:rsidRPr="002D24AE">
        <w:t xml:space="preserve"> Such secondary</w:t>
      </w:r>
      <w:r>
        <w:t>,</w:t>
      </w:r>
      <w:r w:rsidRPr="002D24AE">
        <w:t xml:space="preserve"> observable characteristics are rarely available to evaluators of </w:t>
      </w:r>
      <w:r>
        <w:t>energy efficiency</w:t>
      </w:r>
      <w:r w:rsidRPr="002D24AE">
        <w:t xml:space="preserve"> programs, except</w:t>
      </w:r>
      <w:r>
        <w:t xml:space="preserve"> for </w:t>
      </w:r>
      <w:r w:rsidRPr="002D24AE">
        <w:t>geographic location (e.g., postal zone of customer premise).</w:t>
      </w:r>
    </w:p>
  </w:footnote>
  <w:footnote w:id="107">
    <w:p w14:paraId="7E604124" w14:textId="77777777" w:rsidR="00061B97" w:rsidRDefault="00061B97" w:rsidP="00D34C6E">
      <w:pPr>
        <w:pStyle w:val="FootnoteText"/>
      </w:pPr>
      <w:r>
        <w:rPr>
          <w:rStyle w:val="FootnoteReference"/>
          <w:rFonts w:eastAsiaTheme="majorEastAsia"/>
        </w:rPr>
        <w:footnoteRef/>
      </w:r>
      <w:r>
        <w:t xml:space="preserve"> Note that p</w:t>
      </w:r>
      <w:r>
        <w:rPr>
          <w:rFonts w:cs="Helvetica"/>
          <w:color w:val="333333"/>
        </w:rPr>
        <w:t>ropensity scores cannot remove hidden biases except to the extent that unmeasured variables are correlated with the measured covariates used to compute the propensity score</w:t>
      </w:r>
    </w:p>
  </w:footnote>
  <w:footnote w:id="108">
    <w:p w14:paraId="4DB002A8" w14:textId="77777777" w:rsidR="00061B97" w:rsidRDefault="00061B97" w:rsidP="00D34C6E">
      <w:pPr>
        <w:pStyle w:val="FootnoteText"/>
      </w:pPr>
      <w:r w:rsidRPr="00B23F1D">
        <w:rPr>
          <w:rStyle w:val="FootnoteReference"/>
        </w:rPr>
        <w:footnoteRef/>
      </w:r>
      <w:r>
        <w:t xml:space="preserve"> See Agnew at al., Section 8.1.3 (The Importance of Measures Applicability)</w:t>
      </w:r>
    </w:p>
  </w:footnote>
  <w:footnote w:id="109">
    <w:p w14:paraId="7462B52E" w14:textId="77777777" w:rsidR="00061B97" w:rsidRDefault="00061B97" w:rsidP="00D34C6E">
      <w:pPr>
        <w:pStyle w:val="FootnoteText"/>
      </w:pPr>
      <w:r w:rsidRPr="00DD156B">
        <w:rPr>
          <w:rStyle w:val="FootnoteReference"/>
          <w:rFonts w:ascii="Calibri" w:eastAsiaTheme="majorEastAsia" w:hAnsi="Calibri"/>
        </w:rPr>
        <w:footnoteRef/>
      </w:r>
      <w:r w:rsidRPr="00DD156B">
        <w:rPr>
          <w:color w:val="333333"/>
        </w:rPr>
        <w:t xml:space="preserve"> Katherine Randazzo, Richard Ridge and Seth Wayland. Evaluating Whole-Building Programs: It is harder and easier than you think! Presented at the International Energy Program Evaluation Conference in August 2017</w:t>
      </w:r>
      <w:r>
        <w:rPr>
          <w:rFonts w:cs="Helvetica"/>
          <w:color w:val="333333"/>
        </w:rPr>
        <w:t>.</w:t>
      </w:r>
    </w:p>
  </w:footnote>
  <w:footnote w:id="110">
    <w:p w14:paraId="09CD90DD" w14:textId="77777777" w:rsidR="00061B97" w:rsidRDefault="00061B97" w:rsidP="00D34C6E">
      <w:pPr>
        <w:pStyle w:val="FootnoteText"/>
      </w:pPr>
      <w:r>
        <w:rPr>
          <w:rStyle w:val="FootnoteReference"/>
          <w:rFonts w:eastAsiaTheme="majorEastAsia"/>
        </w:rPr>
        <w:footnoteRef/>
      </w:r>
      <w:r>
        <w:t xml:space="preserve"> Exogenous factors include </w:t>
      </w:r>
      <w:r w:rsidRPr="009E7BA6">
        <w:t>non-program-related effects due to the economy and other factors affecting energy consumption.</w:t>
      </w:r>
    </w:p>
  </w:footnote>
  <w:footnote w:id="111">
    <w:p w14:paraId="2E3B182C" w14:textId="77777777" w:rsidR="00061B97" w:rsidRDefault="00061B97" w:rsidP="00D34C6E">
      <w:pPr>
        <w:pStyle w:val="FootnoteText"/>
      </w:pPr>
      <w:r>
        <w:rPr>
          <w:rStyle w:val="FootnoteReference"/>
          <w:rFonts w:eastAsiaTheme="majorEastAsia"/>
        </w:rPr>
        <w:footnoteRef/>
      </w:r>
      <w:r>
        <w:t xml:space="preserve"> A power analysis can be undertaken before the actual analysis to determine whether the sample size available is likely to be large enough to produce statistically significant savings at the desired confidence level.</w:t>
      </w:r>
    </w:p>
  </w:footnote>
  <w:footnote w:id="112">
    <w:p w14:paraId="2C1B1811" w14:textId="77777777" w:rsidR="00061B97" w:rsidRPr="00C6392F" w:rsidRDefault="00061B97" w:rsidP="00D34C6E">
      <w:pPr>
        <w:pStyle w:val="FootnoteText"/>
        <w:rPr>
          <w:rFonts w:cstheme="minorHAnsi"/>
          <w:szCs w:val="18"/>
        </w:rPr>
      </w:pPr>
      <w:r w:rsidRPr="00D96BEB">
        <w:rPr>
          <w:rStyle w:val="FootnoteReference"/>
          <w:rFonts w:asciiTheme="minorHAnsi" w:hAnsiTheme="minorHAnsi" w:cstheme="minorHAnsi"/>
        </w:rPr>
        <w:footnoteRef/>
      </w:r>
      <w:r w:rsidRPr="00D96BEB">
        <w:rPr>
          <w:rFonts w:cstheme="minorHAnsi"/>
        </w:rPr>
        <w:t xml:space="preserve"> </w:t>
      </w:r>
      <w:r w:rsidRPr="00C6392F">
        <w:rPr>
          <w:rFonts w:cstheme="minorHAnsi"/>
          <w:szCs w:val="18"/>
        </w:rPr>
        <w:t>Note that the method for assessing trade ally spillover is included in Section 5.2.</w:t>
      </w:r>
    </w:p>
  </w:footnote>
  <w:footnote w:id="113">
    <w:p w14:paraId="267713FA" w14:textId="77777777" w:rsidR="00061B97" w:rsidRPr="00C6392F" w:rsidRDefault="00061B97" w:rsidP="00D34C6E">
      <w:pPr>
        <w:pStyle w:val="FootnoteText"/>
        <w:rPr>
          <w:rFonts w:cstheme="minorHAnsi"/>
          <w:szCs w:val="18"/>
        </w:rPr>
      </w:pPr>
      <w:r w:rsidRPr="00A74964">
        <w:rPr>
          <w:rStyle w:val="FootnoteReference"/>
          <w:rFonts w:asciiTheme="minorHAnsi" w:hAnsiTheme="minorHAnsi" w:cstheme="minorHAnsi"/>
          <w:sz w:val="18"/>
          <w:szCs w:val="18"/>
        </w:rPr>
        <w:footnoteRef/>
      </w:r>
      <w:r w:rsidRPr="00C6392F">
        <w:rPr>
          <w:rFonts w:cstheme="minorHAnsi"/>
          <w:szCs w:val="18"/>
        </w:rPr>
        <w:t xml:space="preserve"> In cases where midstream programs require distributors to pass the entire incentive to a customer and collect customer information, it is still likely that the program is affecting distributor behavior, and distributor research is still valuable</w:t>
      </w:r>
      <w:r w:rsidRPr="00A74964">
        <w:rPr>
          <w:rFonts w:cstheme="minorHAnsi"/>
          <w:szCs w:val="18"/>
        </w:rPr>
        <w:t>.</w:t>
      </w:r>
    </w:p>
  </w:footnote>
  <w:footnote w:id="114">
    <w:p w14:paraId="41462274" w14:textId="77777777" w:rsidR="00061B97" w:rsidRPr="00953D59" w:rsidRDefault="00061B97" w:rsidP="00D34C6E">
      <w:pPr>
        <w:pStyle w:val="FootnoteText"/>
        <w:rPr>
          <w:rFonts w:cstheme="minorHAnsi"/>
          <w:szCs w:val="18"/>
        </w:rPr>
      </w:pPr>
      <w:r w:rsidRPr="00EA7F4A">
        <w:rPr>
          <w:rStyle w:val="FootnoteReference"/>
          <w:rFonts w:ascii="Times New Roman" w:hAnsi="Times New Roman"/>
        </w:rPr>
        <w:footnoteRef/>
      </w:r>
      <w:r w:rsidRPr="00EA7F4A">
        <w:rPr>
          <w:rFonts w:ascii="Times New Roman" w:hAnsi="Times New Roman"/>
        </w:rPr>
        <w:t xml:space="preserve"> </w:t>
      </w:r>
      <w:r w:rsidRPr="00953D59">
        <w:rPr>
          <w:rFonts w:cstheme="minorHAnsi"/>
          <w:szCs w:val="18"/>
        </w:rPr>
        <w:t xml:space="preserve">While contact information is available for the participating distributors, it is not </w:t>
      </w:r>
      <w:r w:rsidRPr="00A74964">
        <w:rPr>
          <w:rFonts w:cstheme="minorHAnsi"/>
          <w:szCs w:val="18"/>
        </w:rPr>
        <w:t xml:space="preserve">always </w:t>
      </w:r>
      <w:r w:rsidRPr="00953D59">
        <w:rPr>
          <w:rFonts w:cstheme="minorHAnsi"/>
          <w:szCs w:val="18"/>
        </w:rPr>
        <w:t>available for the end-use customer.</w:t>
      </w:r>
    </w:p>
  </w:footnote>
  <w:footnote w:id="115">
    <w:p w14:paraId="3AA4A4AB" w14:textId="77777777" w:rsidR="00061B97" w:rsidRPr="00953D59" w:rsidRDefault="00061B97" w:rsidP="00D34C6E">
      <w:pPr>
        <w:pStyle w:val="FootnoteText"/>
        <w:rPr>
          <w:rFonts w:cstheme="minorHAnsi"/>
          <w:szCs w:val="18"/>
        </w:rPr>
      </w:pPr>
      <w:r w:rsidRPr="00953D59">
        <w:rPr>
          <w:rStyle w:val="FootnoteReference"/>
          <w:rFonts w:asciiTheme="minorHAnsi" w:hAnsiTheme="minorHAnsi" w:cstheme="minorHAnsi"/>
          <w:sz w:val="18"/>
          <w:szCs w:val="18"/>
        </w:rPr>
        <w:footnoteRef/>
      </w:r>
      <w:r w:rsidRPr="00953D59">
        <w:rPr>
          <w:rFonts w:cstheme="minorHAnsi"/>
          <w:szCs w:val="18"/>
        </w:rPr>
        <w:t xml:space="preserve">  See </w:t>
      </w:r>
      <w:r w:rsidRPr="00A74964">
        <w:rPr>
          <w:rFonts w:cstheme="minorHAnsi"/>
          <w:szCs w:val="18"/>
        </w:rPr>
        <w:t>S</w:t>
      </w:r>
      <w:r w:rsidRPr="00953D59">
        <w:rPr>
          <w:rFonts w:cstheme="minorHAnsi"/>
          <w:szCs w:val="18"/>
        </w:rPr>
        <w:t>ection 4.3 for a description of an approach for calculating NTG specifically for Residential Upstream Lighting programs</w:t>
      </w:r>
      <w:r w:rsidRPr="00A74964">
        <w:rPr>
          <w:rFonts w:cstheme="minorHAnsi"/>
          <w:szCs w:val="18"/>
        </w:rPr>
        <w:t>.</w:t>
      </w:r>
    </w:p>
  </w:footnote>
  <w:footnote w:id="116">
    <w:p w14:paraId="110FA1F1" w14:textId="77777777" w:rsidR="00061B97" w:rsidRDefault="00061B97" w:rsidP="00D34C6E">
      <w:pPr>
        <w:pStyle w:val="FootnoteText"/>
      </w:pPr>
      <w:r>
        <w:rPr>
          <w:rStyle w:val="FootnoteReference"/>
        </w:rPr>
        <w:footnoteRef/>
      </w:r>
      <w:r>
        <w:t xml:space="preserve"> Historically, evaluators in Illinois have collected the majority of primary data via telephone surveys. As evaluations increasingly leverage online surveys to collect information relevant to attribution, careful attention should be paid to mode effects that are due to interviewer-administered versus self-administered surveys (e.g., scale direction effects). It is recommended that evaluators, where possible, assess the differences between telephone and online survey methods for the purposes of future updates to these protocols.</w:t>
      </w:r>
    </w:p>
  </w:footnote>
  <w:footnote w:id="117">
    <w:p w14:paraId="1FC45C1E" w14:textId="77777777" w:rsidR="00061B97" w:rsidRPr="00133D3F" w:rsidRDefault="00061B97" w:rsidP="00D34C6E">
      <w:pPr>
        <w:pStyle w:val="FootnoteText"/>
      </w:pPr>
      <w:r w:rsidRPr="002F5FEF">
        <w:rPr>
          <w:rStyle w:val="FootnoteReference"/>
        </w:rPr>
        <w:footnoteRef/>
      </w:r>
      <w:r w:rsidRPr="00133D3F">
        <w:t xml:space="preserve"> Evaluators may use logic models to show program processes as well, but this is a program flow chart, not an impact model.</w:t>
      </w:r>
    </w:p>
  </w:footnote>
  <w:footnote w:id="118">
    <w:p w14:paraId="6DD143FD" w14:textId="665034C2" w:rsidR="00061B97" w:rsidRDefault="00061B97" w:rsidP="004D0A65">
      <w:pPr>
        <w:pStyle w:val="FootnoteText"/>
      </w:pPr>
      <w:r>
        <w:rPr>
          <w:rStyle w:val="FootnoteReference"/>
        </w:rPr>
        <w:footnoteRef/>
      </w:r>
      <w:r>
        <w:t xml:space="preserve"> </w:t>
      </w:r>
      <w:bookmarkStart w:id="2120" w:name="_Hlk522716487"/>
      <w:r>
        <w:rPr>
          <w:rFonts w:cstheme="minorHAnsi"/>
        </w:rPr>
        <w:t>Note during IL TRM v7.0 updates, this assumption was discussed at length with the realization that there is a lack of a strong source for defaulting the lifetime and different applications may vary significantly.</w:t>
      </w:r>
      <w:bookmarkEnd w:id="2120"/>
    </w:p>
  </w:footnote>
  <w:footnote w:id="119">
    <w:p w14:paraId="5DBEB93C" w14:textId="77777777" w:rsidR="00D56BDF" w:rsidRPr="00D052FE" w:rsidRDefault="00D56BDF" w:rsidP="00BA69DB">
      <w:pPr>
        <w:pStyle w:val="FootnoteText"/>
        <w:rPr>
          <w:rFonts w:ascii="Arial" w:hAnsi="Arial" w:cs="Arial"/>
        </w:rPr>
      </w:pPr>
      <w:r w:rsidRPr="00DE49BF">
        <w:rPr>
          <w:rStyle w:val="FootnoteReference"/>
          <w:rFonts w:eastAsiaTheme="majorEastAsia" w:cs="Arial"/>
        </w:rPr>
        <w:footnoteRef/>
      </w:r>
      <w:r w:rsidRPr="00D052FE">
        <w:rPr>
          <w:rFonts w:ascii="Arial" w:hAnsi="Arial" w:cs="Arial"/>
        </w:rPr>
        <w:t xml:space="preserve"> </w:t>
      </w:r>
      <w:r w:rsidRPr="00D052FE">
        <w:rPr>
          <w:rFonts w:ascii="Arial" w:hAnsi="Arial" w:cs="Arial"/>
          <w:sz w:val="16"/>
          <w:szCs w:val="16"/>
        </w:rPr>
        <w:t>These beha</w:t>
      </w:r>
      <w:r w:rsidRPr="00D052FE">
        <w:rPr>
          <w:rFonts w:ascii="Arial" w:hAnsi="Arial" w:cs="Arial"/>
          <w:sz w:val="16"/>
          <w:szCs w:val="20"/>
        </w:rPr>
        <w:t>vioral and O&amp;M measures differ from other measure types in that a person must perform an action and this action must be checked periodically to ensure compliance. The savings of these measures depend on ongoing human interventions that may or may not continue to occur over time.</w:t>
      </w:r>
    </w:p>
  </w:footnote>
  <w:footnote w:id="120">
    <w:p w14:paraId="52301D2F" w14:textId="77777777" w:rsidR="00061B97" w:rsidRPr="00F53FFD" w:rsidRDefault="00061B97" w:rsidP="002C2944">
      <w:pPr>
        <w:pStyle w:val="FootnoteText"/>
        <w:rPr>
          <w:rFonts w:cstheme="minorHAnsi"/>
        </w:rPr>
      </w:pPr>
      <w:r w:rsidRPr="00F53FFD">
        <w:rPr>
          <w:rStyle w:val="FootnoteReference"/>
          <w:rFonts w:asciiTheme="minorHAnsi" w:hAnsiTheme="minorHAnsi" w:cstheme="minorHAnsi"/>
          <w:sz w:val="18"/>
        </w:rPr>
        <w:footnoteRef/>
      </w:r>
      <w:r w:rsidRPr="00F53FFD">
        <w:rPr>
          <w:rFonts w:cstheme="minorHAnsi"/>
          <w:sz w:val="16"/>
        </w:rPr>
        <w:t xml:space="preserve"> </w:t>
      </w:r>
      <w:r w:rsidRPr="005C6295">
        <w:rPr>
          <w:rFonts w:cstheme="minorHAnsi"/>
          <w:szCs w:val="20"/>
        </w:rPr>
        <w:t>This limit to the two year measure life is due to the fact that the optimization builds upon itself; that is, if a thermostat is optimized during a cooling season the setpoints will remain at the optimized levels when that thermostat switches back into cooling mode in the following year, and further optimization applied in that year will change setpoints even further compared to the pre-optimization levels. As the setpoints get more and more extreme from repeated optimizations it is likely that the rate of manual adjustments to the setpoints goes up (thus overriding the optimized setpoints) which shortens the measure life.</w:t>
      </w:r>
    </w:p>
  </w:footnote>
  <w:footnote w:id="121">
    <w:p w14:paraId="144FE7DD" w14:textId="77777777" w:rsidR="00061B97" w:rsidRDefault="00061B97" w:rsidP="0030676F">
      <w:pPr>
        <w:pStyle w:val="FootnoteText"/>
      </w:pPr>
      <w:r>
        <w:rPr>
          <w:rStyle w:val="FootnoteReference"/>
        </w:rPr>
        <w:footnoteRef/>
      </w:r>
      <w:r>
        <w:t xml:space="preserve"> Resource acquisition (RA) is defined in the glossary but is used loosely in this Attachment to refer to more traditional utility driven energy efficiency programs that typically work at the individual consumer level, rather than the market level.     </w:t>
      </w:r>
    </w:p>
  </w:footnote>
  <w:footnote w:id="122">
    <w:p w14:paraId="587EB7F7" w14:textId="77777777" w:rsidR="00061B97" w:rsidRDefault="00061B97" w:rsidP="0030676F">
      <w:pPr>
        <w:pStyle w:val="FootnoteText"/>
      </w:pPr>
      <w:r>
        <w:rPr>
          <w:rStyle w:val="FootnoteReference"/>
        </w:rPr>
        <w:footnoteRef/>
      </w:r>
      <w:r>
        <w:t xml:space="preserve"> For a review of best practices for designing and implementing market transformation initiatives, see Keating (2014).</w:t>
      </w:r>
    </w:p>
  </w:footnote>
  <w:footnote w:id="123">
    <w:p w14:paraId="10645ECB" w14:textId="77777777" w:rsidR="00061B97" w:rsidRDefault="00061B97" w:rsidP="0030676F">
      <w:pPr>
        <w:pStyle w:val="CommentText"/>
      </w:pPr>
      <w:r>
        <w:rPr>
          <w:rStyle w:val="FootnoteReference"/>
        </w:rPr>
        <w:footnoteRef/>
      </w:r>
      <w:r>
        <w:t xml:space="preserve"> A description of this initiative can be found in recent reports from NEEA:  </w:t>
      </w:r>
      <w:hyperlink r:id="rId5" w:history="1">
        <w:r w:rsidRPr="006135F1">
          <w:t>https://neea.org/resources/northwest-heat-pump-water-heater-initiative-market-progress-evaluation-report-3</w:t>
        </w:r>
      </w:hyperlink>
      <w:r>
        <w:t xml:space="preserve"> or </w:t>
      </w:r>
      <w:hyperlink r:id="rId6" w:history="1">
        <w:r w:rsidRPr="006135F1">
          <w:t>https://neea.org/resources/northwest-heat-pump-water-heater-initiative-market-progress-evaluation-report-4</w:t>
        </w:r>
      </w:hyperlink>
      <w:r>
        <w:t xml:space="preserve"> </w:t>
      </w:r>
    </w:p>
    <w:p w14:paraId="75953FF9" w14:textId="77777777" w:rsidR="00061B97" w:rsidRDefault="00061B97" w:rsidP="0030676F">
      <w:pPr>
        <w:pStyle w:val="FootnoteText"/>
      </w:pPr>
    </w:p>
  </w:footnote>
  <w:footnote w:id="124">
    <w:p w14:paraId="79C4366E" w14:textId="77777777" w:rsidR="00061B97" w:rsidRDefault="00061B97" w:rsidP="0030676F">
      <w:pPr>
        <w:pStyle w:val="FootnoteText"/>
      </w:pPr>
      <w:r>
        <w:rPr>
          <w:rStyle w:val="FootnoteReference"/>
        </w:rPr>
        <w:footnoteRef/>
      </w:r>
      <w:r>
        <w:t xml:space="preserve"> For example, NMR Group, Inc. (2014) reviews methods for the evaluation of market effects primarily (though not exclusively) for RA programs.</w:t>
      </w:r>
    </w:p>
  </w:footnote>
  <w:footnote w:id="125">
    <w:p w14:paraId="77690747" w14:textId="77777777" w:rsidR="00061B97" w:rsidRPr="00F309F2" w:rsidRDefault="00061B97" w:rsidP="0030676F">
      <w:pPr>
        <w:pStyle w:val="FootnoteText"/>
        <w:rPr>
          <w:rFonts w:ascii="Calibri" w:hAnsi="Calibri"/>
        </w:rPr>
      </w:pPr>
      <w:r w:rsidRPr="00F309F2">
        <w:rPr>
          <w:rStyle w:val="FootnoteReference"/>
          <w:rFonts w:ascii="Calibri" w:hAnsi="Calibri"/>
        </w:rPr>
        <w:footnoteRef/>
      </w:r>
      <w:r w:rsidRPr="00F309F2">
        <w:rPr>
          <w:rFonts w:ascii="Calibri" w:hAnsi="Calibri"/>
          <w:lang w:val="da-DK"/>
        </w:rPr>
        <w:t xml:space="preserve"> </w:t>
      </w:r>
      <w:r w:rsidRPr="00AF5386">
        <w:t xml:space="preserve">Source: </w:t>
      </w:r>
      <w:r>
        <w:t xml:space="preserve">adapted from </w:t>
      </w:r>
      <w:r w:rsidRPr="00AF5386">
        <w:t xml:space="preserve">Prahl and Keating, 2014; derived </w:t>
      </w:r>
      <w:r>
        <w:t xml:space="preserve">in turn </w:t>
      </w:r>
      <w:r w:rsidRPr="00AF5386">
        <w:t>from Keating, et al. and Sebold et al., 2001.</w:t>
      </w:r>
    </w:p>
  </w:footnote>
  <w:footnote w:id="126">
    <w:p w14:paraId="13492F99" w14:textId="77777777" w:rsidR="00061B97" w:rsidRDefault="00061B97" w:rsidP="0030676F">
      <w:pPr>
        <w:pStyle w:val="FootnoteText"/>
      </w:pPr>
      <w:r>
        <w:rPr>
          <w:rStyle w:val="FootnoteReference"/>
        </w:rPr>
        <w:footnoteRef/>
      </w:r>
      <w:r>
        <w:t xml:space="preserve"> Note, for example that a regulatory framework supporting the MT initiative is cited as one of three “must-have components” for MT to thrive in a recent Illinois Summit on MT.  ComEd Energy Efficiency Program “Energy Efficiency Market Transformation Summit Report”, Navigant Consulting, February 2019.</w:t>
      </w:r>
    </w:p>
  </w:footnote>
  <w:footnote w:id="127">
    <w:p w14:paraId="79B3BD58" w14:textId="77777777" w:rsidR="00061B97" w:rsidRDefault="00061B97" w:rsidP="0030676F">
      <w:pPr>
        <w:pStyle w:val="FootnoteText"/>
      </w:pPr>
      <w:r>
        <w:rPr>
          <w:rStyle w:val="FootnoteReference"/>
        </w:rPr>
        <w:footnoteRef/>
      </w:r>
      <w:r>
        <w:t xml:space="preserve"> For a comprehensive discussion of the challenges of reconciling MT and RA within an RA-dominant policy framework, see Prahl and Keating (2014).</w:t>
      </w:r>
      <w:r w:rsidDel="00BB3B91">
        <w:t xml:space="preserve"> </w:t>
      </w:r>
    </w:p>
  </w:footnote>
  <w:footnote w:id="128">
    <w:p w14:paraId="7F73E515" w14:textId="77777777" w:rsidR="00061B97" w:rsidRDefault="00061B97" w:rsidP="0030676F">
      <w:pPr>
        <w:pStyle w:val="FootnoteText"/>
      </w:pPr>
      <w:r>
        <w:rPr>
          <w:rStyle w:val="FootnoteReference"/>
        </w:rPr>
        <w:footnoteRef/>
      </w:r>
      <w:r>
        <w:t xml:space="preserve"> See additional discussion on attribution in the Illinois Technical Reference Manual, Volume 4: Cross-Cutting Measures and Attachments, Section 2. </w:t>
      </w:r>
    </w:p>
  </w:footnote>
  <w:footnote w:id="129">
    <w:p w14:paraId="1C284A3F" w14:textId="77777777" w:rsidR="00061B97" w:rsidRDefault="00061B97" w:rsidP="0030676F">
      <w:pPr>
        <w:pStyle w:val="FootnoteText"/>
      </w:pPr>
      <w:r>
        <w:rPr>
          <w:rStyle w:val="FootnoteReference"/>
        </w:rPr>
        <w:footnoteRef/>
      </w:r>
      <w:r>
        <w:t xml:space="preserve"> In this regard, the evaluation of market transformation initiatives closely resembles most other fields of social program evaluation, and it is actually the evaluation of resource acquisition programs that is unusual.  For example, evaluations of early intervention education programs such as Head Start routinely concern themselves with the issue of attribution, but they generally do not seek to construct a quantitative attribution score for a specific program, region, and year.</w:t>
      </w:r>
    </w:p>
  </w:footnote>
  <w:footnote w:id="130">
    <w:p w14:paraId="50B510DA" w14:textId="77777777" w:rsidR="00061B97" w:rsidRDefault="00061B97" w:rsidP="0030676F">
      <w:pPr>
        <w:pStyle w:val="FootnoteText"/>
      </w:pPr>
      <w:r>
        <w:rPr>
          <w:rStyle w:val="FootnoteReference"/>
        </w:rPr>
        <w:footnoteRef/>
      </w:r>
      <w:r>
        <w:t xml:space="preserve"> As shown in the glossary, this paper uses the following common definition of a market: an actual or nominal place where forces of demand and supply operate, and where buyers and sellers interact (directly or through intermediaries) to trade goods, services, or contracts or instruments, for money or barter.  </w:t>
      </w:r>
    </w:p>
  </w:footnote>
  <w:footnote w:id="131">
    <w:p w14:paraId="4D545D5A" w14:textId="77777777" w:rsidR="00061B97" w:rsidRDefault="00061B97" w:rsidP="0030676F">
      <w:pPr>
        <w:pStyle w:val="FootnoteText"/>
      </w:pPr>
      <w:r>
        <w:rPr>
          <w:rStyle w:val="FootnoteReference"/>
        </w:rPr>
        <w:footnoteRef/>
      </w:r>
      <w:r>
        <w:t xml:space="preserve"> In some regions of the country, this is called a “program theory.”  </w:t>
      </w:r>
    </w:p>
  </w:footnote>
  <w:footnote w:id="132">
    <w:p w14:paraId="388E1D96" w14:textId="77777777" w:rsidR="00061B97" w:rsidRDefault="00061B97" w:rsidP="0030676F">
      <w:pPr>
        <w:pStyle w:val="FootnoteText"/>
      </w:pPr>
      <w:r>
        <w:rPr>
          <w:rStyle w:val="FootnoteReference"/>
        </w:rPr>
        <w:footnoteRef/>
      </w:r>
      <w:r>
        <w:t xml:space="preserve"> The content of an MT Business Plan is listed in Appendix A. </w:t>
      </w:r>
    </w:p>
  </w:footnote>
  <w:footnote w:id="133">
    <w:p w14:paraId="3F11DFCE" w14:textId="77777777" w:rsidR="00061B97" w:rsidRDefault="00061B97" w:rsidP="0030676F">
      <w:pPr>
        <w:pStyle w:val="FootnoteText"/>
      </w:pPr>
      <w:r>
        <w:rPr>
          <w:rStyle w:val="FootnoteReference"/>
        </w:rPr>
        <w:footnoteRef/>
      </w:r>
      <w:r>
        <w:t xml:space="preserve"> For a comprehensive review of best practices for the evaluation of market transformation initiatives, see NMR Group, Inc. (2013).  For a more condensed discussion, see Prahl and Keating (2014).  Metrics, Tracking, and Performance Assessment Working Group (2018) provides a regional perspective by discussing New York state’s approach to the evaluation of its market transformation efforts.  Also see Navigant (2018) for a discussion of bet practices in MT design.  Finally, it is important to keep in mind that both market transformation initiatives and resource acquisition programs can cause market effects; NMR Group, Inc. (2014) reviews methods for the evaluation of market effects primarily (though not exclusively) for RA programs.</w:t>
      </w:r>
    </w:p>
  </w:footnote>
  <w:footnote w:id="134">
    <w:p w14:paraId="2BC3B349" w14:textId="77777777" w:rsidR="00061B97" w:rsidRDefault="00061B97" w:rsidP="0030676F">
      <w:pPr>
        <w:pStyle w:val="FootnoteText"/>
      </w:pPr>
      <w:r>
        <w:rPr>
          <w:rStyle w:val="FootnoteReference"/>
        </w:rPr>
        <w:footnoteRef/>
      </w:r>
      <w:r>
        <w:t xml:space="preserve"> See Chen (1990) or Weiss (1998).  TBE is also often useful for resource acquisition programs but tends to be particularly central for the evaluation of market transformation initiatives.  For a discussion of the application of TBE to energy efficiency programs in general, see Section 6.9 in Attachment A of the cross-cutting protocols.</w:t>
      </w:r>
    </w:p>
  </w:footnote>
  <w:footnote w:id="135">
    <w:p w14:paraId="0DC1BC02" w14:textId="77777777" w:rsidR="00061B97" w:rsidRDefault="00061B97" w:rsidP="0030676F">
      <w:pPr>
        <w:pStyle w:val="FootnoteText"/>
      </w:pPr>
      <w:r>
        <w:rPr>
          <w:rStyle w:val="FootnoteReference"/>
        </w:rPr>
        <w:footnoteRef/>
      </w:r>
      <w:r>
        <w:t xml:space="preserve"> Examples might include: changes in efficient market share or product positioning; changes in leading indicators such as distributor stocking practices, consumer awareness, or new vendors entering into the market; self-reports of program effects from market actors;</w:t>
      </w:r>
      <w:r w:rsidRPr="00485AFA">
        <w:t xml:space="preserve"> </w:t>
      </w:r>
      <w:r>
        <w:t>evidence of change in the prevalence of training/credentials, sales or installation data,—basically, evidence that the efficient option is being “normalized”.</w:t>
      </w:r>
    </w:p>
  </w:footnote>
  <w:footnote w:id="136">
    <w:p w14:paraId="5C564CF3" w14:textId="77777777" w:rsidR="00061B97" w:rsidRDefault="00061B97" w:rsidP="0030676F">
      <w:pPr>
        <w:pStyle w:val="FootnoteText"/>
      </w:pPr>
      <w:r>
        <w:rPr>
          <w:rStyle w:val="FootnoteReference"/>
        </w:rPr>
        <w:footnoteRef/>
      </w:r>
      <w:r>
        <w:t xml:space="preserve"> In other regions, such recurring efforts may go by other names.  However, the general concept of regular, recurring efforts to understand the progress of a market transformation initiative is widely accepted in the energy efficiency industry.  This paper uses the term MPER for envisioned MT evaluations in Illinois. For examples of completed MPERs, see </w:t>
      </w:r>
      <w:hyperlink r:id="rId7" w:history="1">
        <w:r>
          <w:rPr>
            <w:rStyle w:val="Hyperlink"/>
          </w:rPr>
          <w:t>https://neea.org/resources-reports</w:t>
        </w:r>
      </w:hyperlink>
      <w:r>
        <w:t xml:space="preserve"> </w:t>
      </w:r>
    </w:p>
  </w:footnote>
  <w:footnote w:id="137">
    <w:p w14:paraId="75D2F744" w14:textId="77777777" w:rsidR="00061B97" w:rsidRDefault="00061B97" w:rsidP="0030676F">
      <w:pPr>
        <w:pStyle w:val="FootnoteText"/>
      </w:pPr>
      <w:r>
        <w:rPr>
          <w:rStyle w:val="FootnoteReference"/>
        </w:rPr>
        <w:footnoteRef/>
      </w:r>
      <w:r>
        <w:t xml:space="preserve"> Market Progress Indicator is the term used in the Northwest.  A closely related term that is often used in other regions of the country is “market indicator,” although there are shades of differences in the meanings of the terms.</w:t>
      </w:r>
    </w:p>
  </w:footnote>
  <w:footnote w:id="138">
    <w:p w14:paraId="3964E89C" w14:textId="77777777" w:rsidR="00061B97" w:rsidRDefault="00061B97" w:rsidP="0030676F">
      <w:pPr>
        <w:pStyle w:val="FootnoteText"/>
      </w:pPr>
      <w:r>
        <w:rPr>
          <w:rStyle w:val="FootnoteReference"/>
        </w:rPr>
        <w:footnoteRef/>
      </w:r>
      <w:r>
        <w:t xml:space="preserve"> </w:t>
      </w:r>
      <w:r>
        <w:rPr>
          <w:rFonts w:cstheme="minorHAnsi"/>
        </w:rPr>
        <w:t xml:space="preserve">Not illustrated in the figure are further adjustments for savings from RA programs operating in the same market or allocations of the market savings to individual utility service territories.  These are discussed in subsequent sections.  </w:t>
      </w:r>
      <w:r w:rsidRPr="005F75ED">
        <w:rPr>
          <w:rFonts w:cstheme="minorHAnsi"/>
        </w:rPr>
        <w:t xml:space="preserve">   </w:t>
      </w:r>
    </w:p>
  </w:footnote>
  <w:footnote w:id="139">
    <w:p w14:paraId="6F3C7AB7" w14:textId="77777777" w:rsidR="00061B97" w:rsidRDefault="00061B97" w:rsidP="0030676F">
      <w:pPr>
        <w:pStyle w:val="FootnoteText"/>
      </w:pPr>
      <w:r>
        <w:rPr>
          <w:rStyle w:val="FootnoteReference"/>
        </w:rPr>
        <w:footnoteRef/>
      </w:r>
      <w:r>
        <w:t xml:space="preserve"> MT initiatives can also operate on buildings (like multi-family ordinances), engage corporations (like Strategic Energy Management), or even drive behavior change (like Building Operator Certification) – assuming they are structured as MT.  The goal is still to gather total units as well as efficient units.</w:t>
      </w:r>
    </w:p>
  </w:footnote>
  <w:footnote w:id="140">
    <w:p w14:paraId="7E3CBAB5" w14:textId="77777777" w:rsidR="00061B97" w:rsidRDefault="00061B97" w:rsidP="0030676F">
      <w:pPr>
        <w:pStyle w:val="FootnoteText"/>
      </w:pPr>
      <w:r>
        <w:rPr>
          <w:rStyle w:val="FootnoteReference"/>
        </w:rPr>
        <w:footnoteRef/>
      </w:r>
      <w:r>
        <w:t xml:space="preserve"> Full category sales data includes all sales within a product category such as clothes washers -- both efficient and inefficient units. </w:t>
      </w:r>
    </w:p>
  </w:footnote>
  <w:footnote w:id="141">
    <w:p w14:paraId="7AD3B83F" w14:textId="77777777" w:rsidR="00061B97" w:rsidRDefault="00061B97" w:rsidP="0030676F">
      <w:pPr>
        <w:pStyle w:val="FootnoteText"/>
      </w:pPr>
      <w:r>
        <w:rPr>
          <w:rStyle w:val="FootnoteReference"/>
        </w:rPr>
        <w:footnoteRef/>
      </w:r>
      <w:r>
        <w:t xml:space="preserve"> This “net” savings includes savings from both MT and RA programs, so the “net” is further adjusted for RA savings, which is discussed in a section below.</w:t>
      </w:r>
    </w:p>
  </w:footnote>
  <w:footnote w:id="142">
    <w:p w14:paraId="27504AE4" w14:textId="77777777" w:rsidR="00061B97" w:rsidRDefault="00061B97" w:rsidP="0030676F">
      <w:pPr>
        <w:pStyle w:val="FootnoteText"/>
      </w:pPr>
      <w:r>
        <w:rPr>
          <w:rStyle w:val="FootnoteReference"/>
          <w:rFonts w:eastAsiaTheme="majorEastAsia"/>
        </w:rPr>
        <w:footnoteRef/>
      </w:r>
      <w:r>
        <w:t xml:space="preserve"> This is not to be confused with a situation in which the MT initiative has multiple administrators and some allocation of savings among them is needed – an issue that is discussed below.</w:t>
      </w:r>
    </w:p>
  </w:footnote>
  <w:footnote w:id="143">
    <w:p w14:paraId="4E55C5FF" w14:textId="77777777" w:rsidR="00061B97" w:rsidRDefault="00061B97" w:rsidP="0030676F">
      <w:pPr>
        <w:pStyle w:val="FootnoteText"/>
      </w:pPr>
      <w:r>
        <w:rPr>
          <w:rStyle w:val="FootnoteReference"/>
        </w:rPr>
        <w:footnoteRef/>
      </w:r>
      <w:r>
        <w:t xml:space="preserve"> The term “Naturally Occurring Market Adoption” or NOMAD is synonymous with “Natural Market Baseline Units”. </w:t>
      </w:r>
    </w:p>
  </w:footnote>
  <w:footnote w:id="144">
    <w:p w14:paraId="4B99B82E" w14:textId="77777777" w:rsidR="00061B97" w:rsidRDefault="00061B97" w:rsidP="0030676F">
      <w:pPr>
        <w:spacing w:after="0"/>
        <w:jc w:val="left"/>
      </w:pPr>
      <w:r>
        <w:rPr>
          <w:rStyle w:val="FootnoteReference"/>
        </w:rPr>
        <w:footnoteRef/>
      </w:r>
      <w:r>
        <w:t xml:space="preserve"> </w:t>
      </w:r>
      <w:r w:rsidRPr="006135F1">
        <w:rPr>
          <w:szCs w:val="20"/>
        </w:rPr>
        <w:t>In </w:t>
      </w:r>
      <w:hyperlink r:id="rId8" w:tooltip="Statistics" w:history="1">
        <w:r w:rsidRPr="006135F1">
          <w:rPr>
            <w:szCs w:val="20"/>
          </w:rPr>
          <w:t>statistics</w:t>
        </w:r>
      </w:hyperlink>
      <w:r w:rsidRPr="006135F1">
        <w:rPr>
          <w:szCs w:val="20"/>
        </w:rPr>
        <w:t>, a probit model is a type of </w:t>
      </w:r>
      <w:hyperlink r:id="rId9" w:tooltip="Regression analysis" w:history="1">
        <w:r w:rsidRPr="006135F1">
          <w:rPr>
            <w:szCs w:val="20"/>
          </w:rPr>
          <w:t>regression</w:t>
        </w:r>
      </w:hyperlink>
      <w:r w:rsidRPr="006135F1">
        <w:rPr>
          <w:szCs w:val="20"/>
        </w:rPr>
        <w:t> where the </w:t>
      </w:r>
      <w:hyperlink r:id="rId10" w:tooltip="Dependent variable" w:history="1">
        <w:r w:rsidRPr="006135F1">
          <w:rPr>
            <w:szCs w:val="20"/>
          </w:rPr>
          <w:t>dependent variable</w:t>
        </w:r>
      </w:hyperlink>
      <w:r w:rsidRPr="006135F1">
        <w:rPr>
          <w:szCs w:val="20"/>
        </w:rPr>
        <w:t> can take only two values, for example married or not married.</w:t>
      </w:r>
      <w:r>
        <w:rPr>
          <w:rStyle w:val="apple-converted-space"/>
          <w:rFonts w:ascii="Arial" w:hAnsi="Arial" w:cs="Arial"/>
          <w:color w:val="222222"/>
          <w:sz w:val="21"/>
          <w:szCs w:val="21"/>
          <w:shd w:val="clear" w:color="auto" w:fill="FFFFFF"/>
        </w:rPr>
        <w:t> </w:t>
      </w:r>
    </w:p>
  </w:footnote>
  <w:footnote w:id="145">
    <w:p w14:paraId="633B8FCE" w14:textId="77777777" w:rsidR="00061B97" w:rsidRDefault="00061B97" w:rsidP="0030676F">
      <w:pPr>
        <w:pStyle w:val="FootnoteText"/>
      </w:pPr>
      <w:r>
        <w:rPr>
          <w:rStyle w:val="FootnoteReference"/>
        </w:rPr>
        <w:footnoteRef/>
      </w:r>
      <w:r>
        <w:t xml:space="preserve"> EMI Consulting. Con Edison 2017 Retail Products Platform (RPP) Evaluation. June 15, 2018. </w:t>
      </w:r>
    </w:p>
  </w:footnote>
  <w:footnote w:id="146">
    <w:p w14:paraId="7F08BC88" w14:textId="77777777" w:rsidR="00061B97" w:rsidRDefault="00061B97" w:rsidP="0030676F">
      <w:pPr>
        <w:pStyle w:val="FootnoteText"/>
      </w:pPr>
      <w:r>
        <w:rPr>
          <w:rStyle w:val="FootnoteReference"/>
        </w:rPr>
        <w:footnoteRef/>
      </w:r>
      <w:r>
        <w:t xml:space="preserve"> It is important to note that trying to strike this balance can and does lead to differences in baseline assumptions between MT initiatives and related RA programs.  The mission of RA programs is generally to achieve measurable, reliable, near-term savings. From that perspective, it is important that the baseline assumptions reflect the realities at work in the marketplace at any one time.  However, the mission of an MT initiative is to gradually achieve large-scale improvements in the way markets work, so it is important that the baseline forecast reflect the conditions facing the initiative at its onset.  Resolving these potential differences in the handling of baseline assumptions between MT initiatives and related RA programs is an example of the broader issue of accounting, which is discussed elsewhere in this paper.</w:t>
      </w:r>
    </w:p>
  </w:footnote>
  <w:footnote w:id="147">
    <w:p w14:paraId="0D35A06D" w14:textId="605FF149" w:rsidR="00061B97" w:rsidRDefault="00061B97" w:rsidP="0030676F">
      <w:pPr>
        <w:pStyle w:val="FootnoteText"/>
      </w:pPr>
      <w:r>
        <w:rPr>
          <w:rStyle w:val="FootnoteReference"/>
        </w:rPr>
        <w:footnoteRef/>
      </w:r>
      <w:r>
        <w:t xml:space="preserve"> Note that the traditional use of the terms “net” and “gross” savings can be confusing in the MT framework.  The MT savings calculation described in the first equation in Section II results in savings that are attributed to utility programs (both MT and RA) – typically called “net” in RA evaluation.  This section then further nets out RA savings so MT savings can be separately analyzed. </w:t>
      </w:r>
    </w:p>
  </w:footnote>
  <w:footnote w:id="148">
    <w:p w14:paraId="5D58222E" w14:textId="77777777" w:rsidR="00061B97" w:rsidRDefault="00061B97" w:rsidP="0030676F">
      <w:pPr>
        <w:pStyle w:val="FootnoteText"/>
      </w:pPr>
      <w:r>
        <w:rPr>
          <w:rStyle w:val="FootnoteReference"/>
        </w:rPr>
        <w:footnoteRef/>
      </w:r>
      <w:r>
        <w:t xml:space="preserve"> Energy code compliance is a key factor in the actual savings resulting from a code, and this is discussed in a later section.  </w:t>
      </w:r>
    </w:p>
  </w:footnote>
  <w:footnote w:id="149">
    <w:p w14:paraId="19241B7A" w14:textId="77777777" w:rsidR="00061B97" w:rsidRDefault="00061B97" w:rsidP="0030676F">
      <w:pPr>
        <w:pStyle w:val="FootnoteText"/>
      </w:pPr>
      <w:r>
        <w:rPr>
          <w:rStyle w:val="FootnoteReference"/>
        </w:rPr>
        <w:footnoteRef/>
      </w:r>
      <w:r>
        <w:t xml:space="preserve"> See TRC (2019) Codes &amp; Standards Program Advocacy &amp; Attribution study for a review of California’s methods for codes and standards savings.  </w:t>
      </w:r>
    </w:p>
  </w:footnote>
  <w:footnote w:id="150">
    <w:p w14:paraId="193EC5DA" w14:textId="77777777" w:rsidR="00061B97" w:rsidRDefault="00061B97" w:rsidP="0030676F">
      <w:pPr>
        <w:pStyle w:val="FootnoteText"/>
      </w:pPr>
      <w:r>
        <w:rPr>
          <w:rStyle w:val="FootnoteReference"/>
        </w:rPr>
        <w:footnoteRef/>
      </w:r>
      <w:r>
        <w:t xml:space="preserve"> Savings for “stretch” codes are covered by this discussion of codes and standards. If allowed by the state, a stretch code means local jurisdictions can adopt a code that is beyond the state code and is mandatory only for builders within that local jurisdiction.  Savings would be calculated per this section, but only applied to buildings in the adopting jurisdiction.  </w:t>
      </w:r>
    </w:p>
  </w:footnote>
  <w:footnote w:id="151">
    <w:p w14:paraId="18390E52" w14:textId="77777777" w:rsidR="00061B97" w:rsidRDefault="00061B97" w:rsidP="0030676F">
      <w:pPr>
        <w:pStyle w:val="FootnoteText"/>
      </w:pPr>
      <w:r>
        <w:rPr>
          <w:rStyle w:val="FootnoteReference"/>
        </w:rPr>
        <w:footnoteRef/>
      </w:r>
      <w:r>
        <w:t xml:space="preserve"> It should be noted that California has similar calculation methods for savings from codes and standards, although they weren’t developed specifically under an MT framework.   Massachusetts has developed a method for savings for code compliance that is similar to RA program analysis other than how attribution is estimated.  </w:t>
      </w:r>
    </w:p>
  </w:footnote>
  <w:footnote w:id="152">
    <w:p w14:paraId="5FE71643" w14:textId="77777777" w:rsidR="00061B97" w:rsidRDefault="00061B97" w:rsidP="0030676F">
      <w:pPr>
        <w:pStyle w:val="FootnoteText"/>
      </w:pPr>
      <w:r>
        <w:rPr>
          <w:rStyle w:val="FootnoteReference"/>
        </w:rPr>
        <w:footnoteRef/>
      </w:r>
      <w:r>
        <w:t xml:space="preserve"> Note that compliance with the energy code is usually less than --  and can sometimes be greater than 100%.  Compliance greater than 100% can occur, for example, if the typical measure most readily available is more efficient than the code requirement; builders will simply use the available measure.  </w:t>
      </w:r>
    </w:p>
  </w:footnote>
  <w:footnote w:id="153">
    <w:p w14:paraId="3F4DE434" w14:textId="77777777" w:rsidR="00061B97" w:rsidRDefault="00061B97" w:rsidP="0030676F">
      <w:pPr>
        <w:pStyle w:val="FootnoteText"/>
      </w:pPr>
      <w:r>
        <w:rPr>
          <w:rStyle w:val="FootnoteReference"/>
        </w:rPr>
        <w:footnoteRef/>
      </w:r>
      <w:r>
        <w:t xml:space="preserve"> In calculating savings, the effective date of the energy code or standard adoption drives the uptick in the number of efficient units meeting the efficiency level.  In this paper, the term “adoption” is short-hand for the energy code or standard adoption, which would have an effective date by which most units will comply.  </w:t>
      </w:r>
    </w:p>
  </w:footnote>
  <w:footnote w:id="154">
    <w:p w14:paraId="2A386CE5" w14:textId="77777777" w:rsidR="00061B97" w:rsidRDefault="00061B97" w:rsidP="0030676F">
      <w:pPr>
        <w:pStyle w:val="FootnoteText"/>
      </w:pPr>
      <w:r>
        <w:rPr>
          <w:rStyle w:val="FootnoteReference"/>
        </w:rPr>
        <w:footnoteRef/>
      </w:r>
      <w:r>
        <w:t xml:space="preserve"> A paper by Cadmus </w:t>
      </w:r>
      <w:r w:rsidRPr="006E7807">
        <w:rPr>
          <w:i/>
        </w:rPr>
        <w:t>et. al.</w:t>
      </w:r>
      <w:r>
        <w:t xml:space="preserve"> in 2013 describes the estimation of energy code adoption and energy code compliance savings in depth starting on page 52.  </w:t>
      </w:r>
    </w:p>
  </w:footnote>
  <w:footnote w:id="155">
    <w:p w14:paraId="51B6440A" w14:textId="77777777" w:rsidR="00061B97" w:rsidRDefault="00061B97" w:rsidP="0030676F">
      <w:pPr>
        <w:pStyle w:val="FootnoteText"/>
      </w:pPr>
      <w:r>
        <w:rPr>
          <w:rStyle w:val="FootnoteReference"/>
        </w:rPr>
        <w:footnoteRef/>
      </w:r>
      <w:r>
        <w:t xml:space="preserve"> Duration of savings claims  can interact with the considerations in the Natural Market Baseline since this baseline can sometimes equate to Total Market Units over time, and therefore savings effectively become zero. </w:t>
      </w:r>
    </w:p>
  </w:footnote>
  <w:footnote w:id="156">
    <w:p w14:paraId="585D0BF9" w14:textId="77777777" w:rsidR="00061B97" w:rsidRPr="000978BA" w:rsidRDefault="00061B97" w:rsidP="0030676F">
      <w:pPr>
        <w:pStyle w:val="FootnoteText"/>
      </w:pPr>
      <w:r>
        <w:rPr>
          <w:rStyle w:val="FootnoteReference"/>
        </w:rPr>
        <w:footnoteRef/>
      </w:r>
      <w:r w:rsidRPr="000978BA">
        <w:rPr>
          <w:rStyle w:val="FootnoteReference"/>
        </w:rPr>
        <w:t xml:space="preserve"> For examples of recent evaluation reports analyzing the effects of compliance support programs on compliance rates in the residential and non-residential sectors, respectively, see NMR Group, Inc. (2018) and NM</w:t>
      </w:r>
      <w:r>
        <w:rPr>
          <w:rStyle w:val="FootnoteReference"/>
        </w:rPr>
        <w:t>R Group, Inc. and Cadmus (2018)</w:t>
      </w:r>
      <w:r>
        <w:t>:</w:t>
      </w:r>
    </w:p>
    <w:p w14:paraId="04A12F38" w14:textId="77777777" w:rsidR="00061B97" w:rsidRPr="000978BA" w:rsidRDefault="00061B97" w:rsidP="0030676F">
      <w:pPr>
        <w:pStyle w:val="FootnoteText"/>
      </w:pPr>
      <w:r w:rsidRPr="000978BA">
        <w:rPr>
          <w:rStyle w:val="FootnoteReference"/>
        </w:rPr>
        <w:t xml:space="preserve">NMR Group, Inc. 2018. Residential New Construction and CCSI Attribution Assessment (TXC48). </w:t>
      </w:r>
      <w:hyperlink r:id="rId11" w:history="1">
        <w:r w:rsidRPr="000978BA">
          <w:rPr>
            <w:rStyle w:val="FootnoteReference"/>
          </w:rPr>
          <w:t>http://ma-eeac.org/wordpress/wp-content/uploads/TXC_48_RNCAttribution_24AUG2018_Final.pdf</w:t>
        </w:r>
      </w:hyperlink>
      <w:r>
        <w:t xml:space="preserve"> </w:t>
      </w:r>
    </w:p>
    <w:p w14:paraId="369D3011" w14:textId="77777777" w:rsidR="00061B97" w:rsidRPr="000978BA" w:rsidRDefault="00061B97" w:rsidP="0030676F">
      <w:pPr>
        <w:pStyle w:val="FootnoteText"/>
      </w:pPr>
      <w:r w:rsidRPr="000978BA">
        <w:rPr>
          <w:rStyle w:val="FootnoteReference"/>
        </w:rPr>
        <w:t xml:space="preserve">NMR Group, Inc. and Cadmus. 2018. Massachusetts TXC47 Non-Residential Code Compliance Support Initiative Attribution and Net Savings Assessment. </w:t>
      </w:r>
      <w:hyperlink r:id="rId12" w:history="1">
        <w:r w:rsidRPr="000978BA">
          <w:rPr>
            <w:rStyle w:val="FootnoteReference"/>
          </w:rPr>
          <w:t>http://ma-eeac.org/wordpress/wp-content/uploads/TXC_47_Nonres_CCSI_Attribution_Assessment_26July2018_Final-1.pdf</w:t>
        </w:r>
      </w:hyperlink>
      <w:r w:rsidRPr="000978BA">
        <w:rPr>
          <w:rStyle w:val="FootnoteReference"/>
        </w:rPr>
        <w:t>.</w:t>
      </w:r>
    </w:p>
  </w:footnote>
  <w:footnote w:id="157">
    <w:p w14:paraId="4749C2E8" w14:textId="77777777" w:rsidR="00061B97" w:rsidRDefault="00061B97" w:rsidP="0030676F">
      <w:pPr>
        <w:pStyle w:val="FootnoteText"/>
      </w:pPr>
      <w:r>
        <w:rPr>
          <w:rStyle w:val="FootnoteReference"/>
        </w:rPr>
        <w:footnoteRef/>
      </w:r>
      <w:r>
        <w:t xml:space="preserve"> The Midwest Energy Efficiency Alliance is currently developing field data to determine compliance with current energy codes, and analyze which measures create the largest gap in savings.  </w:t>
      </w:r>
    </w:p>
  </w:footnote>
  <w:footnote w:id="158">
    <w:p w14:paraId="73C72A1A" w14:textId="77777777" w:rsidR="00061B97" w:rsidRDefault="00061B97" w:rsidP="0030676F">
      <w:pPr>
        <w:pStyle w:val="FootnoteText"/>
      </w:pPr>
      <w:r>
        <w:rPr>
          <w:rStyle w:val="FootnoteReference"/>
        </w:rPr>
        <w:footnoteRef/>
      </w:r>
      <w:r>
        <w:t xml:space="preserve"> In some cases, enhancing the compliance or effectiveness of measures in the code can have an impact on savings already incorporated in a TRM.  If Illinois moves forward with enhanced code compliance, this could be an adjustment in the future to other sections of the TRM. </w:t>
      </w:r>
    </w:p>
  </w:footnote>
  <w:footnote w:id="159">
    <w:p w14:paraId="3AA70FE5" w14:textId="77777777" w:rsidR="00061B97" w:rsidRDefault="00061B97" w:rsidP="0030676F">
      <w:pPr>
        <w:pStyle w:val="FootnoteText"/>
      </w:pPr>
      <w:r>
        <w:rPr>
          <w:rStyle w:val="FootnoteReference"/>
        </w:rPr>
        <w:footnoteRef/>
      </w:r>
      <w:r>
        <w:t xml:space="preserve"> If both compliance and increased efficiency happen at the same time, the savings can be calculated separately for each and summed.</w:t>
      </w:r>
    </w:p>
  </w:footnote>
  <w:footnote w:id="160">
    <w:p w14:paraId="1E03BD97" w14:textId="77777777" w:rsidR="00E3500B" w:rsidRDefault="00E3500B" w:rsidP="00E3500B">
      <w:pPr>
        <w:pStyle w:val="FootnoteText"/>
        <w:rPr>
          <w:ins w:id="2226" w:author="Celia Johnson" w:date="2022-09-06T13:24:00Z"/>
        </w:rPr>
      </w:pPr>
      <w:ins w:id="2227" w:author="Celia Johnson" w:date="2022-09-06T13:24:00Z">
        <w:r>
          <w:rPr>
            <w:rStyle w:val="FootnoteReference"/>
          </w:rPr>
          <w:footnoteRef/>
        </w:r>
        <w:r>
          <w:t xml:space="preserve"> Program description from the NEEA website. </w:t>
        </w:r>
        <w:r w:rsidRPr="00E21A8B">
          <w:t>https://neea.org/our-work/programs/rpp</w:t>
        </w:r>
        <w:r>
          <w:t>.</w:t>
        </w:r>
      </w:ins>
    </w:p>
  </w:footnote>
  <w:footnote w:id="161">
    <w:p w14:paraId="108D18E8" w14:textId="77777777" w:rsidR="00E3500B" w:rsidRDefault="00E3500B" w:rsidP="00E3500B">
      <w:pPr>
        <w:pStyle w:val="FootnoteText"/>
        <w:rPr>
          <w:ins w:id="2249" w:author="Celia Johnson" w:date="2022-09-06T13:24:00Z"/>
        </w:rPr>
      </w:pPr>
      <w:ins w:id="2250" w:author="Celia Johnson" w:date="2022-09-06T13:24:00Z">
        <w:r>
          <w:rPr>
            <w:rStyle w:val="FootnoteReference"/>
          </w:rPr>
          <w:footnoteRef/>
        </w:r>
        <w:r>
          <w:t xml:space="preserve"> The logic model and MPI list are the current working versions form the CY2021 evaluation of ComEd’s ESRPP pilot. They were both developed by the program implementer, NEEA, and reviewed by the Guidehouse evaluation team. </w:t>
        </w:r>
      </w:ins>
    </w:p>
  </w:footnote>
  <w:footnote w:id="162">
    <w:p w14:paraId="100147F6" w14:textId="77777777" w:rsidR="00E3500B" w:rsidRDefault="00E3500B" w:rsidP="00E3500B">
      <w:pPr>
        <w:pStyle w:val="FootnoteText"/>
        <w:rPr>
          <w:ins w:id="2486" w:author="Celia Johnson" w:date="2022-09-06T13:24:00Z"/>
        </w:rPr>
      </w:pPr>
      <w:ins w:id="2487" w:author="Celia Johnson" w:date="2022-09-06T13:24:00Z">
        <w:r>
          <w:rPr>
            <w:rStyle w:val="FootnoteReference"/>
          </w:rPr>
          <w:footnoteRef/>
        </w:r>
        <w:r>
          <w:t xml:space="preserve"> This is done to protect retailer data privacy. </w:t>
        </w:r>
      </w:ins>
    </w:p>
  </w:footnote>
  <w:footnote w:id="163">
    <w:p w14:paraId="1C326D61" w14:textId="77777777" w:rsidR="00E3500B" w:rsidRDefault="00E3500B" w:rsidP="00E3500B">
      <w:pPr>
        <w:pStyle w:val="FootnoteText"/>
        <w:rPr>
          <w:ins w:id="2493" w:author="Celia Johnson" w:date="2022-09-06T13:24:00Z"/>
        </w:rPr>
      </w:pPr>
      <w:ins w:id="2494" w:author="Celia Johnson" w:date="2022-09-06T13:24:00Z">
        <w:r>
          <w:rPr>
            <w:rStyle w:val="FootnoteReference"/>
          </w:rPr>
          <w:footnoteRef/>
        </w:r>
        <w:r>
          <w:t xml:space="preserve"> The methods for cleaning data, gathering product attributes, and assigning a category were developed by NEEA. These steps were documented and provided to ComEd in the RPP Data Cleaning Memo, dated May 18, 2022.</w:t>
        </w:r>
      </w:ins>
    </w:p>
  </w:footnote>
  <w:footnote w:id="164">
    <w:p w14:paraId="559AE0E1" w14:textId="77777777" w:rsidR="00E3500B" w:rsidRDefault="00E3500B" w:rsidP="00E3500B">
      <w:pPr>
        <w:pStyle w:val="FootnoteText"/>
        <w:rPr>
          <w:ins w:id="2499" w:author="Celia Johnson" w:date="2022-09-06T13:24:00Z"/>
        </w:rPr>
      </w:pPr>
      <w:ins w:id="2500" w:author="Celia Johnson" w:date="2022-09-06T13:24:00Z">
        <w:r>
          <w:rPr>
            <w:rStyle w:val="FootnoteReference"/>
          </w:rPr>
          <w:footnoteRef/>
        </w:r>
        <w:r>
          <w:t xml:space="preserve"> </w:t>
        </w:r>
        <w:r>
          <w:fldChar w:fldCharType="begin"/>
        </w:r>
        <w:r>
          <w:instrText xml:space="preserve"> HYPERLINK "https://www.energystar.gov/productfinder/advanced" </w:instrText>
        </w:r>
        <w:r>
          <w:fldChar w:fldCharType="separate"/>
        </w:r>
        <w:r w:rsidRPr="00D7551B">
          <w:rPr>
            <w:rStyle w:val="Hyperlink"/>
            <w:rFonts w:eastAsiaTheme="majorEastAsia"/>
          </w:rPr>
          <w:t>https://www.energystar.gov/productfinder/advanced</w:t>
        </w:r>
        <w:r>
          <w:rPr>
            <w:rStyle w:val="Hyperlink"/>
            <w:rFonts w:eastAsiaTheme="majorEastAsia"/>
          </w:rPr>
          <w:fldChar w:fldCharType="end"/>
        </w:r>
        <w:r>
          <w:t xml:space="preserve"> </w:t>
        </w:r>
      </w:ins>
    </w:p>
  </w:footnote>
  <w:footnote w:id="165">
    <w:p w14:paraId="31B1EBE2" w14:textId="77777777" w:rsidR="00E3500B" w:rsidRDefault="00E3500B" w:rsidP="00E3500B">
      <w:pPr>
        <w:pStyle w:val="FootnoteText"/>
        <w:rPr>
          <w:ins w:id="2501" w:author="Celia Johnson" w:date="2022-09-06T13:24:00Z"/>
        </w:rPr>
      </w:pPr>
      <w:ins w:id="2502" w:author="Celia Johnson" w:date="2022-09-06T13:24:00Z">
        <w:r>
          <w:rPr>
            <w:rStyle w:val="FootnoteReference"/>
          </w:rPr>
          <w:footnoteRef/>
        </w:r>
        <w:r>
          <w:t xml:space="preserve"> </w:t>
        </w:r>
        <w:r>
          <w:fldChar w:fldCharType="begin"/>
        </w:r>
        <w:r>
          <w:instrText xml:space="preserve"> HYPERLINK "https://www.regulations.doe.gov/certification-data/" </w:instrText>
        </w:r>
        <w:r>
          <w:fldChar w:fldCharType="separate"/>
        </w:r>
        <w:r w:rsidRPr="00D7551B">
          <w:rPr>
            <w:rStyle w:val="Hyperlink"/>
            <w:rFonts w:eastAsiaTheme="majorEastAsia"/>
          </w:rPr>
          <w:t>https://www.regulations.doe.gov/certification-data/</w:t>
        </w:r>
        <w:r>
          <w:rPr>
            <w:rStyle w:val="Hyperlink"/>
            <w:rFonts w:eastAsiaTheme="majorEastAsia"/>
          </w:rPr>
          <w:fldChar w:fldCharType="end"/>
        </w:r>
        <w:r>
          <w:t xml:space="preserve"> </w:t>
        </w:r>
      </w:ins>
    </w:p>
  </w:footnote>
  <w:footnote w:id="166">
    <w:p w14:paraId="11B31645" w14:textId="77777777" w:rsidR="00E3500B" w:rsidRDefault="00E3500B" w:rsidP="00E3500B">
      <w:pPr>
        <w:pStyle w:val="FootnoteText"/>
        <w:rPr>
          <w:ins w:id="2503" w:author="Celia Johnson" w:date="2022-09-06T13:24:00Z"/>
        </w:rPr>
      </w:pPr>
      <w:ins w:id="2504" w:author="Celia Johnson" w:date="2022-09-06T13:24:00Z">
        <w:r>
          <w:rPr>
            <w:rStyle w:val="FootnoteReference"/>
          </w:rPr>
          <w:footnoteRef/>
        </w:r>
        <w:r>
          <w:t xml:space="preserve"> </w:t>
        </w:r>
        <w:r>
          <w:fldChar w:fldCharType="begin"/>
        </w:r>
        <w:r>
          <w:instrText xml:space="preserve"> HYPERLINK "https://cacertappliances.energy.ca.gov/Pages/Search/AdvancedSearch.aspx" </w:instrText>
        </w:r>
        <w:r>
          <w:fldChar w:fldCharType="separate"/>
        </w:r>
        <w:r w:rsidRPr="00D7551B">
          <w:rPr>
            <w:rStyle w:val="Hyperlink"/>
            <w:rFonts w:eastAsiaTheme="majorEastAsia"/>
          </w:rPr>
          <w:t>https://cacertappliances.energy.ca.gov/Pages/Search/AdvancedSearch.aspx</w:t>
        </w:r>
        <w:r>
          <w:rPr>
            <w:rStyle w:val="Hyperlink"/>
            <w:rFonts w:eastAsiaTheme="majorEastAsia"/>
          </w:rPr>
          <w:fldChar w:fldCharType="end"/>
        </w:r>
        <w:r>
          <w:t xml:space="preserve"> </w:t>
        </w:r>
      </w:ins>
    </w:p>
  </w:footnote>
  <w:footnote w:id="167">
    <w:p w14:paraId="1E6A0E64" w14:textId="77777777" w:rsidR="00E3500B" w:rsidRDefault="00E3500B" w:rsidP="00E3500B">
      <w:pPr>
        <w:pStyle w:val="FootnoteText"/>
        <w:rPr>
          <w:ins w:id="2565" w:author="Celia Johnson" w:date="2022-09-06T13:24:00Z"/>
        </w:rPr>
      </w:pPr>
      <w:ins w:id="2566" w:author="Celia Johnson" w:date="2022-09-06T13:24:00Z">
        <w:r>
          <w:rPr>
            <w:rStyle w:val="FootnoteReference"/>
          </w:rPr>
          <w:footnoteRef/>
        </w:r>
        <w:r>
          <w:t xml:space="preserve"> Though market shares are bounded between zero and 100% and typically follow an “S” curve over time, linear relationships can capture trends over short time horizons, particularly when market shares are not close to either zero or 100%. Depending on the desired timeframe for the forecast horizon or near-term market shares, a non-linear approach may be preferred. </w:t>
        </w:r>
      </w:ins>
    </w:p>
  </w:footnote>
  <w:footnote w:id="168">
    <w:p w14:paraId="65B6C414" w14:textId="77777777" w:rsidR="00E3500B" w:rsidRDefault="00E3500B" w:rsidP="00E3500B">
      <w:pPr>
        <w:pStyle w:val="FootnoteText"/>
        <w:rPr>
          <w:ins w:id="2567" w:author="Celia Johnson" w:date="2022-09-06T13:24:00Z"/>
        </w:rPr>
      </w:pPr>
      <w:ins w:id="2568" w:author="Celia Johnson" w:date="2022-09-06T13:24:00Z">
        <w:r>
          <w:rPr>
            <w:rStyle w:val="FootnoteReference"/>
          </w:rPr>
          <w:footnoteRef/>
        </w:r>
        <w:r>
          <w:t xml:space="preserve"> Other relevant data sources could include appliance shipment data, market intelligence reports, or market experts.  </w:t>
        </w:r>
      </w:ins>
    </w:p>
  </w:footnote>
  <w:footnote w:id="169">
    <w:p w14:paraId="2F8D247C" w14:textId="77777777" w:rsidR="00E3500B" w:rsidRDefault="00E3500B" w:rsidP="00E3500B">
      <w:pPr>
        <w:pStyle w:val="FootnoteText"/>
        <w:rPr>
          <w:ins w:id="2625" w:author="Celia Johnson" w:date="2022-09-06T13:24:00Z"/>
        </w:rPr>
      </w:pPr>
      <w:ins w:id="2626" w:author="Celia Johnson" w:date="2022-09-06T13:24:00Z">
        <w:r>
          <w:rPr>
            <w:rStyle w:val="FootnoteReference"/>
          </w:rPr>
          <w:footnoteRef/>
        </w:r>
        <w:r>
          <w:t xml:space="preserve"> The MT Working Group will be setting definitions and guidance around the re-examination of natural market baselines in 2023. Updates to this protocol will be made to reflect those definitions once they are finalized. </w:t>
        </w:r>
      </w:ins>
    </w:p>
  </w:footnote>
  <w:footnote w:id="170">
    <w:p w14:paraId="54BD6E21" w14:textId="77777777" w:rsidR="00E3500B" w:rsidRDefault="00E3500B" w:rsidP="00E3500B">
      <w:pPr>
        <w:pStyle w:val="FootnoteText"/>
        <w:rPr>
          <w:ins w:id="2634" w:author="Celia Johnson" w:date="2022-09-06T13:24:00Z"/>
        </w:rPr>
      </w:pPr>
      <w:ins w:id="2635" w:author="Celia Johnson" w:date="2022-09-06T13:24:00Z">
        <w:r>
          <w:rPr>
            <w:rStyle w:val="FootnoteReference"/>
          </w:rPr>
          <w:footnoteRef/>
        </w:r>
        <w:r>
          <w:t xml:space="preserve"> Measure 5.1.2 ENERYG STAR Clothes Washers, Illinois TRM V10.</w:t>
        </w:r>
      </w:ins>
    </w:p>
  </w:footnote>
  <w:footnote w:id="171">
    <w:p w14:paraId="0236D3F7" w14:textId="77777777" w:rsidR="00E3500B" w:rsidRDefault="00E3500B" w:rsidP="00E3500B">
      <w:pPr>
        <w:pStyle w:val="FootnoteText"/>
        <w:rPr>
          <w:ins w:id="2636" w:author="Celia Johnson" w:date="2022-09-06T13:24:00Z"/>
        </w:rPr>
      </w:pPr>
      <w:ins w:id="2637" w:author="Celia Johnson" w:date="2022-09-06T13:24:00Z">
        <w:r>
          <w:rPr>
            <w:rStyle w:val="FootnoteReference"/>
          </w:rPr>
          <w:footnoteRef/>
        </w:r>
        <w:r>
          <w:t xml:space="preserve"> Measure 5.1.6, ENERGY STAR and CEE Tier 2 Refrigerator. </w:t>
        </w:r>
      </w:ins>
    </w:p>
  </w:footnote>
  <w:footnote w:id="172">
    <w:p w14:paraId="0C6E5465" w14:textId="77777777" w:rsidR="00E3500B" w:rsidRDefault="00E3500B" w:rsidP="00E3500B">
      <w:pPr>
        <w:pStyle w:val="FootnoteText"/>
        <w:rPr>
          <w:ins w:id="2671" w:author="Celia Johnson" w:date="2022-09-06T13:24:00Z"/>
        </w:rPr>
      </w:pPr>
      <w:ins w:id="2672" w:author="Celia Johnson" w:date="2022-09-06T13:24:00Z">
        <w:r>
          <w:rPr>
            <w:rStyle w:val="FootnoteReference"/>
          </w:rPr>
          <w:footnoteRef/>
        </w:r>
        <w:r>
          <w:t xml:space="preserve"> NEEA Memo to ComEd Regarding Baseline Approaches. September 23, 2021. </w:t>
        </w:r>
      </w:ins>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A2F1D5" w14:textId="6DD32AD3" w:rsidR="00061B97" w:rsidRPr="006039C4" w:rsidRDefault="00061B97" w:rsidP="00563A0F">
    <w:pPr>
      <w:pStyle w:val="HeaderIL"/>
    </w:pPr>
    <w:r>
      <w:t>Illinois Statewide Technical Reference Manual – Volume 4: Cross-Cutting Measures and Attachments</w: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91108D" w14:textId="77777777" w:rsidR="00E3500B" w:rsidRDefault="00E3500B">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662C63" w14:textId="77777777" w:rsidR="00E3500B" w:rsidRPr="00C065DF" w:rsidRDefault="00E3500B" w:rsidP="00C065DF">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5BCA57" w14:textId="77777777" w:rsidR="00E3500B" w:rsidRPr="00340C99" w:rsidRDefault="00E3500B" w:rsidP="00340C99">
    <w:pPr>
      <w:pStyle w:val="Heade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120"/>
      <w:gridCol w:w="3120"/>
      <w:gridCol w:w="3120"/>
    </w:tblGrid>
    <w:tr w:rsidR="00E3500B" w14:paraId="079835B2" w14:textId="77777777" w:rsidTr="72CE4B49">
      <w:tc>
        <w:tcPr>
          <w:tcW w:w="3120" w:type="dxa"/>
        </w:tcPr>
        <w:p w14:paraId="16E50EBD" w14:textId="77777777" w:rsidR="00E3500B" w:rsidRDefault="00E3500B" w:rsidP="72CE4B49">
          <w:pPr>
            <w:pStyle w:val="Header"/>
            <w:ind w:left="-115"/>
            <w:jc w:val="left"/>
          </w:pPr>
        </w:p>
      </w:tc>
      <w:tc>
        <w:tcPr>
          <w:tcW w:w="3120" w:type="dxa"/>
        </w:tcPr>
        <w:p w14:paraId="6C731AA3" w14:textId="77777777" w:rsidR="00E3500B" w:rsidRDefault="00E3500B" w:rsidP="72CE4B49">
          <w:pPr>
            <w:pStyle w:val="Header"/>
            <w:jc w:val="center"/>
          </w:pPr>
        </w:p>
      </w:tc>
      <w:tc>
        <w:tcPr>
          <w:tcW w:w="3120" w:type="dxa"/>
        </w:tcPr>
        <w:p w14:paraId="16D1BEFA" w14:textId="77777777" w:rsidR="00E3500B" w:rsidRDefault="00E3500B" w:rsidP="72CE4B49">
          <w:pPr>
            <w:pStyle w:val="Header"/>
            <w:ind w:right="-115"/>
            <w:jc w:val="right"/>
          </w:pPr>
        </w:p>
      </w:tc>
    </w:tr>
  </w:tbl>
  <w:p w14:paraId="75509BF8" w14:textId="77777777" w:rsidR="00E3500B" w:rsidRDefault="00E3500B">
    <w:pPr>
      <w:pStyle w:val="Heade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120"/>
      <w:gridCol w:w="3120"/>
      <w:gridCol w:w="3120"/>
    </w:tblGrid>
    <w:tr w:rsidR="00E3500B" w14:paraId="598BDAFD" w14:textId="77777777" w:rsidTr="72CE4B49">
      <w:tc>
        <w:tcPr>
          <w:tcW w:w="3120" w:type="dxa"/>
        </w:tcPr>
        <w:p w14:paraId="2DFC1BC3" w14:textId="77777777" w:rsidR="00E3500B" w:rsidRDefault="00E3500B" w:rsidP="72CE4B49">
          <w:pPr>
            <w:pStyle w:val="Header"/>
            <w:ind w:left="-115"/>
            <w:jc w:val="left"/>
          </w:pPr>
        </w:p>
      </w:tc>
      <w:tc>
        <w:tcPr>
          <w:tcW w:w="3120" w:type="dxa"/>
        </w:tcPr>
        <w:p w14:paraId="3BC1C32F" w14:textId="77777777" w:rsidR="00E3500B" w:rsidRDefault="00E3500B" w:rsidP="72CE4B49">
          <w:pPr>
            <w:pStyle w:val="Header"/>
            <w:jc w:val="center"/>
          </w:pPr>
        </w:p>
      </w:tc>
      <w:tc>
        <w:tcPr>
          <w:tcW w:w="3120" w:type="dxa"/>
        </w:tcPr>
        <w:p w14:paraId="1369B685" w14:textId="77777777" w:rsidR="00E3500B" w:rsidRDefault="00E3500B" w:rsidP="72CE4B49">
          <w:pPr>
            <w:pStyle w:val="Header"/>
            <w:ind w:right="-115"/>
            <w:jc w:val="right"/>
          </w:pPr>
        </w:p>
      </w:tc>
    </w:tr>
  </w:tbl>
  <w:p w14:paraId="655D1178" w14:textId="77777777" w:rsidR="00E3500B" w:rsidRDefault="00E3500B">
    <w:pPr>
      <w:pStyle w:val="Heade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47307B" w14:textId="5A3A4C2E" w:rsidR="00061B97" w:rsidRDefault="00061B97" w:rsidP="00C80BDF">
    <w:pPr>
      <w:pStyle w:val="HeaderIL"/>
    </w:pPr>
    <w:r>
      <w:t>Illinois Statewide Technical Reference Manual—Attachment C: Framework for Counting Market Transformation Savings in Illinois</w: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3504D2" w14:textId="77777777" w:rsidR="00061B97" w:rsidRDefault="00061B97" w:rsidP="00357311">
    <w:pPr>
      <w:pStyle w:val="HeaderIL"/>
    </w:pPr>
    <w:r>
      <w:t xml:space="preserve">Illinois Statewide Technical Reference Manual—Attachment C: Framework for Counting Market Transformation Savings in Illinois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810326" w14:textId="053D6C36" w:rsidR="00061B97" w:rsidRDefault="00061B97" w:rsidP="00357311">
    <w:pPr>
      <w:pStyle w:val="HeaderIL"/>
    </w:pPr>
    <w:r>
      <w:t xml:space="preserve">Illinois Statewide Technical Reference Manual—Attachment C: Framework for Counting Market Transformation Savings in Illinois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ADFD55" w14:textId="74320934" w:rsidR="00061B97" w:rsidRDefault="00061B97" w:rsidP="00B3146E">
    <w:pPr>
      <w:pStyle w:val="HeaderIL"/>
    </w:pPr>
    <w:r>
      <w:t xml:space="preserve">Illinois Statewide Technical Reference Manual – </w:t>
    </w:r>
    <w:r>
      <w:rPr>
        <w:noProof/>
      </w:rPr>
      <w:fldChar w:fldCharType="begin"/>
    </w:r>
    <w:r>
      <w:rPr>
        <w:noProof/>
      </w:rPr>
      <w:instrText xml:space="preserve"> STYLEREF  "Heading 3" \n  \* MERGEFORMAT </w:instrText>
    </w:r>
    <w:r>
      <w:rPr>
        <w:noProof/>
      </w:rPr>
      <w:fldChar w:fldCharType="separate"/>
    </w:r>
    <w:r w:rsidR="00573A1D">
      <w:rPr>
        <w:noProof/>
      </w:rPr>
      <w:t>6.1.1</w:t>
    </w:r>
    <w:r>
      <w:rPr>
        <w:noProof/>
      </w:rPr>
      <w:fldChar w:fldCharType="end"/>
    </w:r>
    <w:r>
      <w:t xml:space="preserve"> </w:t>
    </w:r>
    <w:r>
      <w:rPr>
        <w:noProof/>
      </w:rPr>
      <w:fldChar w:fldCharType="begin"/>
    </w:r>
    <w:r>
      <w:rPr>
        <w:noProof/>
      </w:rPr>
      <w:instrText xml:space="preserve"> STYLEREF  "Heading 3"  \* MERGEFORMAT </w:instrText>
    </w:r>
    <w:r>
      <w:rPr>
        <w:noProof/>
      </w:rPr>
      <w:fldChar w:fldCharType="separate"/>
    </w:r>
    <w:r w:rsidR="00573A1D">
      <w:rPr>
        <w:noProof/>
      </w:rPr>
      <w:t>Adjustments to Behavior Savings to Account for Persistence</w:t>
    </w:r>
    <w:r>
      <w:rPr>
        <w:noProof/>
      </w:rPr>
      <w:fldChar w:fldCharType="end"/>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12812F" w14:textId="77777777" w:rsidR="009A4C3B" w:rsidRDefault="009A4C3B" w:rsidP="00C80BDF">
    <w:pPr>
      <w:pStyle w:val="HeaderIL"/>
    </w:pPr>
    <w:r>
      <w:t xml:space="preserve">Illinois Statewide Technical Reference Manual—Attachment A: Illinois Statewide Net-to-Gross Methodologies </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0E9BE7" w14:textId="77777777" w:rsidR="00061B97" w:rsidRDefault="00061B97" w:rsidP="00C80BDF">
    <w:pPr>
      <w:pStyle w:val="HeaderIL"/>
    </w:pPr>
    <w:r>
      <w:t xml:space="preserve">Illinois Statewide Technical Reference Manual- Attachment A: IL-NTG Methodologies </w:t>
    </w:r>
  </w:p>
  <w:p w14:paraId="0A7FBED1" w14:textId="77777777" w:rsidR="00061B97" w:rsidRPr="00133F70" w:rsidRDefault="00061B97" w:rsidP="00C80BDF">
    <w:pPr>
      <w:pStyle w:val="Header"/>
      <w:rPr>
        <w:sz w:val="16"/>
        <w:szCs w:val="16"/>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AA4F2B" w14:textId="284BD196" w:rsidR="00061B97" w:rsidRDefault="00061B97" w:rsidP="00C80BDF">
    <w:pPr>
      <w:pStyle w:val="HeaderIL"/>
    </w:pPr>
    <w:r>
      <w:t xml:space="preserve">Illinois Statewide Technical Reference Manual—Attachment A: Illinois Statewide Net-to-Gross Methodologies </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286E43" w14:textId="659C8857" w:rsidR="00061B97" w:rsidRDefault="00061B97" w:rsidP="00C80BDF">
    <w:pPr>
      <w:pStyle w:val="HeaderIL"/>
    </w:pPr>
    <w:r>
      <w:t xml:space="preserve">Illinois Statewide Technical Reference Manual—Attachment B: Effective Useful Life for Custom Measure Guidelines </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A859DE" w14:textId="77777777" w:rsidR="00E3500B" w:rsidRDefault="00E3500B">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028C6F" w14:textId="77777777" w:rsidR="00E3500B" w:rsidRDefault="00E3500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4330D8"/>
    <w:multiLevelType w:val="hybridMultilevel"/>
    <w:tmpl w:val="19F090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0A8637F"/>
    <w:multiLevelType w:val="hybridMultilevel"/>
    <w:tmpl w:val="F538227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2605678"/>
    <w:multiLevelType w:val="hybridMultilevel"/>
    <w:tmpl w:val="1FEABAF8"/>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42A72A4"/>
    <w:multiLevelType w:val="hybridMultilevel"/>
    <w:tmpl w:val="2FD452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4DD3E11"/>
    <w:multiLevelType w:val="hybridMultilevel"/>
    <w:tmpl w:val="835CCFD8"/>
    <w:lvl w:ilvl="0" w:tplc="0409000F">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15:restartNumberingAfterBreak="0">
    <w:nsid w:val="06260AAD"/>
    <w:multiLevelType w:val="hybridMultilevel"/>
    <w:tmpl w:val="9F749E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6702EDC"/>
    <w:multiLevelType w:val="hybridMultilevel"/>
    <w:tmpl w:val="D66EDF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78A6543"/>
    <w:multiLevelType w:val="hybridMultilevel"/>
    <w:tmpl w:val="FBD22CA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8945412"/>
    <w:multiLevelType w:val="hybridMultilevel"/>
    <w:tmpl w:val="0D68C7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A51679D"/>
    <w:multiLevelType w:val="hybridMultilevel"/>
    <w:tmpl w:val="07E89036"/>
    <w:lvl w:ilvl="0" w:tplc="0F6E346E">
      <w:start w:val="1"/>
      <w:numFmt w:val="bullet"/>
      <w:pStyle w:val="Bulletlevel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0BBA7D45"/>
    <w:multiLevelType w:val="hybridMultilevel"/>
    <w:tmpl w:val="CF1C0D16"/>
    <w:lvl w:ilvl="0" w:tplc="561E590A">
      <w:start w:val="1"/>
      <w:numFmt w:val="decimal"/>
      <w:pStyle w:val="List2"/>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11" w15:restartNumberingAfterBreak="0">
    <w:nsid w:val="0C8C7D85"/>
    <w:multiLevelType w:val="multilevel"/>
    <w:tmpl w:val="CAC80BA8"/>
    <w:lvl w:ilvl="0">
      <w:start w:val="1"/>
      <w:numFmt w:val="decimal"/>
      <w:lvlText w:val="%1"/>
      <w:lvlJc w:val="left"/>
      <w:pPr>
        <w:ind w:left="432" w:hanging="432"/>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ind w:left="576" w:hanging="576"/>
      </w:pPr>
      <w:rPr>
        <w:rFonts w:hint="default"/>
      </w:rPr>
    </w:lvl>
    <w:lvl w:ilvl="2">
      <w:start w:val="1"/>
      <w:numFmt w:val="decimal"/>
      <w:pStyle w:val="Heading3"/>
      <w:lvlText w:val="%1.%2.%3"/>
      <w:lvlJc w:val="left"/>
      <w:pPr>
        <w:ind w:left="720" w:hanging="720"/>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2.%3.%4"/>
      <w:lvlJc w:val="left"/>
      <w:pPr>
        <w:ind w:left="864" w:hanging="864"/>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2" w15:restartNumberingAfterBreak="0">
    <w:nsid w:val="0D122271"/>
    <w:multiLevelType w:val="hybridMultilevel"/>
    <w:tmpl w:val="4C2A43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E300356"/>
    <w:multiLevelType w:val="hybridMultilevel"/>
    <w:tmpl w:val="F734140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EB143BC"/>
    <w:multiLevelType w:val="hybridMultilevel"/>
    <w:tmpl w:val="A228858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FD51B01"/>
    <w:multiLevelType w:val="hybridMultilevel"/>
    <w:tmpl w:val="FBD22CA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06F13A5"/>
    <w:multiLevelType w:val="hybridMultilevel"/>
    <w:tmpl w:val="AC98D5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07B7754"/>
    <w:multiLevelType w:val="hybridMultilevel"/>
    <w:tmpl w:val="48C4E4E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19955D7"/>
    <w:multiLevelType w:val="hybridMultilevel"/>
    <w:tmpl w:val="A016D418"/>
    <w:lvl w:ilvl="0" w:tplc="8EB2B454">
      <w:start w:val="1"/>
      <w:numFmt w:val="lowerRoman"/>
      <w:lvlText w:val="%1."/>
      <w:lvlJc w:val="left"/>
      <w:pPr>
        <w:ind w:left="3150" w:hanging="720"/>
      </w:pPr>
      <w:rPr>
        <w:rFonts w:ascii="Times New Roman" w:eastAsia="Times New Roman" w:hAnsi="Times New Roman" w:cs="Times New Roman" w:hint="default"/>
        <w:spacing w:val="-29"/>
        <w:w w:val="99"/>
        <w:sz w:val="24"/>
        <w:szCs w:val="24"/>
        <w:lang w:val="en-US" w:eastAsia="en-US" w:bidi="en-US"/>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9" w15:restartNumberingAfterBreak="0">
    <w:nsid w:val="127C619D"/>
    <w:multiLevelType w:val="multilevel"/>
    <w:tmpl w:val="380EECE4"/>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13636ACF"/>
    <w:multiLevelType w:val="hybridMultilevel"/>
    <w:tmpl w:val="B046E0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5BE4E87"/>
    <w:multiLevelType w:val="hybridMultilevel"/>
    <w:tmpl w:val="48C4E4E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5E5257C"/>
    <w:multiLevelType w:val="hybridMultilevel"/>
    <w:tmpl w:val="810AFFD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165915ED"/>
    <w:multiLevelType w:val="hybridMultilevel"/>
    <w:tmpl w:val="76C4CB8C"/>
    <w:lvl w:ilvl="0" w:tplc="F36C0546">
      <w:start w:val="1"/>
      <w:numFmt w:val="bullet"/>
      <w:pStyle w:val="Bullet1"/>
      <w:lvlText w:val=""/>
      <w:lvlJc w:val="left"/>
      <w:pPr>
        <w:ind w:left="720" w:hanging="360"/>
      </w:pPr>
      <w:rPr>
        <w:rFonts w:ascii="Wingdings" w:hAnsi="Wingdings" w:hint="default"/>
        <w:color w:val="053572"/>
        <w:sz w:val="22"/>
      </w:rPr>
    </w:lvl>
    <w:lvl w:ilvl="1" w:tplc="C324BCE6">
      <w:start w:val="1"/>
      <w:numFmt w:val="bullet"/>
      <w:lvlText w:val=""/>
      <w:lvlJc w:val="left"/>
      <w:pPr>
        <w:ind w:left="1080" w:hanging="360"/>
      </w:pPr>
      <w:rPr>
        <w:rFonts w:ascii="Wingdings" w:hAnsi="Wingdings" w:hint="default"/>
        <w:color w:val="1295D8"/>
        <w:sz w:val="22"/>
      </w:rPr>
    </w:lvl>
    <w:lvl w:ilvl="2" w:tplc="3774BB00">
      <w:start w:val="1"/>
      <w:numFmt w:val="bullet"/>
      <w:lvlRestart w:val="0"/>
      <w:lvlText w:val=""/>
      <w:lvlJc w:val="left"/>
      <w:pPr>
        <w:tabs>
          <w:tab w:val="num" w:pos="1080"/>
        </w:tabs>
        <w:ind w:left="1440" w:hanging="360"/>
      </w:pPr>
      <w:rPr>
        <w:rFonts w:ascii="Wingdings" w:hAnsi="Wingdings" w:hint="default"/>
        <w:color w:val="4D4D4F"/>
        <w:sz w:val="22"/>
      </w:rPr>
    </w:lvl>
    <w:lvl w:ilvl="3" w:tplc="95E866F2">
      <w:start w:val="1"/>
      <w:numFmt w:val="bullet"/>
      <w:lvlText w:val=""/>
      <w:lvlJc w:val="left"/>
      <w:pPr>
        <w:ind w:left="2160" w:hanging="432"/>
      </w:pPr>
      <w:rPr>
        <w:rFonts w:ascii="Wingdings" w:hAnsi="Wingdings" w:cs="Times New Roman" w:hint="default"/>
        <w:b w:val="0"/>
        <w:bCs w:val="0"/>
        <w:i w:val="0"/>
        <w:iCs w:val="0"/>
        <w:caps w:val="0"/>
        <w:smallCaps w:val="0"/>
        <w:strike w:val="0"/>
        <w:dstrike w:val="0"/>
        <w:noProof w:val="0"/>
        <w:vanish w:val="0"/>
        <w:color w:val="0069B6"/>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tplc="F2C4FCB4">
      <w:start w:val="1"/>
      <w:numFmt w:val="bullet"/>
      <w:lvlText w:val=""/>
      <w:lvlJc w:val="left"/>
      <w:pPr>
        <w:ind w:left="3600" w:hanging="360"/>
      </w:pPr>
      <w:rPr>
        <w:rFonts w:ascii="Wingdings" w:hAnsi="Wingdings" w:hint="default"/>
        <w:color w:val="64B3E8"/>
      </w:rPr>
    </w:lvl>
    <w:lvl w:ilvl="5" w:tplc="3B5EF784">
      <w:start w:val="1"/>
      <w:numFmt w:val="bullet"/>
      <w:lvlText w:val=""/>
      <w:lvlJc w:val="left"/>
      <w:pPr>
        <w:ind w:left="4320" w:hanging="360"/>
      </w:pPr>
      <w:rPr>
        <w:rFonts w:ascii="Wingdings" w:hAnsi="Wingdings" w:hint="default"/>
        <w:color w:val="696969"/>
      </w:rPr>
    </w:lvl>
    <w:lvl w:ilvl="6" w:tplc="38DEF22E">
      <w:start w:val="1"/>
      <w:numFmt w:val="bullet"/>
      <w:lvlText w:val=""/>
      <w:lvlJc w:val="left"/>
      <w:pPr>
        <w:ind w:left="5040" w:hanging="360"/>
      </w:pPr>
      <w:rPr>
        <w:rFonts w:ascii="Wingdings" w:hAnsi="Wingdings" w:hint="default"/>
        <w:color w:val="5B9BD5" w:themeColor="accent1"/>
      </w:rPr>
    </w:lvl>
    <w:lvl w:ilvl="7" w:tplc="648CE728">
      <w:start w:val="1"/>
      <w:numFmt w:val="bullet"/>
      <w:lvlText w:val=""/>
      <w:lvlJc w:val="left"/>
      <w:pPr>
        <w:ind w:left="5760" w:hanging="360"/>
      </w:pPr>
      <w:rPr>
        <w:rFonts w:ascii="Wingdings" w:hAnsi="Wingdings" w:hint="default"/>
        <w:color w:val="ED7D31" w:themeColor="accent2"/>
      </w:rPr>
    </w:lvl>
    <w:lvl w:ilvl="8" w:tplc="7A601420">
      <w:start w:val="1"/>
      <w:numFmt w:val="bullet"/>
      <w:lvlText w:val=""/>
      <w:lvlJc w:val="left"/>
      <w:pPr>
        <w:ind w:left="6480" w:hanging="360"/>
      </w:pPr>
      <w:rPr>
        <w:rFonts w:ascii="Wingdings" w:hAnsi="Wingdings" w:hint="default"/>
        <w:color w:val="A5A5A5" w:themeColor="accent3"/>
      </w:rPr>
    </w:lvl>
  </w:abstractNum>
  <w:abstractNum w:abstractNumId="24" w15:restartNumberingAfterBreak="0">
    <w:nsid w:val="1B4D7E31"/>
    <w:multiLevelType w:val="hybridMultilevel"/>
    <w:tmpl w:val="E47293CC"/>
    <w:lvl w:ilvl="0" w:tplc="89A4D100">
      <w:start w:val="1"/>
      <w:numFmt w:val="upperRoman"/>
      <w:lvlText w:val="%1."/>
      <w:lvlJc w:val="left"/>
      <w:pPr>
        <w:ind w:left="920" w:hanging="720"/>
      </w:pPr>
      <w:rPr>
        <w:rFonts w:ascii="Times New Roman" w:eastAsia="Times New Roman" w:hAnsi="Times New Roman" w:cs="Times New Roman" w:hint="default"/>
        <w:b/>
        <w:bCs/>
        <w:w w:val="99"/>
        <w:sz w:val="24"/>
        <w:szCs w:val="24"/>
        <w:lang w:val="en-US" w:eastAsia="en-US" w:bidi="en-US"/>
      </w:rPr>
    </w:lvl>
    <w:lvl w:ilvl="1" w:tplc="811690E8">
      <w:start w:val="1"/>
      <w:numFmt w:val="decimal"/>
      <w:lvlText w:val="%2."/>
      <w:lvlJc w:val="left"/>
      <w:pPr>
        <w:ind w:left="1640" w:hanging="720"/>
      </w:pPr>
      <w:rPr>
        <w:spacing w:val="-29"/>
        <w:w w:val="99"/>
        <w:lang w:val="en-US" w:eastAsia="en-US" w:bidi="en-US"/>
      </w:rPr>
    </w:lvl>
    <w:lvl w:ilvl="2" w:tplc="9886BEEA">
      <w:start w:val="1"/>
      <w:numFmt w:val="lowerLetter"/>
      <w:lvlText w:val="%3."/>
      <w:lvlJc w:val="left"/>
      <w:pPr>
        <w:ind w:left="2360" w:hanging="720"/>
      </w:pPr>
      <w:rPr>
        <w:rFonts w:ascii="Times New Roman" w:eastAsia="Times New Roman" w:hAnsi="Times New Roman" w:cs="Times New Roman" w:hint="default"/>
        <w:spacing w:val="-24"/>
        <w:w w:val="99"/>
        <w:sz w:val="24"/>
        <w:szCs w:val="24"/>
        <w:lang w:val="en-US" w:eastAsia="en-US" w:bidi="en-US"/>
      </w:rPr>
    </w:lvl>
    <w:lvl w:ilvl="3" w:tplc="8EB2B454">
      <w:start w:val="1"/>
      <w:numFmt w:val="lowerRoman"/>
      <w:lvlText w:val="%4."/>
      <w:lvlJc w:val="left"/>
      <w:pPr>
        <w:ind w:left="3150" w:hanging="720"/>
      </w:pPr>
      <w:rPr>
        <w:rFonts w:ascii="Times New Roman" w:eastAsia="Times New Roman" w:hAnsi="Times New Roman" w:cs="Times New Roman" w:hint="default"/>
        <w:spacing w:val="-29"/>
        <w:w w:val="99"/>
        <w:sz w:val="24"/>
        <w:szCs w:val="24"/>
        <w:lang w:val="en-US" w:eastAsia="en-US" w:bidi="en-US"/>
      </w:rPr>
    </w:lvl>
    <w:lvl w:ilvl="4" w:tplc="93C09DE2">
      <w:numFmt w:val="bullet"/>
      <w:lvlText w:val="–"/>
      <w:lvlJc w:val="left"/>
      <w:pPr>
        <w:ind w:left="3440" w:hanging="720"/>
      </w:pPr>
      <w:rPr>
        <w:rFonts w:ascii="Arial" w:eastAsia="Arial" w:hAnsi="Arial" w:cs="Arial" w:hint="default"/>
        <w:w w:val="99"/>
        <w:sz w:val="24"/>
        <w:szCs w:val="24"/>
        <w:lang w:val="en-US" w:eastAsia="en-US" w:bidi="en-US"/>
      </w:rPr>
    </w:lvl>
    <w:lvl w:ilvl="5" w:tplc="4D8EC5AA">
      <w:numFmt w:val="bullet"/>
      <w:lvlText w:val=""/>
      <w:lvlJc w:val="left"/>
      <w:pPr>
        <w:ind w:left="3800" w:hanging="720"/>
      </w:pPr>
      <w:rPr>
        <w:rFonts w:ascii="Symbol" w:eastAsia="Symbol" w:hAnsi="Symbol" w:cs="Symbol" w:hint="default"/>
        <w:w w:val="100"/>
        <w:sz w:val="24"/>
        <w:szCs w:val="24"/>
        <w:lang w:val="en-US" w:eastAsia="en-US" w:bidi="en-US"/>
      </w:rPr>
    </w:lvl>
    <w:lvl w:ilvl="6" w:tplc="85FED844">
      <w:numFmt w:val="bullet"/>
      <w:lvlText w:val="•"/>
      <w:lvlJc w:val="left"/>
      <w:pPr>
        <w:ind w:left="3800" w:hanging="720"/>
      </w:pPr>
      <w:rPr>
        <w:lang w:val="en-US" w:eastAsia="en-US" w:bidi="en-US"/>
      </w:rPr>
    </w:lvl>
    <w:lvl w:ilvl="7" w:tplc="6A76B214">
      <w:numFmt w:val="bullet"/>
      <w:lvlText w:val="•"/>
      <w:lvlJc w:val="left"/>
      <w:pPr>
        <w:ind w:left="5270" w:hanging="720"/>
      </w:pPr>
      <w:rPr>
        <w:lang w:val="en-US" w:eastAsia="en-US" w:bidi="en-US"/>
      </w:rPr>
    </w:lvl>
    <w:lvl w:ilvl="8" w:tplc="1B4CA5C0">
      <w:numFmt w:val="bullet"/>
      <w:lvlText w:val="•"/>
      <w:lvlJc w:val="left"/>
      <w:pPr>
        <w:ind w:left="6740" w:hanging="720"/>
      </w:pPr>
      <w:rPr>
        <w:lang w:val="en-US" w:eastAsia="en-US" w:bidi="en-US"/>
      </w:rPr>
    </w:lvl>
  </w:abstractNum>
  <w:abstractNum w:abstractNumId="25" w15:restartNumberingAfterBreak="0">
    <w:nsid w:val="1BA71E79"/>
    <w:multiLevelType w:val="hybridMultilevel"/>
    <w:tmpl w:val="8AB2455C"/>
    <w:lvl w:ilvl="0" w:tplc="8CB0DF9A">
      <w:start w:val="1"/>
      <w:numFmt w:val="decimal"/>
      <w:lvlText w:val="%1."/>
      <w:lvlJc w:val="left"/>
      <w:pPr>
        <w:ind w:left="360" w:hanging="360"/>
      </w:pPr>
      <w:rPr>
        <w:rFonts w:hint="default"/>
      </w:rPr>
    </w:lvl>
    <w:lvl w:ilvl="1" w:tplc="A73656CA">
      <w:start w:val="1"/>
      <w:numFmt w:val="upperLetter"/>
      <w:lvlText w:val="%2."/>
      <w:lvlJc w:val="left"/>
      <w:pPr>
        <w:ind w:left="720" w:firstLine="0"/>
      </w:pPr>
      <w:rPr>
        <w:rFonts w:hint="default"/>
      </w:rPr>
    </w:lvl>
    <w:lvl w:ilvl="2" w:tplc="D8F4C0CA">
      <w:start w:val="1"/>
      <w:numFmt w:val="decimal"/>
      <w:lvlText w:val="%3."/>
      <w:lvlJc w:val="left"/>
      <w:pPr>
        <w:ind w:left="1440" w:firstLine="0"/>
      </w:pPr>
      <w:rPr>
        <w:rFonts w:hint="default"/>
      </w:rPr>
    </w:lvl>
    <w:lvl w:ilvl="3" w:tplc="AECC65DA">
      <w:start w:val="1"/>
      <w:numFmt w:val="lowerLetter"/>
      <w:lvlText w:val="%4)"/>
      <w:lvlJc w:val="left"/>
      <w:pPr>
        <w:ind w:left="2160" w:firstLine="0"/>
      </w:pPr>
      <w:rPr>
        <w:rFonts w:hint="default"/>
      </w:rPr>
    </w:lvl>
    <w:lvl w:ilvl="4" w:tplc="F920F30E">
      <w:start w:val="1"/>
      <w:numFmt w:val="decimal"/>
      <w:lvlText w:val="(%5)"/>
      <w:lvlJc w:val="left"/>
      <w:pPr>
        <w:ind w:left="2880" w:firstLine="0"/>
      </w:pPr>
      <w:rPr>
        <w:rFonts w:hint="default"/>
      </w:rPr>
    </w:lvl>
    <w:lvl w:ilvl="5" w:tplc="1DA4622A">
      <w:start w:val="1"/>
      <w:numFmt w:val="lowerLetter"/>
      <w:lvlText w:val="(%6)"/>
      <w:lvlJc w:val="left"/>
      <w:pPr>
        <w:ind w:left="3600" w:firstLine="0"/>
      </w:pPr>
      <w:rPr>
        <w:rFonts w:hint="default"/>
      </w:rPr>
    </w:lvl>
    <w:lvl w:ilvl="6" w:tplc="64DA5E7C">
      <w:start w:val="1"/>
      <w:numFmt w:val="lowerRoman"/>
      <w:lvlText w:val="(%7)"/>
      <w:lvlJc w:val="left"/>
      <w:pPr>
        <w:ind w:left="4320" w:firstLine="0"/>
      </w:pPr>
      <w:rPr>
        <w:rFonts w:hint="default"/>
      </w:rPr>
    </w:lvl>
    <w:lvl w:ilvl="7" w:tplc="0DCA6FA6">
      <w:start w:val="1"/>
      <w:numFmt w:val="lowerLetter"/>
      <w:lvlText w:val="(%8)"/>
      <w:lvlJc w:val="left"/>
      <w:pPr>
        <w:ind w:left="5040" w:firstLine="0"/>
      </w:pPr>
      <w:rPr>
        <w:rFonts w:hint="default"/>
      </w:rPr>
    </w:lvl>
    <w:lvl w:ilvl="8" w:tplc="9BE2D768">
      <w:start w:val="1"/>
      <w:numFmt w:val="lowerRoman"/>
      <w:lvlText w:val="(%9)"/>
      <w:lvlJc w:val="left"/>
      <w:pPr>
        <w:ind w:left="5760" w:firstLine="0"/>
      </w:pPr>
      <w:rPr>
        <w:rFonts w:hint="default"/>
      </w:rPr>
    </w:lvl>
  </w:abstractNum>
  <w:abstractNum w:abstractNumId="26" w15:restartNumberingAfterBreak="0">
    <w:nsid w:val="1BFE14D7"/>
    <w:multiLevelType w:val="hybridMultilevel"/>
    <w:tmpl w:val="419686F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1CEB0B2D"/>
    <w:multiLevelType w:val="hybridMultilevel"/>
    <w:tmpl w:val="7BC0FE9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1E6D64CE"/>
    <w:multiLevelType w:val="hybridMultilevel"/>
    <w:tmpl w:val="E3E089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002301E"/>
    <w:multiLevelType w:val="hybridMultilevel"/>
    <w:tmpl w:val="C922CC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21AF668D"/>
    <w:multiLevelType w:val="hybridMultilevel"/>
    <w:tmpl w:val="F1F868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1E17655"/>
    <w:multiLevelType w:val="hybridMultilevel"/>
    <w:tmpl w:val="E34C86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35E7924"/>
    <w:multiLevelType w:val="hybridMultilevel"/>
    <w:tmpl w:val="437EAEE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23F63F05"/>
    <w:multiLevelType w:val="hybridMultilevel"/>
    <w:tmpl w:val="DB304A2E"/>
    <w:lvl w:ilvl="0" w:tplc="0409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4" w15:restartNumberingAfterBreak="0">
    <w:nsid w:val="242027A8"/>
    <w:multiLevelType w:val="hybridMultilevel"/>
    <w:tmpl w:val="3A9022FA"/>
    <w:lvl w:ilvl="0" w:tplc="8812AC36">
      <w:start w:val="1"/>
      <w:numFmt w:val="decimal"/>
      <w:lvlText w:val="%1."/>
      <w:lvlJc w:val="left"/>
      <w:pPr>
        <w:tabs>
          <w:tab w:val="num" w:pos="720"/>
        </w:tabs>
        <w:ind w:left="720" w:hanging="360"/>
      </w:pPr>
    </w:lvl>
    <w:lvl w:ilvl="1" w:tplc="35042830">
      <w:start w:val="1"/>
      <w:numFmt w:val="lowerLetter"/>
      <w:lvlText w:val="%2."/>
      <w:lvlJc w:val="left"/>
      <w:pPr>
        <w:tabs>
          <w:tab w:val="num" w:pos="1440"/>
        </w:tabs>
        <w:ind w:left="1440" w:hanging="360"/>
      </w:pPr>
    </w:lvl>
    <w:lvl w:ilvl="2" w:tplc="0D3271DC">
      <w:start w:val="1"/>
      <w:numFmt w:val="decimal"/>
      <w:lvlText w:val="%3."/>
      <w:lvlJc w:val="left"/>
      <w:pPr>
        <w:tabs>
          <w:tab w:val="num" w:pos="2160"/>
        </w:tabs>
        <w:ind w:left="2160" w:hanging="360"/>
      </w:pPr>
    </w:lvl>
    <w:lvl w:ilvl="3" w:tplc="61DCAC88">
      <w:start w:val="1"/>
      <w:numFmt w:val="decimal"/>
      <w:lvlText w:val="%4."/>
      <w:lvlJc w:val="left"/>
      <w:pPr>
        <w:tabs>
          <w:tab w:val="num" w:pos="2880"/>
        </w:tabs>
        <w:ind w:left="2880" w:hanging="360"/>
      </w:pPr>
    </w:lvl>
    <w:lvl w:ilvl="4" w:tplc="541041AA">
      <w:start w:val="1"/>
      <w:numFmt w:val="decimal"/>
      <w:lvlText w:val="%5."/>
      <w:lvlJc w:val="left"/>
      <w:pPr>
        <w:tabs>
          <w:tab w:val="num" w:pos="3600"/>
        </w:tabs>
        <w:ind w:left="3600" w:hanging="360"/>
      </w:pPr>
    </w:lvl>
    <w:lvl w:ilvl="5" w:tplc="661E2280">
      <w:start w:val="1"/>
      <w:numFmt w:val="decimal"/>
      <w:lvlText w:val="%6."/>
      <w:lvlJc w:val="left"/>
      <w:pPr>
        <w:tabs>
          <w:tab w:val="num" w:pos="4320"/>
        </w:tabs>
        <w:ind w:left="4320" w:hanging="360"/>
      </w:pPr>
    </w:lvl>
    <w:lvl w:ilvl="6" w:tplc="E0DC030C">
      <w:start w:val="1"/>
      <w:numFmt w:val="decimal"/>
      <w:lvlText w:val="%7."/>
      <w:lvlJc w:val="left"/>
      <w:pPr>
        <w:tabs>
          <w:tab w:val="num" w:pos="5040"/>
        </w:tabs>
        <w:ind w:left="5040" w:hanging="360"/>
      </w:pPr>
    </w:lvl>
    <w:lvl w:ilvl="7" w:tplc="3588EF5A">
      <w:start w:val="1"/>
      <w:numFmt w:val="decimal"/>
      <w:lvlText w:val="%8."/>
      <w:lvlJc w:val="left"/>
      <w:pPr>
        <w:tabs>
          <w:tab w:val="num" w:pos="5760"/>
        </w:tabs>
        <w:ind w:left="5760" w:hanging="360"/>
      </w:pPr>
    </w:lvl>
    <w:lvl w:ilvl="8" w:tplc="DA020788">
      <w:start w:val="1"/>
      <w:numFmt w:val="decimal"/>
      <w:lvlText w:val="%9."/>
      <w:lvlJc w:val="left"/>
      <w:pPr>
        <w:tabs>
          <w:tab w:val="num" w:pos="6480"/>
        </w:tabs>
        <w:ind w:left="6480" w:hanging="360"/>
      </w:pPr>
    </w:lvl>
  </w:abstractNum>
  <w:abstractNum w:abstractNumId="35" w15:restartNumberingAfterBreak="0">
    <w:nsid w:val="242E2093"/>
    <w:multiLevelType w:val="multilevel"/>
    <w:tmpl w:val="69A452F0"/>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b w:val="0"/>
        <w:i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6" w15:restartNumberingAfterBreak="0">
    <w:nsid w:val="25207006"/>
    <w:multiLevelType w:val="hybridMultilevel"/>
    <w:tmpl w:val="D57217B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25904EF4"/>
    <w:multiLevelType w:val="hybridMultilevel"/>
    <w:tmpl w:val="E386080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2599134E"/>
    <w:multiLevelType w:val="hybridMultilevel"/>
    <w:tmpl w:val="C6F8C408"/>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9" w15:restartNumberingAfterBreak="0">
    <w:nsid w:val="26316130"/>
    <w:multiLevelType w:val="hybridMultilevel"/>
    <w:tmpl w:val="437EAEE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27477E76"/>
    <w:multiLevelType w:val="hybridMultilevel"/>
    <w:tmpl w:val="9F28668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27756A4B"/>
    <w:multiLevelType w:val="hybridMultilevel"/>
    <w:tmpl w:val="14C4EEE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27A17D14"/>
    <w:multiLevelType w:val="hybridMultilevel"/>
    <w:tmpl w:val="5ABEA28A"/>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43" w15:restartNumberingAfterBreak="0">
    <w:nsid w:val="28533A18"/>
    <w:multiLevelType w:val="hybridMultilevel"/>
    <w:tmpl w:val="1DFE1F48"/>
    <w:lvl w:ilvl="0" w:tplc="715C6A2A">
      <w:start w:val="1"/>
      <w:numFmt w:val="decimal"/>
      <w:lvlText w:val="%1."/>
      <w:lvlJc w:val="left"/>
      <w:pPr>
        <w:ind w:left="720"/>
      </w:pPr>
      <w:rPr>
        <w:b w:val="0"/>
        <w:i w:val="0"/>
        <w:strike w:val="0"/>
        <w:dstrike w:val="0"/>
        <w:color w:val="000000"/>
        <w:sz w:val="20"/>
        <w:szCs w:val="20"/>
        <w:u w:val="none" w:color="000000"/>
        <w:bdr w:val="none" w:sz="0" w:space="0" w:color="auto"/>
        <w:shd w:val="clear" w:color="auto" w:fill="auto"/>
        <w:vertAlign w:val="baseline"/>
      </w:rPr>
    </w:lvl>
    <w:lvl w:ilvl="1" w:tplc="12A8F988">
      <w:start w:val="1"/>
      <w:numFmt w:val="bullet"/>
      <w:lvlText w:val="o"/>
      <w:lvlJc w:val="left"/>
      <w:pPr>
        <w:ind w:left="1440"/>
      </w:pPr>
      <w:rPr>
        <w:rFonts w:ascii="Courier New" w:eastAsia="Courier New" w:hAnsi="Courier New" w:cs="Courier New"/>
        <w:b w:val="0"/>
        <w:i w:val="0"/>
        <w:strike w:val="0"/>
        <w:dstrike w:val="0"/>
        <w:color w:val="000000"/>
        <w:sz w:val="24"/>
        <w:u w:val="none" w:color="000000"/>
        <w:bdr w:val="none" w:sz="0" w:space="0" w:color="auto"/>
        <w:shd w:val="clear" w:color="auto" w:fill="auto"/>
        <w:vertAlign w:val="baseline"/>
      </w:rPr>
    </w:lvl>
    <w:lvl w:ilvl="2" w:tplc="900CC578">
      <w:start w:val="1"/>
      <w:numFmt w:val="bullet"/>
      <w:lvlText w:val="▪"/>
      <w:lvlJc w:val="left"/>
      <w:pPr>
        <w:ind w:left="2160"/>
      </w:pPr>
      <w:rPr>
        <w:rFonts w:ascii="Courier New" w:eastAsia="Courier New" w:hAnsi="Courier New" w:cs="Courier New"/>
        <w:b w:val="0"/>
        <w:i w:val="0"/>
        <w:strike w:val="0"/>
        <w:dstrike w:val="0"/>
        <w:color w:val="000000"/>
        <w:sz w:val="24"/>
        <w:u w:val="none" w:color="000000"/>
        <w:bdr w:val="none" w:sz="0" w:space="0" w:color="auto"/>
        <w:shd w:val="clear" w:color="auto" w:fill="auto"/>
        <w:vertAlign w:val="baseline"/>
      </w:rPr>
    </w:lvl>
    <w:lvl w:ilvl="3" w:tplc="14A2056C">
      <w:start w:val="1"/>
      <w:numFmt w:val="bullet"/>
      <w:lvlText w:val="•"/>
      <w:lvlJc w:val="left"/>
      <w:pPr>
        <w:ind w:left="2880"/>
      </w:pPr>
      <w:rPr>
        <w:rFonts w:ascii="Courier New" w:eastAsia="Courier New" w:hAnsi="Courier New" w:cs="Courier New"/>
        <w:b w:val="0"/>
        <w:i w:val="0"/>
        <w:strike w:val="0"/>
        <w:dstrike w:val="0"/>
        <w:color w:val="000000"/>
        <w:sz w:val="24"/>
        <w:u w:val="none" w:color="000000"/>
        <w:bdr w:val="none" w:sz="0" w:space="0" w:color="auto"/>
        <w:shd w:val="clear" w:color="auto" w:fill="auto"/>
        <w:vertAlign w:val="baseline"/>
      </w:rPr>
    </w:lvl>
    <w:lvl w:ilvl="4" w:tplc="7FE2641C">
      <w:start w:val="1"/>
      <w:numFmt w:val="bullet"/>
      <w:lvlText w:val="o"/>
      <w:lvlJc w:val="left"/>
      <w:pPr>
        <w:ind w:left="3600"/>
      </w:pPr>
      <w:rPr>
        <w:rFonts w:ascii="Courier New" w:eastAsia="Courier New" w:hAnsi="Courier New" w:cs="Courier New"/>
        <w:b w:val="0"/>
        <w:i w:val="0"/>
        <w:strike w:val="0"/>
        <w:dstrike w:val="0"/>
        <w:color w:val="000000"/>
        <w:sz w:val="24"/>
        <w:u w:val="none" w:color="000000"/>
        <w:bdr w:val="none" w:sz="0" w:space="0" w:color="auto"/>
        <w:shd w:val="clear" w:color="auto" w:fill="auto"/>
        <w:vertAlign w:val="baseline"/>
      </w:rPr>
    </w:lvl>
    <w:lvl w:ilvl="5" w:tplc="05C0CF0E">
      <w:start w:val="1"/>
      <w:numFmt w:val="bullet"/>
      <w:lvlText w:val="▪"/>
      <w:lvlJc w:val="left"/>
      <w:pPr>
        <w:ind w:left="4320"/>
      </w:pPr>
      <w:rPr>
        <w:rFonts w:ascii="Courier New" w:eastAsia="Courier New" w:hAnsi="Courier New" w:cs="Courier New"/>
        <w:b w:val="0"/>
        <w:i w:val="0"/>
        <w:strike w:val="0"/>
        <w:dstrike w:val="0"/>
        <w:color w:val="000000"/>
        <w:sz w:val="24"/>
        <w:u w:val="none" w:color="000000"/>
        <w:bdr w:val="none" w:sz="0" w:space="0" w:color="auto"/>
        <w:shd w:val="clear" w:color="auto" w:fill="auto"/>
        <w:vertAlign w:val="baseline"/>
      </w:rPr>
    </w:lvl>
    <w:lvl w:ilvl="6" w:tplc="C1A69966">
      <w:start w:val="1"/>
      <w:numFmt w:val="bullet"/>
      <w:lvlText w:val="•"/>
      <w:lvlJc w:val="left"/>
      <w:pPr>
        <w:ind w:left="5040"/>
      </w:pPr>
      <w:rPr>
        <w:rFonts w:ascii="Courier New" w:eastAsia="Courier New" w:hAnsi="Courier New" w:cs="Courier New"/>
        <w:b w:val="0"/>
        <w:i w:val="0"/>
        <w:strike w:val="0"/>
        <w:dstrike w:val="0"/>
        <w:color w:val="000000"/>
        <w:sz w:val="24"/>
        <w:u w:val="none" w:color="000000"/>
        <w:bdr w:val="none" w:sz="0" w:space="0" w:color="auto"/>
        <w:shd w:val="clear" w:color="auto" w:fill="auto"/>
        <w:vertAlign w:val="baseline"/>
      </w:rPr>
    </w:lvl>
    <w:lvl w:ilvl="7" w:tplc="6C405702">
      <w:start w:val="1"/>
      <w:numFmt w:val="bullet"/>
      <w:lvlText w:val="o"/>
      <w:lvlJc w:val="left"/>
      <w:pPr>
        <w:ind w:left="5760"/>
      </w:pPr>
      <w:rPr>
        <w:rFonts w:ascii="Courier New" w:eastAsia="Courier New" w:hAnsi="Courier New" w:cs="Courier New"/>
        <w:b w:val="0"/>
        <w:i w:val="0"/>
        <w:strike w:val="0"/>
        <w:dstrike w:val="0"/>
        <w:color w:val="000000"/>
        <w:sz w:val="24"/>
        <w:u w:val="none" w:color="000000"/>
        <w:bdr w:val="none" w:sz="0" w:space="0" w:color="auto"/>
        <w:shd w:val="clear" w:color="auto" w:fill="auto"/>
        <w:vertAlign w:val="baseline"/>
      </w:rPr>
    </w:lvl>
    <w:lvl w:ilvl="8" w:tplc="3DE016B8">
      <w:start w:val="1"/>
      <w:numFmt w:val="bullet"/>
      <w:lvlText w:val="▪"/>
      <w:lvlJc w:val="left"/>
      <w:pPr>
        <w:ind w:left="6480"/>
      </w:pPr>
      <w:rPr>
        <w:rFonts w:ascii="Courier New" w:eastAsia="Courier New" w:hAnsi="Courier New" w:cs="Courier New"/>
        <w:b w:val="0"/>
        <w:i w:val="0"/>
        <w:strike w:val="0"/>
        <w:dstrike w:val="0"/>
        <w:color w:val="000000"/>
        <w:sz w:val="24"/>
        <w:u w:val="none" w:color="000000"/>
        <w:bdr w:val="none" w:sz="0" w:space="0" w:color="auto"/>
        <w:shd w:val="clear" w:color="auto" w:fill="auto"/>
        <w:vertAlign w:val="baseline"/>
      </w:rPr>
    </w:lvl>
  </w:abstractNum>
  <w:abstractNum w:abstractNumId="44" w15:restartNumberingAfterBreak="0">
    <w:nsid w:val="28C00898"/>
    <w:multiLevelType w:val="hybridMultilevel"/>
    <w:tmpl w:val="9B8019A8"/>
    <w:lvl w:ilvl="0" w:tplc="B7D2765C">
      <w:start w:val="1"/>
      <w:numFmt w:val="bullet"/>
      <w:lvlText w:val="•"/>
      <w:lvlJc w:val="left"/>
      <w:pPr>
        <w:ind w:left="720"/>
      </w:pPr>
      <w:rPr>
        <w:rFonts w:ascii="Arial" w:eastAsia="Arial" w:hAnsi="Arial" w:cs="Arial"/>
        <w:b w:val="0"/>
        <w:i w:val="0"/>
        <w:strike w:val="0"/>
        <w:dstrike w:val="0"/>
        <w:color w:val="000000"/>
        <w:sz w:val="22"/>
        <w:u w:val="none" w:color="000000"/>
        <w:bdr w:val="none" w:sz="0" w:space="0" w:color="auto"/>
        <w:shd w:val="clear" w:color="auto" w:fill="auto"/>
        <w:vertAlign w:val="baseline"/>
      </w:rPr>
    </w:lvl>
    <w:lvl w:ilvl="1" w:tplc="12A8F988">
      <w:start w:val="1"/>
      <w:numFmt w:val="bullet"/>
      <w:lvlText w:val="o"/>
      <w:lvlJc w:val="left"/>
      <w:pPr>
        <w:ind w:left="1440"/>
      </w:pPr>
      <w:rPr>
        <w:rFonts w:ascii="Courier New" w:eastAsia="Courier New" w:hAnsi="Courier New" w:cs="Courier New"/>
        <w:b w:val="0"/>
        <w:i w:val="0"/>
        <w:strike w:val="0"/>
        <w:dstrike w:val="0"/>
        <w:color w:val="000000"/>
        <w:sz w:val="24"/>
        <w:u w:val="none" w:color="000000"/>
        <w:bdr w:val="none" w:sz="0" w:space="0" w:color="auto"/>
        <w:shd w:val="clear" w:color="auto" w:fill="auto"/>
        <w:vertAlign w:val="baseline"/>
      </w:rPr>
    </w:lvl>
    <w:lvl w:ilvl="2" w:tplc="900CC578">
      <w:start w:val="1"/>
      <w:numFmt w:val="bullet"/>
      <w:lvlText w:val="▪"/>
      <w:lvlJc w:val="left"/>
      <w:pPr>
        <w:ind w:left="2160"/>
      </w:pPr>
      <w:rPr>
        <w:rFonts w:ascii="Courier New" w:eastAsia="Courier New" w:hAnsi="Courier New" w:cs="Courier New"/>
        <w:b w:val="0"/>
        <w:i w:val="0"/>
        <w:strike w:val="0"/>
        <w:dstrike w:val="0"/>
        <w:color w:val="000000"/>
        <w:sz w:val="24"/>
        <w:u w:val="none" w:color="000000"/>
        <w:bdr w:val="none" w:sz="0" w:space="0" w:color="auto"/>
        <w:shd w:val="clear" w:color="auto" w:fill="auto"/>
        <w:vertAlign w:val="baseline"/>
      </w:rPr>
    </w:lvl>
    <w:lvl w:ilvl="3" w:tplc="14A2056C">
      <w:start w:val="1"/>
      <w:numFmt w:val="bullet"/>
      <w:lvlText w:val="•"/>
      <w:lvlJc w:val="left"/>
      <w:pPr>
        <w:ind w:left="2880"/>
      </w:pPr>
      <w:rPr>
        <w:rFonts w:ascii="Courier New" w:eastAsia="Courier New" w:hAnsi="Courier New" w:cs="Courier New"/>
        <w:b w:val="0"/>
        <w:i w:val="0"/>
        <w:strike w:val="0"/>
        <w:dstrike w:val="0"/>
        <w:color w:val="000000"/>
        <w:sz w:val="24"/>
        <w:u w:val="none" w:color="000000"/>
        <w:bdr w:val="none" w:sz="0" w:space="0" w:color="auto"/>
        <w:shd w:val="clear" w:color="auto" w:fill="auto"/>
        <w:vertAlign w:val="baseline"/>
      </w:rPr>
    </w:lvl>
    <w:lvl w:ilvl="4" w:tplc="7FE2641C">
      <w:start w:val="1"/>
      <w:numFmt w:val="bullet"/>
      <w:lvlText w:val="o"/>
      <w:lvlJc w:val="left"/>
      <w:pPr>
        <w:ind w:left="3600"/>
      </w:pPr>
      <w:rPr>
        <w:rFonts w:ascii="Courier New" w:eastAsia="Courier New" w:hAnsi="Courier New" w:cs="Courier New"/>
        <w:b w:val="0"/>
        <w:i w:val="0"/>
        <w:strike w:val="0"/>
        <w:dstrike w:val="0"/>
        <w:color w:val="000000"/>
        <w:sz w:val="24"/>
        <w:u w:val="none" w:color="000000"/>
        <w:bdr w:val="none" w:sz="0" w:space="0" w:color="auto"/>
        <w:shd w:val="clear" w:color="auto" w:fill="auto"/>
        <w:vertAlign w:val="baseline"/>
      </w:rPr>
    </w:lvl>
    <w:lvl w:ilvl="5" w:tplc="05C0CF0E">
      <w:start w:val="1"/>
      <w:numFmt w:val="bullet"/>
      <w:lvlText w:val="▪"/>
      <w:lvlJc w:val="left"/>
      <w:pPr>
        <w:ind w:left="4320"/>
      </w:pPr>
      <w:rPr>
        <w:rFonts w:ascii="Courier New" w:eastAsia="Courier New" w:hAnsi="Courier New" w:cs="Courier New"/>
        <w:b w:val="0"/>
        <w:i w:val="0"/>
        <w:strike w:val="0"/>
        <w:dstrike w:val="0"/>
        <w:color w:val="000000"/>
        <w:sz w:val="24"/>
        <w:u w:val="none" w:color="000000"/>
        <w:bdr w:val="none" w:sz="0" w:space="0" w:color="auto"/>
        <w:shd w:val="clear" w:color="auto" w:fill="auto"/>
        <w:vertAlign w:val="baseline"/>
      </w:rPr>
    </w:lvl>
    <w:lvl w:ilvl="6" w:tplc="C1A69966">
      <w:start w:val="1"/>
      <w:numFmt w:val="bullet"/>
      <w:lvlText w:val="•"/>
      <w:lvlJc w:val="left"/>
      <w:pPr>
        <w:ind w:left="5040"/>
      </w:pPr>
      <w:rPr>
        <w:rFonts w:ascii="Courier New" w:eastAsia="Courier New" w:hAnsi="Courier New" w:cs="Courier New"/>
        <w:b w:val="0"/>
        <w:i w:val="0"/>
        <w:strike w:val="0"/>
        <w:dstrike w:val="0"/>
        <w:color w:val="000000"/>
        <w:sz w:val="24"/>
        <w:u w:val="none" w:color="000000"/>
        <w:bdr w:val="none" w:sz="0" w:space="0" w:color="auto"/>
        <w:shd w:val="clear" w:color="auto" w:fill="auto"/>
        <w:vertAlign w:val="baseline"/>
      </w:rPr>
    </w:lvl>
    <w:lvl w:ilvl="7" w:tplc="6C405702">
      <w:start w:val="1"/>
      <w:numFmt w:val="bullet"/>
      <w:lvlText w:val="o"/>
      <w:lvlJc w:val="left"/>
      <w:pPr>
        <w:ind w:left="5760"/>
      </w:pPr>
      <w:rPr>
        <w:rFonts w:ascii="Courier New" w:eastAsia="Courier New" w:hAnsi="Courier New" w:cs="Courier New"/>
        <w:b w:val="0"/>
        <w:i w:val="0"/>
        <w:strike w:val="0"/>
        <w:dstrike w:val="0"/>
        <w:color w:val="000000"/>
        <w:sz w:val="24"/>
        <w:u w:val="none" w:color="000000"/>
        <w:bdr w:val="none" w:sz="0" w:space="0" w:color="auto"/>
        <w:shd w:val="clear" w:color="auto" w:fill="auto"/>
        <w:vertAlign w:val="baseline"/>
      </w:rPr>
    </w:lvl>
    <w:lvl w:ilvl="8" w:tplc="3DE016B8">
      <w:start w:val="1"/>
      <w:numFmt w:val="bullet"/>
      <w:lvlText w:val="▪"/>
      <w:lvlJc w:val="left"/>
      <w:pPr>
        <w:ind w:left="6480"/>
      </w:pPr>
      <w:rPr>
        <w:rFonts w:ascii="Courier New" w:eastAsia="Courier New" w:hAnsi="Courier New" w:cs="Courier New"/>
        <w:b w:val="0"/>
        <w:i w:val="0"/>
        <w:strike w:val="0"/>
        <w:dstrike w:val="0"/>
        <w:color w:val="000000"/>
        <w:sz w:val="24"/>
        <w:u w:val="none" w:color="000000"/>
        <w:bdr w:val="none" w:sz="0" w:space="0" w:color="auto"/>
        <w:shd w:val="clear" w:color="auto" w:fill="auto"/>
        <w:vertAlign w:val="baseline"/>
      </w:rPr>
    </w:lvl>
  </w:abstractNum>
  <w:abstractNum w:abstractNumId="45" w15:restartNumberingAfterBreak="0">
    <w:nsid w:val="2A57760C"/>
    <w:multiLevelType w:val="hybridMultilevel"/>
    <w:tmpl w:val="F95E572E"/>
    <w:lvl w:ilvl="0" w:tplc="04090001">
      <w:start w:val="1"/>
      <w:numFmt w:val="bullet"/>
      <w:lvlText w:val=""/>
      <w:lvlJc w:val="left"/>
      <w:pPr>
        <w:ind w:left="768" w:hanging="360"/>
      </w:pPr>
      <w:rPr>
        <w:rFonts w:ascii="Symbol" w:hAnsi="Symbol" w:hint="default"/>
      </w:rPr>
    </w:lvl>
    <w:lvl w:ilvl="1" w:tplc="04090003">
      <w:start w:val="1"/>
      <w:numFmt w:val="bullet"/>
      <w:lvlText w:val="o"/>
      <w:lvlJc w:val="left"/>
      <w:pPr>
        <w:ind w:left="1488" w:hanging="360"/>
      </w:pPr>
      <w:rPr>
        <w:rFonts w:ascii="Courier New" w:hAnsi="Courier New" w:cs="Courier New" w:hint="default"/>
      </w:rPr>
    </w:lvl>
    <w:lvl w:ilvl="2" w:tplc="04090005" w:tentative="1">
      <w:start w:val="1"/>
      <w:numFmt w:val="bullet"/>
      <w:lvlText w:val=""/>
      <w:lvlJc w:val="left"/>
      <w:pPr>
        <w:ind w:left="2208" w:hanging="360"/>
      </w:pPr>
      <w:rPr>
        <w:rFonts w:ascii="Wingdings" w:hAnsi="Wingdings" w:hint="default"/>
      </w:rPr>
    </w:lvl>
    <w:lvl w:ilvl="3" w:tplc="04090001" w:tentative="1">
      <w:start w:val="1"/>
      <w:numFmt w:val="bullet"/>
      <w:lvlText w:val=""/>
      <w:lvlJc w:val="left"/>
      <w:pPr>
        <w:ind w:left="2928" w:hanging="360"/>
      </w:pPr>
      <w:rPr>
        <w:rFonts w:ascii="Symbol" w:hAnsi="Symbol" w:hint="default"/>
      </w:rPr>
    </w:lvl>
    <w:lvl w:ilvl="4" w:tplc="04090003" w:tentative="1">
      <w:start w:val="1"/>
      <w:numFmt w:val="bullet"/>
      <w:lvlText w:val="o"/>
      <w:lvlJc w:val="left"/>
      <w:pPr>
        <w:ind w:left="3648" w:hanging="360"/>
      </w:pPr>
      <w:rPr>
        <w:rFonts w:ascii="Courier New" w:hAnsi="Courier New" w:cs="Courier New" w:hint="default"/>
      </w:rPr>
    </w:lvl>
    <w:lvl w:ilvl="5" w:tplc="04090005" w:tentative="1">
      <w:start w:val="1"/>
      <w:numFmt w:val="bullet"/>
      <w:lvlText w:val=""/>
      <w:lvlJc w:val="left"/>
      <w:pPr>
        <w:ind w:left="4368" w:hanging="360"/>
      </w:pPr>
      <w:rPr>
        <w:rFonts w:ascii="Wingdings" w:hAnsi="Wingdings" w:hint="default"/>
      </w:rPr>
    </w:lvl>
    <w:lvl w:ilvl="6" w:tplc="04090001" w:tentative="1">
      <w:start w:val="1"/>
      <w:numFmt w:val="bullet"/>
      <w:lvlText w:val=""/>
      <w:lvlJc w:val="left"/>
      <w:pPr>
        <w:ind w:left="5088" w:hanging="360"/>
      </w:pPr>
      <w:rPr>
        <w:rFonts w:ascii="Symbol" w:hAnsi="Symbol" w:hint="default"/>
      </w:rPr>
    </w:lvl>
    <w:lvl w:ilvl="7" w:tplc="04090003" w:tentative="1">
      <w:start w:val="1"/>
      <w:numFmt w:val="bullet"/>
      <w:lvlText w:val="o"/>
      <w:lvlJc w:val="left"/>
      <w:pPr>
        <w:ind w:left="5808" w:hanging="360"/>
      </w:pPr>
      <w:rPr>
        <w:rFonts w:ascii="Courier New" w:hAnsi="Courier New" w:cs="Courier New" w:hint="default"/>
      </w:rPr>
    </w:lvl>
    <w:lvl w:ilvl="8" w:tplc="04090005" w:tentative="1">
      <w:start w:val="1"/>
      <w:numFmt w:val="bullet"/>
      <w:lvlText w:val=""/>
      <w:lvlJc w:val="left"/>
      <w:pPr>
        <w:ind w:left="6528" w:hanging="360"/>
      </w:pPr>
      <w:rPr>
        <w:rFonts w:ascii="Wingdings" w:hAnsi="Wingdings" w:hint="default"/>
      </w:rPr>
    </w:lvl>
  </w:abstractNum>
  <w:abstractNum w:abstractNumId="46" w15:restartNumberingAfterBreak="0">
    <w:nsid w:val="2B0B6FC3"/>
    <w:multiLevelType w:val="hybridMultilevel"/>
    <w:tmpl w:val="FFFFFFFF"/>
    <w:lvl w:ilvl="0" w:tplc="94C6D308">
      <w:start w:val="1"/>
      <w:numFmt w:val="bullet"/>
      <w:lvlText w:val="·"/>
      <w:lvlJc w:val="left"/>
      <w:pPr>
        <w:ind w:left="720" w:hanging="360"/>
      </w:pPr>
      <w:rPr>
        <w:rFonts w:ascii="Symbol" w:hAnsi="Symbol" w:hint="default"/>
      </w:rPr>
    </w:lvl>
    <w:lvl w:ilvl="1" w:tplc="780A7720">
      <w:start w:val="1"/>
      <w:numFmt w:val="bullet"/>
      <w:lvlText w:val="o"/>
      <w:lvlJc w:val="left"/>
      <w:pPr>
        <w:ind w:left="1440" w:hanging="360"/>
      </w:pPr>
      <w:rPr>
        <w:rFonts w:ascii="Courier New" w:hAnsi="Courier New" w:hint="default"/>
      </w:rPr>
    </w:lvl>
    <w:lvl w:ilvl="2" w:tplc="85D603DC">
      <w:start w:val="1"/>
      <w:numFmt w:val="bullet"/>
      <w:lvlText w:val=""/>
      <w:lvlJc w:val="left"/>
      <w:pPr>
        <w:ind w:left="2160" w:hanging="360"/>
      </w:pPr>
      <w:rPr>
        <w:rFonts w:ascii="Wingdings" w:hAnsi="Wingdings" w:hint="default"/>
      </w:rPr>
    </w:lvl>
    <w:lvl w:ilvl="3" w:tplc="7BF86AB6">
      <w:start w:val="1"/>
      <w:numFmt w:val="bullet"/>
      <w:lvlText w:val=""/>
      <w:lvlJc w:val="left"/>
      <w:pPr>
        <w:ind w:left="2880" w:hanging="360"/>
      </w:pPr>
      <w:rPr>
        <w:rFonts w:ascii="Symbol" w:hAnsi="Symbol" w:hint="default"/>
      </w:rPr>
    </w:lvl>
    <w:lvl w:ilvl="4" w:tplc="38125AE4">
      <w:start w:val="1"/>
      <w:numFmt w:val="bullet"/>
      <w:lvlText w:val="o"/>
      <w:lvlJc w:val="left"/>
      <w:pPr>
        <w:ind w:left="3600" w:hanging="360"/>
      </w:pPr>
      <w:rPr>
        <w:rFonts w:ascii="Courier New" w:hAnsi="Courier New" w:hint="default"/>
      </w:rPr>
    </w:lvl>
    <w:lvl w:ilvl="5" w:tplc="3B5C93A8">
      <w:start w:val="1"/>
      <w:numFmt w:val="bullet"/>
      <w:lvlText w:val=""/>
      <w:lvlJc w:val="left"/>
      <w:pPr>
        <w:ind w:left="4320" w:hanging="360"/>
      </w:pPr>
      <w:rPr>
        <w:rFonts w:ascii="Wingdings" w:hAnsi="Wingdings" w:hint="default"/>
      </w:rPr>
    </w:lvl>
    <w:lvl w:ilvl="6" w:tplc="16FCFF90">
      <w:start w:val="1"/>
      <w:numFmt w:val="bullet"/>
      <w:lvlText w:val=""/>
      <w:lvlJc w:val="left"/>
      <w:pPr>
        <w:ind w:left="5040" w:hanging="360"/>
      </w:pPr>
      <w:rPr>
        <w:rFonts w:ascii="Symbol" w:hAnsi="Symbol" w:hint="default"/>
      </w:rPr>
    </w:lvl>
    <w:lvl w:ilvl="7" w:tplc="F8F0C516">
      <w:start w:val="1"/>
      <w:numFmt w:val="bullet"/>
      <w:lvlText w:val="o"/>
      <w:lvlJc w:val="left"/>
      <w:pPr>
        <w:ind w:left="5760" w:hanging="360"/>
      </w:pPr>
      <w:rPr>
        <w:rFonts w:ascii="Courier New" w:hAnsi="Courier New" w:hint="default"/>
      </w:rPr>
    </w:lvl>
    <w:lvl w:ilvl="8" w:tplc="5B0C3128">
      <w:start w:val="1"/>
      <w:numFmt w:val="bullet"/>
      <w:lvlText w:val=""/>
      <w:lvlJc w:val="left"/>
      <w:pPr>
        <w:ind w:left="6480" w:hanging="360"/>
      </w:pPr>
      <w:rPr>
        <w:rFonts w:ascii="Wingdings" w:hAnsi="Wingdings" w:hint="default"/>
      </w:rPr>
    </w:lvl>
  </w:abstractNum>
  <w:abstractNum w:abstractNumId="47" w15:restartNumberingAfterBreak="0">
    <w:nsid w:val="2B231C9B"/>
    <w:multiLevelType w:val="hybridMultilevel"/>
    <w:tmpl w:val="46020B1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2BFE5FAE"/>
    <w:multiLevelType w:val="hybridMultilevel"/>
    <w:tmpl w:val="9F003D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2DFE1466"/>
    <w:multiLevelType w:val="hybridMultilevel"/>
    <w:tmpl w:val="79AAEE7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3259333A"/>
    <w:multiLevelType w:val="multilevel"/>
    <w:tmpl w:val="CA7EEE8C"/>
    <w:lvl w:ilvl="0">
      <w:start w:val="1"/>
      <w:numFmt w:val="decimal"/>
      <w:lvlText w:val="%1."/>
      <w:lvlJc w:val="left"/>
      <w:pPr>
        <w:ind w:left="720" w:hanging="360"/>
      </w:pPr>
      <w:rPr>
        <w:rFonts w:hint="default"/>
      </w:r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51" w15:restartNumberingAfterBreak="0">
    <w:nsid w:val="336979D3"/>
    <w:multiLevelType w:val="hybridMultilevel"/>
    <w:tmpl w:val="B4B887C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34CE7A9A"/>
    <w:multiLevelType w:val="hybridMultilevel"/>
    <w:tmpl w:val="4F46933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35D4476C"/>
    <w:multiLevelType w:val="hybridMultilevel"/>
    <w:tmpl w:val="51BC06A4"/>
    <w:lvl w:ilvl="0" w:tplc="8EB2B454">
      <w:start w:val="1"/>
      <w:numFmt w:val="lowerRoman"/>
      <w:lvlText w:val="%1."/>
      <w:lvlJc w:val="left"/>
      <w:pPr>
        <w:ind w:left="3150" w:hanging="720"/>
      </w:pPr>
      <w:rPr>
        <w:rFonts w:ascii="Times New Roman" w:eastAsia="Times New Roman" w:hAnsi="Times New Roman" w:cs="Times New Roman" w:hint="default"/>
        <w:spacing w:val="-29"/>
        <w:w w:val="99"/>
        <w:sz w:val="24"/>
        <w:szCs w:val="24"/>
        <w:lang w:val="en-US" w:eastAsia="en-US" w:bidi="en-US"/>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4" w15:restartNumberingAfterBreak="0">
    <w:nsid w:val="394839F7"/>
    <w:multiLevelType w:val="hybridMultilevel"/>
    <w:tmpl w:val="9AF8994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3A85320E"/>
    <w:multiLevelType w:val="multilevel"/>
    <w:tmpl w:val="FBFEFECA"/>
    <w:lvl w:ilvl="0">
      <w:start w:val="1"/>
      <w:numFmt w:val="decimal"/>
      <w:lvlText w:val="%1."/>
      <w:lvlJc w:val="left"/>
      <w:pPr>
        <w:ind w:left="720" w:hanging="360"/>
      </w:p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56" w15:restartNumberingAfterBreak="0">
    <w:nsid w:val="3BED2F5D"/>
    <w:multiLevelType w:val="multilevel"/>
    <w:tmpl w:val="6E2630EE"/>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b w:val="0"/>
        <w:i w:val="0"/>
      </w:rPr>
    </w:lvl>
    <w:lvl w:ilvl="2">
      <w:start w:val="1"/>
      <w:numFmt w:val="decimal"/>
      <w:lvlText w:val="%1.%2.%3"/>
      <w:lvlJc w:val="left"/>
      <w:pPr>
        <w:ind w:left="720" w:hanging="720"/>
      </w:pPr>
      <w:rPr>
        <w:rFonts w:hint="default"/>
        <w:sz w:val="24"/>
        <w:szCs w:val="24"/>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7" w15:restartNumberingAfterBreak="0">
    <w:nsid w:val="3F030AC2"/>
    <w:multiLevelType w:val="hybridMultilevel"/>
    <w:tmpl w:val="BA4C98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3FA67774"/>
    <w:multiLevelType w:val="hybridMultilevel"/>
    <w:tmpl w:val="BF0CD5A0"/>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59" w15:restartNumberingAfterBreak="0">
    <w:nsid w:val="40234673"/>
    <w:multiLevelType w:val="hybridMultilevel"/>
    <w:tmpl w:val="DD769C9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0" w15:restartNumberingAfterBreak="0">
    <w:nsid w:val="41E36A9E"/>
    <w:multiLevelType w:val="hybridMultilevel"/>
    <w:tmpl w:val="879A87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42E755B6"/>
    <w:multiLevelType w:val="hybridMultilevel"/>
    <w:tmpl w:val="E61A02B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43FA157A"/>
    <w:multiLevelType w:val="hybridMultilevel"/>
    <w:tmpl w:val="60868A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4419467B"/>
    <w:multiLevelType w:val="hybridMultilevel"/>
    <w:tmpl w:val="BD18B7C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45226B18"/>
    <w:multiLevelType w:val="hybridMultilevel"/>
    <w:tmpl w:val="6EA8A4A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45AE5B42"/>
    <w:multiLevelType w:val="hybridMultilevel"/>
    <w:tmpl w:val="6742B2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45DB2752"/>
    <w:multiLevelType w:val="hybridMultilevel"/>
    <w:tmpl w:val="72408068"/>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47135F4B"/>
    <w:multiLevelType w:val="hybridMultilevel"/>
    <w:tmpl w:val="1180E258"/>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68" w15:restartNumberingAfterBreak="0">
    <w:nsid w:val="476D6CE0"/>
    <w:multiLevelType w:val="hybridMultilevel"/>
    <w:tmpl w:val="18DE6C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4ADC185B"/>
    <w:multiLevelType w:val="hybridMultilevel"/>
    <w:tmpl w:val="660C63E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4CDD106A"/>
    <w:multiLevelType w:val="hybridMultilevel"/>
    <w:tmpl w:val="A612731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4DCF4447"/>
    <w:multiLevelType w:val="hybridMultilevel"/>
    <w:tmpl w:val="1686730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51C372AA"/>
    <w:multiLevelType w:val="hybridMultilevel"/>
    <w:tmpl w:val="F418DC8C"/>
    <w:lvl w:ilvl="0" w:tplc="7A4AE1A6">
      <w:start w:val="1"/>
      <w:numFmt w:val="bullet"/>
      <w:pStyle w:val="ResumeBullet"/>
      <w:lvlText w:val="»"/>
      <w:lvlJc w:val="left"/>
      <w:pPr>
        <w:tabs>
          <w:tab w:val="num" w:pos="2790"/>
        </w:tabs>
        <w:ind w:left="2718" w:hanging="288"/>
      </w:pPr>
      <w:rPr>
        <w:rFonts w:ascii="Palatino Linotype" w:hAnsi="Palatino Linotype"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53721070"/>
    <w:multiLevelType w:val="hybridMultilevel"/>
    <w:tmpl w:val="F884802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53854B71"/>
    <w:multiLevelType w:val="hybridMultilevel"/>
    <w:tmpl w:val="2002638C"/>
    <w:lvl w:ilvl="0" w:tplc="7A047E06">
      <w:start w:val="1"/>
      <w:numFmt w:val="decimal"/>
      <w:lvlText w:val="%1."/>
      <w:lvlJc w:val="left"/>
      <w:pPr>
        <w:ind w:left="720" w:firstLine="0"/>
      </w:pPr>
      <w:rPr>
        <w:rFonts w:asciiTheme="minorHAnsi" w:eastAsia="Times New Roman" w:hAnsiTheme="minorHAnsi" w:cs="Times New Roman" w:hint="default"/>
        <w:b w:val="0"/>
        <w:i w:val="0"/>
        <w:strike w:val="0"/>
        <w:dstrike w:val="0"/>
        <w:color w:val="000000"/>
        <w:sz w:val="20"/>
        <w:szCs w:val="20"/>
        <w:u w:val="none" w:color="000000"/>
        <w:bdr w:val="none" w:sz="0" w:space="0" w:color="auto"/>
        <w:shd w:val="clear" w:color="auto" w:fill="auto"/>
        <w:vertAlign w:val="baseline"/>
      </w:rPr>
    </w:lvl>
    <w:lvl w:ilvl="1" w:tplc="12A8F988">
      <w:start w:val="1"/>
      <w:numFmt w:val="bullet"/>
      <w:lvlText w:val="o"/>
      <w:lvlJc w:val="left"/>
      <w:pPr>
        <w:ind w:left="1440"/>
      </w:pPr>
      <w:rPr>
        <w:rFonts w:ascii="Courier New" w:eastAsia="Courier New" w:hAnsi="Courier New" w:cs="Courier New"/>
        <w:b w:val="0"/>
        <w:i w:val="0"/>
        <w:strike w:val="0"/>
        <w:dstrike w:val="0"/>
        <w:color w:val="000000"/>
        <w:sz w:val="24"/>
        <w:u w:val="none" w:color="000000"/>
        <w:bdr w:val="none" w:sz="0" w:space="0" w:color="auto"/>
        <w:shd w:val="clear" w:color="auto" w:fill="auto"/>
        <w:vertAlign w:val="baseline"/>
      </w:rPr>
    </w:lvl>
    <w:lvl w:ilvl="2" w:tplc="900CC578">
      <w:start w:val="1"/>
      <w:numFmt w:val="bullet"/>
      <w:lvlText w:val="▪"/>
      <w:lvlJc w:val="left"/>
      <w:pPr>
        <w:ind w:left="2160"/>
      </w:pPr>
      <w:rPr>
        <w:rFonts w:ascii="Courier New" w:eastAsia="Courier New" w:hAnsi="Courier New" w:cs="Courier New"/>
        <w:b w:val="0"/>
        <w:i w:val="0"/>
        <w:strike w:val="0"/>
        <w:dstrike w:val="0"/>
        <w:color w:val="000000"/>
        <w:sz w:val="24"/>
        <w:u w:val="none" w:color="000000"/>
        <w:bdr w:val="none" w:sz="0" w:space="0" w:color="auto"/>
        <w:shd w:val="clear" w:color="auto" w:fill="auto"/>
        <w:vertAlign w:val="baseline"/>
      </w:rPr>
    </w:lvl>
    <w:lvl w:ilvl="3" w:tplc="14A2056C">
      <w:start w:val="1"/>
      <w:numFmt w:val="bullet"/>
      <w:lvlText w:val="•"/>
      <w:lvlJc w:val="left"/>
      <w:pPr>
        <w:ind w:left="2880"/>
      </w:pPr>
      <w:rPr>
        <w:rFonts w:ascii="Courier New" w:eastAsia="Courier New" w:hAnsi="Courier New" w:cs="Courier New"/>
        <w:b w:val="0"/>
        <w:i w:val="0"/>
        <w:strike w:val="0"/>
        <w:dstrike w:val="0"/>
        <w:color w:val="000000"/>
        <w:sz w:val="24"/>
        <w:u w:val="none" w:color="000000"/>
        <w:bdr w:val="none" w:sz="0" w:space="0" w:color="auto"/>
        <w:shd w:val="clear" w:color="auto" w:fill="auto"/>
        <w:vertAlign w:val="baseline"/>
      </w:rPr>
    </w:lvl>
    <w:lvl w:ilvl="4" w:tplc="7FE2641C">
      <w:start w:val="1"/>
      <w:numFmt w:val="bullet"/>
      <w:lvlText w:val="o"/>
      <w:lvlJc w:val="left"/>
      <w:pPr>
        <w:ind w:left="3600"/>
      </w:pPr>
      <w:rPr>
        <w:rFonts w:ascii="Courier New" w:eastAsia="Courier New" w:hAnsi="Courier New" w:cs="Courier New"/>
        <w:b w:val="0"/>
        <w:i w:val="0"/>
        <w:strike w:val="0"/>
        <w:dstrike w:val="0"/>
        <w:color w:val="000000"/>
        <w:sz w:val="24"/>
        <w:u w:val="none" w:color="000000"/>
        <w:bdr w:val="none" w:sz="0" w:space="0" w:color="auto"/>
        <w:shd w:val="clear" w:color="auto" w:fill="auto"/>
        <w:vertAlign w:val="baseline"/>
      </w:rPr>
    </w:lvl>
    <w:lvl w:ilvl="5" w:tplc="05C0CF0E">
      <w:start w:val="1"/>
      <w:numFmt w:val="bullet"/>
      <w:lvlText w:val="▪"/>
      <w:lvlJc w:val="left"/>
      <w:pPr>
        <w:ind w:left="4320"/>
      </w:pPr>
      <w:rPr>
        <w:rFonts w:ascii="Courier New" w:eastAsia="Courier New" w:hAnsi="Courier New" w:cs="Courier New"/>
        <w:b w:val="0"/>
        <w:i w:val="0"/>
        <w:strike w:val="0"/>
        <w:dstrike w:val="0"/>
        <w:color w:val="000000"/>
        <w:sz w:val="24"/>
        <w:u w:val="none" w:color="000000"/>
        <w:bdr w:val="none" w:sz="0" w:space="0" w:color="auto"/>
        <w:shd w:val="clear" w:color="auto" w:fill="auto"/>
        <w:vertAlign w:val="baseline"/>
      </w:rPr>
    </w:lvl>
    <w:lvl w:ilvl="6" w:tplc="C1A69966">
      <w:start w:val="1"/>
      <w:numFmt w:val="bullet"/>
      <w:lvlText w:val="•"/>
      <w:lvlJc w:val="left"/>
      <w:pPr>
        <w:ind w:left="5040"/>
      </w:pPr>
      <w:rPr>
        <w:rFonts w:ascii="Courier New" w:eastAsia="Courier New" w:hAnsi="Courier New" w:cs="Courier New"/>
        <w:b w:val="0"/>
        <w:i w:val="0"/>
        <w:strike w:val="0"/>
        <w:dstrike w:val="0"/>
        <w:color w:val="000000"/>
        <w:sz w:val="24"/>
        <w:u w:val="none" w:color="000000"/>
        <w:bdr w:val="none" w:sz="0" w:space="0" w:color="auto"/>
        <w:shd w:val="clear" w:color="auto" w:fill="auto"/>
        <w:vertAlign w:val="baseline"/>
      </w:rPr>
    </w:lvl>
    <w:lvl w:ilvl="7" w:tplc="6C405702">
      <w:start w:val="1"/>
      <w:numFmt w:val="bullet"/>
      <w:lvlText w:val="o"/>
      <w:lvlJc w:val="left"/>
      <w:pPr>
        <w:ind w:left="5760"/>
      </w:pPr>
      <w:rPr>
        <w:rFonts w:ascii="Courier New" w:eastAsia="Courier New" w:hAnsi="Courier New" w:cs="Courier New"/>
        <w:b w:val="0"/>
        <w:i w:val="0"/>
        <w:strike w:val="0"/>
        <w:dstrike w:val="0"/>
        <w:color w:val="000000"/>
        <w:sz w:val="24"/>
        <w:u w:val="none" w:color="000000"/>
        <w:bdr w:val="none" w:sz="0" w:space="0" w:color="auto"/>
        <w:shd w:val="clear" w:color="auto" w:fill="auto"/>
        <w:vertAlign w:val="baseline"/>
      </w:rPr>
    </w:lvl>
    <w:lvl w:ilvl="8" w:tplc="3DE016B8">
      <w:start w:val="1"/>
      <w:numFmt w:val="bullet"/>
      <w:lvlText w:val="▪"/>
      <w:lvlJc w:val="left"/>
      <w:pPr>
        <w:ind w:left="6480"/>
      </w:pPr>
      <w:rPr>
        <w:rFonts w:ascii="Courier New" w:eastAsia="Courier New" w:hAnsi="Courier New" w:cs="Courier New"/>
        <w:b w:val="0"/>
        <w:i w:val="0"/>
        <w:strike w:val="0"/>
        <w:dstrike w:val="0"/>
        <w:color w:val="000000"/>
        <w:sz w:val="24"/>
        <w:u w:val="none" w:color="000000"/>
        <w:bdr w:val="none" w:sz="0" w:space="0" w:color="auto"/>
        <w:shd w:val="clear" w:color="auto" w:fill="auto"/>
        <w:vertAlign w:val="baseline"/>
      </w:rPr>
    </w:lvl>
  </w:abstractNum>
  <w:abstractNum w:abstractNumId="75" w15:restartNumberingAfterBreak="0">
    <w:nsid w:val="53DC776D"/>
    <w:multiLevelType w:val="hybridMultilevel"/>
    <w:tmpl w:val="C02A86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541F0042"/>
    <w:multiLevelType w:val="hybridMultilevel"/>
    <w:tmpl w:val="3A8A4C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54657C1B"/>
    <w:multiLevelType w:val="hybridMultilevel"/>
    <w:tmpl w:val="9A1CCC1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38D6CC7E">
      <w:start w:val="1"/>
      <w:numFmt w:val="bullet"/>
      <w:lvlText w:val="-"/>
      <w:lvlJc w:val="left"/>
      <w:pPr>
        <w:ind w:left="2340" w:hanging="360"/>
      </w:pPr>
      <w:rPr>
        <w:rFonts w:ascii="Calibri" w:eastAsia="Times New Roman" w:hAnsi="Calibri" w:cs="Calibri"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546617C4"/>
    <w:multiLevelType w:val="hybridMultilevel"/>
    <w:tmpl w:val="C086742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546912E4"/>
    <w:multiLevelType w:val="hybridMultilevel"/>
    <w:tmpl w:val="DE60C26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56566933"/>
    <w:multiLevelType w:val="hybridMultilevel"/>
    <w:tmpl w:val="4F82C7EE"/>
    <w:lvl w:ilvl="0" w:tplc="04090001">
      <w:start w:val="1"/>
      <w:numFmt w:val="bullet"/>
      <w:lvlText w:val=""/>
      <w:lvlJc w:val="left"/>
      <w:pPr>
        <w:ind w:left="816" w:hanging="360"/>
      </w:pPr>
      <w:rPr>
        <w:rFonts w:ascii="Symbol" w:hAnsi="Symbol" w:hint="default"/>
      </w:rPr>
    </w:lvl>
    <w:lvl w:ilvl="1" w:tplc="04090003" w:tentative="1">
      <w:start w:val="1"/>
      <w:numFmt w:val="bullet"/>
      <w:lvlText w:val="o"/>
      <w:lvlJc w:val="left"/>
      <w:pPr>
        <w:ind w:left="1536" w:hanging="360"/>
      </w:pPr>
      <w:rPr>
        <w:rFonts w:ascii="Courier New" w:hAnsi="Courier New" w:cs="Courier New" w:hint="default"/>
      </w:rPr>
    </w:lvl>
    <w:lvl w:ilvl="2" w:tplc="04090005" w:tentative="1">
      <w:start w:val="1"/>
      <w:numFmt w:val="bullet"/>
      <w:lvlText w:val=""/>
      <w:lvlJc w:val="left"/>
      <w:pPr>
        <w:ind w:left="2256" w:hanging="360"/>
      </w:pPr>
      <w:rPr>
        <w:rFonts w:ascii="Wingdings" w:hAnsi="Wingdings" w:hint="default"/>
      </w:rPr>
    </w:lvl>
    <w:lvl w:ilvl="3" w:tplc="04090001" w:tentative="1">
      <w:start w:val="1"/>
      <w:numFmt w:val="bullet"/>
      <w:lvlText w:val=""/>
      <w:lvlJc w:val="left"/>
      <w:pPr>
        <w:ind w:left="2976" w:hanging="360"/>
      </w:pPr>
      <w:rPr>
        <w:rFonts w:ascii="Symbol" w:hAnsi="Symbol" w:hint="default"/>
      </w:rPr>
    </w:lvl>
    <w:lvl w:ilvl="4" w:tplc="04090003" w:tentative="1">
      <w:start w:val="1"/>
      <w:numFmt w:val="bullet"/>
      <w:lvlText w:val="o"/>
      <w:lvlJc w:val="left"/>
      <w:pPr>
        <w:ind w:left="3696" w:hanging="360"/>
      </w:pPr>
      <w:rPr>
        <w:rFonts w:ascii="Courier New" w:hAnsi="Courier New" w:cs="Courier New" w:hint="default"/>
      </w:rPr>
    </w:lvl>
    <w:lvl w:ilvl="5" w:tplc="04090005" w:tentative="1">
      <w:start w:val="1"/>
      <w:numFmt w:val="bullet"/>
      <w:lvlText w:val=""/>
      <w:lvlJc w:val="left"/>
      <w:pPr>
        <w:ind w:left="4416" w:hanging="360"/>
      </w:pPr>
      <w:rPr>
        <w:rFonts w:ascii="Wingdings" w:hAnsi="Wingdings" w:hint="default"/>
      </w:rPr>
    </w:lvl>
    <w:lvl w:ilvl="6" w:tplc="04090001" w:tentative="1">
      <w:start w:val="1"/>
      <w:numFmt w:val="bullet"/>
      <w:lvlText w:val=""/>
      <w:lvlJc w:val="left"/>
      <w:pPr>
        <w:ind w:left="5136" w:hanging="360"/>
      </w:pPr>
      <w:rPr>
        <w:rFonts w:ascii="Symbol" w:hAnsi="Symbol" w:hint="default"/>
      </w:rPr>
    </w:lvl>
    <w:lvl w:ilvl="7" w:tplc="04090003" w:tentative="1">
      <w:start w:val="1"/>
      <w:numFmt w:val="bullet"/>
      <w:lvlText w:val="o"/>
      <w:lvlJc w:val="left"/>
      <w:pPr>
        <w:ind w:left="5856" w:hanging="360"/>
      </w:pPr>
      <w:rPr>
        <w:rFonts w:ascii="Courier New" w:hAnsi="Courier New" w:cs="Courier New" w:hint="default"/>
      </w:rPr>
    </w:lvl>
    <w:lvl w:ilvl="8" w:tplc="04090005" w:tentative="1">
      <w:start w:val="1"/>
      <w:numFmt w:val="bullet"/>
      <w:lvlText w:val=""/>
      <w:lvlJc w:val="left"/>
      <w:pPr>
        <w:ind w:left="6576" w:hanging="360"/>
      </w:pPr>
      <w:rPr>
        <w:rFonts w:ascii="Wingdings" w:hAnsi="Wingdings" w:hint="default"/>
      </w:rPr>
    </w:lvl>
  </w:abstractNum>
  <w:abstractNum w:abstractNumId="81" w15:restartNumberingAfterBreak="0">
    <w:nsid w:val="56CC1B99"/>
    <w:multiLevelType w:val="hybridMultilevel"/>
    <w:tmpl w:val="D65655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57383A1B"/>
    <w:multiLevelType w:val="hybridMultilevel"/>
    <w:tmpl w:val="6BEA550E"/>
    <w:lvl w:ilvl="0" w:tplc="04090001">
      <w:start w:val="1"/>
      <w:numFmt w:val="bullet"/>
      <w:lvlText w:val=""/>
      <w:lvlJc w:val="left"/>
      <w:pPr>
        <w:ind w:left="720" w:hanging="360"/>
      </w:pPr>
      <w:rPr>
        <w:rFonts w:ascii="Symbol" w:hAnsi="Symbol" w:hint="default"/>
      </w:rPr>
    </w:lvl>
    <w:lvl w:ilvl="1" w:tplc="4C863AC0">
      <w:numFmt w:val="bullet"/>
      <w:lvlText w:val="•"/>
      <w:lvlJc w:val="left"/>
      <w:pPr>
        <w:ind w:left="1800" w:hanging="720"/>
      </w:pPr>
      <w:rPr>
        <w:rFonts w:ascii="Calibri" w:eastAsiaTheme="minorHAnsi" w:hAnsi="Calibri" w:cs="Calibr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58090BEB"/>
    <w:multiLevelType w:val="hybridMultilevel"/>
    <w:tmpl w:val="CF3A72A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58201A43"/>
    <w:multiLevelType w:val="hybridMultilevel"/>
    <w:tmpl w:val="7FCC3E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5BC555F6"/>
    <w:multiLevelType w:val="hybridMultilevel"/>
    <w:tmpl w:val="21785EF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5CE04A0F"/>
    <w:multiLevelType w:val="hybridMultilevel"/>
    <w:tmpl w:val="E61A02B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5E9D79FD"/>
    <w:multiLevelType w:val="hybridMultilevel"/>
    <w:tmpl w:val="7584E7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5EC87A4D"/>
    <w:multiLevelType w:val="hybridMultilevel"/>
    <w:tmpl w:val="11540224"/>
    <w:lvl w:ilvl="0" w:tplc="59A8011C">
      <w:start w:val="1"/>
      <w:numFmt w:val="decimal"/>
      <w:lvlText w:val="%1."/>
      <w:lvlJc w:val="left"/>
      <w:pPr>
        <w:ind w:left="720" w:hanging="360"/>
      </w:pPr>
      <w:rPr>
        <w:rFonts w:asciiTheme="minorHAnsi" w:hAnsiTheme="minorHAnsi" w:hint="default"/>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15:restartNumberingAfterBreak="0">
    <w:nsid w:val="5F69086F"/>
    <w:multiLevelType w:val="hybridMultilevel"/>
    <w:tmpl w:val="6C78C670"/>
    <w:lvl w:ilvl="0" w:tplc="E3028818">
      <w:start w:val="1"/>
      <w:numFmt w:val="upperLetter"/>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90" w15:restartNumberingAfterBreak="0">
    <w:nsid w:val="5F883E63"/>
    <w:multiLevelType w:val="hybridMultilevel"/>
    <w:tmpl w:val="5ABEA28A"/>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91" w15:restartNumberingAfterBreak="0">
    <w:nsid w:val="623714C0"/>
    <w:multiLevelType w:val="hybridMultilevel"/>
    <w:tmpl w:val="6FE03D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623F4F81"/>
    <w:multiLevelType w:val="hybridMultilevel"/>
    <w:tmpl w:val="A7DAE9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65BE72BB"/>
    <w:multiLevelType w:val="hybridMultilevel"/>
    <w:tmpl w:val="08F62E60"/>
    <w:lvl w:ilvl="0" w:tplc="D88E457C">
      <w:start w:val="1"/>
      <w:numFmt w:val="decimal"/>
      <w:lvlText w:val="6.1.%1"/>
      <w:lvlJc w:val="left"/>
      <w:pPr>
        <w:ind w:left="72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15:restartNumberingAfterBreak="0">
    <w:nsid w:val="686F3882"/>
    <w:multiLevelType w:val="hybridMultilevel"/>
    <w:tmpl w:val="12FED8C6"/>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95" w15:restartNumberingAfterBreak="0">
    <w:nsid w:val="68BA0402"/>
    <w:multiLevelType w:val="hybridMultilevel"/>
    <w:tmpl w:val="D0D293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 w15:restartNumberingAfterBreak="0">
    <w:nsid w:val="69A70C2E"/>
    <w:multiLevelType w:val="hybridMultilevel"/>
    <w:tmpl w:val="71AC3084"/>
    <w:lvl w:ilvl="0" w:tplc="2252FAC8">
      <w:start w:val="1"/>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6A016395"/>
    <w:multiLevelType w:val="hybridMultilevel"/>
    <w:tmpl w:val="6804D690"/>
    <w:lvl w:ilvl="0" w:tplc="04090001">
      <w:start w:val="1"/>
      <w:numFmt w:val="bullet"/>
      <w:lvlText w:val=""/>
      <w:lvlJc w:val="left"/>
      <w:pPr>
        <w:ind w:left="720" w:hanging="360"/>
      </w:pPr>
      <w:rPr>
        <w:rFonts w:ascii="Symbol" w:hAnsi="Symbol" w:hint="default"/>
      </w:rPr>
    </w:lvl>
    <w:lvl w:ilvl="1" w:tplc="D5D6E994">
      <w:numFmt w:val="bullet"/>
      <w:lvlText w:val="•"/>
      <w:lvlJc w:val="left"/>
      <w:pPr>
        <w:ind w:left="1800" w:hanging="720"/>
      </w:pPr>
      <w:rPr>
        <w:rFonts w:ascii="Calibri" w:eastAsiaTheme="minorEastAsia" w:hAnsi="Calibri" w:cs="Calibr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6B100918"/>
    <w:multiLevelType w:val="hybridMultilevel"/>
    <w:tmpl w:val="F71818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6B2415AD"/>
    <w:multiLevelType w:val="hybridMultilevel"/>
    <w:tmpl w:val="8AB2455C"/>
    <w:lvl w:ilvl="0" w:tplc="9DAE99F8">
      <w:start w:val="1"/>
      <w:numFmt w:val="decimal"/>
      <w:lvlText w:val="%1."/>
      <w:lvlJc w:val="left"/>
      <w:pPr>
        <w:ind w:left="360" w:hanging="360"/>
      </w:pPr>
      <w:rPr>
        <w:rFonts w:hint="default"/>
      </w:rPr>
    </w:lvl>
    <w:lvl w:ilvl="1" w:tplc="39B09736">
      <w:start w:val="1"/>
      <w:numFmt w:val="upperLetter"/>
      <w:lvlText w:val="%2."/>
      <w:lvlJc w:val="left"/>
      <w:pPr>
        <w:ind w:left="720" w:firstLine="0"/>
      </w:pPr>
      <w:rPr>
        <w:rFonts w:hint="default"/>
      </w:rPr>
    </w:lvl>
    <w:lvl w:ilvl="2" w:tplc="99BE99BC">
      <w:start w:val="1"/>
      <w:numFmt w:val="decimal"/>
      <w:lvlText w:val="%3."/>
      <w:lvlJc w:val="left"/>
      <w:pPr>
        <w:ind w:left="1440" w:firstLine="0"/>
      </w:pPr>
      <w:rPr>
        <w:rFonts w:hint="default"/>
      </w:rPr>
    </w:lvl>
    <w:lvl w:ilvl="3" w:tplc="37AAF488">
      <w:start w:val="1"/>
      <w:numFmt w:val="lowerLetter"/>
      <w:lvlText w:val="%4)"/>
      <w:lvlJc w:val="left"/>
      <w:pPr>
        <w:ind w:left="2160" w:firstLine="0"/>
      </w:pPr>
      <w:rPr>
        <w:rFonts w:hint="default"/>
      </w:rPr>
    </w:lvl>
    <w:lvl w:ilvl="4" w:tplc="C50E4A44">
      <w:start w:val="1"/>
      <w:numFmt w:val="decimal"/>
      <w:lvlText w:val="(%5)"/>
      <w:lvlJc w:val="left"/>
      <w:pPr>
        <w:ind w:left="2880" w:firstLine="0"/>
      </w:pPr>
      <w:rPr>
        <w:rFonts w:hint="default"/>
      </w:rPr>
    </w:lvl>
    <w:lvl w:ilvl="5" w:tplc="93E0706C">
      <w:start w:val="1"/>
      <w:numFmt w:val="lowerLetter"/>
      <w:lvlText w:val="(%6)"/>
      <w:lvlJc w:val="left"/>
      <w:pPr>
        <w:ind w:left="3600" w:firstLine="0"/>
      </w:pPr>
      <w:rPr>
        <w:rFonts w:hint="default"/>
      </w:rPr>
    </w:lvl>
    <w:lvl w:ilvl="6" w:tplc="6EBC900A">
      <w:start w:val="1"/>
      <w:numFmt w:val="lowerRoman"/>
      <w:lvlText w:val="(%7)"/>
      <w:lvlJc w:val="left"/>
      <w:pPr>
        <w:ind w:left="4320" w:firstLine="0"/>
      </w:pPr>
      <w:rPr>
        <w:rFonts w:hint="default"/>
      </w:rPr>
    </w:lvl>
    <w:lvl w:ilvl="7" w:tplc="394461FE">
      <w:start w:val="1"/>
      <w:numFmt w:val="lowerLetter"/>
      <w:lvlText w:val="(%8)"/>
      <w:lvlJc w:val="left"/>
      <w:pPr>
        <w:ind w:left="5040" w:firstLine="0"/>
      </w:pPr>
      <w:rPr>
        <w:rFonts w:hint="default"/>
      </w:rPr>
    </w:lvl>
    <w:lvl w:ilvl="8" w:tplc="CF9C2DF6">
      <w:start w:val="1"/>
      <w:numFmt w:val="lowerRoman"/>
      <w:lvlText w:val="(%9)"/>
      <w:lvlJc w:val="left"/>
      <w:pPr>
        <w:ind w:left="5760" w:firstLine="0"/>
      </w:pPr>
      <w:rPr>
        <w:rFonts w:hint="default"/>
      </w:rPr>
    </w:lvl>
  </w:abstractNum>
  <w:abstractNum w:abstractNumId="100" w15:restartNumberingAfterBreak="0">
    <w:nsid w:val="6B50365E"/>
    <w:multiLevelType w:val="hybridMultilevel"/>
    <w:tmpl w:val="055277AE"/>
    <w:lvl w:ilvl="0" w:tplc="0409000F">
      <w:start w:val="1"/>
      <w:numFmt w:val="decimal"/>
      <w:lvlText w:val="%1."/>
      <w:lvlJc w:val="left"/>
      <w:pPr>
        <w:ind w:left="768" w:hanging="360"/>
      </w:pPr>
    </w:lvl>
    <w:lvl w:ilvl="1" w:tplc="04090019" w:tentative="1">
      <w:start w:val="1"/>
      <w:numFmt w:val="lowerLetter"/>
      <w:lvlText w:val="%2."/>
      <w:lvlJc w:val="left"/>
      <w:pPr>
        <w:ind w:left="1488" w:hanging="360"/>
      </w:pPr>
    </w:lvl>
    <w:lvl w:ilvl="2" w:tplc="0409001B" w:tentative="1">
      <w:start w:val="1"/>
      <w:numFmt w:val="lowerRoman"/>
      <w:lvlText w:val="%3."/>
      <w:lvlJc w:val="right"/>
      <w:pPr>
        <w:ind w:left="2208" w:hanging="180"/>
      </w:pPr>
    </w:lvl>
    <w:lvl w:ilvl="3" w:tplc="0409000F" w:tentative="1">
      <w:start w:val="1"/>
      <w:numFmt w:val="decimal"/>
      <w:lvlText w:val="%4."/>
      <w:lvlJc w:val="left"/>
      <w:pPr>
        <w:ind w:left="2928" w:hanging="360"/>
      </w:pPr>
    </w:lvl>
    <w:lvl w:ilvl="4" w:tplc="04090019" w:tentative="1">
      <w:start w:val="1"/>
      <w:numFmt w:val="lowerLetter"/>
      <w:lvlText w:val="%5."/>
      <w:lvlJc w:val="left"/>
      <w:pPr>
        <w:ind w:left="3648" w:hanging="360"/>
      </w:pPr>
    </w:lvl>
    <w:lvl w:ilvl="5" w:tplc="0409001B" w:tentative="1">
      <w:start w:val="1"/>
      <w:numFmt w:val="lowerRoman"/>
      <w:lvlText w:val="%6."/>
      <w:lvlJc w:val="right"/>
      <w:pPr>
        <w:ind w:left="4368" w:hanging="180"/>
      </w:pPr>
    </w:lvl>
    <w:lvl w:ilvl="6" w:tplc="0409000F" w:tentative="1">
      <w:start w:val="1"/>
      <w:numFmt w:val="decimal"/>
      <w:lvlText w:val="%7."/>
      <w:lvlJc w:val="left"/>
      <w:pPr>
        <w:ind w:left="5088" w:hanging="360"/>
      </w:pPr>
    </w:lvl>
    <w:lvl w:ilvl="7" w:tplc="04090019" w:tentative="1">
      <w:start w:val="1"/>
      <w:numFmt w:val="lowerLetter"/>
      <w:lvlText w:val="%8."/>
      <w:lvlJc w:val="left"/>
      <w:pPr>
        <w:ind w:left="5808" w:hanging="360"/>
      </w:pPr>
    </w:lvl>
    <w:lvl w:ilvl="8" w:tplc="0409001B" w:tentative="1">
      <w:start w:val="1"/>
      <w:numFmt w:val="lowerRoman"/>
      <w:lvlText w:val="%9."/>
      <w:lvlJc w:val="right"/>
      <w:pPr>
        <w:ind w:left="6528" w:hanging="180"/>
      </w:pPr>
    </w:lvl>
  </w:abstractNum>
  <w:abstractNum w:abstractNumId="101" w15:restartNumberingAfterBreak="0">
    <w:nsid w:val="6BC12B70"/>
    <w:multiLevelType w:val="hybridMultilevel"/>
    <w:tmpl w:val="31C0F9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6C5E1D6D"/>
    <w:multiLevelType w:val="hybridMultilevel"/>
    <w:tmpl w:val="FFFFFFFF"/>
    <w:lvl w:ilvl="0" w:tplc="1B480E96">
      <w:start w:val="1"/>
      <w:numFmt w:val="bullet"/>
      <w:lvlText w:val="·"/>
      <w:lvlJc w:val="left"/>
      <w:pPr>
        <w:ind w:left="720" w:hanging="360"/>
      </w:pPr>
      <w:rPr>
        <w:rFonts w:ascii="Symbol" w:hAnsi="Symbol" w:hint="default"/>
      </w:rPr>
    </w:lvl>
    <w:lvl w:ilvl="1" w:tplc="DD28F578">
      <w:start w:val="1"/>
      <w:numFmt w:val="bullet"/>
      <w:lvlText w:val="o"/>
      <w:lvlJc w:val="left"/>
      <w:pPr>
        <w:ind w:left="1440" w:hanging="360"/>
      </w:pPr>
      <w:rPr>
        <w:rFonts w:ascii="Courier New" w:hAnsi="Courier New" w:hint="default"/>
      </w:rPr>
    </w:lvl>
    <w:lvl w:ilvl="2" w:tplc="B85EA5D6">
      <w:start w:val="1"/>
      <w:numFmt w:val="bullet"/>
      <w:lvlText w:val=""/>
      <w:lvlJc w:val="left"/>
      <w:pPr>
        <w:ind w:left="2160" w:hanging="360"/>
      </w:pPr>
      <w:rPr>
        <w:rFonts w:ascii="Wingdings" w:hAnsi="Wingdings" w:hint="default"/>
      </w:rPr>
    </w:lvl>
    <w:lvl w:ilvl="3" w:tplc="7F464552">
      <w:start w:val="1"/>
      <w:numFmt w:val="bullet"/>
      <w:lvlText w:val=""/>
      <w:lvlJc w:val="left"/>
      <w:pPr>
        <w:ind w:left="2880" w:hanging="360"/>
      </w:pPr>
      <w:rPr>
        <w:rFonts w:ascii="Symbol" w:hAnsi="Symbol" w:hint="default"/>
      </w:rPr>
    </w:lvl>
    <w:lvl w:ilvl="4" w:tplc="AF689F12">
      <w:start w:val="1"/>
      <w:numFmt w:val="bullet"/>
      <w:lvlText w:val="o"/>
      <w:lvlJc w:val="left"/>
      <w:pPr>
        <w:ind w:left="3600" w:hanging="360"/>
      </w:pPr>
      <w:rPr>
        <w:rFonts w:ascii="Courier New" w:hAnsi="Courier New" w:hint="default"/>
      </w:rPr>
    </w:lvl>
    <w:lvl w:ilvl="5" w:tplc="0FD83428">
      <w:start w:val="1"/>
      <w:numFmt w:val="bullet"/>
      <w:lvlText w:val=""/>
      <w:lvlJc w:val="left"/>
      <w:pPr>
        <w:ind w:left="4320" w:hanging="360"/>
      </w:pPr>
      <w:rPr>
        <w:rFonts w:ascii="Wingdings" w:hAnsi="Wingdings" w:hint="default"/>
      </w:rPr>
    </w:lvl>
    <w:lvl w:ilvl="6" w:tplc="481CE004">
      <w:start w:val="1"/>
      <w:numFmt w:val="bullet"/>
      <w:lvlText w:val=""/>
      <w:lvlJc w:val="left"/>
      <w:pPr>
        <w:ind w:left="5040" w:hanging="360"/>
      </w:pPr>
      <w:rPr>
        <w:rFonts w:ascii="Symbol" w:hAnsi="Symbol" w:hint="default"/>
      </w:rPr>
    </w:lvl>
    <w:lvl w:ilvl="7" w:tplc="94DAD350">
      <w:start w:val="1"/>
      <w:numFmt w:val="bullet"/>
      <w:lvlText w:val="o"/>
      <w:lvlJc w:val="left"/>
      <w:pPr>
        <w:ind w:left="5760" w:hanging="360"/>
      </w:pPr>
      <w:rPr>
        <w:rFonts w:ascii="Courier New" w:hAnsi="Courier New" w:hint="default"/>
      </w:rPr>
    </w:lvl>
    <w:lvl w:ilvl="8" w:tplc="493E5276">
      <w:start w:val="1"/>
      <w:numFmt w:val="bullet"/>
      <w:lvlText w:val=""/>
      <w:lvlJc w:val="left"/>
      <w:pPr>
        <w:ind w:left="6480" w:hanging="360"/>
      </w:pPr>
      <w:rPr>
        <w:rFonts w:ascii="Wingdings" w:hAnsi="Wingdings" w:hint="default"/>
      </w:rPr>
    </w:lvl>
  </w:abstractNum>
  <w:abstractNum w:abstractNumId="103" w15:restartNumberingAfterBreak="0">
    <w:nsid w:val="6D6F135E"/>
    <w:multiLevelType w:val="hybridMultilevel"/>
    <w:tmpl w:val="861E8B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6F101347"/>
    <w:multiLevelType w:val="hybridMultilevel"/>
    <w:tmpl w:val="A1D0513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15:restartNumberingAfterBreak="0">
    <w:nsid w:val="700E186A"/>
    <w:multiLevelType w:val="hybridMultilevel"/>
    <w:tmpl w:val="ED741E9C"/>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72A3155B"/>
    <w:multiLevelType w:val="hybridMultilevel"/>
    <w:tmpl w:val="F538227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7371154B"/>
    <w:multiLevelType w:val="hybridMultilevel"/>
    <w:tmpl w:val="2E00FB9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15:restartNumberingAfterBreak="0">
    <w:nsid w:val="73E5585C"/>
    <w:multiLevelType w:val="hybridMultilevel"/>
    <w:tmpl w:val="A25058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765E561B"/>
    <w:multiLevelType w:val="hybridMultilevel"/>
    <w:tmpl w:val="27EC09C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15:restartNumberingAfterBreak="0">
    <w:nsid w:val="77791C89"/>
    <w:multiLevelType w:val="hybridMultilevel"/>
    <w:tmpl w:val="F4F620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7975430A"/>
    <w:multiLevelType w:val="hybridMultilevel"/>
    <w:tmpl w:val="171CF516"/>
    <w:lvl w:ilvl="0" w:tplc="0409000F">
      <w:start w:val="1"/>
      <w:numFmt w:val="decimal"/>
      <w:lvlText w:val="%1."/>
      <w:lvlJc w:val="left"/>
      <w:pPr>
        <w:ind w:left="279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2" w15:restartNumberingAfterBreak="0">
    <w:nsid w:val="7C437953"/>
    <w:multiLevelType w:val="hybridMultilevel"/>
    <w:tmpl w:val="871A739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3" w15:restartNumberingAfterBreak="0">
    <w:nsid w:val="7C440AA1"/>
    <w:multiLevelType w:val="hybridMultilevel"/>
    <w:tmpl w:val="F734140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15:restartNumberingAfterBreak="0">
    <w:nsid w:val="7CA3594B"/>
    <w:multiLevelType w:val="hybridMultilevel"/>
    <w:tmpl w:val="663EDB2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5" w15:restartNumberingAfterBreak="0">
    <w:nsid w:val="7D155013"/>
    <w:multiLevelType w:val="hybridMultilevel"/>
    <w:tmpl w:val="787458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7EF53F66"/>
    <w:multiLevelType w:val="hybridMultilevel"/>
    <w:tmpl w:val="BD18B7C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7" w15:restartNumberingAfterBreak="0">
    <w:nsid w:val="7EF96FE2"/>
    <w:multiLevelType w:val="hybridMultilevel"/>
    <w:tmpl w:val="1C80A59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8" w15:restartNumberingAfterBreak="0">
    <w:nsid w:val="7FCB58A2"/>
    <w:multiLevelType w:val="hybridMultilevel"/>
    <w:tmpl w:val="F0B020F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9" w15:restartNumberingAfterBreak="0">
    <w:nsid w:val="7FE542BF"/>
    <w:multiLevelType w:val="hybridMultilevel"/>
    <w:tmpl w:val="AF4A40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7FE96FF4"/>
    <w:multiLevelType w:val="hybridMultilevel"/>
    <w:tmpl w:val="E69815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166824428">
    <w:abstractNumId w:val="57"/>
  </w:num>
  <w:num w:numId="2" w16cid:durableId="1583106077">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364450577">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927690854">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417412200">
    <w:abstractNumId w:val="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882400076">
    <w:abstractNumId w:val="73"/>
  </w:num>
  <w:num w:numId="7" w16cid:durableId="1970085908">
    <w:abstractNumId w:val="103"/>
  </w:num>
  <w:num w:numId="8" w16cid:durableId="1158304425">
    <w:abstractNumId w:val="11"/>
  </w:num>
  <w:num w:numId="9" w16cid:durableId="270095693">
    <w:abstractNumId w:val="72"/>
  </w:num>
  <w:num w:numId="10" w16cid:durableId="2014529658">
    <w:abstractNumId w:val="23"/>
  </w:num>
  <w:num w:numId="11" w16cid:durableId="90059936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285503233">
    <w:abstractNumId w:val="9"/>
  </w:num>
  <w:num w:numId="13" w16cid:durableId="1152984956">
    <w:abstractNumId w:val="43"/>
  </w:num>
  <w:num w:numId="14" w16cid:durableId="376783149">
    <w:abstractNumId w:val="108"/>
  </w:num>
  <w:num w:numId="15" w16cid:durableId="771164363">
    <w:abstractNumId w:val="5"/>
  </w:num>
  <w:num w:numId="16" w16cid:durableId="1636328398">
    <w:abstractNumId w:val="99"/>
  </w:num>
  <w:num w:numId="17" w16cid:durableId="1974947174">
    <w:abstractNumId w:val="25"/>
  </w:num>
  <w:num w:numId="18" w16cid:durableId="1961035288">
    <w:abstractNumId w:val="44"/>
  </w:num>
  <w:num w:numId="19" w16cid:durableId="2044213457">
    <w:abstractNumId w:val="113"/>
  </w:num>
  <w:num w:numId="20" w16cid:durableId="759133681">
    <w:abstractNumId w:val="71"/>
  </w:num>
  <w:num w:numId="21" w16cid:durableId="1545672943">
    <w:abstractNumId w:val="12"/>
  </w:num>
  <w:num w:numId="22" w16cid:durableId="862087476">
    <w:abstractNumId w:val="13"/>
  </w:num>
  <w:num w:numId="23" w16cid:durableId="235433873">
    <w:abstractNumId w:val="26"/>
  </w:num>
  <w:num w:numId="24" w16cid:durableId="1321468031">
    <w:abstractNumId w:val="17"/>
  </w:num>
  <w:num w:numId="25" w16cid:durableId="336687829">
    <w:abstractNumId w:val="54"/>
  </w:num>
  <w:num w:numId="26" w16cid:durableId="252864075">
    <w:abstractNumId w:val="88"/>
  </w:num>
  <w:num w:numId="27" w16cid:durableId="863127553">
    <w:abstractNumId w:val="92"/>
  </w:num>
  <w:num w:numId="28" w16cid:durableId="892277830">
    <w:abstractNumId w:val="30"/>
  </w:num>
  <w:num w:numId="29" w16cid:durableId="461849806">
    <w:abstractNumId w:val="84"/>
  </w:num>
  <w:num w:numId="30" w16cid:durableId="2114785609">
    <w:abstractNumId w:val="95"/>
  </w:num>
  <w:num w:numId="31" w16cid:durableId="1458645629">
    <w:abstractNumId w:val="16"/>
  </w:num>
  <w:num w:numId="32" w16cid:durableId="1662275436">
    <w:abstractNumId w:val="70"/>
  </w:num>
  <w:num w:numId="33" w16cid:durableId="413087141">
    <w:abstractNumId w:val="118"/>
  </w:num>
  <w:num w:numId="34" w16cid:durableId="1406104935">
    <w:abstractNumId w:val="116"/>
  </w:num>
  <w:num w:numId="35" w16cid:durableId="1576738634">
    <w:abstractNumId w:val="120"/>
  </w:num>
  <w:num w:numId="36" w16cid:durableId="1431774432">
    <w:abstractNumId w:val="37"/>
  </w:num>
  <w:num w:numId="37" w16cid:durableId="791636018">
    <w:abstractNumId w:val="115"/>
  </w:num>
  <w:num w:numId="38" w16cid:durableId="1370105476">
    <w:abstractNumId w:val="51"/>
  </w:num>
  <w:num w:numId="39" w16cid:durableId="1982415317">
    <w:abstractNumId w:val="28"/>
  </w:num>
  <w:num w:numId="40" w16cid:durableId="539630711">
    <w:abstractNumId w:val="8"/>
  </w:num>
  <w:num w:numId="41" w16cid:durableId="1278176906">
    <w:abstractNumId w:val="79"/>
  </w:num>
  <w:num w:numId="42" w16cid:durableId="1338381895">
    <w:abstractNumId w:val="62"/>
  </w:num>
  <w:num w:numId="43" w16cid:durableId="439490527">
    <w:abstractNumId w:val="21"/>
  </w:num>
  <w:num w:numId="44" w16cid:durableId="1392848745">
    <w:abstractNumId w:val="49"/>
  </w:num>
  <w:num w:numId="45" w16cid:durableId="18089002">
    <w:abstractNumId w:val="105"/>
  </w:num>
  <w:num w:numId="46" w16cid:durableId="485904176">
    <w:abstractNumId w:val="48"/>
  </w:num>
  <w:num w:numId="47" w16cid:durableId="516508748">
    <w:abstractNumId w:val="20"/>
  </w:num>
  <w:num w:numId="48" w16cid:durableId="664090241">
    <w:abstractNumId w:val="114"/>
  </w:num>
  <w:num w:numId="49" w16cid:durableId="1032849735">
    <w:abstractNumId w:val="0"/>
  </w:num>
  <w:num w:numId="50" w16cid:durableId="618993016">
    <w:abstractNumId w:val="59"/>
  </w:num>
  <w:num w:numId="51" w16cid:durableId="348147896">
    <w:abstractNumId w:val="2"/>
  </w:num>
  <w:num w:numId="52" w16cid:durableId="1276672681">
    <w:abstractNumId w:val="32"/>
  </w:num>
  <w:num w:numId="53" w16cid:durableId="1985426652">
    <w:abstractNumId w:val="39"/>
  </w:num>
  <w:num w:numId="54" w16cid:durableId="1879313724">
    <w:abstractNumId w:val="14"/>
  </w:num>
  <w:num w:numId="55" w16cid:durableId="1730223710">
    <w:abstractNumId w:val="69"/>
  </w:num>
  <w:num w:numId="56" w16cid:durableId="1407915206">
    <w:abstractNumId w:val="1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475342538">
    <w:abstractNumId w:val="19"/>
  </w:num>
  <w:num w:numId="58" w16cid:durableId="613906413">
    <w:abstractNumId w:val="93"/>
  </w:num>
  <w:num w:numId="59" w16cid:durableId="609357455">
    <w:abstractNumId w:val="100"/>
  </w:num>
  <w:num w:numId="60" w16cid:durableId="469565552">
    <w:abstractNumId w:val="87"/>
  </w:num>
  <w:num w:numId="61" w16cid:durableId="69931957">
    <w:abstractNumId w:val="41"/>
  </w:num>
  <w:num w:numId="62" w16cid:durableId="1259286713">
    <w:abstractNumId w:val="45"/>
  </w:num>
  <w:num w:numId="63" w16cid:durableId="1412850985">
    <w:abstractNumId w:val="27"/>
  </w:num>
  <w:num w:numId="64" w16cid:durableId="80878589">
    <w:abstractNumId w:val="80"/>
  </w:num>
  <w:num w:numId="65" w16cid:durableId="1179275368">
    <w:abstractNumId w:val="63"/>
  </w:num>
  <w:num w:numId="66" w16cid:durableId="112751615">
    <w:abstractNumId w:val="77"/>
  </w:num>
  <w:num w:numId="67" w16cid:durableId="481890064">
    <w:abstractNumId w:val="110"/>
  </w:num>
  <w:num w:numId="68" w16cid:durableId="521088886">
    <w:abstractNumId w:val="86"/>
  </w:num>
  <w:num w:numId="69" w16cid:durableId="651258751">
    <w:abstractNumId w:val="7"/>
  </w:num>
  <w:num w:numId="70" w16cid:durableId="1105925252">
    <w:abstractNumId w:val="119"/>
  </w:num>
  <w:num w:numId="71" w16cid:durableId="1711758545">
    <w:abstractNumId w:val="83"/>
  </w:num>
  <w:num w:numId="72" w16cid:durableId="275648705">
    <w:abstractNumId w:val="81"/>
  </w:num>
  <w:num w:numId="73" w16cid:durableId="421296423">
    <w:abstractNumId w:val="61"/>
  </w:num>
  <w:num w:numId="74" w16cid:durableId="760762880">
    <w:abstractNumId w:val="15"/>
  </w:num>
  <w:num w:numId="75" w16cid:durableId="255134269">
    <w:abstractNumId w:val="74"/>
  </w:num>
  <w:num w:numId="76" w16cid:durableId="286356756">
    <w:abstractNumId w:val="78"/>
  </w:num>
  <w:num w:numId="77" w16cid:durableId="1240016305">
    <w:abstractNumId w:val="67"/>
  </w:num>
  <w:num w:numId="78" w16cid:durableId="734937748">
    <w:abstractNumId w:val="29"/>
  </w:num>
  <w:num w:numId="79" w16cid:durableId="1826585727">
    <w:abstractNumId w:val="4"/>
  </w:num>
  <w:num w:numId="80" w16cid:durableId="1392850287">
    <w:abstractNumId w:val="106"/>
  </w:num>
  <w:num w:numId="81" w16cid:durableId="862980101">
    <w:abstractNumId w:val="6"/>
  </w:num>
  <w:num w:numId="82" w16cid:durableId="1480490385">
    <w:abstractNumId w:val="35"/>
  </w:num>
  <w:num w:numId="83" w16cid:durableId="1069617054">
    <w:abstractNumId w:val="1"/>
  </w:num>
  <w:num w:numId="84" w16cid:durableId="194776631">
    <w:abstractNumId w:val="65"/>
  </w:num>
  <w:num w:numId="85" w16cid:durableId="547188617">
    <w:abstractNumId w:val="91"/>
  </w:num>
  <w:num w:numId="86" w16cid:durableId="646251489">
    <w:abstractNumId w:val="111"/>
  </w:num>
  <w:num w:numId="87" w16cid:durableId="1365516914">
    <w:abstractNumId w:val="24"/>
    <w:lvlOverride w:ilvl="0">
      <w:startOverride w:val="1"/>
    </w:lvlOverride>
    <w:lvlOverride w:ilvl="1">
      <w:startOverride w:val="1"/>
    </w:lvlOverride>
    <w:lvlOverride w:ilvl="2">
      <w:startOverride w:val="1"/>
    </w:lvlOverride>
    <w:lvlOverride w:ilvl="3">
      <w:startOverride w:val="1"/>
    </w:lvlOverride>
    <w:lvlOverride w:ilvl="4"/>
    <w:lvlOverride w:ilvl="5"/>
    <w:lvlOverride w:ilvl="6"/>
    <w:lvlOverride w:ilvl="7"/>
    <w:lvlOverride w:ilvl="8"/>
  </w:num>
  <w:num w:numId="88" w16cid:durableId="198488958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16cid:durableId="1972709493">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714889789">
    <w:abstractNumId w:val="11"/>
  </w:num>
  <w:num w:numId="91" w16cid:durableId="594599">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16cid:durableId="1731534047">
    <w:abstractNumId w:val="3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16cid:durableId="589240808">
    <w:abstractNumId w:val="38"/>
    <w:lvlOverride w:ilvl="0">
      <w:startOverride w:val="1"/>
    </w:lvlOverride>
    <w:lvlOverride w:ilvl="1"/>
    <w:lvlOverride w:ilvl="2"/>
    <w:lvlOverride w:ilvl="3"/>
    <w:lvlOverride w:ilvl="4"/>
    <w:lvlOverride w:ilvl="5"/>
    <w:lvlOverride w:ilvl="6"/>
    <w:lvlOverride w:ilvl="7"/>
    <w:lvlOverride w:ilvl="8"/>
  </w:num>
  <w:num w:numId="94" w16cid:durableId="1420829767">
    <w:abstractNumId w:val="98"/>
  </w:num>
  <w:num w:numId="95" w16cid:durableId="1391536685">
    <w:abstractNumId w:val="101"/>
  </w:num>
  <w:num w:numId="96" w16cid:durableId="1768036725">
    <w:abstractNumId w:val="34"/>
  </w:num>
  <w:num w:numId="97" w16cid:durableId="592861694">
    <w:abstractNumId w:val="66"/>
  </w:num>
  <w:num w:numId="98" w16cid:durableId="2036685412">
    <w:abstractNumId w:val="31"/>
  </w:num>
  <w:num w:numId="99" w16cid:durableId="1828129185">
    <w:abstractNumId w:val="104"/>
  </w:num>
  <w:num w:numId="100" w16cid:durableId="504977890">
    <w:abstractNumId w:val="102"/>
  </w:num>
  <w:num w:numId="101" w16cid:durableId="191919294">
    <w:abstractNumId w:val="46"/>
  </w:num>
  <w:num w:numId="102" w16cid:durableId="1688679385">
    <w:abstractNumId w:val="75"/>
  </w:num>
  <w:num w:numId="103" w16cid:durableId="1301879593">
    <w:abstractNumId w:val="112"/>
  </w:num>
  <w:num w:numId="104" w16cid:durableId="572354302">
    <w:abstractNumId w:val="85"/>
  </w:num>
  <w:num w:numId="105" w16cid:durableId="1701854824">
    <w:abstractNumId w:val="22"/>
  </w:num>
  <w:num w:numId="106" w16cid:durableId="1841962446">
    <w:abstractNumId w:val="52"/>
  </w:num>
  <w:num w:numId="107" w16cid:durableId="417407745">
    <w:abstractNumId w:val="117"/>
  </w:num>
  <w:num w:numId="108" w16cid:durableId="142890807">
    <w:abstractNumId w:val="47"/>
  </w:num>
  <w:num w:numId="109" w16cid:durableId="771364794">
    <w:abstractNumId w:val="107"/>
  </w:num>
  <w:num w:numId="110" w16cid:durableId="2035038177">
    <w:abstractNumId w:val="64"/>
  </w:num>
  <w:num w:numId="111" w16cid:durableId="1645114930">
    <w:abstractNumId w:val="76"/>
  </w:num>
  <w:num w:numId="112" w16cid:durableId="719326803">
    <w:abstractNumId w:val="3"/>
  </w:num>
  <w:num w:numId="113" w16cid:durableId="968827025">
    <w:abstractNumId w:val="40"/>
  </w:num>
  <w:num w:numId="114" w16cid:durableId="373963679">
    <w:abstractNumId w:val="109"/>
  </w:num>
  <w:num w:numId="115" w16cid:durableId="2098363086">
    <w:abstractNumId w:val="68"/>
  </w:num>
  <w:num w:numId="116" w16cid:durableId="93747257">
    <w:abstractNumId w:val="82"/>
  </w:num>
  <w:num w:numId="117" w16cid:durableId="1770273141">
    <w:abstractNumId w:val="97"/>
  </w:num>
  <w:num w:numId="118" w16cid:durableId="2073775765">
    <w:abstractNumId w:val="60"/>
  </w:num>
  <w:num w:numId="119" w16cid:durableId="5862359">
    <w:abstractNumId w:val="36"/>
  </w:num>
  <w:num w:numId="120" w16cid:durableId="1147475369">
    <w:abstractNumId w:val="55"/>
  </w:num>
  <w:num w:numId="121" w16cid:durableId="816384080">
    <w:abstractNumId w:val="50"/>
  </w:num>
  <w:num w:numId="122" w16cid:durableId="462694276">
    <w:abstractNumId w:val="96"/>
  </w:num>
  <w:num w:numId="123" w16cid:durableId="1076971798">
    <w:abstractNumId w:val="56"/>
  </w:num>
  <w:numIdMacAtCleanup w:val="12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Kalee Whitehouse">
    <w15:presenceInfo w15:providerId="AD" w15:userId="S::Kwhitehouse@veic.org::166b1708-1691-489c-88d2-bab8364fcf02"/>
  </w15:person>
  <w15:person w15:author="Sam Dent">
    <w15:presenceInfo w15:providerId="AD" w15:userId="S::sdent@veic.org::0f4a558d-ede9-4047-b8f2-a8ee95cd16ea"/>
  </w15:person>
  <w15:person w15:author="Carly Olig">
    <w15:presenceInfo w15:providerId="AD" w15:userId="S::carly.olig@guidehouse.com::219d72ea-1d35-417c-be5b-c8cd21187775"/>
  </w15:person>
  <w15:person w15:author="Rohith Mannam">
    <w15:presenceInfo w15:providerId="AD" w15:userId="S::ROMANNAM@southernco.com::af24cf2a-9918-4e43-9b2d-ed3c70ff1044"/>
  </w15:person>
  <w15:person w15:author="Deirdre Collins">
    <w15:presenceInfo w15:providerId="AD" w15:userId="S::dcollins@veic.org::ffb8928c-5e08-4b28-b95f-16cdcdc06578"/>
  </w15:person>
  <w15:person w15:author="Celia Johnson">
    <w15:presenceInfo w15:providerId="AD" w15:userId="S::celia@celiajohnsonconsulting.com::be8aa05e-b15a-4b54-9adb-63c650608f6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oNotTrackFormatting/>
  <w:defaultTabStop w:val="720"/>
  <w:drawingGridHorizontalSpacing w:val="187"/>
  <w:drawingGridVerticalSpacing w:val="187"/>
  <w:doNotUseMarginsForDrawingGridOrigin/>
  <w:drawingGridHorizontalOrigin w:val="1440"/>
  <w:drawingGridVerticalOrigin w:val="144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F45F0"/>
    <w:rsid w:val="000000C1"/>
    <w:rsid w:val="00000D33"/>
    <w:rsid w:val="00001619"/>
    <w:rsid w:val="00001AF6"/>
    <w:rsid w:val="0000286F"/>
    <w:rsid w:val="00002F9F"/>
    <w:rsid w:val="0000401E"/>
    <w:rsid w:val="0000534F"/>
    <w:rsid w:val="0000579C"/>
    <w:rsid w:val="00005C7E"/>
    <w:rsid w:val="00006B4D"/>
    <w:rsid w:val="00011B14"/>
    <w:rsid w:val="0001344C"/>
    <w:rsid w:val="000134B7"/>
    <w:rsid w:val="000139D1"/>
    <w:rsid w:val="00015F37"/>
    <w:rsid w:val="0001624F"/>
    <w:rsid w:val="00016B3F"/>
    <w:rsid w:val="00017F89"/>
    <w:rsid w:val="00020CE3"/>
    <w:rsid w:val="00022DC1"/>
    <w:rsid w:val="00023D16"/>
    <w:rsid w:val="0002515E"/>
    <w:rsid w:val="00025707"/>
    <w:rsid w:val="00025F84"/>
    <w:rsid w:val="000262D9"/>
    <w:rsid w:val="000304BB"/>
    <w:rsid w:val="00032256"/>
    <w:rsid w:val="00032F08"/>
    <w:rsid w:val="0003426D"/>
    <w:rsid w:val="00035392"/>
    <w:rsid w:val="00035479"/>
    <w:rsid w:val="00036C1A"/>
    <w:rsid w:val="00036D2A"/>
    <w:rsid w:val="00037366"/>
    <w:rsid w:val="000373AD"/>
    <w:rsid w:val="0004226F"/>
    <w:rsid w:val="000432EC"/>
    <w:rsid w:val="000434F9"/>
    <w:rsid w:val="00043A4E"/>
    <w:rsid w:val="000453F9"/>
    <w:rsid w:val="000461F8"/>
    <w:rsid w:val="000464BE"/>
    <w:rsid w:val="00046627"/>
    <w:rsid w:val="00046E8B"/>
    <w:rsid w:val="00046F69"/>
    <w:rsid w:val="000518A8"/>
    <w:rsid w:val="0005254B"/>
    <w:rsid w:val="0005272C"/>
    <w:rsid w:val="00053E1E"/>
    <w:rsid w:val="00054096"/>
    <w:rsid w:val="00054A96"/>
    <w:rsid w:val="00054ABB"/>
    <w:rsid w:val="0005578A"/>
    <w:rsid w:val="000563D8"/>
    <w:rsid w:val="00057EA8"/>
    <w:rsid w:val="00060871"/>
    <w:rsid w:val="00060AED"/>
    <w:rsid w:val="0006133E"/>
    <w:rsid w:val="00061899"/>
    <w:rsid w:val="00061B97"/>
    <w:rsid w:val="00061B99"/>
    <w:rsid w:val="00061EBD"/>
    <w:rsid w:val="000625C5"/>
    <w:rsid w:val="00062CC9"/>
    <w:rsid w:val="00063052"/>
    <w:rsid w:val="00064AC1"/>
    <w:rsid w:val="000655EB"/>
    <w:rsid w:val="00065660"/>
    <w:rsid w:val="00065C25"/>
    <w:rsid w:val="000679C8"/>
    <w:rsid w:val="00067F66"/>
    <w:rsid w:val="000702C6"/>
    <w:rsid w:val="000705D9"/>
    <w:rsid w:val="00070AA2"/>
    <w:rsid w:val="00070D25"/>
    <w:rsid w:val="00071D8E"/>
    <w:rsid w:val="000734D7"/>
    <w:rsid w:val="0007657F"/>
    <w:rsid w:val="000766EB"/>
    <w:rsid w:val="00080076"/>
    <w:rsid w:val="00081407"/>
    <w:rsid w:val="00081686"/>
    <w:rsid w:val="00081B28"/>
    <w:rsid w:val="00082961"/>
    <w:rsid w:val="000844B1"/>
    <w:rsid w:val="00085202"/>
    <w:rsid w:val="0008525A"/>
    <w:rsid w:val="0008618A"/>
    <w:rsid w:val="000864A4"/>
    <w:rsid w:val="00086905"/>
    <w:rsid w:val="00087966"/>
    <w:rsid w:val="000879E1"/>
    <w:rsid w:val="00090632"/>
    <w:rsid w:val="00090AC8"/>
    <w:rsid w:val="00091C9D"/>
    <w:rsid w:val="00092037"/>
    <w:rsid w:val="0009236E"/>
    <w:rsid w:val="00092D03"/>
    <w:rsid w:val="0009338D"/>
    <w:rsid w:val="00093CE4"/>
    <w:rsid w:val="0009467B"/>
    <w:rsid w:val="00094E40"/>
    <w:rsid w:val="0009608D"/>
    <w:rsid w:val="00096F28"/>
    <w:rsid w:val="000A031F"/>
    <w:rsid w:val="000A0927"/>
    <w:rsid w:val="000A0E11"/>
    <w:rsid w:val="000A0EF8"/>
    <w:rsid w:val="000A1B8D"/>
    <w:rsid w:val="000A3112"/>
    <w:rsid w:val="000A335B"/>
    <w:rsid w:val="000A3482"/>
    <w:rsid w:val="000A3E51"/>
    <w:rsid w:val="000A48AC"/>
    <w:rsid w:val="000A4AB9"/>
    <w:rsid w:val="000A4E28"/>
    <w:rsid w:val="000A59DA"/>
    <w:rsid w:val="000A5BCA"/>
    <w:rsid w:val="000A6A2A"/>
    <w:rsid w:val="000A6EF3"/>
    <w:rsid w:val="000A73B3"/>
    <w:rsid w:val="000A790F"/>
    <w:rsid w:val="000A7F94"/>
    <w:rsid w:val="000B16D5"/>
    <w:rsid w:val="000B419E"/>
    <w:rsid w:val="000B4E10"/>
    <w:rsid w:val="000B50B6"/>
    <w:rsid w:val="000B50F7"/>
    <w:rsid w:val="000B5A3C"/>
    <w:rsid w:val="000B7325"/>
    <w:rsid w:val="000B747C"/>
    <w:rsid w:val="000B75B3"/>
    <w:rsid w:val="000B769E"/>
    <w:rsid w:val="000B7E02"/>
    <w:rsid w:val="000C05C2"/>
    <w:rsid w:val="000C0FB7"/>
    <w:rsid w:val="000C1563"/>
    <w:rsid w:val="000C2026"/>
    <w:rsid w:val="000C22C8"/>
    <w:rsid w:val="000C3C34"/>
    <w:rsid w:val="000C5CA2"/>
    <w:rsid w:val="000C7E6C"/>
    <w:rsid w:val="000D05AA"/>
    <w:rsid w:val="000D07D1"/>
    <w:rsid w:val="000D0981"/>
    <w:rsid w:val="000D0C3F"/>
    <w:rsid w:val="000D0C9C"/>
    <w:rsid w:val="000D15D4"/>
    <w:rsid w:val="000D1749"/>
    <w:rsid w:val="000D1754"/>
    <w:rsid w:val="000D2704"/>
    <w:rsid w:val="000D32C1"/>
    <w:rsid w:val="000D3C42"/>
    <w:rsid w:val="000D4035"/>
    <w:rsid w:val="000D44C4"/>
    <w:rsid w:val="000D4E99"/>
    <w:rsid w:val="000D50B0"/>
    <w:rsid w:val="000D50C9"/>
    <w:rsid w:val="000D53C2"/>
    <w:rsid w:val="000D591F"/>
    <w:rsid w:val="000D60ED"/>
    <w:rsid w:val="000D722B"/>
    <w:rsid w:val="000E092A"/>
    <w:rsid w:val="000E1AE8"/>
    <w:rsid w:val="000E3591"/>
    <w:rsid w:val="000E39F5"/>
    <w:rsid w:val="000E3B86"/>
    <w:rsid w:val="000E44E2"/>
    <w:rsid w:val="000E4614"/>
    <w:rsid w:val="000E47F9"/>
    <w:rsid w:val="000E4D36"/>
    <w:rsid w:val="000E556E"/>
    <w:rsid w:val="000E5BFE"/>
    <w:rsid w:val="000F1689"/>
    <w:rsid w:val="000F1D82"/>
    <w:rsid w:val="000F20B8"/>
    <w:rsid w:val="000F2EA0"/>
    <w:rsid w:val="000F40C0"/>
    <w:rsid w:val="000F413D"/>
    <w:rsid w:val="000F5387"/>
    <w:rsid w:val="000F5EA6"/>
    <w:rsid w:val="000F6603"/>
    <w:rsid w:val="000F6BCD"/>
    <w:rsid w:val="000F70BB"/>
    <w:rsid w:val="00101DD6"/>
    <w:rsid w:val="001024FF"/>
    <w:rsid w:val="00103007"/>
    <w:rsid w:val="00103D6E"/>
    <w:rsid w:val="00103F04"/>
    <w:rsid w:val="00103F8E"/>
    <w:rsid w:val="001044D4"/>
    <w:rsid w:val="001055B3"/>
    <w:rsid w:val="00105A4E"/>
    <w:rsid w:val="00105A53"/>
    <w:rsid w:val="00105E45"/>
    <w:rsid w:val="001067C7"/>
    <w:rsid w:val="001067DA"/>
    <w:rsid w:val="00106AA7"/>
    <w:rsid w:val="00107250"/>
    <w:rsid w:val="00107A47"/>
    <w:rsid w:val="00110C08"/>
    <w:rsid w:val="001117D0"/>
    <w:rsid w:val="00111E72"/>
    <w:rsid w:val="00114048"/>
    <w:rsid w:val="0011606E"/>
    <w:rsid w:val="001163A6"/>
    <w:rsid w:val="001178CB"/>
    <w:rsid w:val="00117944"/>
    <w:rsid w:val="00120FC5"/>
    <w:rsid w:val="00121132"/>
    <w:rsid w:val="00121431"/>
    <w:rsid w:val="00122B92"/>
    <w:rsid w:val="00122C10"/>
    <w:rsid w:val="0012367F"/>
    <w:rsid w:val="00123785"/>
    <w:rsid w:val="0012426D"/>
    <w:rsid w:val="001244CC"/>
    <w:rsid w:val="00124BDF"/>
    <w:rsid w:val="0012666A"/>
    <w:rsid w:val="00126E63"/>
    <w:rsid w:val="00127232"/>
    <w:rsid w:val="0013101F"/>
    <w:rsid w:val="001324D2"/>
    <w:rsid w:val="00132535"/>
    <w:rsid w:val="001325F7"/>
    <w:rsid w:val="0013269A"/>
    <w:rsid w:val="001340EB"/>
    <w:rsid w:val="00134452"/>
    <w:rsid w:val="0013487A"/>
    <w:rsid w:val="001356DC"/>
    <w:rsid w:val="00135A70"/>
    <w:rsid w:val="001367EB"/>
    <w:rsid w:val="00137CF3"/>
    <w:rsid w:val="00141AE0"/>
    <w:rsid w:val="00141D95"/>
    <w:rsid w:val="00142225"/>
    <w:rsid w:val="00142B71"/>
    <w:rsid w:val="00143DB8"/>
    <w:rsid w:val="00147739"/>
    <w:rsid w:val="00150568"/>
    <w:rsid w:val="00150EE8"/>
    <w:rsid w:val="0015224B"/>
    <w:rsid w:val="001530E1"/>
    <w:rsid w:val="00154D84"/>
    <w:rsid w:val="00155577"/>
    <w:rsid w:val="00155939"/>
    <w:rsid w:val="00155ECA"/>
    <w:rsid w:val="00157999"/>
    <w:rsid w:val="00160E80"/>
    <w:rsid w:val="00161469"/>
    <w:rsid w:val="00161DE6"/>
    <w:rsid w:val="001621FF"/>
    <w:rsid w:val="001642DB"/>
    <w:rsid w:val="00165117"/>
    <w:rsid w:val="00165605"/>
    <w:rsid w:val="0016681C"/>
    <w:rsid w:val="001702CB"/>
    <w:rsid w:val="001702D1"/>
    <w:rsid w:val="001707DF"/>
    <w:rsid w:val="0017091B"/>
    <w:rsid w:val="00170CD6"/>
    <w:rsid w:val="00170E06"/>
    <w:rsid w:val="001714F0"/>
    <w:rsid w:val="0017267D"/>
    <w:rsid w:val="001729E2"/>
    <w:rsid w:val="001730C9"/>
    <w:rsid w:val="0017327F"/>
    <w:rsid w:val="00173E60"/>
    <w:rsid w:val="00174BAC"/>
    <w:rsid w:val="00174D78"/>
    <w:rsid w:val="001779F0"/>
    <w:rsid w:val="001807F3"/>
    <w:rsid w:val="0018108B"/>
    <w:rsid w:val="00181183"/>
    <w:rsid w:val="0018307B"/>
    <w:rsid w:val="001835BF"/>
    <w:rsid w:val="001852C4"/>
    <w:rsid w:val="0018546C"/>
    <w:rsid w:val="0018640D"/>
    <w:rsid w:val="00186DA6"/>
    <w:rsid w:val="00190A79"/>
    <w:rsid w:val="00190C01"/>
    <w:rsid w:val="001911A1"/>
    <w:rsid w:val="001915FB"/>
    <w:rsid w:val="0019192B"/>
    <w:rsid w:val="001928B8"/>
    <w:rsid w:val="00192EA4"/>
    <w:rsid w:val="00193E27"/>
    <w:rsid w:val="00194436"/>
    <w:rsid w:val="001946C5"/>
    <w:rsid w:val="001948A0"/>
    <w:rsid w:val="0019601B"/>
    <w:rsid w:val="001963FA"/>
    <w:rsid w:val="0019738B"/>
    <w:rsid w:val="001A150A"/>
    <w:rsid w:val="001A1584"/>
    <w:rsid w:val="001A15C9"/>
    <w:rsid w:val="001A1C62"/>
    <w:rsid w:val="001A23DA"/>
    <w:rsid w:val="001A2AE6"/>
    <w:rsid w:val="001A33CE"/>
    <w:rsid w:val="001A367B"/>
    <w:rsid w:val="001A448B"/>
    <w:rsid w:val="001A5325"/>
    <w:rsid w:val="001A6003"/>
    <w:rsid w:val="001A685D"/>
    <w:rsid w:val="001A7FBB"/>
    <w:rsid w:val="001B0479"/>
    <w:rsid w:val="001B07DD"/>
    <w:rsid w:val="001B2274"/>
    <w:rsid w:val="001B35FE"/>
    <w:rsid w:val="001B3A0C"/>
    <w:rsid w:val="001B3C75"/>
    <w:rsid w:val="001B4DF0"/>
    <w:rsid w:val="001B4EEC"/>
    <w:rsid w:val="001B5B91"/>
    <w:rsid w:val="001B6592"/>
    <w:rsid w:val="001B6A87"/>
    <w:rsid w:val="001B7B50"/>
    <w:rsid w:val="001B7E2A"/>
    <w:rsid w:val="001C002F"/>
    <w:rsid w:val="001C02F0"/>
    <w:rsid w:val="001C1921"/>
    <w:rsid w:val="001C192B"/>
    <w:rsid w:val="001C1D67"/>
    <w:rsid w:val="001C1D89"/>
    <w:rsid w:val="001C2A75"/>
    <w:rsid w:val="001C3440"/>
    <w:rsid w:val="001C39E5"/>
    <w:rsid w:val="001C4FD4"/>
    <w:rsid w:val="001C67F1"/>
    <w:rsid w:val="001C6BCF"/>
    <w:rsid w:val="001C7207"/>
    <w:rsid w:val="001D099C"/>
    <w:rsid w:val="001D175F"/>
    <w:rsid w:val="001D229D"/>
    <w:rsid w:val="001D37CF"/>
    <w:rsid w:val="001D4E21"/>
    <w:rsid w:val="001D59C9"/>
    <w:rsid w:val="001D5F6D"/>
    <w:rsid w:val="001D6280"/>
    <w:rsid w:val="001E030E"/>
    <w:rsid w:val="001E043D"/>
    <w:rsid w:val="001E1502"/>
    <w:rsid w:val="001E36E1"/>
    <w:rsid w:val="001E3906"/>
    <w:rsid w:val="001E394F"/>
    <w:rsid w:val="001E3AB3"/>
    <w:rsid w:val="001E3DE9"/>
    <w:rsid w:val="001E41FB"/>
    <w:rsid w:val="001E62E9"/>
    <w:rsid w:val="001E7805"/>
    <w:rsid w:val="001F19BB"/>
    <w:rsid w:val="001F26C9"/>
    <w:rsid w:val="001F2C04"/>
    <w:rsid w:val="001F2E0E"/>
    <w:rsid w:val="001F3733"/>
    <w:rsid w:val="001F410B"/>
    <w:rsid w:val="001F4B09"/>
    <w:rsid w:val="001F5DAC"/>
    <w:rsid w:val="001F5EC5"/>
    <w:rsid w:val="001F6060"/>
    <w:rsid w:val="001F6E6E"/>
    <w:rsid w:val="001F7151"/>
    <w:rsid w:val="001F74B1"/>
    <w:rsid w:val="001F7A04"/>
    <w:rsid w:val="002016E9"/>
    <w:rsid w:val="002022D1"/>
    <w:rsid w:val="002024E6"/>
    <w:rsid w:val="002026D8"/>
    <w:rsid w:val="002031FA"/>
    <w:rsid w:val="00203AB1"/>
    <w:rsid w:val="00203C96"/>
    <w:rsid w:val="00203CEE"/>
    <w:rsid w:val="00203DFD"/>
    <w:rsid w:val="00203E39"/>
    <w:rsid w:val="00204018"/>
    <w:rsid w:val="00204306"/>
    <w:rsid w:val="00204605"/>
    <w:rsid w:val="002046AA"/>
    <w:rsid w:val="00204D05"/>
    <w:rsid w:val="00204D7D"/>
    <w:rsid w:val="00205B3E"/>
    <w:rsid w:val="00206059"/>
    <w:rsid w:val="00206BCD"/>
    <w:rsid w:val="00206E07"/>
    <w:rsid w:val="0021019E"/>
    <w:rsid w:val="0021045B"/>
    <w:rsid w:val="00212CFB"/>
    <w:rsid w:val="00213247"/>
    <w:rsid w:val="00213B92"/>
    <w:rsid w:val="00214813"/>
    <w:rsid w:val="00214A21"/>
    <w:rsid w:val="00215526"/>
    <w:rsid w:val="002169CC"/>
    <w:rsid w:val="00217486"/>
    <w:rsid w:val="0021790A"/>
    <w:rsid w:val="00217943"/>
    <w:rsid w:val="00220ECD"/>
    <w:rsid w:val="002213FE"/>
    <w:rsid w:val="002220E3"/>
    <w:rsid w:val="002221E8"/>
    <w:rsid w:val="00222A3D"/>
    <w:rsid w:val="00223C4F"/>
    <w:rsid w:val="00224488"/>
    <w:rsid w:val="00224A59"/>
    <w:rsid w:val="00224B51"/>
    <w:rsid w:val="00224D62"/>
    <w:rsid w:val="0022520C"/>
    <w:rsid w:val="00225844"/>
    <w:rsid w:val="00225B09"/>
    <w:rsid w:val="00226B65"/>
    <w:rsid w:val="00226CE5"/>
    <w:rsid w:val="00226F02"/>
    <w:rsid w:val="00231AD3"/>
    <w:rsid w:val="002324F1"/>
    <w:rsid w:val="0023389F"/>
    <w:rsid w:val="00235CD9"/>
    <w:rsid w:val="00237E72"/>
    <w:rsid w:val="00240B98"/>
    <w:rsid w:val="00241216"/>
    <w:rsid w:val="002430F1"/>
    <w:rsid w:val="00243706"/>
    <w:rsid w:val="00244FA0"/>
    <w:rsid w:val="00245A4F"/>
    <w:rsid w:val="002465E9"/>
    <w:rsid w:val="00247325"/>
    <w:rsid w:val="00247327"/>
    <w:rsid w:val="00247CB0"/>
    <w:rsid w:val="00247E30"/>
    <w:rsid w:val="00250505"/>
    <w:rsid w:val="0025056E"/>
    <w:rsid w:val="00251BA4"/>
    <w:rsid w:val="00252396"/>
    <w:rsid w:val="00253091"/>
    <w:rsid w:val="00253CD5"/>
    <w:rsid w:val="00254206"/>
    <w:rsid w:val="002549F0"/>
    <w:rsid w:val="002565F3"/>
    <w:rsid w:val="00260B5D"/>
    <w:rsid w:val="00261F7B"/>
    <w:rsid w:val="00262485"/>
    <w:rsid w:val="0026341E"/>
    <w:rsid w:val="00263EE6"/>
    <w:rsid w:val="00264977"/>
    <w:rsid w:val="002650B6"/>
    <w:rsid w:val="00265EDD"/>
    <w:rsid w:val="00266798"/>
    <w:rsid w:val="00266E60"/>
    <w:rsid w:val="00267797"/>
    <w:rsid w:val="00267E9C"/>
    <w:rsid w:val="0027052B"/>
    <w:rsid w:val="00270593"/>
    <w:rsid w:val="002717E0"/>
    <w:rsid w:val="00272524"/>
    <w:rsid w:val="00272780"/>
    <w:rsid w:val="00273950"/>
    <w:rsid w:val="00273CED"/>
    <w:rsid w:val="00273DE8"/>
    <w:rsid w:val="00274055"/>
    <w:rsid w:val="00274234"/>
    <w:rsid w:val="00274570"/>
    <w:rsid w:val="0027476C"/>
    <w:rsid w:val="00274EEA"/>
    <w:rsid w:val="00275452"/>
    <w:rsid w:val="00277C35"/>
    <w:rsid w:val="00277F28"/>
    <w:rsid w:val="00280563"/>
    <w:rsid w:val="00280744"/>
    <w:rsid w:val="00280AFD"/>
    <w:rsid w:val="00280C17"/>
    <w:rsid w:val="00281191"/>
    <w:rsid w:val="0028190F"/>
    <w:rsid w:val="00282C47"/>
    <w:rsid w:val="002835C2"/>
    <w:rsid w:val="002839AC"/>
    <w:rsid w:val="00283F2A"/>
    <w:rsid w:val="00283F7C"/>
    <w:rsid w:val="002844C4"/>
    <w:rsid w:val="00286AD2"/>
    <w:rsid w:val="00286D8D"/>
    <w:rsid w:val="00286F46"/>
    <w:rsid w:val="00286F82"/>
    <w:rsid w:val="002874DE"/>
    <w:rsid w:val="002877F6"/>
    <w:rsid w:val="002921F7"/>
    <w:rsid w:val="00293BB4"/>
    <w:rsid w:val="00293F0D"/>
    <w:rsid w:val="00294832"/>
    <w:rsid w:val="00295F40"/>
    <w:rsid w:val="002966A8"/>
    <w:rsid w:val="002A0EB6"/>
    <w:rsid w:val="002A1364"/>
    <w:rsid w:val="002A1E96"/>
    <w:rsid w:val="002A244B"/>
    <w:rsid w:val="002A3F6A"/>
    <w:rsid w:val="002A575B"/>
    <w:rsid w:val="002A6324"/>
    <w:rsid w:val="002A6844"/>
    <w:rsid w:val="002A79B5"/>
    <w:rsid w:val="002B04A7"/>
    <w:rsid w:val="002B0BFE"/>
    <w:rsid w:val="002B20AC"/>
    <w:rsid w:val="002B20D1"/>
    <w:rsid w:val="002B22C9"/>
    <w:rsid w:val="002B22DD"/>
    <w:rsid w:val="002B40F7"/>
    <w:rsid w:val="002B4B02"/>
    <w:rsid w:val="002B5B70"/>
    <w:rsid w:val="002B600C"/>
    <w:rsid w:val="002B6142"/>
    <w:rsid w:val="002B649F"/>
    <w:rsid w:val="002B6C05"/>
    <w:rsid w:val="002C0679"/>
    <w:rsid w:val="002C15EB"/>
    <w:rsid w:val="002C20D6"/>
    <w:rsid w:val="002C2944"/>
    <w:rsid w:val="002C2C46"/>
    <w:rsid w:val="002C4399"/>
    <w:rsid w:val="002C4AE7"/>
    <w:rsid w:val="002C4D4E"/>
    <w:rsid w:val="002C4E42"/>
    <w:rsid w:val="002C4E58"/>
    <w:rsid w:val="002C6A10"/>
    <w:rsid w:val="002C71B2"/>
    <w:rsid w:val="002C742B"/>
    <w:rsid w:val="002D0194"/>
    <w:rsid w:val="002D0808"/>
    <w:rsid w:val="002D0D75"/>
    <w:rsid w:val="002D14FD"/>
    <w:rsid w:val="002D17B2"/>
    <w:rsid w:val="002D2B92"/>
    <w:rsid w:val="002D31C1"/>
    <w:rsid w:val="002D34C2"/>
    <w:rsid w:val="002D3721"/>
    <w:rsid w:val="002D48A9"/>
    <w:rsid w:val="002D4A93"/>
    <w:rsid w:val="002D4EF6"/>
    <w:rsid w:val="002D645D"/>
    <w:rsid w:val="002D65D1"/>
    <w:rsid w:val="002E0323"/>
    <w:rsid w:val="002E0477"/>
    <w:rsid w:val="002E0F70"/>
    <w:rsid w:val="002E1BEA"/>
    <w:rsid w:val="002E3906"/>
    <w:rsid w:val="002E39A7"/>
    <w:rsid w:val="002E3FF8"/>
    <w:rsid w:val="002E55B8"/>
    <w:rsid w:val="002E6AF7"/>
    <w:rsid w:val="002E73F6"/>
    <w:rsid w:val="002F0218"/>
    <w:rsid w:val="002F08CB"/>
    <w:rsid w:val="002F0D43"/>
    <w:rsid w:val="002F1806"/>
    <w:rsid w:val="002F1A77"/>
    <w:rsid w:val="002F1B29"/>
    <w:rsid w:val="002F1CB0"/>
    <w:rsid w:val="002F2084"/>
    <w:rsid w:val="002F27B8"/>
    <w:rsid w:val="002F2921"/>
    <w:rsid w:val="002F38AF"/>
    <w:rsid w:val="002F3FAE"/>
    <w:rsid w:val="002F45D7"/>
    <w:rsid w:val="002F5F3E"/>
    <w:rsid w:val="002F611F"/>
    <w:rsid w:val="002F6405"/>
    <w:rsid w:val="002F6880"/>
    <w:rsid w:val="002F7496"/>
    <w:rsid w:val="00300167"/>
    <w:rsid w:val="00302E75"/>
    <w:rsid w:val="0030304B"/>
    <w:rsid w:val="00303454"/>
    <w:rsid w:val="003038BE"/>
    <w:rsid w:val="003050C5"/>
    <w:rsid w:val="00305711"/>
    <w:rsid w:val="00306225"/>
    <w:rsid w:val="00306398"/>
    <w:rsid w:val="0030676F"/>
    <w:rsid w:val="00306A9E"/>
    <w:rsid w:val="00307511"/>
    <w:rsid w:val="00307A3B"/>
    <w:rsid w:val="003102F6"/>
    <w:rsid w:val="00310E4C"/>
    <w:rsid w:val="00313563"/>
    <w:rsid w:val="00314B38"/>
    <w:rsid w:val="00314F69"/>
    <w:rsid w:val="00315B12"/>
    <w:rsid w:val="0031601D"/>
    <w:rsid w:val="00316123"/>
    <w:rsid w:val="0031625E"/>
    <w:rsid w:val="00316AEC"/>
    <w:rsid w:val="003172AD"/>
    <w:rsid w:val="00320830"/>
    <w:rsid w:val="00320903"/>
    <w:rsid w:val="0032131C"/>
    <w:rsid w:val="00321BCF"/>
    <w:rsid w:val="00321E92"/>
    <w:rsid w:val="00321FE2"/>
    <w:rsid w:val="00322247"/>
    <w:rsid w:val="003232E8"/>
    <w:rsid w:val="00323344"/>
    <w:rsid w:val="0032344E"/>
    <w:rsid w:val="00324C7B"/>
    <w:rsid w:val="00325727"/>
    <w:rsid w:val="00325F1A"/>
    <w:rsid w:val="00330E35"/>
    <w:rsid w:val="00330F3C"/>
    <w:rsid w:val="003334BA"/>
    <w:rsid w:val="00336E49"/>
    <w:rsid w:val="00337A3E"/>
    <w:rsid w:val="0034241A"/>
    <w:rsid w:val="003435BE"/>
    <w:rsid w:val="003449FC"/>
    <w:rsid w:val="0034755A"/>
    <w:rsid w:val="003504D5"/>
    <w:rsid w:val="003510A9"/>
    <w:rsid w:val="00352468"/>
    <w:rsid w:val="00352A0B"/>
    <w:rsid w:val="00352F85"/>
    <w:rsid w:val="00353082"/>
    <w:rsid w:val="0035331F"/>
    <w:rsid w:val="00354014"/>
    <w:rsid w:val="003557B0"/>
    <w:rsid w:val="003570AE"/>
    <w:rsid w:val="00357311"/>
    <w:rsid w:val="003577C7"/>
    <w:rsid w:val="003577EB"/>
    <w:rsid w:val="0035792D"/>
    <w:rsid w:val="00357F90"/>
    <w:rsid w:val="003606F7"/>
    <w:rsid w:val="00360BD1"/>
    <w:rsid w:val="00360FD6"/>
    <w:rsid w:val="003612B2"/>
    <w:rsid w:val="00361A95"/>
    <w:rsid w:val="00361CEC"/>
    <w:rsid w:val="003622E5"/>
    <w:rsid w:val="00363468"/>
    <w:rsid w:val="003635D9"/>
    <w:rsid w:val="003639BC"/>
    <w:rsid w:val="00363D4B"/>
    <w:rsid w:val="00364240"/>
    <w:rsid w:val="003652F4"/>
    <w:rsid w:val="003653CE"/>
    <w:rsid w:val="00365451"/>
    <w:rsid w:val="00365524"/>
    <w:rsid w:val="0036562E"/>
    <w:rsid w:val="00367CDE"/>
    <w:rsid w:val="00370310"/>
    <w:rsid w:val="00370F99"/>
    <w:rsid w:val="003721C5"/>
    <w:rsid w:val="00372A7C"/>
    <w:rsid w:val="00373693"/>
    <w:rsid w:val="00373887"/>
    <w:rsid w:val="00373989"/>
    <w:rsid w:val="00374B29"/>
    <w:rsid w:val="00374D4B"/>
    <w:rsid w:val="00374E89"/>
    <w:rsid w:val="00374FEB"/>
    <w:rsid w:val="00375534"/>
    <w:rsid w:val="00376D0F"/>
    <w:rsid w:val="003775E3"/>
    <w:rsid w:val="00377D5A"/>
    <w:rsid w:val="00381B5A"/>
    <w:rsid w:val="003820B7"/>
    <w:rsid w:val="003826F0"/>
    <w:rsid w:val="003828AE"/>
    <w:rsid w:val="00382EF3"/>
    <w:rsid w:val="003834A5"/>
    <w:rsid w:val="00384389"/>
    <w:rsid w:val="00384A5F"/>
    <w:rsid w:val="00385575"/>
    <w:rsid w:val="00385BBC"/>
    <w:rsid w:val="003864D0"/>
    <w:rsid w:val="00386A5E"/>
    <w:rsid w:val="003871A0"/>
    <w:rsid w:val="00387CBD"/>
    <w:rsid w:val="00392314"/>
    <w:rsid w:val="0039235B"/>
    <w:rsid w:val="00392B07"/>
    <w:rsid w:val="0039335D"/>
    <w:rsid w:val="003936FB"/>
    <w:rsid w:val="00394675"/>
    <w:rsid w:val="00394E3C"/>
    <w:rsid w:val="0039559A"/>
    <w:rsid w:val="003968A2"/>
    <w:rsid w:val="00397A35"/>
    <w:rsid w:val="003A00CE"/>
    <w:rsid w:val="003A1184"/>
    <w:rsid w:val="003A166E"/>
    <w:rsid w:val="003A1B6A"/>
    <w:rsid w:val="003A2900"/>
    <w:rsid w:val="003A2F1E"/>
    <w:rsid w:val="003A432A"/>
    <w:rsid w:val="003A6051"/>
    <w:rsid w:val="003A609B"/>
    <w:rsid w:val="003A6279"/>
    <w:rsid w:val="003A70B4"/>
    <w:rsid w:val="003A760F"/>
    <w:rsid w:val="003A7F19"/>
    <w:rsid w:val="003B071F"/>
    <w:rsid w:val="003B07B8"/>
    <w:rsid w:val="003B1236"/>
    <w:rsid w:val="003B1914"/>
    <w:rsid w:val="003B1C2C"/>
    <w:rsid w:val="003B20AC"/>
    <w:rsid w:val="003B2150"/>
    <w:rsid w:val="003B31D1"/>
    <w:rsid w:val="003B4111"/>
    <w:rsid w:val="003B4BAA"/>
    <w:rsid w:val="003B4E92"/>
    <w:rsid w:val="003B5AC3"/>
    <w:rsid w:val="003B5BAF"/>
    <w:rsid w:val="003B60AE"/>
    <w:rsid w:val="003B6453"/>
    <w:rsid w:val="003B67D7"/>
    <w:rsid w:val="003B7691"/>
    <w:rsid w:val="003C0260"/>
    <w:rsid w:val="003C043F"/>
    <w:rsid w:val="003C1006"/>
    <w:rsid w:val="003C16D5"/>
    <w:rsid w:val="003C1985"/>
    <w:rsid w:val="003C23BE"/>
    <w:rsid w:val="003C2A0B"/>
    <w:rsid w:val="003C323D"/>
    <w:rsid w:val="003C34A1"/>
    <w:rsid w:val="003C3AF6"/>
    <w:rsid w:val="003C3B29"/>
    <w:rsid w:val="003C4059"/>
    <w:rsid w:val="003C426F"/>
    <w:rsid w:val="003C51B3"/>
    <w:rsid w:val="003C70AF"/>
    <w:rsid w:val="003D0652"/>
    <w:rsid w:val="003D1145"/>
    <w:rsid w:val="003D2E9B"/>
    <w:rsid w:val="003D2F10"/>
    <w:rsid w:val="003D3504"/>
    <w:rsid w:val="003D57B8"/>
    <w:rsid w:val="003D597D"/>
    <w:rsid w:val="003D5FFE"/>
    <w:rsid w:val="003D6027"/>
    <w:rsid w:val="003D6938"/>
    <w:rsid w:val="003D6EEB"/>
    <w:rsid w:val="003D76B4"/>
    <w:rsid w:val="003D7B7A"/>
    <w:rsid w:val="003D7D26"/>
    <w:rsid w:val="003E086A"/>
    <w:rsid w:val="003E29BC"/>
    <w:rsid w:val="003E29E0"/>
    <w:rsid w:val="003E2B14"/>
    <w:rsid w:val="003E3066"/>
    <w:rsid w:val="003E339E"/>
    <w:rsid w:val="003E422F"/>
    <w:rsid w:val="003E5686"/>
    <w:rsid w:val="003E63ED"/>
    <w:rsid w:val="003E64BC"/>
    <w:rsid w:val="003F0455"/>
    <w:rsid w:val="003F054D"/>
    <w:rsid w:val="003F0CB2"/>
    <w:rsid w:val="003F12AE"/>
    <w:rsid w:val="003F1474"/>
    <w:rsid w:val="003F195D"/>
    <w:rsid w:val="003F1A40"/>
    <w:rsid w:val="003F3071"/>
    <w:rsid w:val="003F41F4"/>
    <w:rsid w:val="003F47CA"/>
    <w:rsid w:val="003F4FA9"/>
    <w:rsid w:val="003F5722"/>
    <w:rsid w:val="003F6897"/>
    <w:rsid w:val="003F6BF4"/>
    <w:rsid w:val="0040122C"/>
    <w:rsid w:val="00401C11"/>
    <w:rsid w:val="00401E6A"/>
    <w:rsid w:val="00402197"/>
    <w:rsid w:val="004029D7"/>
    <w:rsid w:val="0040301E"/>
    <w:rsid w:val="00403839"/>
    <w:rsid w:val="00404104"/>
    <w:rsid w:val="00405282"/>
    <w:rsid w:val="00405D57"/>
    <w:rsid w:val="004076F0"/>
    <w:rsid w:val="00410843"/>
    <w:rsid w:val="00413588"/>
    <w:rsid w:val="00413CD2"/>
    <w:rsid w:val="00415348"/>
    <w:rsid w:val="00416245"/>
    <w:rsid w:val="004166B8"/>
    <w:rsid w:val="004170F3"/>
    <w:rsid w:val="0042027D"/>
    <w:rsid w:val="004213F4"/>
    <w:rsid w:val="00421472"/>
    <w:rsid w:val="00421E4C"/>
    <w:rsid w:val="00421F3F"/>
    <w:rsid w:val="00422B2B"/>
    <w:rsid w:val="00422D8D"/>
    <w:rsid w:val="0042379D"/>
    <w:rsid w:val="00425155"/>
    <w:rsid w:val="00425450"/>
    <w:rsid w:val="00425B02"/>
    <w:rsid w:val="00425B13"/>
    <w:rsid w:val="00426AA0"/>
    <w:rsid w:val="00426B11"/>
    <w:rsid w:val="00427169"/>
    <w:rsid w:val="00427C9E"/>
    <w:rsid w:val="00431319"/>
    <w:rsid w:val="00432404"/>
    <w:rsid w:val="00432C98"/>
    <w:rsid w:val="00432D8F"/>
    <w:rsid w:val="00433604"/>
    <w:rsid w:val="004339B0"/>
    <w:rsid w:val="00433B1F"/>
    <w:rsid w:val="00433B40"/>
    <w:rsid w:val="0043428C"/>
    <w:rsid w:val="00434468"/>
    <w:rsid w:val="00434617"/>
    <w:rsid w:val="0043515D"/>
    <w:rsid w:val="00435E4E"/>
    <w:rsid w:val="00436F6A"/>
    <w:rsid w:val="00437747"/>
    <w:rsid w:val="004400C6"/>
    <w:rsid w:val="00440190"/>
    <w:rsid w:val="00440294"/>
    <w:rsid w:val="00441319"/>
    <w:rsid w:val="0044139D"/>
    <w:rsid w:val="004420B7"/>
    <w:rsid w:val="00443148"/>
    <w:rsid w:val="0044322C"/>
    <w:rsid w:val="00443764"/>
    <w:rsid w:val="00444040"/>
    <w:rsid w:val="004466CE"/>
    <w:rsid w:val="00450635"/>
    <w:rsid w:val="004524C0"/>
    <w:rsid w:val="004545AC"/>
    <w:rsid w:val="00455018"/>
    <w:rsid w:val="00456D5C"/>
    <w:rsid w:val="0046069B"/>
    <w:rsid w:val="00462C4A"/>
    <w:rsid w:val="00464032"/>
    <w:rsid w:val="00464D9A"/>
    <w:rsid w:val="004667E5"/>
    <w:rsid w:val="004671FE"/>
    <w:rsid w:val="00467C1F"/>
    <w:rsid w:val="00467C53"/>
    <w:rsid w:val="00470182"/>
    <w:rsid w:val="00470A15"/>
    <w:rsid w:val="00470FC7"/>
    <w:rsid w:val="0047124E"/>
    <w:rsid w:val="00473001"/>
    <w:rsid w:val="004734E6"/>
    <w:rsid w:val="00473F4D"/>
    <w:rsid w:val="00473F64"/>
    <w:rsid w:val="0047499E"/>
    <w:rsid w:val="00474AB2"/>
    <w:rsid w:val="00474AB4"/>
    <w:rsid w:val="00476341"/>
    <w:rsid w:val="0047636F"/>
    <w:rsid w:val="0047678F"/>
    <w:rsid w:val="0047695F"/>
    <w:rsid w:val="00476EE2"/>
    <w:rsid w:val="004807D2"/>
    <w:rsid w:val="00480830"/>
    <w:rsid w:val="00480A8E"/>
    <w:rsid w:val="004823FD"/>
    <w:rsid w:val="004827FE"/>
    <w:rsid w:val="00482E90"/>
    <w:rsid w:val="00483208"/>
    <w:rsid w:val="00483CB2"/>
    <w:rsid w:val="00483E45"/>
    <w:rsid w:val="00483F0C"/>
    <w:rsid w:val="004841F9"/>
    <w:rsid w:val="00484947"/>
    <w:rsid w:val="00487124"/>
    <w:rsid w:val="00487573"/>
    <w:rsid w:val="00487963"/>
    <w:rsid w:val="00490485"/>
    <w:rsid w:val="0049078F"/>
    <w:rsid w:val="00490A4E"/>
    <w:rsid w:val="00490DCC"/>
    <w:rsid w:val="00491711"/>
    <w:rsid w:val="00491DCE"/>
    <w:rsid w:val="00491F87"/>
    <w:rsid w:val="00492A03"/>
    <w:rsid w:val="004932BB"/>
    <w:rsid w:val="004934B2"/>
    <w:rsid w:val="00494CDE"/>
    <w:rsid w:val="00495313"/>
    <w:rsid w:val="004954B0"/>
    <w:rsid w:val="00495522"/>
    <w:rsid w:val="0049656D"/>
    <w:rsid w:val="00497213"/>
    <w:rsid w:val="00497572"/>
    <w:rsid w:val="004977E2"/>
    <w:rsid w:val="00497942"/>
    <w:rsid w:val="004A024C"/>
    <w:rsid w:val="004A08A4"/>
    <w:rsid w:val="004A1C45"/>
    <w:rsid w:val="004A1CB8"/>
    <w:rsid w:val="004A2FB7"/>
    <w:rsid w:val="004A4EE1"/>
    <w:rsid w:val="004A5B87"/>
    <w:rsid w:val="004A6150"/>
    <w:rsid w:val="004A65F4"/>
    <w:rsid w:val="004A6AE6"/>
    <w:rsid w:val="004A6D83"/>
    <w:rsid w:val="004B15E8"/>
    <w:rsid w:val="004B1603"/>
    <w:rsid w:val="004B32A2"/>
    <w:rsid w:val="004B421A"/>
    <w:rsid w:val="004B4490"/>
    <w:rsid w:val="004B5689"/>
    <w:rsid w:val="004B7046"/>
    <w:rsid w:val="004B7196"/>
    <w:rsid w:val="004B78C1"/>
    <w:rsid w:val="004B7EA6"/>
    <w:rsid w:val="004C0471"/>
    <w:rsid w:val="004C0E78"/>
    <w:rsid w:val="004C148F"/>
    <w:rsid w:val="004C1BB4"/>
    <w:rsid w:val="004C1E23"/>
    <w:rsid w:val="004C3487"/>
    <w:rsid w:val="004C41B5"/>
    <w:rsid w:val="004C4267"/>
    <w:rsid w:val="004C50FE"/>
    <w:rsid w:val="004C57BD"/>
    <w:rsid w:val="004C5F8D"/>
    <w:rsid w:val="004C6478"/>
    <w:rsid w:val="004C67DC"/>
    <w:rsid w:val="004C6FED"/>
    <w:rsid w:val="004C7EED"/>
    <w:rsid w:val="004D0A3F"/>
    <w:rsid w:val="004D0A65"/>
    <w:rsid w:val="004D12DD"/>
    <w:rsid w:val="004D1B5D"/>
    <w:rsid w:val="004D1D19"/>
    <w:rsid w:val="004D27E9"/>
    <w:rsid w:val="004D3742"/>
    <w:rsid w:val="004D38F5"/>
    <w:rsid w:val="004D64A7"/>
    <w:rsid w:val="004D7083"/>
    <w:rsid w:val="004D71A2"/>
    <w:rsid w:val="004E1AFC"/>
    <w:rsid w:val="004E2F34"/>
    <w:rsid w:val="004E3AA2"/>
    <w:rsid w:val="004E3C08"/>
    <w:rsid w:val="004E3CD0"/>
    <w:rsid w:val="004E3F24"/>
    <w:rsid w:val="004E406A"/>
    <w:rsid w:val="004E522B"/>
    <w:rsid w:val="004E571C"/>
    <w:rsid w:val="004E5B40"/>
    <w:rsid w:val="004E5FE2"/>
    <w:rsid w:val="004F06D7"/>
    <w:rsid w:val="004F1051"/>
    <w:rsid w:val="004F1FDC"/>
    <w:rsid w:val="004F21F7"/>
    <w:rsid w:val="004F24DD"/>
    <w:rsid w:val="004F254B"/>
    <w:rsid w:val="004F3E93"/>
    <w:rsid w:val="004F678C"/>
    <w:rsid w:val="004F7320"/>
    <w:rsid w:val="0050055F"/>
    <w:rsid w:val="005007F1"/>
    <w:rsid w:val="00504A45"/>
    <w:rsid w:val="00504D5C"/>
    <w:rsid w:val="00505035"/>
    <w:rsid w:val="005059E5"/>
    <w:rsid w:val="00505DE2"/>
    <w:rsid w:val="0050694D"/>
    <w:rsid w:val="00506A44"/>
    <w:rsid w:val="00506AC4"/>
    <w:rsid w:val="00507878"/>
    <w:rsid w:val="00507A81"/>
    <w:rsid w:val="00510542"/>
    <w:rsid w:val="00510BB8"/>
    <w:rsid w:val="00510FDC"/>
    <w:rsid w:val="00511A61"/>
    <w:rsid w:val="00513429"/>
    <w:rsid w:val="00513BB4"/>
    <w:rsid w:val="00513FC1"/>
    <w:rsid w:val="00514468"/>
    <w:rsid w:val="005144B7"/>
    <w:rsid w:val="005144B9"/>
    <w:rsid w:val="00514DC5"/>
    <w:rsid w:val="005152EB"/>
    <w:rsid w:val="00515441"/>
    <w:rsid w:val="005159C1"/>
    <w:rsid w:val="005165E4"/>
    <w:rsid w:val="005166A5"/>
    <w:rsid w:val="00516722"/>
    <w:rsid w:val="00520B04"/>
    <w:rsid w:val="00521146"/>
    <w:rsid w:val="0052139D"/>
    <w:rsid w:val="00521764"/>
    <w:rsid w:val="00522F83"/>
    <w:rsid w:val="00523200"/>
    <w:rsid w:val="0052331B"/>
    <w:rsid w:val="00524367"/>
    <w:rsid w:val="005247E1"/>
    <w:rsid w:val="00527271"/>
    <w:rsid w:val="005279AF"/>
    <w:rsid w:val="00531351"/>
    <w:rsid w:val="00532C57"/>
    <w:rsid w:val="00534688"/>
    <w:rsid w:val="005347FB"/>
    <w:rsid w:val="00534DD0"/>
    <w:rsid w:val="00535FFF"/>
    <w:rsid w:val="005363E9"/>
    <w:rsid w:val="005367D6"/>
    <w:rsid w:val="005374DC"/>
    <w:rsid w:val="00540342"/>
    <w:rsid w:val="0054071F"/>
    <w:rsid w:val="00540730"/>
    <w:rsid w:val="00541365"/>
    <w:rsid w:val="00541879"/>
    <w:rsid w:val="00541A34"/>
    <w:rsid w:val="005421F3"/>
    <w:rsid w:val="0054225A"/>
    <w:rsid w:val="005442ED"/>
    <w:rsid w:val="005459AB"/>
    <w:rsid w:val="00546167"/>
    <w:rsid w:val="005463F1"/>
    <w:rsid w:val="005472A0"/>
    <w:rsid w:val="00550BE0"/>
    <w:rsid w:val="00551344"/>
    <w:rsid w:val="00551405"/>
    <w:rsid w:val="005518FC"/>
    <w:rsid w:val="00552A7C"/>
    <w:rsid w:val="00553021"/>
    <w:rsid w:val="005535C2"/>
    <w:rsid w:val="00554AA1"/>
    <w:rsid w:val="00555F0F"/>
    <w:rsid w:val="00556AF4"/>
    <w:rsid w:val="00556BF5"/>
    <w:rsid w:val="0055703E"/>
    <w:rsid w:val="0056092E"/>
    <w:rsid w:val="00561644"/>
    <w:rsid w:val="0056169C"/>
    <w:rsid w:val="00561AD5"/>
    <w:rsid w:val="00561F40"/>
    <w:rsid w:val="005628BE"/>
    <w:rsid w:val="0056379F"/>
    <w:rsid w:val="00563A0F"/>
    <w:rsid w:val="00563B97"/>
    <w:rsid w:val="0056491B"/>
    <w:rsid w:val="00564940"/>
    <w:rsid w:val="005661E4"/>
    <w:rsid w:val="00566238"/>
    <w:rsid w:val="00566AFA"/>
    <w:rsid w:val="00566BE4"/>
    <w:rsid w:val="00567086"/>
    <w:rsid w:val="005671DE"/>
    <w:rsid w:val="00567236"/>
    <w:rsid w:val="00570F5C"/>
    <w:rsid w:val="005715D6"/>
    <w:rsid w:val="005716DB"/>
    <w:rsid w:val="005728DF"/>
    <w:rsid w:val="00573A1D"/>
    <w:rsid w:val="00573DDC"/>
    <w:rsid w:val="0057411C"/>
    <w:rsid w:val="0057576B"/>
    <w:rsid w:val="005757E2"/>
    <w:rsid w:val="00575E3D"/>
    <w:rsid w:val="00576BBD"/>
    <w:rsid w:val="00580912"/>
    <w:rsid w:val="00580B29"/>
    <w:rsid w:val="00581C37"/>
    <w:rsid w:val="00583016"/>
    <w:rsid w:val="0058344C"/>
    <w:rsid w:val="00584334"/>
    <w:rsid w:val="00585A8E"/>
    <w:rsid w:val="00585C18"/>
    <w:rsid w:val="00585DF4"/>
    <w:rsid w:val="00587176"/>
    <w:rsid w:val="005872DB"/>
    <w:rsid w:val="00593CBE"/>
    <w:rsid w:val="00594226"/>
    <w:rsid w:val="005943DA"/>
    <w:rsid w:val="00594979"/>
    <w:rsid w:val="00596BCB"/>
    <w:rsid w:val="00596E38"/>
    <w:rsid w:val="00597313"/>
    <w:rsid w:val="005A0545"/>
    <w:rsid w:val="005A06B3"/>
    <w:rsid w:val="005A0B32"/>
    <w:rsid w:val="005A1CDE"/>
    <w:rsid w:val="005A2459"/>
    <w:rsid w:val="005A4501"/>
    <w:rsid w:val="005A4F02"/>
    <w:rsid w:val="005A5137"/>
    <w:rsid w:val="005A56DF"/>
    <w:rsid w:val="005A5D75"/>
    <w:rsid w:val="005A64BA"/>
    <w:rsid w:val="005A6AAA"/>
    <w:rsid w:val="005A747D"/>
    <w:rsid w:val="005A7CAB"/>
    <w:rsid w:val="005A7E29"/>
    <w:rsid w:val="005B123A"/>
    <w:rsid w:val="005B145C"/>
    <w:rsid w:val="005B157F"/>
    <w:rsid w:val="005B1963"/>
    <w:rsid w:val="005B377A"/>
    <w:rsid w:val="005B5469"/>
    <w:rsid w:val="005B596C"/>
    <w:rsid w:val="005B6C16"/>
    <w:rsid w:val="005B6EE0"/>
    <w:rsid w:val="005C0031"/>
    <w:rsid w:val="005C15EF"/>
    <w:rsid w:val="005C28B7"/>
    <w:rsid w:val="005C2E24"/>
    <w:rsid w:val="005C4498"/>
    <w:rsid w:val="005C51BD"/>
    <w:rsid w:val="005C5C47"/>
    <w:rsid w:val="005C6295"/>
    <w:rsid w:val="005C6361"/>
    <w:rsid w:val="005C6522"/>
    <w:rsid w:val="005D053F"/>
    <w:rsid w:val="005D0660"/>
    <w:rsid w:val="005D0D50"/>
    <w:rsid w:val="005D1BE3"/>
    <w:rsid w:val="005D290F"/>
    <w:rsid w:val="005D3C69"/>
    <w:rsid w:val="005D3EC8"/>
    <w:rsid w:val="005D3FA2"/>
    <w:rsid w:val="005D645D"/>
    <w:rsid w:val="005E0B51"/>
    <w:rsid w:val="005E1424"/>
    <w:rsid w:val="005E2467"/>
    <w:rsid w:val="005E3BAE"/>
    <w:rsid w:val="005E44B0"/>
    <w:rsid w:val="005E4635"/>
    <w:rsid w:val="005E46B3"/>
    <w:rsid w:val="005E598D"/>
    <w:rsid w:val="005E68B3"/>
    <w:rsid w:val="005E7FB1"/>
    <w:rsid w:val="005F1A90"/>
    <w:rsid w:val="005F2D93"/>
    <w:rsid w:val="005F315F"/>
    <w:rsid w:val="005F3230"/>
    <w:rsid w:val="005F3415"/>
    <w:rsid w:val="005F34A3"/>
    <w:rsid w:val="005F393D"/>
    <w:rsid w:val="005F3B9A"/>
    <w:rsid w:val="005F42F9"/>
    <w:rsid w:val="005F666B"/>
    <w:rsid w:val="005F66B9"/>
    <w:rsid w:val="005F75FF"/>
    <w:rsid w:val="005F76E1"/>
    <w:rsid w:val="005F7819"/>
    <w:rsid w:val="00600955"/>
    <w:rsid w:val="00600CE9"/>
    <w:rsid w:val="006010F2"/>
    <w:rsid w:val="00601296"/>
    <w:rsid w:val="0060185E"/>
    <w:rsid w:val="00601FBC"/>
    <w:rsid w:val="00602105"/>
    <w:rsid w:val="006022FB"/>
    <w:rsid w:val="006039C4"/>
    <w:rsid w:val="006049C0"/>
    <w:rsid w:val="00605245"/>
    <w:rsid w:val="00605726"/>
    <w:rsid w:val="006066FD"/>
    <w:rsid w:val="00607D38"/>
    <w:rsid w:val="0061018C"/>
    <w:rsid w:val="00611B17"/>
    <w:rsid w:val="00611B51"/>
    <w:rsid w:val="00612862"/>
    <w:rsid w:val="00612CF0"/>
    <w:rsid w:val="006131C6"/>
    <w:rsid w:val="006140B9"/>
    <w:rsid w:val="006141F9"/>
    <w:rsid w:val="006144F3"/>
    <w:rsid w:val="006147DB"/>
    <w:rsid w:val="00614D38"/>
    <w:rsid w:val="0061586D"/>
    <w:rsid w:val="00615AD2"/>
    <w:rsid w:val="00615B0A"/>
    <w:rsid w:val="006168A5"/>
    <w:rsid w:val="00617A34"/>
    <w:rsid w:val="006206B1"/>
    <w:rsid w:val="00621E1A"/>
    <w:rsid w:val="00622827"/>
    <w:rsid w:val="006229B4"/>
    <w:rsid w:val="00624685"/>
    <w:rsid w:val="006253D1"/>
    <w:rsid w:val="00625D2D"/>
    <w:rsid w:val="00626E4B"/>
    <w:rsid w:val="006278E6"/>
    <w:rsid w:val="006300C6"/>
    <w:rsid w:val="006308CC"/>
    <w:rsid w:val="006310BF"/>
    <w:rsid w:val="00631730"/>
    <w:rsid w:val="006320E4"/>
    <w:rsid w:val="00632672"/>
    <w:rsid w:val="006331B4"/>
    <w:rsid w:val="006332C9"/>
    <w:rsid w:val="006336B1"/>
    <w:rsid w:val="00634B17"/>
    <w:rsid w:val="0063614D"/>
    <w:rsid w:val="006361BB"/>
    <w:rsid w:val="00637049"/>
    <w:rsid w:val="00637091"/>
    <w:rsid w:val="00637C4A"/>
    <w:rsid w:val="006409C2"/>
    <w:rsid w:val="00640AB8"/>
    <w:rsid w:val="0064141F"/>
    <w:rsid w:val="00643878"/>
    <w:rsid w:val="00645148"/>
    <w:rsid w:val="006458AA"/>
    <w:rsid w:val="00645A06"/>
    <w:rsid w:val="00647166"/>
    <w:rsid w:val="006471DE"/>
    <w:rsid w:val="00647337"/>
    <w:rsid w:val="00647DC2"/>
    <w:rsid w:val="00650B3B"/>
    <w:rsid w:val="006512F3"/>
    <w:rsid w:val="00651824"/>
    <w:rsid w:val="00652688"/>
    <w:rsid w:val="00653D6A"/>
    <w:rsid w:val="00654511"/>
    <w:rsid w:val="00654D0F"/>
    <w:rsid w:val="00656111"/>
    <w:rsid w:val="006564B3"/>
    <w:rsid w:val="006567E4"/>
    <w:rsid w:val="00657D24"/>
    <w:rsid w:val="006613C6"/>
    <w:rsid w:val="006623CD"/>
    <w:rsid w:val="006625FB"/>
    <w:rsid w:val="006646E2"/>
    <w:rsid w:val="00664D4F"/>
    <w:rsid w:val="00664DD7"/>
    <w:rsid w:val="00664F91"/>
    <w:rsid w:val="006654D2"/>
    <w:rsid w:val="006662E7"/>
    <w:rsid w:val="00666639"/>
    <w:rsid w:val="006666F8"/>
    <w:rsid w:val="00666CE9"/>
    <w:rsid w:val="0066766C"/>
    <w:rsid w:val="00667AFB"/>
    <w:rsid w:val="00667F41"/>
    <w:rsid w:val="0067007D"/>
    <w:rsid w:val="00670E6D"/>
    <w:rsid w:val="0067171F"/>
    <w:rsid w:val="006724D3"/>
    <w:rsid w:val="006743CE"/>
    <w:rsid w:val="006752A1"/>
    <w:rsid w:val="0067546D"/>
    <w:rsid w:val="00675961"/>
    <w:rsid w:val="00675E22"/>
    <w:rsid w:val="006764D1"/>
    <w:rsid w:val="00676CE8"/>
    <w:rsid w:val="00677E3A"/>
    <w:rsid w:val="00677FD0"/>
    <w:rsid w:val="0068027C"/>
    <w:rsid w:val="0068043F"/>
    <w:rsid w:val="0068065B"/>
    <w:rsid w:val="006806DF"/>
    <w:rsid w:val="006815DD"/>
    <w:rsid w:val="00681CC1"/>
    <w:rsid w:val="006820CA"/>
    <w:rsid w:val="00682890"/>
    <w:rsid w:val="00682F94"/>
    <w:rsid w:val="00683381"/>
    <w:rsid w:val="00683DF3"/>
    <w:rsid w:val="0068649B"/>
    <w:rsid w:val="00686BE7"/>
    <w:rsid w:val="00686C0F"/>
    <w:rsid w:val="0069009F"/>
    <w:rsid w:val="0069047C"/>
    <w:rsid w:val="00690B8D"/>
    <w:rsid w:val="006923E8"/>
    <w:rsid w:val="00692D4A"/>
    <w:rsid w:val="006946E2"/>
    <w:rsid w:val="006956C9"/>
    <w:rsid w:val="006959AC"/>
    <w:rsid w:val="00695FEE"/>
    <w:rsid w:val="0069618C"/>
    <w:rsid w:val="0069652F"/>
    <w:rsid w:val="00697029"/>
    <w:rsid w:val="00697304"/>
    <w:rsid w:val="006A01EC"/>
    <w:rsid w:val="006A0750"/>
    <w:rsid w:val="006A0D2B"/>
    <w:rsid w:val="006A1D1B"/>
    <w:rsid w:val="006A227D"/>
    <w:rsid w:val="006A2319"/>
    <w:rsid w:val="006A2E48"/>
    <w:rsid w:val="006A2EFA"/>
    <w:rsid w:val="006A30CF"/>
    <w:rsid w:val="006A3D5C"/>
    <w:rsid w:val="006A49E4"/>
    <w:rsid w:val="006A4E18"/>
    <w:rsid w:val="006A547B"/>
    <w:rsid w:val="006A5540"/>
    <w:rsid w:val="006A5871"/>
    <w:rsid w:val="006A609A"/>
    <w:rsid w:val="006A66A4"/>
    <w:rsid w:val="006A6ABB"/>
    <w:rsid w:val="006A6C76"/>
    <w:rsid w:val="006A7C2B"/>
    <w:rsid w:val="006B05CE"/>
    <w:rsid w:val="006B07EC"/>
    <w:rsid w:val="006B0A3D"/>
    <w:rsid w:val="006B0B61"/>
    <w:rsid w:val="006B1439"/>
    <w:rsid w:val="006B20FA"/>
    <w:rsid w:val="006B2B28"/>
    <w:rsid w:val="006B3B2B"/>
    <w:rsid w:val="006B3E5E"/>
    <w:rsid w:val="006B3FB8"/>
    <w:rsid w:val="006B4476"/>
    <w:rsid w:val="006B58B3"/>
    <w:rsid w:val="006B58D2"/>
    <w:rsid w:val="006B604F"/>
    <w:rsid w:val="006B72C0"/>
    <w:rsid w:val="006C0567"/>
    <w:rsid w:val="006C08FF"/>
    <w:rsid w:val="006C1198"/>
    <w:rsid w:val="006C12B2"/>
    <w:rsid w:val="006C18F6"/>
    <w:rsid w:val="006C1A8A"/>
    <w:rsid w:val="006C2C70"/>
    <w:rsid w:val="006C2C73"/>
    <w:rsid w:val="006C2E7A"/>
    <w:rsid w:val="006C41A3"/>
    <w:rsid w:val="006C5BBC"/>
    <w:rsid w:val="006C5D52"/>
    <w:rsid w:val="006C61B1"/>
    <w:rsid w:val="006C62E2"/>
    <w:rsid w:val="006C73F5"/>
    <w:rsid w:val="006D0B41"/>
    <w:rsid w:val="006D1D77"/>
    <w:rsid w:val="006D4309"/>
    <w:rsid w:val="006D43D0"/>
    <w:rsid w:val="006D4690"/>
    <w:rsid w:val="006D50C0"/>
    <w:rsid w:val="006D6237"/>
    <w:rsid w:val="006D6D76"/>
    <w:rsid w:val="006D701E"/>
    <w:rsid w:val="006D733A"/>
    <w:rsid w:val="006D75CD"/>
    <w:rsid w:val="006E0643"/>
    <w:rsid w:val="006E16C2"/>
    <w:rsid w:val="006E3A52"/>
    <w:rsid w:val="006E500F"/>
    <w:rsid w:val="006E50BF"/>
    <w:rsid w:val="006E5973"/>
    <w:rsid w:val="006E71BD"/>
    <w:rsid w:val="006E7574"/>
    <w:rsid w:val="006E7808"/>
    <w:rsid w:val="006E7B5D"/>
    <w:rsid w:val="006E7E0A"/>
    <w:rsid w:val="006F0452"/>
    <w:rsid w:val="006F0488"/>
    <w:rsid w:val="006F1A4B"/>
    <w:rsid w:val="006F246C"/>
    <w:rsid w:val="006F291E"/>
    <w:rsid w:val="006F2B13"/>
    <w:rsid w:val="006F2C18"/>
    <w:rsid w:val="006F2E12"/>
    <w:rsid w:val="006F3432"/>
    <w:rsid w:val="006F4340"/>
    <w:rsid w:val="006F512B"/>
    <w:rsid w:val="006F55D7"/>
    <w:rsid w:val="006F5F49"/>
    <w:rsid w:val="006F6AB1"/>
    <w:rsid w:val="006F6DD7"/>
    <w:rsid w:val="006F702E"/>
    <w:rsid w:val="006F7BE4"/>
    <w:rsid w:val="007006E7"/>
    <w:rsid w:val="0070075C"/>
    <w:rsid w:val="00701109"/>
    <w:rsid w:val="007031E2"/>
    <w:rsid w:val="0070380F"/>
    <w:rsid w:val="00703A7F"/>
    <w:rsid w:val="007044B3"/>
    <w:rsid w:val="007055CE"/>
    <w:rsid w:val="007064FE"/>
    <w:rsid w:val="007066C5"/>
    <w:rsid w:val="00706767"/>
    <w:rsid w:val="007077FB"/>
    <w:rsid w:val="00710900"/>
    <w:rsid w:val="00711015"/>
    <w:rsid w:val="0071102B"/>
    <w:rsid w:val="0071201B"/>
    <w:rsid w:val="00713628"/>
    <w:rsid w:val="00713D61"/>
    <w:rsid w:val="00714AB9"/>
    <w:rsid w:val="00714D16"/>
    <w:rsid w:val="00715416"/>
    <w:rsid w:val="00716646"/>
    <w:rsid w:val="00716956"/>
    <w:rsid w:val="00717411"/>
    <w:rsid w:val="00717A6E"/>
    <w:rsid w:val="00717BD8"/>
    <w:rsid w:val="00721971"/>
    <w:rsid w:val="007227F1"/>
    <w:rsid w:val="007232F8"/>
    <w:rsid w:val="0072427D"/>
    <w:rsid w:val="00724905"/>
    <w:rsid w:val="00725DA6"/>
    <w:rsid w:val="00725FF1"/>
    <w:rsid w:val="007261C4"/>
    <w:rsid w:val="00726F7D"/>
    <w:rsid w:val="00727245"/>
    <w:rsid w:val="007274FB"/>
    <w:rsid w:val="00727A80"/>
    <w:rsid w:val="00732987"/>
    <w:rsid w:val="00735378"/>
    <w:rsid w:val="007358EF"/>
    <w:rsid w:val="00735F68"/>
    <w:rsid w:val="007374E4"/>
    <w:rsid w:val="00742211"/>
    <w:rsid w:val="0074270E"/>
    <w:rsid w:val="00742BCD"/>
    <w:rsid w:val="00743853"/>
    <w:rsid w:val="0074386F"/>
    <w:rsid w:val="00743C35"/>
    <w:rsid w:val="00744429"/>
    <w:rsid w:val="00745CBE"/>
    <w:rsid w:val="00746B03"/>
    <w:rsid w:val="00746BC0"/>
    <w:rsid w:val="00746D7D"/>
    <w:rsid w:val="00747D51"/>
    <w:rsid w:val="00747D6E"/>
    <w:rsid w:val="00751905"/>
    <w:rsid w:val="00753452"/>
    <w:rsid w:val="00753A9F"/>
    <w:rsid w:val="00754889"/>
    <w:rsid w:val="00754FA6"/>
    <w:rsid w:val="007550F6"/>
    <w:rsid w:val="0075660A"/>
    <w:rsid w:val="00756C3B"/>
    <w:rsid w:val="00756E41"/>
    <w:rsid w:val="00757497"/>
    <w:rsid w:val="0075793C"/>
    <w:rsid w:val="00757A8A"/>
    <w:rsid w:val="0076002B"/>
    <w:rsid w:val="0076004C"/>
    <w:rsid w:val="00760812"/>
    <w:rsid w:val="00760857"/>
    <w:rsid w:val="00760F8D"/>
    <w:rsid w:val="00761586"/>
    <w:rsid w:val="00761C08"/>
    <w:rsid w:val="00762130"/>
    <w:rsid w:val="007623AE"/>
    <w:rsid w:val="007628A8"/>
    <w:rsid w:val="007638EB"/>
    <w:rsid w:val="007641EC"/>
    <w:rsid w:val="007646CA"/>
    <w:rsid w:val="00764B6F"/>
    <w:rsid w:val="007651AF"/>
    <w:rsid w:val="007654B4"/>
    <w:rsid w:val="007667F7"/>
    <w:rsid w:val="00770161"/>
    <w:rsid w:val="00772209"/>
    <w:rsid w:val="00773C01"/>
    <w:rsid w:val="0077411C"/>
    <w:rsid w:val="00774568"/>
    <w:rsid w:val="00776325"/>
    <w:rsid w:val="00776736"/>
    <w:rsid w:val="0077765A"/>
    <w:rsid w:val="0078012C"/>
    <w:rsid w:val="007804F4"/>
    <w:rsid w:val="00780641"/>
    <w:rsid w:val="00780FB2"/>
    <w:rsid w:val="00782876"/>
    <w:rsid w:val="007843CE"/>
    <w:rsid w:val="007845D7"/>
    <w:rsid w:val="00784789"/>
    <w:rsid w:val="00784E7B"/>
    <w:rsid w:val="0078551C"/>
    <w:rsid w:val="007906BA"/>
    <w:rsid w:val="00790B31"/>
    <w:rsid w:val="00790BDB"/>
    <w:rsid w:val="007916D2"/>
    <w:rsid w:val="00792852"/>
    <w:rsid w:val="00793C96"/>
    <w:rsid w:val="00795992"/>
    <w:rsid w:val="00796A11"/>
    <w:rsid w:val="007A0375"/>
    <w:rsid w:val="007A04E8"/>
    <w:rsid w:val="007A07C8"/>
    <w:rsid w:val="007A0ED4"/>
    <w:rsid w:val="007A1FAB"/>
    <w:rsid w:val="007A2EF0"/>
    <w:rsid w:val="007A32C4"/>
    <w:rsid w:val="007A36B9"/>
    <w:rsid w:val="007A38FA"/>
    <w:rsid w:val="007A3B95"/>
    <w:rsid w:val="007A48F4"/>
    <w:rsid w:val="007A4F28"/>
    <w:rsid w:val="007A66CF"/>
    <w:rsid w:val="007A7385"/>
    <w:rsid w:val="007A7749"/>
    <w:rsid w:val="007A79C6"/>
    <w:rsid w:val="007B07A3"/>
    <w:rsid w:val="007B28C6"/>
    <w:rsid w:val="007B2A45"/>
    <w:rsid w:val="007B2D8F"/>
    <w:rsid w:val="007B3BA0"/>
    <w:rsid w:val="007B3FBA"/>
    <w:rsid w:val="007B4C17"/>
    <w:rsid w:val="007B4C5E"/>
    <w:rsid w:val="007B52C7"/>
    <w:rsid w:val="007B531D"/>
    <w:rsid w:val="007B649A"/>
    <w:rsid w:val="007B6BFC"/>
    <w:rsid w:val="007B6F57"/>
    <w:rsid w:val="007B77BB"/>
    <w:rsid w:val="007C0C4D"/>
    <w:rsid w:val="007C17F6"/>
    <w:rsid w:val="007C1A66"/>
    <w:rsid w:val="007C2036"/>
    <w:rsid w:val="007C29BD"/>
    <w:rsid w:val="007C5C51"/>
    <w:rsid w:val="007C698F"/>
    <w:rsid w:val="007C719A"/>
    <w:rsid w:val="007C77B1"/>
    <w:rsid w:val="007C78B4"/>
    <w:rsid w:val="007D024C"/>
    <w:rsid w:val="007D0FE8"/>
    <w:rsid w:val="007D256B"/>
    <w:rsid w:val="007D29C2"/>
    <w:rsid w:val="007D2AE9"/>
    <w:rsid w:val="007D2F3A"/>
    <w:rsid w:val="007D3327"/>
    <w:rsid w:val="007D54AF"/>
    <w:rsid w:val="007D608E"/>
    <w:rsid w:val="007D6A27"/>
    <w:rsid w:val="007D6A4D"/>
    <w:rsid w:val="007E2CEA"/>
    <w:rsid w:val="007E3830"/>
    <w:rsid w:val="007E46FE"/>
    <w:rsid w:val="007E6724"/>
    <w:rsid w:val="007E7481"/>
    <w:rsid w:val="007E799B"/>
    <w:rsid w:val="007F04EA"/>
    <w:rsid w:val="007F2544"/>
    <w:rsid w:val="007F411E"/>
    <w:rsid w:val="007F4719"/>
    <w:rsid w:val="007F54AD"/>
    <w:rsid w:val="007F564D"/>
    <w:rsid w:val="007F5FDF"/>
    <w:rsid w:val="007F60FE"/>
    <w:rsid w:val="007F7C9E"/>
    <w:rsid w:val="007F7CAE"/>
    <w:rsid w:val="007F7E14"/>
    <w:rsid w:val="00800194"/>
    <w:rsid w:val="00801266"/>
    <w:rsid w:val="008018B1"/>
    <w:rsid w:val="00802205"/>
    <w:rsid w:val="008022F1"/>
    <w:rsid w:val="008026C3"/>
    <w:rsid w:val="00802E3F"/>
    <w:rsid w:val="00803774"/>
    <w:rsid w:val="008041CC"/>
    <w:rsid w:val="00804548"/>
    <w:rsid w:val="00804DC1"/>
    <w:rsid w:val="00807437"/>
    <w:rsid w:val="00807E23"/>
    <w:rsid w:val="0081100D"/>
    <w:rsid w:val="00815442"/>
    <w:rsid w:val="00815F90"/>
    <w:rsid w:val="008162C9"/>
    <w:rsid w:val="0081777D"/>
    <w:rsid w:val="008202B6"/>
    <w:rsid w:val="00820678"/>
    <w:rsid w:val="008212F5"/>
    <w:rsid w:val="00821355"/>
    <w:rsid w:val="0082209B"/>
    <w:rsid w:val="0082232B"/>
    <w:rsid w:val="00824FE3"/>
    <w:rsid w:val="00825F75"/>
    <w:rsid w:val="00826B7C"/>
    <w:rsid w:val="00830CF8"/>
    <w:rsid w:val="00831552"/>
    <w:rsid w:val="00831C9B"/>
    <w:rsid w:val="00832229"/>
    <w:rsid w:val="008324CC"/>
    <w:rsid w:val="00833417"/>
    <w:rsid w:val="00833558"/>
    <w:rsid w:val="00833A3F"/>
    <w:rsid w:val="00836F8F"/>
    <w:rsid w:val="00840B6D"/>
    <w:rsid w:val="00840F0C"/>
    <w:rsid w:val="00841B62"/>
    <w:rsid w:val="00842423"/>
    <w:rsid w:val="0084244F"/>
    <w:rsid w:val="00843486"/>
    <w:rsid w:val="00843655"/>
    <w:rsid w:val="008447D9"/>
    <w:rsid w:val="00844AA1"/>
    <w:rsid w:val="00845B43"/>
    <w:rsid w:val="0084625F"/>
    <w:rsid w:val="008468A2"/>
    <w:rsid w:val="00850F3C"/>
    <w:rsid w:val="0085122A"/>
    <w:rsid w:val="00851BC7"/>
    <w:rsid w:val="008530E2"/>
    <w:rsid w:val="008538B0"/>
    <w:rsid w:val="00855706"/>
    <w:rsid w:val="00855734"/>
    <w:rsid w:val="00855948"/>
    <w:rsid w:val="00855AA1"/>
    <w:rsid w:val="00856185"/>
    <w:rsid w:val="0085764C"/>
    <w:rsid w:val="00857BF4"/>
    <w:rsid w:val="00860402"/>
    <w:rsid w:val="00862444"/>
    <w:rsid w:val="0086278E"/>
    <w:rsid w:val="008627D6"/>
    <w:rsid w:val="00862D82"/>
    <w:rsid w:val="00862FCE"/>
    <w:rsid w:val="0086364A"/>
    <w:rsid w:val="008639C6"/>
    <w:rsid w:val="00863AA4"/>
    <w:rsid w:val="00864431"/>
    <w:rsid w:val="008649D1"/>
    <w:rsid w:val="00866439"/>
    <w:rsid w:val="0086649A"/>
    <w:rsid w:val="00866CE1"/>
    <w:rsid w:val="008673DC"/>
    <w:rsid w:val="00867589"/>
    <w:rsid w:val="008677C2"/>
    <w:rsid w:val="00870228"/>
    <w:rsid w:val="00870744"/>
    <w:rsid w:val="008713F7"/>
    <w:rsid w:val="008718B3"/>
    <w:rsid w:val="00871970"/>
    <w:rsid w:val="00871BCC"/>
    <w:rsid w:val="00871FAB"/>
    <w:rsid w:val="0087337F"/>
    <w:rsid w:val="008738D5"/>
    <w:rsid w:val="00873E49"/>
    <w:rsid w:val="008740A8"/>
    <w:rsid w:val="00875D24"/>
    <w:rsid w:val="0087712B"/>
    <w:rsid w:val="0088039F"/>
    <w:rsid w:val="0088144D"/>
    <w:rsid w:val="00881F3B"/>
    <w:rsid w:val="00882700"/>
    <w:rsid w:val="00883DD0"/>
    <w:rsid w:val="00884EA7"/>
    <w:rsid w:val="0088521C"/>
    <w:rsid w:val="00885B48"/>
    <w:rsid w:val="00885C84"/>
    <w:rsid w:val="008863CA"/>
    <w:rsid w:val="00886A17"/>
    <w:rsid w:val="008878F3"/>
    <w:rsid w:val="008906D5"/>
    <w:rsid w:val="00890D1E"/>
    <w:rsid w:val="00891C3C"/>
    <w:rsid w:val="00891C54"/>
    <w:rsid w:val="00891D10"/>
    <w:rsid w:val="008922BF"/>
    <w:rsid w:val="00892F8D"/>
    <w:rsid w:val="00895D33"/>
    <w:rsid w:val="00897291"/>
    <w:rsid w:val="008A1525"/>
    <w:rsid w:val="008A2149"/>
    <w:rsid w:val="008A289D"/>
    <w:rsid w:val="008A423E"/>
    <w:rsid w:val="008A49BB"/>
    <w:rsid w:val="008A5352"/>
    <w:rsid w:val="008A6039"/>
    <w:rsid w:val="008A633D"/>
    <w:rsid w:val="008A638B"/>
    <w:rsid w:val="008A67C7"/>
    <w:rsid w:val="008A6AC7"/>
    <w:rsid w:val="008A6E3F"/>
    <w:rsid w:val="008A712D"/>
    <w:rsid w:val="008A7C3C"/>
    <w:rsid w:val="008B052B"/>
    <w:rsid w:val="008B0C47"/>
    <w:rsid w:val="008B113E"/>
    <w:rsid w:val="008B1532"/>
    <w:rsid w:val="008B176D"/>
    <w:rsid w:val="008B19CD"/>
    <w:rsid w:val="008B1EA4"/>
    <w:rsid w:val="008B1F0F"/>
    <w:rsid w:val="008B2469"/>
    <w:rsid w:val="008B2C10"/>
    <w:rsid w:val="008B3909"/>
    <w:rsid w:val="008B39EB"/>
    <w:rsid w:val="008B3AC6"/>
    <w:rsid w:val="008B3F00"/>
    <w:rsid w:val="008B4EA7"/>
    <w:rsid w:val="008B56B3"/>
    <w:rsid w:val="008B5CF2"/>
    <w:rsid w:val="008B5E1F"/>
    <w:rsid w:val="008B5E2A"/>
    <w:rsid w:val="008B6387"/>
    <w:rsid w:val="008C0347"/>
    <w:rsid w:val="008C12C6"/>
    <w:rsid w:val="008C158C"/>
    <w:rsid w:val="008C179D"/>
    <w:rsid w:val="008C1D39"/>
    <w:rsid w:val="008C2B38"/>
    <w:rsid w:val="008C5FC0"/>
    <w:rsid w:val="008C6B50"/>
    <w:rsid w:val="008C7342"/>
    <w:rsid w:val="008D02FE"/>
    <w:rsid w:val="008D17E4"/>
    <w:rsid w:val="008D2288"/>
    <w:rsid w:val="008D2295"/>
    <w:rsid w:val="008D3D70"/>
    <w:rsid w:val="008D4F12"/>
    <w:rsid w:val="008D5407"/>
    <w:rsid w:val="008D588E"/>
    <w:rsid w:val="008D63C7"/>
    <w:rsid w:val="008D76D3"/>
    <w:rsid w:val="008D7E42"/>
    <w:rsid w:val="008E00DC"/>
    <w:rsid w:val="008E040A"/>
    <w:rsid w:val="008E0C1A"/>
    <w:rsid w:val="008E0EE4"/>
    <w:rsid w:val="008E1615"/>
    <w:rsid w:val="008E1BAC"/>
    <w:rsid w:val="008E22EB"/>
    <w:rsid w:val="008E29CD"/>
    <w:rsid w:val="008E29D7"/>
    <w:rsid w:val="008E2DB0"/>
    <w:rsid w:val="008E2DD8"/>
    <w:rsid w:val="008E2E15"/>
    <w:rsid w:val="008E3377"/>
    <w:rsid w:val="008E3420"/>
    <w:rsid w:val="008E4AD4"/>
    <w:rsid w:val="008E53F8"/>
    <w:rsid w:val="008E6E47"/>
    <w:rsid w:val="008F033B"/>
    <w:rsid w:val="008F10A7"/>
    <w:rsid w:val="008F1365"/>
    <w:rsid w:val="008F19A7"/>
    <w:rsid w:val="008F262E"/>
    <w:rsid w:val="008F6B33"/>
    <w:rsid w:val="008F6FF1"/>
    <w:rsid w:val="008F7CC4"/>
    <w:rsid w:val="009005C7"/>
    <w:rsid w:val="009013A5"/>
    <w:rsid w:val="00901A66"/>
    <w:rsid w:val="00901AD8"/>
    <w:rsid w:val="00901B10"/>
    <w:rsid w:val="00901B57"/>
    <w:rsid w:val="00901C38"/>
    <w:rsid w:val="00902352"/>
    <w:rsid w:val="00903574"/>
    <w:rsid w:val="0091073F"/>
    <w:rsid w:val="00910B1B"/>
    <w:rsid w:val="00911840"/>
    <w:rsid w:val="00912298"/>
    <w:rsid w:val="00912CF1"/>
    <w:rsid w:val="00912D82"/>
    <w:rsid w:val="00913297"/>
    <w:rsid w:val="00913535"/>
    <w:rsid w:val="00913CE9"/>
    <w:rsid w:val="009148FB"/>
    <w:rsid w:val="009154B8"/>
    <w:rsid w:val="0092016D"/>
    <w:rsid w:val="009243B3"/>
    <w:rsid w:val="009247D9"/>
    <w:rsid w:val="009248B3"/>
    <w:rsid w:val="009256DF"/>
    <w:rsid w:val="0092753C"/>
    <w:rsid w:val="009302BB"/>
    <w:rsid w:val="00931A70"/>
    <w:rsid w:val="00931B9F"/>
    <w:rsid w:val="009327CF"/>
    <w:rsid w:val="00932E47"/>
    <w:rsid w:val="00935081"/>
    <w:rsid w:val="00935783"/>
    <w:rsid w:val="00935B49"/>
    <w:rsid w:val="009361E2"/>
    <w:rsid w:val="00936B23"/>
    <w:rsid w:val="00936BBF"/>
    <w:rsid w:val="009370D1"/>
    <w:rsid w:val="0093731A"/>
    <w:rsid w:val="0094108D"/>
    <w:rsid w:val="00944F27"/>
    <w:rsid w:val="009450F3"/>
    <w:rsid w:val="0094534F"/>
    <w:rsid w:val="0094774F"/>
    <w:rsid w:val="00947FF0"/>
    <w:rsid w:val="00950042"/>
    <w:rsid w:val="00950A89"/>
    <w:rsid w:val="00950DC4"/>
    <w:rsid w:val="00953AB1"/>
    <w:rsid w:val="00953C32"/>
    <w:rsid w:val="00953D59"/>
    <w:rsid w:val="009545D9"/>
    <w:rsid w:val="0095460F"/>
    <w:rsid w:val="00956528"/>
    <w:rsid w:val="00956E04"/>
    <w:rsid w:val="00957050"/>
    <w:rsid w:val="00957B60"/>
    <w:rsid w:val="00960444"/>
    <w:rsid w:val="00961407"/>
    <w:rsid w:val="0096172C"/>
    <w:rsid w:val="009617AA"/>
    <w:rsid w:val="0096206D"/>
    <w:rsid w:val="0096215E"/>
    <w:rsid w:val="009627D9"/>
    <w:rsid w:val="00963A39"/>
    <w:rsid w:val="00963A70"/>
    <w:rsid w:val="00963C24"/>
    <w:rsid w:val="00963E11"/>
    <w:rsid w:val="0096575C"/>
    <w:rsid w:val="00965C30"/>
    <w:rsid w:val="00966556"/>
    <w:rsid w:val="00966CF7"/>
    <w:rsid w:val="00974390"/>
    <w:rsid w:val="00974EF5"/>
    <w:rsid w:val="009753FD"/>
    <w:rsid w:val="00975BCA"/>
    <w:rsid w:val="00976655"/>
    <w:rsid w:val="00977478"/>
    <w:rsid w:val="00977E2B"/>
    <w:rsid w:val="00977E99"/>
    <w:rsid w:val="00977F48"/>
    <w:rsid w:val="009806EC"/>
    <w:rsid w:val="00980C56"/>
    <w:rsid w:val="00980E56"/>
    <w:rsid w:val="0098220E"/>
    <w:rsid w:val="00983B44"/>
    <w:rsid w:val="00983C6E"/>
    <w:rsid w:val="009857AA"/>
    <w:rsid w:val="00985F8B"/>
    <w:rsid w:val="00986850"/>
    <w:rsid w:val="00990FC3"/>
    <w:rsid w:val="00991BA0"/>
    <w:rsid w:val="00992ABE"/>
    <w:rsid w:val="00992B8F"/>
    <w:rsid w:val="00992C13"/>
    <w:rsid w:val="0099307F"/>
    <w:rsid w:val="00993334"/>
    <w:rsid w:val="0099576C"/>
    <w:rsid w:val="009957F6"/>
    <w:rsid w:val="009958E5"/>
    <w:rsid w:val="009969BC"/>
    <w:rsid w:val="009A0183"/>
    <w:rsid w:val="009A05F7"/>
    <w:rsid w:val="009A11BE"/>
    <w:rsid w:val="009A12FE"/>
    <w:rsid w:val="009A2BA5"/>
    <w:rsid w:val="009A2BC7"/>
    <w:rsid w:val="009A32F2"/>
    <w:rsid w:val="009A3534"/>
    <w:rsid w:val="009A3E7C"/>
    <w:rsid w:val="009A423A"/>
    <w:rsid w:val="009A4A25"/>
    <w:rsid w:val="009A4C3B"/>
    <w:rsid w:val="009A526E"/>
    <w:rsid w:val="009A590C"/>
    <w:rsid w:val="009A6223"/>
    <w:rsid w:val="009A66AA"/>
    <w:rsid w:val="009A7D67"/>
    <w:rsid w:val="009B0A4A"/>
    <w:rsid w:val="009B1BB9"/>
    <w:rsid w:val="009B310A"/>
    <w:rsid w:val="009B3328"/>
    <w:rsid w:val="009B3F7E"/>
    <w:rsid w:val="009B415C"/>
    <w:rsid w:val="009B4E3E"/>
    <w:rsid w:val="009B579D"/>
    <w:rsid w:val="009B6BB0"/>
    <w:rsid w:val="009B73B6"/>
    <w:rsid w:val="009C1088"/>
    <w:rsid w:val="009C1367"/>
    <w:rsid w:val="009C362B"/>
    <w:rsid w:val="009C45EB"/>
    <w:rsid w:val="009C5C21"/>
    <w:rsid w:val="009C7117"/>
    <w:rsid w:val="009C77E8"/>
    <w:rsid w:val="009D0066"/>
    <w:rsid w:val="009D0598"/>
    <w:rsid w:val="009D0D23"/>
    <w:rsid w:val="009D0EB8"/>
    <w:rsid w:val="009D10FB"/>
    <w:rsid w:val="009D156B"/>
    <w:rsid w:val="009D3A6B"/>
    <w:rsid w:val="009D4A5F"/>
    <w:rsid w:val="009D5131"/>
    <w:rsid w:val="009D6E33"/>
    <w:rsid w:val="009D72CF"/>
    <w:rsid w:val="009E06C7"/>
    <w:rsid w:val="009E183F"/>
    <w:rsid w:val="009E1881"/>
    <w:rsid w:val="009E1F33"/>
    <w:rsid w:val="009E2EBA"/>
    <w:rsid w:val="009E3979"/>
    <w:rsid w:val="009E39FA"/>
    <w:rsid w:val="009E53D6"/>
    <w:rsid w:val="009E5650"/>
    <w:rsid w:val="009E5759"/>
    <w:rsid w:val="009E5811"/>
    <w:rsid w:val="009E6177"/>
    <w:rsid w:val="009E6675"/>
    <w:rsid w:val="009E78BF"/>
    <w:rsid w:val="009E79DF"/>
    <w:rsid w:val="009F0201"/>
    <w:rsid w:val="009F0E24"/>
    <w:rsid w:val="009F12A4"/>
    <w:rsid w:val="009F14F2"/>
    <w:rsid w:val="009F17E8"/>
    <w:rsid w:val="009F2A2A"/>
    <w:rsid w:val="009F326E"/>
    <w:rsid w:val="009F34E2"/>
    <w:rsid w:val="009F3EC0"/>
    <w:rsid w:val="009F45F0"/>
    <w:rsid w:val="009F7B4F"/>
    <w:rsid w:val="009F7D5F"/>
    <w:rsid w:val="009F7E8E"/>
    <w:rsid w:val="009F7EC2"/>
    <w:rsid w:val="00A00428"/>
    <w:rsid w:val="00A024ED"/>
    <w:rsid w:val="00A0428E"/>
    <w:rsid w:val="00A04BC5"/>
    <w:rsid w:val="00A04E71"/>
    <w:rsid w:val="00A0508B"/>
    <w:rsid w:val="00A06376"/>
    <w:rsid w:val="00A078F6"/>
    <w:rsid w:val="00A10140"/>
    <w:rsid w:val="00A10478"/>
    <w:rsid w:val="00A11025"/>
    <w:rsid w:val="00A119F3"/>
    <w:rsid w:val="00A11F19"/>
    <w:rsid w:val="00A12575"/>
    <w:rsid w:val="00A135C6"/>
    <w:rsid w:val="00A14714"/>
    <w:rsid w:val="00A14C77"/>
    <w:rsid w:val="00A14D43"/>
    <w:rsid w:val="00A1548A"/>
    <w:rsid w:val="00A158C1"/>
    <w:rsid w:val="00A159CB"/>
    <w:rsid w:val="00A15EC5"/>
    <w:rsid w:val="00A16533"/>
    <w:rsid w:val="00A16680"/>
    <w:rsid w:val="00A2184E"/>
    <w:rsid w:val="00A2184F"/>
    <w:rsid w:val="00A21CF2"/>
    <w:rsid w:val="00A220A5"/>
    <w:rsid w:val="00A22AB2"/>
    <w:rsid w:val="00A22F0F"/>
    <w:rsid w:val="00A2308D"/>
    <w:rsid w:val="00A24CAD"/>
    <w:rsid w:val="00A25D94"/>
    <w:rsid w:val="00A26240"/>
    <w:rsid w:val="00A26390"/>
    <w:rsid w:val="00A263A4"/>
    <w:rsid w:val="00A2664E"/>
    <w:rsid w:val="00A275F8"/>
    <w:rsid w:val="00A27D13"/>
    <w:rsid w:val="00A30AC0"/>
    <w:rsid w:val="00A30EB1"/>
    <w:rsid w:val="00A3113D"/>
    <w:rsid w:val="00A312E0"/>
    <w:rsid w:val="00A3263F"/>
    <w:rsid w:val="00A3442F"/>
    <w:rsid w:val="00A35054"/>
    <w:rsid w:val="00A352F0"/>
    <w:rsid w:val="00A35A8B"/>
    <w:rsid w:val="00A3669B"/>
    <w:rsid w:val="00A369BC"/>
    <w:rsid w:val="00A36EEC"/>
    <w:rsid w:val="00A3780A"/>
    <w:rsid w:val="00A37F07"/>
    <w:rsid w:val="00A40DF3"/>
    <w:rsid w:val="00A41442"/>
    <w:rsid w:val="00A41FBF"/>
    <w:rsid w:val="00A4298D"/>
    <w:rsid w:val="00A42A68"/>
    <w:rsid w:val="00A43AC9"/>
    <w:rsid w:val="00A4474D"/>
    <w:rsid w:val="00A448EC"/>
    <w:rsid w:val="00A44910"/>
    <w:rsid w:val="00A44B3E"/>
    <w:rsid w:val="00A44D6C"/>
    <w:rsid w:val="00A4640B"/>
    <w:rsid w:val="00A46ABF"/>
    <w:rsid w:val="00A475FB"/>
    <w:rsid w:val="00A50315"/>
    <w:rsid w:val="00A52155"/>
    <w:rsid w:val="00A53154"/>
    <w:rsid w:val="00A53E02"/>
    <w:rsid w:val="00A54F6F"/>
    <w:rsid w:val="00A55EFC"/>
    <w:rsid w:val="00A5701B"/>
    <w:rsid w:val="00A572A2"/>
    <w:rsid w:val="00A6019D"/>
    <w:rsid w:val="00A6049F"/>
    <w:rsid w:val="00A6081A"/>
    <w:rsid w:val="00A60B31"/>
    <w:rsid w:val="00A61248"/>
    <w:rsid w:val="00A6131B"/>
    <w:rsid w:val="00A61A0B"/>
    <w:rsid w:val="00A624DC"/>
    <w:rsid w:val="00A64E18"/>
    <w:rsid w:val="00A66D2A"/>
    <w:rsid w:val="00A673A3"/>
    <w:rsid w:val="00A674B1"/>
    <w:rsid w:val="00A72068"/>
    <w:rsid w:val="00A74964"/>
    <w:rsid w:val="00A74EC8"/>
    <w:rsid w:val="00A75AE6"/>
    <w:rsid w:val="00A770CC"/>
    <w:rsid w:val="00A77136"/>
    <w:rsid w:val="00A778AB"/>
    <w:rsid w:val="00A81B28"/>
    <w:rsid w:val="00A82221"/>
    <w:rsid w:val="00A826A1"/>
    <w:rsid w:val="00A82A41"/>
    <w:rsid w:val="00A82A50"/>
    <w:rsid w:val="00A83759"/>
    <w:rsid w:val="00A83BF9"/>
    <w:rsid w:val="00A84BCB"/>
    <w:rsid w:val="00A85F91"/>
    <w:rsid w:val="00A870D1"/>
    <w:rsid w:val="00A9045F"/>
    <w:rsid w:val="00A90B86"/>
    <w:rsid w:val="00A90F43"/>
    <w:rsid w:val="00A942E0"/>
    <w:rsid w:val="00A943CF"/>
    <w:rsid w:val="00A9478A"/>
    <w:rsid w:val="00A9569B"/>
    <w:rsid w:val="00A95874"/>
    <w:rsid w:val="00A968A5"/>
    <w:rsid w:val="00A976C5"/>
    <w:rsid w:val="00AA011F"/>
    <w:rsid w:val="00AA0C2C"/>
    <w:rsid w:val="00AA2687"/>
    <w:rsid w:val="00AA3026"/>
    <w:rsid w:val="00AA31F7"/>
    <w:rsid w:val="00AA359F"/>
    <w:rsid w:val="00AA3E74"/>
    <w:rsid w:val="00AA4E13"/>
    <w:rsid w:val="00AA52A7"/>
    <w:rsid w:val="00AA5368"/>
    <w:rsid w:val="00AA67E1"/>
    <w:rsid w:val="00AA7271"/>
    <w:rsid w:val="00AB089C"/>
    <w:rsid w:val="00AB0CDC"/>
    <w:rsid w:val="00AB1538"/>
    <w:rsid w:val="00AB2555"/>
    <w:rsid w:val="00AB290D"/>
    <w:rsid w:val="00AB2C1E"/>
    <w:rsid w:val="00AB34E3"/>
    <w:rsid w:val="00AB41DB"/>
    <w:rsid w:val="00AB46BF"/>
    <w:rsid w:val="00AB477F"/>
    <w:rsid w:val="00AB4E8E"/>
    <w:rsid w:val="00AB5214"/>
    <w:rsid w:val="00AB6720"/>
    <w:rsid w:val="00AB6E00"/>
    <w:rsid w:val="00AC1025"/>
    <w:rsid w:val="00AC1101"/>
    <w:rsid w:val="00AC1FE2"/>
    <w:rsid w:val="00AC248F"/>
    <w:rsid w:val="00AC2B63"/>
    <w:rsid w:val="00AC3568"/>
    <w:rsid w:val="00AC37E2"/>
    <w:rsid w:val="00AC4555"/>
    <w:rsid w:val="00AC65CD"/>
    <w:rsid w:val="00AC73D4"/>
    <w:rsid w:val="00AC7969"/>
    <w:rsid w:val="00AC7FA1"/>
    <w:rsid w:val="00AD013F"/>
    <w:rsid w:val="00AD052E"/>
    <w:rsid w:val="00AD1786"/>
    <w:rsid w:val="00AD26E2"/>
    <w:rsid w:val="00AD33F6"/>
    <w:rsid w:val="00AD487C"/>
    <w:rsid w:val="00AD4A2C"/>
    <w:rsid w:val="00AD4C19"/>
    <w:rsid w:val="00AD5CD8"/>
    <w:rsid w:val="00AD63E7"/>
    <w:rsid w:val="00AD6662"/>
    <w:rsid w:val="00AD7325"/>
    <w:rsid w:val="00AE112C"/>
    <w:rsid w:val="00AE14D6"/>
    <w:rsid w:val="00AE21A6"/>
    <w:rsid w:val="00AE4104"/>
    <w:rsid w:val="00AE412D"/>
    <w:rsid w:val="00AE50C0"/>
    <w:rsid w:val="00AE523E"/>
    <w:rsid w:val="00AE57F9"/>
    <w:rsid w:val="00AE5A63"/>
    <w:rsid w:val="00AE5E90"/>
    <w:rsid w:val="00AE624F"/>
    <w:rsid w:val="00AE673F"/>
    <w:rsid w:val="00AE69AC"/>
    <w:rsid w:val="00AE6EA2"/>
    <w:rsid w:val="00AE7559"/>
    <w:rsid w:val="00AF0737"/>
    <w:rsid w:val="00AF082B"/>
    <w:rsid w:val="00AF0C43"/>
    <w:rsid w:val="00AF0D56"/>
    <w:rsid w:val="00AF2FD5"/>
    <w:rsid w:val="00AF3602"/>
    <w:rsid w:val="00AF3839"/>
    <w:rsid w:val="00AF47E7"/>
    <w:rsid w:val="00AF4C30"/>
    <w:rsid w:val="00AF4C38"/>
    <w:rsid w:val="00AF6081"/>
    <w:rsid w:val="00B0069B"/>
    <w:rsid w:val="00B00E65"/>
    <w:rsid w:val="00B00FB8"/>
    <w:rsid w:val="00B02019"/>
    <w:rsid w:val="00B025FB"/>
    <w:rsid w:val="00B039A0"/>
    <w:rsid w:val="00B042B6"/>
    <w:rsid w:val="00B04AA8"/>
    <w:rsid w:val="00B04E5B"/>
    <w:rsid w:val="00B04E8E"/>
    <w:rsid w:val="00B05B89"/>
    <w:rsid w:val="00B05C4C"/>
    <w:rsid w:val="00B05CBE"/>
    <w:rsid w:val="00B05D3D"/>
    <w:rsid w:val="00B06514"/>
    <w:rsid w:val="00B06E44"/>
    <w:rsid w:val="00B07153"/>
    <w:rsid w:val="00B07191"/>
    <w:rsid w:val="00B118F1"/>
    <w:rsid w:val="00B11FBA"/>
    <w:rsid w:val="00B12A92"/>
    <w:rsid w:val="00B14177"/>
    <w:rsid w:val="00B14496"/>
    <w:rsid w:val="00B1486F"/>
    <w:rsid w:val="00B15766"/>
    <w:rsid w:val="00B175AF"/>
    <w:rsid w:val="00B20871"/>
    <w:rsid w:val="00B2151C"/>
    <w:rsid w:val="00B21777"/>
    <w:rsid w:val="00B21A50"/>
    <w:rsid w:val="00B220A6"/>
    <w:rsid w:val="00B23F56"/>
    <w:rsid w:val="00B252CF"/>
    <w:rsid w:val="00B256CB"/>
    <w:rsid w:val="00B258ED"/>
    <w:rsid w:val="00B26362"/>
    <w:rsid w:val="00B301F4"/>
    <w:rsid w:val="00B302BC"/>
    <w:rsid w:val="00B30A83"/>
    <w:rsid w:val="00B3146E"/>
    <w:rsid w:val="00B31A88"/>
    <w:rsid w:val="00B344EC"/>
    <w:rsid w:val="00B3483F"/>
    <w:rsid w:val="00B358E1"/>
    <w:rsid w:val="00B374FB"/>
    <w:rsid w:val="00B375D1"/>
    <w:rsid w:val="00B37A07"/>
    <w:rsid w:val="00B37E2C"/>
    <w:rsid w:val="00B43345"/>
    <w:rsid w:val="00B43BE5"/>
    <w:rsid w:val="00B449A7"/>
    <w:rsid w:val="00B45463"/>
    <w:rsid w:val="00B454F4"/>
    <w:rsid w:val="00B45BDE"/>
    <w:rsid w:val="00B46E3C"/>
    <w:rsid w:val="00B46EDD"/>
    <w:rsid w:val="00B4752C"/>
    <w:rsid w:val="00B47695"/>
    <w:rsid w:val="00B50976"/>
    <w:rsid w:val="00B5105D"/>
    <w:rsid w:val="00B511A8"/>
    <w:rsid w:val="00B52153"/>
    <w:rsid w:val="00B52D6D"/>
    <w:rsid w:val="00B541BC"/>
    <w:rsid w:val="00B54AA6"/>
    <w:rsid w:val="00B57260"/>
    <w:rsid w:val="00B573DB"/>
    <w:rsid w:val="00B575D7"/>
    <w:rsid w:val="00B57C5B"/>
    <w:rsid w:val="00B57DC0"/>
    <w:rsid w:val="00B60AEF"/>
    <w:rsid w:val="00B629FA"/>
    <w:rsid w:val="00B63842"/>
    <w:rsid w:val="00B64B6A"/>
    <w:rsid w:val="00B660B6"/>
    <w:rsid w:val="00B665E3"/>
    <w:rsid w:val="00B66A60"/>
    <w:rsid w:val="00B66B0F"/>
    <w:rsid w:val="00B67D79"/>
    <w:rsid w:val="00B67DBE"/>
    <w:rsid w:val="00B70715"/>
    <w:rsid w:val="00B7073B"/>
    <w:rsid w:val="00B70781"/>
    <w:rsid w:val="00B707FE"/>
    <w:rsid w:val="00B72249"/>
    <w:rsid w:val="00B7388C"/>
    <w:rsid w:val="00B74E7C"/>
    <w:rsid w:val="00B757BF"/>
    <w:rsid w:val="00B80464"/>
    <w:rsid w:val="00B8257F"/>
    <w:rsid w:val="00B846EC"/>
    <w:rsid w:val="00B850D4"/>
    <w:rsid w:val="00B859EA"/>
    <w:rsid w:val="00B85DDE"/>
    <w:rsid w:val="00B867CD"/>
    <w:rsid w:val="00B86C6A"/>
    <w:rsid w:val="00B87430"/>
    <w:rsid w:val="00B91813"/>
    <w:rsid w:val="00B9191C"/>
    <w:rsid w:val="00B940BD"/>
    <w:rsid w:val="00B95C8F"/>
    <w:rsid w:val="00B963F7"/>
    <w:rsid w:val="00BA05A1"/>
    <w:rsid w:val="00BA14F9"/>
    <w:rsid w:val="00BA269E"/>
    <w:rsid w:val="00BA3810"/>
    <w:rsid w:val="00BA3BDF"/>
    <w:rsid w:val="00BA3CF5"/>
    <w:rsid w:val="00BA4691"/>
    <w:rsid w:val="00BA5854"/>
    <w:rsid w:val="00BA60CD"/>
    <w:rsid w:val="00BA69DB"/>
    <w:rsid w:val="00BA6E80"/>
    <w:rsid w:val="00BA6EEF"/>
    <w:rsid w:val="00BB0488"/>
    <w:rsid w:val="00BB11FA"/>
    <w:rsid w:val="00BB2607"/>
    <w:rsid w:val="00BB2654"/>
    <w:rsid w:val="00BB28F1"/>
    <w:rsid w:val="00BB3377"/>
    <w:rsid w:val="00BB3B7B"/>
    <w:rsid w:val="00BB3C1F"/>
    <w:rsid w:val="00BB3E2E"/>
    <w:rsid w:val="00BB40F6"/>
    <w:rsid w:val="00BB52F6"/>
    <w:rsid w:val="00BB59F3"/>
    <w:rsid w:val="00BB6777"/>
    <w:rsid w:val="00BB7592"/>
    <w:rsid w:val="00BB7B08"/>
    <w:rsid w:val="00BB7C1C"/>
    <w:rsid w:val="00BC037E"/>
    <w:rsid w:val="00BC0B48"/>
    <w:rsid w:val="00BC0D03"/>
    <w:rsid w:val="00BC0E3D"/>
    <w:rsid w:val="00BC1404"/>
    <w:rsid w:val="00BC1912"/>
    <w:rsid w:val="00BC3338"/>
    <w:rsid w:val="00BC5068"/>
    <w:rsid w:val="00BC6573"/>
    <w:rsid w:val="00BC7052"/>
    <w:rsid w:val="00BC76DC"/>
    <w:rsid w:val="00BD1229"/>
    <w:rsid w:val="00BD3579"/>
    <w:rsid w:val="00BD4806"/>
    <w:rsid w:val="00BD4B9D"/>
    <w:rsid w:val="00BD54A6"/>
    <w:rsid w:val="00BD54F7"/>
    <w:rsid w:val="00BD5DED"/>
    <w:rsid w:val="00BD5F63"/>
    <w:rsid w:val="00BD66BE"/>
    <w:rsid w:val="00BD713E"/>
    <w:rsid w:val="00BD7207"/>
    <w:rsid w:val="00BE0288"/>
    <w:rsid w:val="00BE0376"/>
    <w:rsid w:val="00BE1379"/>
    <w:rsid w:val="00BE2437"/>
    <w:rsid w:val="00BE24D8"/>
    <w:rsid w:val="00BE2808"/>
    <w:rsid w:val="00BE38A0"/>
    <w:rsid w:val="00BE4205"/>
    <w:rsid w:val="00BE45CE"/>
    <w:rsid w:val="00BE4AED"/>
    <w:rsid w:val="00BE4CBD"/>
    <w:rsid w:val="00BE4DFC"/>
    <w:rsid w:val="00BE5866"/>
    <w:rsid w:val="00BE6B57"/>
    <w:rsid w:val="00BE6BDE"/>
    <w:rsid w:val="00BE6C01"/>
    <w:rsid w:val="00BE6CE7"/>
    <w:rsid w:val="00BE7FB9"/>
    <w:rsid w:val="00BF0ABF"/>
    <w:rsid w:val="00BF0EFC"/>
    <w:rsid w:val="00BF18BA"/>
    <w:rsid w:val="00BF28CD"/>
    <w:rsid w:val="00BF3352"/>
    <w:rsid w:val="00BF3807"/>
    <w:rsid w:val="00BF4115"/>
    <w:rsid w:val="00BF4897"/>
    <w:rsid w:val="00BF5F86"/>
    <w:rsid w:val="00BF6146"/>
    <w:rsid w:val="00BF6611"/>
    <w:rsid w:val="00BF6927"/>
    <w:rsid w:val="00BF6C2B"/>
    <w:rsid w:val="00BF759B"/>
    <w:rsid w:val="00BF75DE"/>
    <w:rsid w:val="00BF7DB1"/>
    <w:rsid w:val="00BF7DBC"/>
    <w:rsid w:val="00C0170E"/>
    <w:rsid w:val="00C01BAF"/>
    <w:rsid w:val="00C01F48"/>
    <w:rsid w:val="00C03B1A"/>
    <w:rsid w:val="00C04232"/>
    <w:rsid w:val="00C0426D"/>
    <w:rsid w:val="00C0583C"/>
    <w:rsid w:val="00C05C69"/>
    <w:rsid w:val="00C06A8C"/>
    <w:rsid w:val="00C072D5"/>
    <w:rsid w:val="00C0738C"/>
    <w:rsid w:val="00C079DE"/>
    <w:rsid w:val="00C07E8E"/>
    <w:rsid w:val="00C107D6"/>
    <w:rsid w:val="00C108C8"/>
    <w:rsid w:val="00C11BA9"/>
    <w:rsid w:val="00C11D71"/>
    <w:rsid w:val="00C11EEE"/>
    <w:rsid w:val="00C1214A"/>
    <w:rsid w:val="00C1235A"/>
    <w:rsid w:val="00C1286E"/>
    <w:rsid w:val="00C1306A"/>
    <w:rsid w:val="00C13781"/>
    <w:rsid w:val="00C14C89"/>
    <w:rsid w:val="00C15993"/>
    <w:rsid w:val="00C16198"/>
    <w:rsid w:val="00C17004"/>
    <w:rsid w:val="00C1725A"/>
    <w:rsid w:val="00C20829"/>
    <w:rsid w:val="00C236FD"/>
    <w:rsid w:val="00C23BC0"/>
    <w:rsid w:val="00C24FA0"/>
    <w:rsid w:val="00C25311"/>
    <w:rsid w:val="00C30848"/>
    <w:rsid w:val="00C308D0"/>
    <w:rsid w:val="00C31397"/>
    <w:rsid w:val="00C32550"/>
    <w:rsid w:val="00C32733"/>
    <w:rsid w:val="00C32C5B"/>
    <w:rsid w:val="00C32F94"/>
    <w:rsid w:val="00C34144"/>
    <w:rsid w:val="00C34321"/>
    <w:rsid w:val="00C34F46"/>
    <w:rsid w:val="00C35900"/>
    <w:rsid w:val="00C36CD4"/>
    <w:rsid w:val="00C36E56"/>
    <w:rsid w:val="00C36ED5"/>
    <w:rsid w:val="00C42198"/>
    <w:rsid w:val="00C43784"/>
    <w:rsid w:val="00C4404B"/>
    <w:rsid w:val="00C44D94"/>
    <w:rsid w:val="00C454E0"/>
    <w:rsid w:val="00C4560A"/>
    <w:rsid w:val="00C456C9"/>
    <w:rsid w:val="00C476A8"/>
    <w:rsid w:val="00C50EFD"/>
    <w:rsid w:val="00C51BEF"/>
    <w:rsid w:val="00C533CD"/>
    <w:rsid w:val="00C5397C"/>
    <w:rsid w:val="00C540E3"/>
    <w:rsid w:val="00C54B3E"/>
    <w:rsid w:val="00C54DCD"/>
    <w:rsid w:val="00C54F5D"/>
    <w:rsid w:val="00C554D2"/>
    <w:rsid w:val="00C55C9F"/>
    <w:rsid w:val="00C55D7F"/>
    <w:rsid w:val="00C572E1"/>
    <w:rsid w:val="00C57369"/>
    <w:rsid w:val="00C57431"/>
    <w:rsid w:val="00C57FB8"/>
    <w:rsid w:val="00C6141C"/>
    <w:rsid w:val="00C6199F"/>
    <w:rsid w:val="00C61BDC"/>
    <w:rsid w:val="00C6292C"/>
    <w:rsid w:val="00C62A3F"/>
    <w:rsid w:val="00C62E58"/>
    <w:rsid w:val="00C6392F"/>
    <w:rsid w:val="00C639A2"/>
    <w:rsid w:val="00C63A4E"/>
    <w:rsid w:val="00C64938"/>
    <w:rsid w:val="00C650E4"/>
    <w:rsid w:val="00C6514E"/>
    <w:rsid w:val="00C6596C"/>
    <w:rsid w:val="00C666AC"/>
    <w:rsid w:val="00C7013B"/>
    <w:rsid w:val="00C70F42"/>
    <w:rsid w:val="00C742C2"/>
    <w:rsid w:val="00C7480E"/>
    <w:rsid w:val="00C74D53"/>
    <w:rsid w:val="00C75517"/>
    <w:rsid w:val="00C76107"/>
    <w:rsid w:val="00C76126"/>
    <w:rsid w:val="00C76365"/>
    <w:rsid w:val="00C7668A"/>
    <w:rsid w:val="00C776F4"/>
    <w:rsid w:val="00C77A65"/>
    <w:rsid w:val="00C77F27"/>
    <w:rsid w:val="00C80BDF"/>
    <w:rsid w:val="00C80DF9"/>
    <w:rsid w:val="00C81C11"/>
    <w:rsid w:val="00C81C4D"/>
    <w:rsid w:val="00C81C76"/>
    <w:rsid w:val="00C8275C"/>
    <w:rsid w:val="00C8322F"/>
    <w:rsid w:val="00C83A4E"/>
    <w:rsid w:val="00C84401"/>
    <w:rsid w:val="00C84782"/>
    <w:rsid w:val="00C85605"/>
    <w:rsid w:val="00C8634D"/>
    <w:rsid w:val="00C86BAA"/>
    <w:rsid w:val="00C87428"/>
    <w:rsid w:val="00C9010A"/>
    <w:rsid w:val="00C9068C"/>
    <w:rsid w:val="00C91D25"/>
    <w:rsid w:val="00C91E20"/>
    <w:rsid w:val="00C926DA"/>
    <w:rsid w:val="00C93540"/>
    <w:rsid w:val="00C948FD"/>
    <w:rsid w:val="00C95DE8"/>
    <w:rsid w:val="00C96485"/>
    <w:rsid w:val="00C973D8"/>
    <w:rsid w:val="00C978BD"/>
    <w:rsid w:val="00C97A87"/>
    <w:rsid w:val="00CA050C"/>
    <w:rsid w:val="00CA09D6"/>
    <w:rsid w:val="00CA0B6A"/>
    <w:rsid w:val="00CA115B"/>
    <w:rsid w:val="00CA25A6"/>
    <w:rsid w:val="00CA361C"/>
    <w:rsid w:val="00CA3DE2"/>
    <w:rsid w:val="00CA4FAC"/>
    <w:rsid w:val="00CA7185"/>
    <w:rsid w:val="00CA756F"/>
    <w:rsid w:val="00CA77D5"/>
    <w:rsid w:val="00CA77F5"/>
    <w:rsid w:val="00CA78C0"/>
    <w:rsid w:val="00CA7978"/>
    <w:rsid w:val="00CB0F31"/>
    <w:rsid w:val="00CB4151"/>
    <w:rsid w:val="00CB459A"/>
    <w:rsid w:val="00CB4AFC"/>
    <w:rsid w:val="00CB52FD"/>
    <w:rsid w:val="00CB7CA3"/>
    <w:rsid w:val="00CC05A1"/>
    <w:rsid w:val="00CC19BB"/>
    <w:rsid w:val="00CC2102"/>
    <w:rsid w:val="00CC2784"/>
    <w:rsid w:val="00CC2B36"/>
    <w:rsid w:val="00CC4BA4"/>
    <w:rsid w:val="00CC53AC"/>
    <w:rsid w:val="00CC53B9"/>
    <w:rsid w:val="00CC5CC9"/>
    <w:rsid w:val="00CC6832"/>
    <w:rsid w:val="00CC739B"/>
    <w:rsid w:val="00CC7C76"/>
    <w:rsid w:val="00CC7E97"/>
    <w:rsid w:val="00CC7FE0"/>
    <w:rsid w:val="00CD0817"/>
    <w:rsid w:val="00CD172D"/>
    <w:rsid w:val="00CD2C15"/>
    <w:rsid w:val="00CD4BB5"/>
    <w:rsid w:val="00CD4C14"/>
    <w:rsid w:val="00CD4C6E"/>
    <w:rsid w:val="00CD4E8C"/>
    <w:rsid w:val="00CD5625"/>
    <w:rsid w:val="00CD626B"/>
    <w:rsid w:val="00CE01D3"/>
    <w:rsid w:val="00CE06E5"/>
    <w:rsid w:val="00CE11C3"/>
    <w:rsid w:val="00CE3AF6"/>
    <w:rsid w:val="00CE4A86"/>
    <w:rsid w:val="00CE50E1"/>
    <w:rsid w:val="00CE5B78"/>
    <w:rsid w:val="00CE5D2F"/>
    <w:rsid w:val="00CE6727"/>
    <w:rsid w:val="00CE67C7"/>
    <w:rsid w:val="00CE68A7"/>
    <w:rsid w:val="00CE71B7"/>
    <w:rsid w:val="00CF0356"/>
    <w:rsid w:val="00CF17B7"/>
    <w:rsid w:val="00CF2311"/>
    <w:rsid w:val="00CF249C"/>
    <w:rsid w:val="00CF2633"/>
    <w:rsid w:val="00CF3B19"/>
    <w:rsid w:val="00CF4527"/>
    <w:rsid w:val="00CF473B"/>
    <w:rsid w:val="00CF5181"/>
    <w:rsid w:val="00CF6564"/>
    <w:rsid w:val="00CF65BD"/>
    <w:rsid w:val="00D00177"/>
    <w:rsid w:val="00D00EA4"/>
    <w:rsid w:val="00D00FAB"/>
    <w:rsid w:val="00D00FE2"/>
    <w:rsid w:val="00D011B3"/>
    <w:rsid w:val="00D02C7D"/>
    <w:rsid w:val="00D033D9"/>
    <w:rsid w:val="00D035BF"/>
    <w:rsid w:val="00D038CF"/>
    <w:rsid w:val="00D04746"/>
    <w:rsid w:val="00D076D6"/>
    <w:rsid w:val="00D10D84"/>
    <w:rsid w:val="00D12369"/>
    <w:rsid w:val="00D12F2A"/>
    <w:rsid w:val="00D13A26"/>
    <w:rsid w:val="00D13D13"/>
    <w:rsid w:val="00D13DBF"/>
    <w:rsid w:val="00D14F68"/>
    <w:rsid w:val="00D17A42"/>
    <w:rsid w:val="00D17B02"/>
    <w:rsid w:val="00D209E4"/>
    <w:rsid w:val="00D216EB"/>
    <w:rsid w:val="00D21F1A"/>
    <w:rsid w:val="00D241A0"/>
    <w:rsid w:val="00D26B9E"/>
    <w:rsid w:val="00D27E2A"/>
    <w:rsid w:val="00D30017"/>
    <w:rsid w:val="00D30BD5"/>
    <w:rsid w:val="00D31B48"/>
    <w:rsid w:val="00D32427"/>
    <w:rsid w:val="00D3283F"/>
    <w:rsid w:val="00D32FAA"/>
    <w:rsid w:val="00D335BD"/>
    <w:rsid w:val="00D33D4C"/>
    <w:rsid w:val="00D33F36"/>
    <w:rsid w:val="00D341BD"/>
    <w:rsid w:val="00D348B6"/>
    <w:rsid w:val="00D34C6E"/>
    <w:rsid w:val="00D350AB"/>
    <w:rsid w:val="00D353E3"/>
    <w:rsid w:val="00D35841"/>
    <w:rsid w:val="00D35D15"/>
    <w:rsid w:val="00D3618B"/>
    <w:rsid w:val="00D3667F"/>
    <w:rsid w:val="00D37CE8"/>
    <w:rsid w:val="00D4081F"/>
    <w:rsid w:val="00D40A0F"/>
    <w:rsid w:val="00D413BA"/>
    <w:rsid w:val="00D432A9"/>
    <w:rsid w:val="00D439E7"/>
    <w:rsid w:val="00D44910"/>
    <w:rsid w:val="00D454BB"/>
    <w:rsid w:val="00D457E2"/>
    <w:rsid w:val="00D46229"/>
    <w:rsid w:val="00D466B6"/>
    <w:rsid w:val="00D46F9C"/>
    <w:rsid w:val="00D4731C"/>
    <w:rsid w:val="00D47A90"/>
    <w:rsid w:val="00D47B9A"/>
    <w:rsid w:val="00D50E7E"/>
    <w:rsid w:val="00D520F0"/>
    <w:rsid w:val="00D525F6"/>
    <w:rsid w:val="00D53442"/>
    <w:rsid w:val="00D54414"/>
    <w:rsid w:val="00D54FE6"/>
    <w:rsid w:val="00D5654A"/>
    <w:rsid w:val="00D56B24"/>
    <w:rsid w:val="00D56BDF"/>
    <w:rsid w:val="00D57CB2"/>
    <w:rsid w:val="00D60257"/>
    <w:rsid w:val="00D61072"/>
    <w:rsid w:val="00D61075"/>
    <w:rsid w:val="00D61C9F"/>
    <w:rsid w:val="00D61D5A"/>
    <w:rsid w:val="00D62C79"/>
    <w:rsid w:val="00D63671"/>
    <w:rsid w:val="00D649AD"/>
    <w:rsid w:val="00D64ECB"/>
    <w:rsid w:val="00D65475"/>
    <w:rsid w:val="00D6581C"/>
    <w:rsid w:val="00D65A9D"/>
    <w:rsid w:val="00D664C8"/>
    <w:rsid w:val="00D7139D"/>
    <w:rsid w:val="00D71B3E"/>
    <w:rsid w:val="00D71E11"/>
    <w:rsid w:val="00D723F7"/>
    <w:rsid w:val="00D742C0"/>
    <w:rsid w:val="00D74A23"/>
    <w:rsid w:val="00D74EEA"/>
    <w:rsid w:val="00D75500"/>
    <w:rsid w:val="00D76E72"/>
    <w:rsid w:val="00D7705B"/>
    <w:rsid w:val="00D77363"/>
    <w:rsid w:val="00D77E4B"/>
    <w:rsid w:val="00D801DD"/>
    <w:rsid w:val="00D80F53"/>
    <w:rsid w:val="00D81CCF"/>
    <w:rsid w:val="00D82958"/>
    <w:rsid w:val="00D849AC"/>
    <w:rsid w:val="00D856D2"/>
    <w:rsid w:val="00D856EF"/>
    <w:rsid w:val="00D85877"/>
    <w:rsid w:val="00D85C8C"/>
    <w:rsid w:val="00D860E4"/>
    <w:rsid w:val="00D867E8"/>
    <w:rsid w:val="00D86CB2"/>
    <w:rsid w:val="00D8783D"/>
    <w:rsid w:val="00D87A37"/>
    <w:rsid w:val="00D87FB9"/>
    <w:rsid w:val="00D904DC"/>
    <w:rsid w:val="00D90FDC"/>
    <w:rsid w:val="00D91ABE"/>
    <w:rsid w:val="00D93F9D"/>
    <w:rsid w:val="00D94457"/>
    <w:rsid w:val="00D9446B"/>
    <w:rsid w:val="00D970B9"/>
    <w:rsid w:val="00D977B6"/>
    <w:rsid w:val="00D97928"/>
    <w:rsid w:val="00D97E89"/>
    <w:rsid w:val="00DA14F7"/>
    <w:rsid w:val="00DA1693"/>
    <w:rsid w:val="00DA22E4"/>
    <w:rsid w:val="00DA2846"/>
    <w:rsid w:val="00DA3F74"/>
    <w:rsid w:val="00DA4587"/>
    <w:rsid w:val="00DA4932"/>
    <w:rsid w:val="00DA518F"/>
    <w:rsid w:val="00DA5B5A"/>
    <w:rsid w:val="00DA5FC1"/>
    <w:rsid w:val="00DA673C"/>
    <w:rsid w:val="00DA71B2"/>
    <w:rsid w:val="00DA7494"/>
    <w:rsid w:val="00DA76C7"/>
    <w:rsid w:val="00DA7AF0"/>
    <w:rsid w:val="00DB0BDA"/>
    <w:rsid w:val="00DB1307"/>
    <w:rsid w:val="00DB2FD7"/>
    <w:rsid w:val="00DB30D6"/>
    <w:rsid w:val="00DB388A"/>
    <w:rsid w:val="00DB3D19"/>
    <w:rsid w:val="00DB5169"/>
    <w:rsid w:val="00DB53C8"/>
    <w:rsid w:val="00DB5EB8"/>
    <w:rsid w:val="00DB6480"/>
    <w:rsid w:val="00DB7903"/>
    <w:rsid w:val="00DB7B18"/>
    <w:rsid w:val="00DC0FD8"/>
    <w:rsid w:val="00DC124D"/>
    <w:rsid w:val="00DC1E8E"/>
    <w:rsid w:val="00DC29EA"/>
    <w:rsid w:val="00DC35BF"/>
    <w:rsid w:val="00DC3D33"/>
    <w:rsid w:val="00DC472E"/>
    <w:rsid w:val="00DC5552"/>
    <w:rsid w:val="00DC5B62"/>
    <w:rsid w:val="00DC5F6C"/>
    <w:rsid w:val="00DC6458"/>
    <w:rsid w:val="00DC7173"/>
    <w:rsid w:val="00DC7D0C"/>
    <w:rsid w:val="00DD128C"/>
    <w:rsid w:val="00DD275D"/>
    <w:rsid w:val="00DD394D"/>
    <w:rsid w:val="00DD39AA"/>
    <w:rsid w:val="00DD3A1F"/>
    <w:rsid w:val="00DD535A"/>
    <w:rsid w:val="00DD55EF"/>
    <w:rsid w:val="00DD6A5A"/>
    <w:rsid w:val="00DD72A8"/>
    <w:rsid w:val="00DD78C2"/>
    <w:rsid w:val="00DD7C2C"/>
    <w:rsid w:val="00DE076A"/>
    <w:rsid w:val="00DE0FFC"/>
    <w:rsid w:val="00DE4273"/>
    <w:rsid w:val="00DE4A69"/>
    <w:rsid w:val="00DE4B9E"/>
    <w:rsid w:val="00DE5954"/>
    <w:rsid w:val="00DE5CC1"/>
    <w:rsid w:val="00DE5D10"/>
    <w:rsid w:val="00DE6891"/>
    <w:rsid w:val="00DE6FC8"/>
    <w:rsid w:val="00DF1047"/>
    <w:rsid w:val="00DF28AE"/>
    <w:rsid w:val="00DF2A1C"/>
    <w:rsid w:val="00DF31B5"/>
    <w:rsid w:val="00DF383C"/>
    <w:rsid w:val="00DF52AC"/>
    <w:rsid w:val="00DF6336"/>
    <w:rsid w:val="00DF66D3"/>
    <w:rsid w:val="00DF7343"/>
    <w:rsid w:val="00DF78C8"/>
    <w:rsid w:val="00E0118A"/>
    <w:rsid w:val="00E02332"/>
    <w:rsid w:val="00E0266B"/>
    <w:rsid w:val="00E03567"/>
    <w:rsid w:val="00E04787"/>
    <w:rsid w:val="00E0517C"/>
    <w:rsid w:val="00E064A2"/>
    <w:rsid w:val="00E06C32"/>
    <w:rsid w:val="00E06F5F"/>
    <w:rsid w:val="00E07266"/>
    <w:rsid w:val="00E10E97"/>
    <w:rsid w:val="00E10F9B"/>
    <w:rsid w:val="00E11EC7"/>
    <w:rsid w:val="00E130CE"/>
    <w:rsid w:val="00E13A57"/>
    <w:rsid w:val="00E14483"/>
    <w:rsid w:val="00E14CE4"/>
    <w:rsid w:val="00E1527F"/>
    <w:rsid w:val="00E153EB"/>
    <w:rsid w:val="00E15BA0"/>
    <w:rsid w:val="00E16013"/>
    <w:rsid w:val="00E17766"/>
    <w:rsid w:val="00E17CDC"/>
    <w:rsid w:val="00E2087F"/>
    <w:rsid w:val="00E22B33"/>
    <w:rsid w:val="00E23242"/>
    <w:rsid w:val="00E23995"/>
    <w:rsid w:val="00E24216"/>
    <w:rsid w:val="00E260FF"/>
    <w:rsid w:val="00E263E9"/>
    <w:rsid w:val="00E26570"/>
    <w:rsid w:val="00E26BEA"/>
    <w:rsid w:val="00E26DB5"/>
    <w:rsid w:val="00E27A4F"/>
    <w:rsid w:val="00E30CEE"/>
    <w:rsid w:val="00E31512"/>
    <w:rsid w:val="00E32CCB"/>
    <w:rsid w:val="00E331E3"/>
    <w:rsid w:val="00E3323E"/>
    <w:rsid w:val="00E33277"/>
    <w:rsid w:val="00E33E2C"/>
    <w:rsid w:val="00E34146"/>
    <w:rsid w:val="00E3500B"/>
    <w:rsid w:val="00E37857"/>
    <w:rsid w:val="00E40525"/>
    <w:rsid w:val="00E4272F"/>
    <w:rsid w:val="00E432E0"/>
    <w:rsid w:val="00E43543"/>
    <w:rsid w:val="00E4417E"/>
    <w:rsid w:val="00E44868"/>
    <w:rsid w:val="00E46DE5"/>
    <w:rsid w:val="00E47F19"/>
    <w:rsid w:val="00E517C5"/>
    <w:rsid w:val="00E520D7"/>
    <w:rsid w:val="00E52196"/>
    <w:rsid w:val="00E5290D"/>
    <w:rsid w:val="00E539C7"/>
    <w:rsid w:val="00E53ADE"/>
    <w:rsid w:val="00E53EBF"/>
    <w:rsid w:val="00E53FD2"/>
    <w:rsid w:val="00E540CE"/>
    <w:rsid w:val="00E55F1C"/>
    <w:rsid w:val="00E56361"/>
    <w:rsid w:val="00E56863"/>
    <w:rsid w:val="00E5770B"/>
    <w:rsid w:val="00E60106"/>
    <w:rsid w:val="00E627AD"/>
    <w:rsid w:val="00E62A09"/>
    <w:rsid w:val="00E63B5D"/>
    <w:rsid w:val="00E641B8"/>
    <w:rsid w:val="00E64232"/>
    <w:rsid w:val="00E645CF"/>
    <w:rsid w:val="00E65501"/>
    <w:rsid w:val="00E65745"/>
    <w:rsid w:val="00E66A51"/>
    <w:rsid w:val="00E67EAF"/>
    <w:rsid w:val="00E67FFC"/>
    <w:rsid w:val="00E701CA"/>
    <w:rsid w:val="00E7080A"/>
    <w:rsid w:val="00E70C6E"/>
    <w:rsid w:val="00E72986"/>
    <w:rsid w:val="00E72E83"/>
    <w:rsid w:val="00E74335"/>
    <w:rsid w:val="00E74575"/>
    <w:rsid w:val="00E804C8"/>
    <w:rsid w:val="00E8137F"/>
    <w:rsid w:val="00E8259F"/>
    <w:rsid w:val="00E831D6"/>
    <w:rsid w:val="00E83283"/>
    <w:rsid w:val="00E83788"/>
    <w:rsid w:val="00E841E9"/>
    <w:rsid w:val="00E8480E"/>
    <w:rsid w:val="00E848F8"/>
    <w:rsid w:val="00E84E49"/>
    <w:rsid w:val="00E84F88"/>
    <w:rsid w:val="00E865DF"/>
    <w:rsid w:val="00E86F15"/>
    <w:rsid w:val="00E87BF5"/>
    <w:rsid w:val="00E90044"/>
    <w:rsid w:val="00E9046C"/>
    <w:rsid w:val="00E91AE1"/>
    <w:rsid w:val="00E91FBE"/>
    <w:rsid w:val="00E92F2F"/>
    <w:rsid w:val="00E93FF0"/>
    <w:rsid w:val="00E94607"/>
    <w:rsid w:val="00E95317"/>
    <w:rsid w:val="00E95B84"/>
    <w:rsid w:val="00E971C3"/>
    <w:rsid w:val="00EA122C"/>
    <w:rsid w:val="00EA1482"/>
    <w:rsid w:val="00EA1755"/>
    <w:rsid w:val="00EA1A76"/>
    <w:rsid w:val="00EA330F"/>
    <w:rsid w:val="00EA7EF4"/>
    <w:rsid w:val="00EB32C9"/>
    <w:rsid w:val="00EB406A"/>
    <w:rsid w:val="00EB4B36"/>
    <w:rsid w:val="00EB6299"/>
    <w:rsid w:val="00EC0F85"/>
    <w:rsid w:val="00EC1B62"/>
    <w:rsid w:val="00EC293E"/>
    <w:rsid w:val="00EC2D55"/>
    <w:rsid w:val="00EC3085"/>
    <w:rsid w:val="00EC326C"/>
    <w:rsid w:val="00EC4224"/>
    <w:rsid w:val="00EC450D"/>
    <w:rsid w:val="00EC6345"/>
    <w:rsid w:val="00EC6811"/>
    <w:rsid w:val="00EC726C"/>
    <w:rsid w:val="00ED0B1B"/>
    <w:rsid w:val="00ED1B6B"/>
    <w:rsid w:val="00ED321B"/>
    <w:rsid w:val="00ED3536"/>
    <w:rsid w:val="00ED39EC"/>
    <w:rsid w:val="00ED40E6"/>
    <w:rsid w:val="00ED47B9"/>
    <w:rsid w:val="00ED4CB7"/>
    <w:rsid w:val="00ED4DFA"/>
    <w:rsid w:val="00ED50D4"/>
    <w:rsid w:val="00ED54BF"/>
    <w:rsid w:val="00ED5D23"/>
    <w:rsid w:val="00ED6E69"/>
    <w:rsid w:val="00EE049A"/>
    <w:rsid w:val="00EE20ED"/>
    <w:rsid w:val="00EE2B74"/>
    <w:rsid w:val="00EE3637"/>
    <w:rsid w:val="00EE460F"/>
    <w:rsid w:val="00EE477F"/>
    <w:rsid w:val="00EF1A91"/>
    <w:rsid w:val="00EF1B1A"/>
    <w:rsid w:val="00EF1EF0"/>
    <w:rsid w:val="00EF2329"/>
    <w:rsid w:val="00EF2806"/>
    <w:rsid w:val="00EF3111"/>
    <w:rsid w:val="00EF3C89"/>
    <w:rsid w:val="00EF3E34"/>
    <w:rsid w:val="00EF5047"/>
    <w:rsid w:val="00EF53B2"/>
    <w:rsid w:val="00EF5DCC"/>
    <w:rsid w:val="00F001EA"/>
    <w:rsid w:val="00F00469"/>
    <w:rsid w:val="00F00786"/>
    <w:rsid w:val="00F00E55"/>
    <w:rsid w:val="00F01575"/>
    <w:rsid w:val="00F036FC"/>
    <w:rsid w:val="00F03C03"/>
    <w:rsid w:val="00F03E72"/>
    <w:rsid w:val="00F04699"/>
    <w:rsid w:val="00F04A85"/>
    <w:rsid w:val="00F04E95"/>
    <w:rsid w:val="00F05824"/>
    <w:rsid w:val="00F071E4"/>
    <w:rsid w:val="00F0725F"/>
    <w:rsid w:val="00F0730F"/>
    <w:rsid w:val="00F078FE"/>
    <w:rsid w:val="00F10375"/>
    <w:rsid w:val="00F103A9"/>
    <w:rsid w:val="00F10561"/>
    <w:rsid w:val="00F105BF"/>
    <w:rsid w:val="00F11348"/>
    <w:rsid w:val="00F11DB0"/>
    <w:rsid w:val="00F128E2"/>
    <w:rsid w:val="00F12F72"/>
    <w:rsid w:val="00F13126"/>
    <w:rsid w:val="00F136B6"/>
    <w:rsid w:val="00F147B5"/>
    <w:rsid w:val="00F15502"/>
    <w:rsid w:val="00F1789A"/>
    <w:rsid w:val="00F21815"/>
    <w:rsid w:val="00F22BB0"/>
    <w:rsid w:val="00F231EC"/>
    <w:rsid w:val="00F231F2"/>
    <w:rsid w:val="00F23CDD"/>
    <w:rsid w:val="00F24B6B"/>
    <w:rsid w:val="00F25CBC"/>
    <w:rsid w:val="00F26394"/>
    <w:rsid w:val="00F26443"/>
    <w:rsid w:val="00F31288"/>
    <w:rsid w:val="00F31E89"/>
    <w:rsid w:val="00F31F9F"/>
    <w:rsid w:val="00F33793"/>
    <w:rsid w:val="00F33D0B"/>
    <w:rsid w:val="00F33D39"/>
    <w:rsid w:val="00F33E2A"/>
    <w:rsid w:val="00F34E18"/>
    <w:rsid w:val="00F357AA"/>
    <w:rsid w:val="00F3595E"/>
    <w:rsid w:val="00F362AF"/>
    <w:rsid w:val="00F402B2"/>
    <w:rsid w:val="00F40835"/>
    <w:rsid w:val="00F40AD2"/>
    <w:rsid w:val="00F40C53"/>
    <w:rsid w:val="00F42111"/>
    <w:rsid w:val="00F42295"/>
    <w:rsid w:val="00F447DA"/>
    <w:rsid w:val="00F46420"/>
    <w:rsid w:val="00F466C0"/>
    <w:rsid w:val="00F46AC8"/>
    <w:rsid w:val="00F471EC"/>
    <w:rsid w:val="00F50682"/>
    <w:rsid w:val="00F50A6E"/>
    <w:rsid w:val="00F50DDA"/>
    <w:rsid w:val="00F50F9D"/>
    <w:rsid w:val="00F5130B"/>
    <w:rsid w:val="00F519DA"/>
    <w:rsid w:val="00F5263A"/>
    <w:rsid w:val="00F52B69"/>
    <w:rsid w:val="00F532C8"/>
    <w:rsid w:val="00F53B74"/>
    <w:rsid w:val="00F53FFD"/>
    <w:rsid w:val="00F544C2"/>
    <w:rsid w:val="00F545C7"/>
    <w:rsid w:val="00F54919"/>
    <w:rsid w:val="00F55889"/>
    <w:rsid w:val="00F55C93"/>
    <w:rsid w:val="00F57720"/>
    <w:rsid w:val="00F61570"/>
    <w:rsid w:val="00F6176B"/>
    <w:rsid w:val="00F61E56"/>
    <w:rsid w:val="00F62945"/>
    <w:rsid w:val="00F63097"/>
    <w:rsid w:val="00F63920"/>
    <w:rsid w:val="00F642F3"/>
    <w:rsid w:val="00F64733"/>
    <w:rsid w:val="00F653F8"/>
    <w:rsid w:val="00F6548F"/>
    <w:rsid w:val="00F67349"/>
    <w:rsid w:val="00F679EC"/>
    <w:rsid w:val="00F67E0A"/>
    <w:rsid w:val="00F71B6F"/>
    <w:rsid w:val="00F7289C"/>
    <w:rsid w:val="00F73C41"/>
    <w:rsid w:val="00F74186"/>
    <w:rsid w:val="00F74A25"/>
    <w:rsid w:val="00F75FEC"/>
    <w:rsid w:val="00F76558"/>
    <w:rsid w:val="00F80697"/>
    <w:rsid w:val="00F80C03"/>
    <w:rsid w:val="00F810FA"/>
    <w:rsid w:val="00F81E45"/>
    <w:rsid w:val="00F82202"/>
    <w:rsid w:val="00F838DD"/>
    <w:rsid w:val="00F84547"/>
    <w:rsid w:val="00F8491E"/>
    <w:rsid w:val="00F84F84"/>
    <w:rsid w:val="00F85034"/>
    <w:rsid w:val="00F860C4"/>
    <w:rsid w:val="00F8659B"/>
    <w:rsid w:val="00F87909"/>
    <w:rsid w:val="00F9026C"/>
    <w:rsid w:val="00F90483"/>
    <w:rsid w:val="00F9164D"/>
    <w:rsid w:val="00F91A0D"/>
    <w:rsid w:val="00F92E64"/>
    <w:rsid w:val="00F93DF0"/>
    <w:rsid w:val="00F948DE"/>
    <w:rsid w:val="00F94DD3"/>
    <w:rsid w:val="00F95DB2"/>
    <w:rsid w:val="00F97319"/>
    <w:rsid w:val="00F974E4"/>
    <w:rsid w:val="00F97948"/>
    <w:rsid w:val="00FA05F4"/>
    <w:rsid w:val="00FA102B"/>
    <w:rsid w:val="00FA1B94"/>
    <w:rsid w:val="00FA1C6F"/>
    <w:rsid w:val="00FA216A"/>
    <w:rsid w:val="00FA2545"/>
    <w:rsid w:val="00FA33DE"/>
    <w:rsid w:val="00FA38F6"/>
    <w:rsid w:val="00FA444E"/>
    <w:rsid w:val="00FA7F7C"/>
    <w:rsid w:val="00FB31C6"/>
    <w:rsid w:val="00FB3A07"/>
    <w:rsid w:val="00FB44F7"/>
    <w:rsid w:val="00FB499B"/>
    <w:rsid w:val="00FB5C58"/>
    <w:rsid w:val="00FB6146"/>
    <w:rsid w:val="00FB7B1B"/>
    <w:rsid w:val="00FC1FBA"/>
    <w:rsid w:val="00FC549A"/>
    <w:rsid w:val="00FC68E7"/>
    <w:rsid w:val="00FD17FF"/>
    <w:rsid w:val="00FD2416"/>
    <w:rsid w:val="00FD2784"/>
    <w:rsid w:val="00FD333C"/>
    <w:rsid w:val="00FD38AD"/>
    <w:rsid w:val="00FD3B7B"/>
    <w:rsid w:val="00FD5509"/>
    <w:rsid w:val="00FD5F57"/>
    <w:rsid w:val="00FD6B97"/>
    <w:rsid w:val="00FD73A7"/>
    <w:rsid w:val="00FD7603"/>
    <w:rsid w:val="00FD7BFD"/>
    <w:rsid w:val="00FE0595"/>
    <w:rsid w:val="00FE0616"/>
    <w:rsid w:val="00FE06F6"/>
    <w:rsid w:val="00FE0B8D"/>
    <w:rsid w:val="00FE1818"/>
    <w:rsid w:val="00FE1CCF"/>
    <w:rsid w:val="00FE1ED4"/>
    <w:rsid w:val="00FE39A8"/>
    <w:rsid w:val="00FE3F77"/>
    <w:rsid w:val="00FE456D"/>
    <w:rsid w:val="00FE65D8"/>
    <w:rsid w:val="00FE74A4"/>
    <w:rsid w:val="00FF029D"/>
    <w:rsid w:val="00FF0879"/>
    <w:rsid w:val="00FF0F32"/>
    <w:rsid w:val="00FF1398"/>
    <w:rsid w:val="00FF1576"/>
    <w:rsid w:val="00FF15E4"/>
    <w:rsid w:val="00FF1708"/>
    <w:rsid w:val="00FF1E9F"/>
    <w:rsid w:val="00FF1F84"/>
    <w:rsid w:val="00FF25B9"/>
    <w:rsid w:val="00FF2EAD"/>
    <w:rsid w:val="00FF36C3"/>
    <w:rsid w:val="00FF38AF"/>
    <w:rsid w:val="00FF4174"/>
    <w:rsid w:val="00FF52F5"/>
    <w:rsid w:val="00FF629E"/>
    <w:rsid w:val="00FF6A90"/>
    <w:rsid w:val="00FF74AB"/>
    <w:rsid w:val="00FF761D"/>
    <w:rsid w:val="0B4A9790"/>
    <w:rsid w:val="36BA43CE"/>
    <w:rsid w:val="394C647A"/>
    <w:rsid w:val="41036510"/>
    <w:rsid w:val="4EBEC5D1"/>
    <w:rsid w:val="6922423A"/>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8C80DC7"/>
  <w15:docId w15:val="{0117B406-3B38-4E9F-A297-FFF5FB64F1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qFormat="1"/>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77363"/>
    <w:pPr>
      <w:widowControl w:val="0"/>
      <w:spacing w:after="120" w:line="240" w:lineRule="auto"/>
      <w:jc w:val="both"/>
    </w:pPr>
    <w:rPr>
      <w:rFonts w:eastAsia="Times New Roman" w:cs="Times New Roman"/>
      <w:sz w:val="20"/>
    </w:rPr>
  </w:style>
  <w:style w:type="paragraph" w:styleId="Heading1">
    <w:name w:val="heading 1"/>
    <w:basedOn w:val="Normal"/>
    <w:next w:val="Normal"/>
    <w:link w:val="Heading1Char"/>
    <w:uiPriority w:val="99"/>
    <w:qFormat/>
    <w:rsid w:val="00DC29EA"/>
    <w:pPr>
      <w:keepNext/>
      <w:keepLines/>
      <w:outlineLvl w:val="0"/>
    </w:pPr>
    <w:rPr>
      <w:rFonts w:eastAsiaTheme="majorEastAsia" w:cstheme="majorBidi"/>
      <w:sz w:val="32"/>
      <w:szCs w:val="32"/>
    </w:rPr>
  </w:style>
  <w:style w:type="paragraph" w:styleId="Heading2">
    <w:name w:val="heading 2"/>
    <w:basedOn w:val="Normal"/>
    <w:next w:val="Normal"/>
    <w:link w:val="Heading2Char"/>
    <w:uiPriority w:val="9"/>
    <w:unhideWhenUsed/>
    <w:qFormat/>
    <w:rsid w:val="00762130"/>
    <w:pPr>
      <w:keepNext/>
      <w:keepLines/>
      <w:spacing w:before="200"/>
      <w:ind w:left="576" w:hanging="576"/>
      <w:outlineLvl w:val="1"/>
    </w:pPr>
    <w:rPr>
      <w:rFonts w:eastAsiaTheme="majorEastAsia" w:cstheme="majorBidi"/>
      <w:sz w:val="24"/>
      <w:szCs w:val="26"/>
    </w:rPr>
  </w:style>
  <w:style w:type="paragraph" w:styleId="Heading3">
    <w:name w:val="heading 3"/>
    <w:basedOn w:val="Normal"/>
    <w:next w:val="Normal"/>
    <w:link w:val="Heading3Char"/>
    <w:uiPriority w:val="9"/>
    <w:unhideWhenUsed/>
    <w:qFormat/>
    <w:rsid w:val="0088039F"/>
    <w:pPr>
      <w:keepNext/>
      <w:widowControl/>
      <w:numPr>
        <w:ilvl w:val="2"/>
        <w:numId w:val="90"/>
      </w:numPr>
      <w:jc w:val="left"/>
      <w:outlineLvl w:val="2"/>
    </w:pPr>
    <w:rPr>
      <w:rFonts w:eastAsiaTheme="majorEastAsia" w:cs="Arial"/>
      <w:sz w:val="24"/>
      <w:szCs w:val="24"/>
    </w:rPr>
  </w:style>
  <w:style w:type="paragraph" w:styleId="Heading4">
    <w:name w:val="heading 4"/>
    <w:basedOn w:val="Normal"/>
    <w:next w:val="Normal"/>
    <w:link w:val="Heading4Char"/>
    <w:uiPriority w:val="9"/>
    <w:unhideWhenUsed/>
    <w:qFormat/>
    <w:rsid w:val="001A2AE6"/>
    <w:pPr>
      <w:keepNext/>
      <w:widowControl/>
      <w:numPr>
        <w:ilvl w:val="3"/>
        <w:numId w:val="90"/>
      </w:numPr>
      <w:jc w:val="left"/>
      <w:outlineLvl w:val="3"/>
    </w:pPr>
    <w:rPr>
      <w:rFonts w:asciiTheme="majorHAnsi" w:eastAsiaTheme="majorEastAsia" w:hAnsiTheme="majorHAnsi" w:cstheme="majorBidi"/>
      <w:b/>
      <w:iCs/>
    </w:rPr>
  </w:style>
  <w:style w:type="paragraph" w:styleId="Heading5">
    <w:name w:val="heading 5"/>
    <w:basedOn w:val="Normal"/>
    <w:next w:val="Normal"/>
    <w:link w:val="Heading5Char"/>
    <w:autoRedefine/>
    <w:uiPriority w:val="9"/>
    <w:qFormat/>
    <w:rsid w:val="004F1051"/>
    <w:pPr>
      <w:keepNext/>
      <w:keepLines/>
      <w:widowControl/>
      <w:spacing w:before="120"/>
      <w:ind w:left="1008" w:hanging="1008"/>
      <w:jc w:val="left"/>
      <w:outlineLvl w:val="4"/>
    </w:pPr>
    <w:rPr>
      <w:rFonts w:ascii="Calibri" w:eastAsia="Franklin Gothic Book" w:hAnsi="Calibri"/>
      <w:b/>
    </w:rPr>
  </w:style>
  <w:style w:type="paragraph" w:styleId="Heading6">
    <w:name w:val="heading 6"/>
    <w:basedOn w:val="Normal"/>
    <w:next w:val="Normal"/>
    <w:link w:val="Heading6Char"/>
    <w:uiPriority w:val="9"/>
    <w:unhideWhenUsed/>
    <w:qFormat/>
    <w:rsid w:val="00DC29EA"/>
    <w:pPr>
      <w:keepNext/>
      <w:keepLines/>
      <w:spacing w:before="200"/>
      <w:outlineLvl w:val="5"/>
    </w:pPr>
    <w:rPr>
      <w:rFonts w:eastAsiaTheme="majorEastAsia" w:cstheme="majorBidi"/>
      <w:b/>
      <w:smallCaps/>
      <w:sz w:val="22"/>
    </w:rPr>
  </w:style>
  <w:style w:type="paragraph" w:styleId="Heading7">
    <w:name w:val="heading 7"/>
    <w:basedOn w:val="Normal"/>
    <w:next w:val="Normal"/>
    <w:link w:val="Heading7Char"/>
    <w:uiPriority w:val="99"/>
    <w:qFormat/>
    <w:rsid w:val="001928B8"/>
    <w:pPr>
      <w:keepNext/>
      <w:keepLines/>
      <w:widowControl/>
      <w:spacing w:before="200" w:after="0" w:line="276" w:lineRule="auto"/>
      <w:ind w:left="1296" w:hanging="1296"/>
      <w:jc w:val="left"/>
      <w:outlineLvl w:val="6"/>
    </w:pPr>
    <w:rPr>
      <w:rFonts w:ascii="Cambria" w:hAnsi="Cambria"/>
      <w:i/>
      <w:iCs/>
      <w:color w:val="404040"/>
    </w:rPr>
  </w:style>
  <w:style w:type="paragraph" w:styleId="Heading8">
    <w:name w:val="heading 8"/>
    <w:basedOn w:val="Normal"/>
    <w:next w:val="Normal"/>
    <w:link w:val="Heading8Char"/>
    <w:uiPriority w:val="99"/>
    <w:qFormat/>
    <w:rsid w:val="001928B8"/>
    <w:pPr>
      <w:keepNext/>
      <w:keepLines/>
      <w:widowControl/>
      <w:spacing w:before="200" w:after="0" w:line="276" w:lineRule="auto"/>
      <w:ind w:left="1440" w:hanging="1440"/>
      <w:jc w:val="left"/>
      <w:outlineLvl w:val="7"/>
    </w:pPr>
    <w:rPr>
      <w:rFonts w:ascii="Cambria" w:hAnsi="Cambria"/>
      <w:color w:val="404040"/>
    </w:rPr>
  </w:style>
  <w:style w:type="paragraph" w:styleId="Heading9">
    <w:name w:val="heading 9"/>
    <w:basedOn w:val="Normal"/>
    <w:next w:val="Normal"/>
    <w:link w:val="Heading9Char"/>
    <w:uiPriority w:val="99"/>
    <w:qFormat/>
    <w:rsid w:val="001928B8"/>
    <w:pPr>
      <w:keepNext/>
      <w:keepLines/>
      <w:widowControl/>
      <w:spacing w:before="200" w:after="0" w:line="276" w:lineRule="auto"/>
      <w:ind w:left="1584" w:hanging="1584"/>
      <w:jc w:val="left"/>
      <w:outlineLvl w:val="8"/>
    </w:pPr>
    <w:rPr>
      <w:rFonts w:ascii="Cambria" w:hAnsi="Cambria"/>
      <w:i/>
      <w:iCs/>
      <w:color w:val="40404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noteText">
    <w:name w:val="footnote text"/>
    <w:aliases w:val="Footnote Text1 Char,Footnote Text Char Ch,Footnote Text Char Ch Char Char Char,Footnote Text Char Ch Char Char,Footnote Text1 Char Char Char,Footnote Text Char Ch Char,ft Char,ft,DFSListFootnote,EMI Footnote Text,ALTS FOOTNOTE,fn,FOOTNOTE"/>
    <w:basedOn w:val="Normal"/>
    <w:link w:val="FootnoteTextChar"/>
    <w:uiPriority w:val="99"/>
    <w:qFormat/>
    <w:rsid w:val="00654511"/>
    <w:pPr>
      <w:spacing w:after="0"/>
      <w:jc w:val="left"/>
    </w:pPr>
    <w:rPr>
      <w:sz w:val="18"/>
    </w:rPr>
  </w:style>
  <w:style w:type="character" w:customStyle="1" w:styleId="FootnoteTextChar">
    <w:name w:val="Footnote Text Char"/>
    <w:aliases w:val="Footnote Text1 Char Char,Footnote Text Char Ch Char1,Footnote Text Char Ch Char Char Char Char,Footnote Text Char Ch Char Char Char1,Footnote Text1 Char Char Char Char,Footnote Text Char Ch Char Char1,ft Char Char,ft Char1,fn Char"/>
    <w:basedOn w:val="DefaultParagraphFont"/>
    <w:link w:val="FootnoteText"/>
    <w:uiPriority w:val="99"/>
    <w:rsid w:val="00654511"/>
    <w:rPr>
      <w:rFonts w:eastAsia="Times New Roman" w:cs="Times New Roman"/>
      <w:sz w:val="18"/>
    </w:rPr>
  </w:style>
  <w:style w:type="character" w:styleId="FootnoteReference">
    <w:name w:val="footnote reference"/>
    <w:aliases w:val="Footnote_Reference,o,fr,TT - Footnote Reference,Style 17,o + Times New Roman,FC,Style 9"/>
    <w:uiPriority w:val="99"/>
    <w:qFormat/>
    <w:rsid w:val="009F45F0"/>
    <w:rPr>
      <w:rFonts w:ascii="Arial" w:hAnsi="Arial" w:cs="Times New Roman"/>
      <w:sz w:val="20"/>
      <w:vertAlign w:val="superscript"/>
    </w:rPr>
  </w:style>
  <w:style w:type="character" w:styleId="Hyperlink">
    <w:name w:val="Hyperlink"/>
    <w:uiPriority w:val="99"/>
    <w:rsid w:val="009F45F0"/>
    <w:rPr>
      <w:rFonts w:cs="Times New Roman"/>
      <w:color w:val="0000FF"/>
      <w:u w:val="single"/>
    </w:rPr>
  </w:style>
  <w:style w:type="paragraph" w:styleId="ListParagraph">
    <w:name w:val="List Paragraph"/>
    <w:aliases w:val="TT - List Paragraph,TOC etc.,Proposal List Paragraph,List Paragraph - RFP,Bullet Styles para,Numbered Standard,Numbered Para 1,Dot pt,No Spacing1,List Paragraph Char Char Char,Indicator Text,List Paragraph1,Bullet Points,MAIN heading 4"/>
    <w:basedOn w:val="Normal"/>
    <w:link w:val="ListParagraphChar"/>
    <w:uiPriority w:val="34"/>
    <w:qFormat/>
    <w:rsid w:val="009F45F0"/>
    <w:pPr>
      <w:ind w:left="720"/>
      <w:contextualSpacing/>
    </w:pPr>
  </w:style>
  <w:style w:type="table" w:customStyle="1" w:styleId="GridTable1Light1">
    <w:name w:val="Grid Table 1 Light1"/>
    <w:basedOn w:val="TableNormal"/>
    <w:uiPriority w:val="46"/>
    <w:rsid w:val="009F45F0"/>
    <w:pPr>
      <w:spacing w:after="0" w:line="240" w:lineRule="auto"/>
    </w:p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dTable1Light2">
    <w:name w:val="Grid Table 1 Light2"/>
    <w:basedOn w:val="TableNormal"/>
    <w:uiPriority w:val="46"/>
    <w:rsid w:val="009F45F0"/>
    <w:pPr>
      <w:spacing w:after="0" w:line="240" w:lineRule="auto"/>
    </w:p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ListParagraphChar">
    <w:name w:val="List Paragraph Char"/>
    <w:aliases w:val="TT - List Paragraph Char,TOC etc. Char,Proposal List Paragraph Char,List Paragraph - RFP Char,Bullet Styles para Char,Numbered Standard Char,Numbered Para 1 Char,Dot pt Char,No Spacing1 Char,List Paragraph Char Char Char Char"/>
    <w:basedOn w:val="DefaultParagraphFont"/>
    <w:link w:val="ListParagraph"/>
    <w:uiPriority w:val="34"/>
    <w:locked/>
    <w:rsid w:val="009F45F0"/>
    <w:rPr>
      <w:rFonts w:eastAsia="Times New Roman" w:cs="Times New Roman"/>
      <w:sz w:val="20"/>
    </w:rPr>
  </w:style>
  <w:style w:type="table" w:customStyle="1" w:styleId="GridTable1Light3">
    <w:name w:val="Grid Table 1 Light3"/>
    <w:basedOn w:val="TableNormal"/>
    <w:uiPriority w:val="46"/>
    <w:rsid w:val="009F45F0"/>
    <w:pPr>
      <w:spacing w:after="0" w:line="240" w:lineRule="auto"/>
    </w:p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styleId="TOC1">
    <w:name w:val="toc 1"/>
    <w:basedOn w:val="Normal"/>
    <w:next w:val="Normal"/>
    <w:autoRedefine/>
    <w:uiPriority w:val="39"/>
    <w:unhideWhenUsed/>
    <w:rsid w:val="00B3146E"/>
    <w:pPr>
      <w:spacing w:after="100"/>
    </w:pPr>
    <w:rPr>
      <w:b/>
      <w:smallCaps/>
      <w:sz w:val="22"/>
    </w:rPr>
  </w:style>
  <w:style w:type="paragraph" w:styleId="TOC2">
    <w:name w:val="toc 2"/>
    <w:basedOn w:val="Normal"/>
    <w:next w:val="Normal"/>
    <w:autoRedefine/>
    <w:uiPriority w:val="39"/>
    <w:unhideWhenUsed/>
    <w:rsid w:val="00C572E1"/>
    <w:pPr>
      <w:spacing w:after="100"/>
      <w:ind w:left="200"/>
    </w:pPr>
  </w:style>
  <w:style w:type="paragraph" w:styleId="TOC3">
    <w:name w:val="toc 3"/>
    <w:basedOn w:val="Normal"/>
    <w:next w:val="Normal"/>
    <w:autoRedefine/>
    <w:uiPriority w:val="39"/>
    <w:unhideWhenUsed/>
    <w:rsid w:val="005F2D93"/>
    <w:pPr>
      <w:tabs>
        <w:tab w:val="left" w:pos="1320"/>
        <w:tab w:val="right" w:leader="dot" w:pos="9350"/>
      </w:tabs>
      <w:spacing w:after="100"/>
      <w:ind w:left="400"/>
    </w:pPr>
  </w:style>
  <w:style w:type="paragraph" w:styleId="Header">
    <w:name w:val="header"/>
    <w:basedOn w:val="Normal"/>
    <w:link w:val="HeaderChar"/>
    <w:uiPriority w:val="99"/>
    <w:unhideWhenUsed/>
    <w:rsid w:val="00563A0F"/>
    <w:pPr>
      <w:tabs>
        <w:tab w:val="center" w:pos="4680"/>
        <w:tab w:val="right" w:pos="9360"/>
      </w:tabs>
      <w:spacing w:after="0"/>
    </w:pPr>
  </w:style>
  <w:style w:type="character" w:customStyle="1" w:styleId="HeaderChar">
    <w:name w:val="Header Char"/>
    <w:basedOn w:val="DefaultParagraphFont"/>
    <w:link w:val="Header"/>
    <w:uiPriority w:val="99"/>
    <w:rsid w:val="00563A0F"/>
    <w:rPr>
      <w:rFonts w:eastAsia="Times New Roman" w:cs="Times New Roman"/>
      <w:sz w:val="20"/>
    </w:rPr>
  </w:style>
  <w:style w:type="paragraph" w:styleId="Footer">
    <w:name w:val="footer"/>
    <w:basedOn w:val="Normal"/>
    <w:link w:val="FooterChar"/>
    <w:uiPriority w:val="99"/>
    <w:unhideWhenUsed/>
    <w:rsid w:val="00563A0F"/>
    <w:pPr>
      <w:tabs>
        <w:tab w:val="center" w:pos="4680"/>
        <w:tab w:val="right" w:pos="9360"/>
      </w:tabs>
      <w:spacing w:after="0"/>
    </w:pPr>
  </w:style>
  <w:style w:type="character" w:customStyle="1" w:styleId="FooterChar">
    <w:name w:val="Footer Char"/>
    <w:basedOn w:val="DefaultParagraphFont"/>
    <w:link w:val="Footer"/>
    <w:uiPriority w:val="99"/>
    <w:rsid w:val="00563A0F"/>
    <w:rPr>
      <w:rFonts w:eastAsia="Times New Roman" w:cs="Times New Roman"/>
      <w:sz w:val="20"/>
    </w:rPr>
  </w:style>
  <w:style w:type="character" w:customStyle="1" w:styleId="FooterChar1">
    <w:name w:val="Footer Char1"/>
    <w:uiPriority w:val="99"/>
    <w:locked/>
    <w:rsid w:val="00563A0F"/>
    <w:rPr>
      <w:rFonts w:eastAsia="Times New Roman" w:cs="Times New Roman"/>
      <w:sz w:val="20"/>
    </w:rPr>
  </w:style>
  <w:style w:type="paragraph" w:customStyle="1" w:styleId="HeaderIL">
    <w:name w:val="Header IL"/>
    <w:basedOn w:val="Header"/>
    <w:link w:val="HeaderILChar"/>
    <w:qFormat/>
    <w:rsid w:val="00563A0F"/>
    <w:pPr>
      <w:pBdr>
        <w:bottom w:val="single" w:sz="4" w:space="0" w:color="auto"/>
      </w:pBdr>
      <w:tabs>
        <w:tab w:val="clear" w:pos="4680"/>
        <w:tab w:val="clear" w:pos="9360"/>
        <w:tab w:val="center" w:pos="4320"/>
        <w:tab w:val="right" w:pos="8640"/>
      </w:tabs>
      <w:spacing w:after="120"/>
      <w:jc w:val="left"/>
    </w:pPr>
  </w:style>
  <w:style w:type="character" w:customStyle="1" w:styleId="HeaderILChar">
    <w:name w:val="Header IL Char"/>
    <w:basedOn w:val="HeaderChar"/>
    <w:link w:val="HeaderIL"/>
    <w:rsid w:val="00563A0F"/>
    <w:rPr>
      <w:rFonts w:eastAsia="Times New Roman" w:cs="Times New Roman"/>
      <w:sz w:val="20"/>
    </w:rPr>
  </w:style>
  <w:style w:type="character" w:customStyle="1" w:styleId="Heading1Char">
    <w:name w:val="Heading 1 Char"/>
    <w:basedOn w:val="DefaultParagraphFont"/>
    <w:link w:val="Heading1"/>
    <w:uiPriority w:val="99"/>
    <w:rsid w:val="00DC29EA"/>
    <w:rPr>
      <w:rFonts w:eastAsiaTheme="majorEastAsia" w:cstheme="majorBidi"/>
      <w:sz w:val="32"/>
      <w:szCs w:val="32"/>
    </w:rPr>
  </w:style>
  <w:style w:type="paragraph" w:styleId="TOCHeading">
    <w:name w:val="TOC Heading"/>
    <w:basedOn w:val="Heading1"/>
    <w:next w:val="Normal"/>
    <w:uiPriority w:val="39"/>
    <w:unhideWhenUsed/>
    <w:qFormat/>
    <w:rsid w:val="00CC2784"/>
    <w:pPr>
      <w:outlineLvl w:val="9"/>
    </w:pPr>
  </w:style>
  <w:style w:type="character" w:customStyle="1" w:styleId="Heading2Char">
    <w:name w:val="Heading 2 Char"/>
    <w:basedOn w:val="DefaultParagraphFont"/>
    <w:link w:val="Heading2"/>
    <w:uiPriority w:val="9"/>
    <w:rsid w:val="00762130"/>
    <w:rPr>
      <w:rFonts w:eastAsiaTheme="majorEastAsia" w:cstheme="majorBidi"/>
      <w:sz w:val="24"/>
      <w:szCs w:val="26"/>
    </w:rPr>
  </w:style>
  <w:style w:type="character" w:customStyle="1" w:styleId="Heading3Char">
    <w:name w:val="Heading 3 Char"/>
    <w:basedOn w:val="DefaultParagraphFont"/>
    <w:link w:val="Heading3"/>
    <w:uiPriority w:val="9"/>
    <w:rsid w:val="0088039F"/>
    <w:rPr>
      <w:rFonts w:eastAsiaTheme="majorEastAsia" w:cs="Arial"/>
      <w:sz w:val="24"/>
      <w:szCs w:val="24"/>
    </w:rPr>
  </w:style>
  <w:style w:type="character" w:customStyle="1" w:styleId="Heading6Char">
    <w:name w:val="Heading 6 Char"/>
    <w:basedOn w:val="DefaultParagraphFont"/>
    <w:link w:val="Heading6"/>
    <w:uiPriority w:val="9"/>
    <w:rsid w:val="00DC29EA"/>
    <w:rPr>
      <w:rFonts w:eastAsiaTheme="majorEastAsia" w:cstheme="majorBidi"/>
      <w:b/>
      <w:smallCaps/>
    </w:rPr>
  </w:style>
  <w:style w:type="paragraph" w:styleId="BodyText">
    <w:name w:val="Body Text"/>
    <w:basedOn w:val="Normal"/>
    <w:link w:val="BodyTextChar"/>
    <w:uiPriority w:val="99"/>
    <w:rsid w:val="001F3733"/>
    <w:pPr>
      <w:spacing w:after="240"/>
    </w:pPr>
    <w:rPr>
      <w:sz w:val="28"/>
    </w:rPr>
  </w:style>
  <w:style w:type="character" w:customStyle="1" w:styleId="BodyTextChar">
    <w:name w:val="Body Text Char"/>
    <w:basedOn w:val="DefaultParagraphFont"/>
    <w:link w:val="BodyText"/>
    <w:uiPriority w:val="99"/>
    <w:rsid w:val="001F3733"/>
    <w:rPr>
      <w:rFonts w:eastAsia="Times New Roman" w:cs="Times New Roman"/>
      <w:sz w:val="28"/>
    </w:rPr>
  </w:style>
  <w:style w:type="paragraph" w:styleId="CommentText">
    <w:name w:val="annotation text"/>
    <w:basedOn w:val="Normal"/>
    <w:link w:val="CommentTextChar"/>
    <w:uiPriority w:val="99"/>
    <w:rsid w:val="001F3733"/>
    <w:pPr>
      <w:spacing w:after="240"/>
    </w:pPr>
  </w:style>
  <w:style w:type="character" w:customStyle="1" w:styleId="CommentTextChar">
    <w:name w:val="Comment Text Char"/>
    <w:basedOn w:val="DefaultParagraphFont"/>
    <w:link w:val="CommentText"/>
    <w:uiPriority w:val="99"/>
    <w:rsid w:val="001F3733"/>
    <w:rPr>
      <w:rFonts w:eastAsia="Times New Roman" w:cs="Times New Roman"/>
      <w:sz w:val="20"/>
    </w:rPr>
  </w:style>
  <w:style w:type="character" w:styleId="CommentReference">
    <w:name w:val="annotation reference"/>
    <w:uiPriority w:val="99"/>
    <w:rsid w:val="001F3733"/>
    <w:rPr>
      <w:rFonts w:cs="Times New Roman"/>
      <w:sz w:val="16"/>
      <w:szCs w:val="16"/>
    </w:rPr>
  </w:style>
  <w:style w:type="character" w:customStyle="1" w:styleId="Heading4Char">
    <w:name w:val="Heading 4 Char"/>
    <w:basedOn w:val="DefaultParagraphFont"/>
    <w:link w:val="Heading4"/>
    <w:uiPriority w:val="9"/>
    <w:rsid w:val="001A2AE6"/>
    <w:rPr>
      <w:rFonts w:asciiTheme="majorHAnsi" w:eastAsiaTheme="majorEastAsia" w:hAnsiTheme="majorHAnsi" w:cstheme="majorBidi"/>
      <w:b/>
      <w:iCs/>
      <w:sz w:val="20"/>
    </w:rPr>
  </w:style>
  <w:style w:type="paragraph" w:styleId="TOC6">
    <w:name w:val="toc 6"/>
    <w:basedOn w:val="Normal"/>
    <w:next w:val="Normal"/>
    <w:autoRedefine/>
    <w:uiPriority w:val="39"/>
    <w:unhideWhenUsed/>
    <w:rsid w:val="00374E89"/>
    <w:pPr>
      <w:spacing w:after="100"/>
      <w:ind w:left="1000"/>
    </w:pPr>
  </w:style>
  <w:style w:type="paragraph" w:styleId="BalloonText">
    <w:name w:val="Balloon Text"/>
    <w:basedOn w:val="Normal"/>
    <w:link w:val="BalloonTextChar"/>
    <w:uiPriority w:val="99"/>
    <w:semiHidden/>
    <w:unhideWhenUsed/>
    <w:rsid w:val="009857AA"/>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857AA"/>
    <w:rPr>
      <w:rFonts w:ascii="Segoe UI" w:eastAsia="Times New Roman" w:hAnsi="Segoe UI" w:cs="Segoe UI"/>
      <w:sz w:val="18"/>
      <w:szCs w:val="18"/>
    </w:rPr>
  </w:style>
  <w:style w:type="paragraph" w:customStyle="1" w:styleId="AlgorithmHeading">
    <w:name w:val="Algorithm Heading"/>
    <w:basedOn w:val="Normal"/>
    <w:link w:val="AlgorithmHeadingChar"/>
    <w:qFormat/>
    <w:rsid w:val="009857AA"/>
    <w:pPr>
      <w:pBdr>
        <w:top w:val="double" w:sz="4" w:space="1" w:color="auto"/>
        <w:bottom w:val="double" w:sz="4" w:space="1" w:color="auto"/>
      </w:pBdr>
      <w:spacing w:after="240"/>
      <w:jc w:val="center"/>
    </w:pPr>
    <w:rPr>
      <w:rFonts w:cstheme="minorHAnsi"/>
      <w:b/>
      <w:szCs w:val="20"/>
    </w:rPr>
  </w:style>
  <w:style w:type="character" w:customStyle="1" w:styleId="AlgorithmHeadingChar">
    <w:name w:val="Algorithm Heading Char"/>
    <w:basedOn w:val="DefaultParagraphFont"/>
    <w:link w:val="AlgorithmHeading"/>
    <w:rsid w:val="009857AA"/>
    <w:rPr>
      <w:rFonts w:eastAsia="Times New Roman" w:cstheme="minorHAnsi"/>
      <w:b/>
      <w:sz w:val="20"/>
      <w:szCs w:val="20"/>
    </w:rPr>
  </w:style>
  <w:style w:type="table" w:styleId="TableGrid">
    <w:name w:val="Table Grid"/>
    <w:basedOn w:val="TableNormal"/>
    <w:uiPriority w:val="39"/>
    <w:rsid w:val="009857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uiPriority w:val="39"/>
    <w:rsid w:val="009857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9857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59"/>
    <w:rsid w:val="00FA7F7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uiPriority w:val="99"/>
    <w:semiHidden/>
    <w:unhideWhenUsed/>
    <w:rsid w:val="00E865DF"/>
    <w:pPr>
      <w:spacing w:after="120"/>
    </w:pPr>
    <w:rPr>
      <w:b/>
      <w:bCs/>
      <w:szCs w:val="20"/>
    </w:rPr>
  </w:style>
  <w:style w:type="character" w:customStyle="1" w:styleId="CommentSubjectChar">
    <w:name w:val="Comment Subject Char"/>
    <w:basedOn w:val="CommentTextChar"/>
    <w:link w:val="CommentSubject"/>
    <w:uiPriority w:val="99"/>
    <w:semiHidden/>
    <w:rsid w:val="00E865DF"/>
    <w:rPr>
      <w:rFonts w:eastAsia="Times New Roman" w:cs="Times New Roman"/>
      <w:b/>
      <w:bCs/>
      <w:sz w:val="20"/>
      <w:szCs w:val="20"/>
    </w:rPr>
  </w:style>
  <w:style w:type="paragraph" w:styleId="Revision">
    <w:name w:val="Revision"/>
    <w:hidden/>
    <w:uiPriority w:val="99"/>
    <w:semiHidden/>
    <w:rsid w:val="00E865DF"/>
    <w:pPr>
      <w:spacing w:after="0" w:line="240" w:lineRule="auto"/>
    </w:pPr>
    <w:rPr>
      <w:rFonts w:eastAsia="Times New Roman" w:cs="Times New Roman"/>
      <w:sz w:val="20"/>
    </w:rPr>
  </w:style>
  <w:style w:type="character" w:customStyle="1" w:styleId="Heading5Char">
    <w:name w:val="Heading 5 Char"/>
    <w:basedOn w:val="DefaultParagraphFont"/>
    <w:link w:val="Heading5"/>
    <w:uiPriority w:val="9"/>
    <w:rsid w:val="004F1051"/>
    <w:rPr>
      <w:rFonts w:ascii="Calibri" w:eastAsia="Franklin Gothic Book" w:hAnsi="Calibri" w:cs="Times New Roman"/>
      <w:b/>
      <w:sz w:val="20"/>
    </w:rPr>
  </w:style>
  <w:style w:type="character" w:customStyle="1" w:styleId="Heading7Char">
    <w:name w:val="Heading 7 Char"/>
    <w:basedOn w:val="DefaultParagraphFont"/>
    <w:link w:val="Heading7"/>
    <w:uiPriority w:val="99"/>
    <w:rsid w:val="001928B8"/>
    <w:rPr>
      <w:rFonts w:ascii="Cambria" w:eastAsia="Times New Roman" w:hAnsi="Cambria" w:cs="Times New Roman"/>
      <w:i/>
      <w:iCs/>
      <w:color w:val="404040"/>
      <w:sz w:val="20"/>
    </w:rPr>
  </w:style>
  <w:style w:type="character" w:customStyle="1" w:styleId="Heading8Char">
    <w:name w:val="Heading 8 Char"/>
    <w:basedOn w:val="DefaultParagraphFont"/>
    <w:link w:val="Heading8"/>
    <w:uiPriority w:val="99"/>
    <w:rsid w:val="001928B8"/>
    <w:rPr>
      <w:rFonts w:ascii="Cambria" w:eastAsia="Times New Roman" w:hAnsi="Cambria" w:cs="Times New Roman"/>
      <w:color w:val="404040"/>
      <w:sz w:val="20"/>
    </w:rPr>
  </w:style>
  <w:style w:type="character" w:customStyle="1" w:styleId="Heading9Char">
    <w:name w:val="Heading 9 Char"/>
    <w:basedOn w:val="DefaultParagraphFont"/>
    <w:link w:val="Heading9"/>
    <w:uiPriority w:val="99"/>
    <w:rsid w:val="001928B8"/>
    <w:rPr>
      <w:rFonts w:ascii="Cambria" w:eastAsia="Times New Roman" w:hAnsi="Cambria" w:cs="Times New Roman"/>
      <w:i/>
      <w:iCs/>
      <w:color w:val="404040"/>
      <w:sz w:val="20"/>
    </w:rPr>
  </w:style>
  <w:style w:type="character" w:customStyle="1" w:styleId="Heading3Char1">
    <w:name w:val="Heading 3 Char1"/>
    <w:uiPriority w:val="99"/>
    <w:locked/>
    <w:rsid w:val="001928B8"/>
    <w:rPr>
      <w:rFonts w:ascii="Calibri" w:eastAsiaTheme="minorEastAsia" w:hAnsi="Calibri" w:cs="Times New Roman"/>
      <w:b/>
      <w:bCs/>
      <w:szCs w:val="24"/>
    </w:rPr>
  </w:style>
  <w:style w:type="paragraph" w:customStyle="1" w:styleId="Style0">
    <w:name w:val="Style0"/>
    <w:uiPriority w:val="99"/>
    <w:rsid w:val="001928B8"/>
    <w:pPr>
      <w:spacing w:after="0" w:line="240" w:lineRule="auto"/>
    </w:pPr>
    <w:rPr>
      <w:rFonts w:ascii="Arial" w:eastAsia="Times New Roman" w:hAnsi="Arial" w:cs="Times New Roman"/>
      <w:sz w:val="24"/>
      <w:szCs w:val="20"/>
    </w:rPr>
  </w:style>
  <w:style w:type="character" w:styleId="PageNumber">
    <w:name w:val="page number"/>
    <w:uiPriority w:val="99"/>
    <w:rsid w:val="001928B8"/>
    <w:rPr>
      <w:rFonts w:cs="Times New Roman"/>
    </w:rPr>
  </w:style>
  <w:style w:type="paragraph" w:customStyle="1" w:styleId="PresentedBy">
    <w:name w:val="Presented By"/>
    <w:basedOn w:val="Normal"/>
    <w:link w:val="PresentedByChar"/>
    <w:uiPriority w:val="99"/>
    <w:rsid w:val="001928B8"/>
    <w:pPr>
      <w:widowControl/>
      <w:tabs>
        <w:tab w:val="left" w:pos="360"/>
        <w:tab w:val="left" w:pos="720"/>
        <w:tab w:val="left" w:pos="1080"/>
        <w:tab w:val="left" w:pos="1440"/>
      </w:tabs>
      <w:spacing w:after="0"/>
      <w:jc w:val="left"/>
    </w:pPr>
    <w:rPr>
      <w:rFonts w:ascii="Palatino Linotype" w:hAnsi="Palatino Linotype"/>
      <w:color w:val="6F6754"/>
    </w:rPr>
  </w:style>
  <w:style w:type="character" w:customStyle="1" w:styleId="PresentedByChar">
    <w:name w:val="Presented By Char"/>
    <w:link w:val="PresentedBy"/>
    <w:uiPriority w:val="99"/>
    <w:locked/>
    <w:rsid w:val="001928B8"/>
    <w:rPr>
      <w:rFonts w:ascii="Palatino Linotype" w:eastAsia="Times New Roman" w:hAnsi="Palatino Linotype" w:cs="Times New Roman"/>
      <w:color w:val="6F6754"/>
      <w:sz w:val="20"/>
    </w:rPr>
  </w:style>
  <w:style w:type="paragraph" w:styleId="NoSpacing">
    <w:name w:val="No Spacing"/>
    <w:link w:val="NoSpacingChar"/>
    <w:uiPriority w:val="1"/>
    <w:qFormat/>
    <w:rsid w:val="001928B8"/>
    <w:pPr>
      <w:spacing w:after="0" w:line="240" w:lineRule="auto"/>
    </w:pPr>
    <w:rPr>
      <w:rFonts w:ascii="Times New Roman" w:eastAsia="Times New Roman" w:hAnsi="Times New Roman" w:cs="Times New Roman"/>
      <w:sz w:val="20"/>
      <w:szCs w:val="20"/>
    </w:rPr>
  </w:style>
  <w:style w:type="character" w:styleId="BookTitle">
    <w:name w:val="Book Title"/>
    <w:uiPriority w:val="99"/>
    <w:qFormat/>
    <w:rsid w:val="001928B8"/>
    <w:rPr>
      <w:b/>
      <w:bCs/>
      <w:smallCaps/>
      <w:spacing w:val="5"/>
    </w:rPr>
  </w:style>
  <w:style w:type="paragraph" w:styleId="Title">
    <w:name w:val="Title"/>
    <w:basedOn w:val="Normal"/>
    <w:next w:val="Normal"/>
    <w:link w:val="TitleChar"/>
    <w:qFormat/>
    <w:rsid w:val="001928B8"/>
    <w:pPr>
      <w:widowControl/>
      <w:pBdr>
        <w:bottom w:val="single" w:sz="8" w:space="4" w:color="DDDDDD"/>
      </w:pBdr>
      <w:spacing w:after="300"/>
      <w:contextualSpacing/>
      <w:jc w:val="left"/>
    </w:pPr>
    <w:rPr>
      <w:rFonts w:ascii="Cambria" w:hAnsi="Cambria"/>
      <w:color w:val="000000"/>
      <w:spacing w:val="5"/>
      <w:kern w:val="28"/>
      <w:sz w:val="52"/>
      <w:szCs w:val="52"/>
    </w:rPr>
  </w:style>
  <w:style w:type="character" w:customStyle="1" w:styleId="TitleChar">
    <w:name w:val="Title Char"/>
    <w:basedOn w:val="DefaultParagraphFont"/>
    <w:link w:val="Title"/>
    <w:rsid w:val="001928B8"/>
    <w:rPr>
      <w:rFonts w:ascii="Cambria" w:eastAsia="Times New Roman" w:hAnsi="Cambria" w:cs="Times New Roman"/>
      <w:color w:val="000000"/>
      <w:spacing w:val="5"/>
      <w:kern w:val="28"/>
      <w:sz w:val="52"/>
      <w:szCs w:val="52"/>
    </w:rPr>
  </w:style>
  <w:style w:type="paragraph" w:customStyle="1" w:styleId="Tableleftbold">
    <w:name w:val="Table left bold"/>
    <w:basedOn w:val="Normal"/>
    <w:uiPriority w:val="99"/>
    <w:rsid w:val="001928B8"/>
    <w:pPr>
      <w:keepLines/>
      <w:widowControl/>
      <w:spacing w:before="80" w:after="40"/>
      <w:jc w:val="left"/>
    </w:pPr>
    <w:rPr>
      <w:b/>
      <w:noProof/>
      <w:sz w:val="18"/>
    </w:rPr>
  </w:style>
  <w:style w:type="paragraph" w:customStyle="1" w:styleId="Tablecentered">
    <w:name w:val="Table centered"/>
    <w:basedOn w:val="Normal"/>
    <w:link w:val="TablecenteredChar"/>
    <w:autoRedefine/>
    <w:uiPriority w:val="99"/>
    <w:qFormat/>
    <w:rsid w:val="001928B8"/>
    <w:pPr>
      <w:keepLines/>
      <w:widowControl/>
      <w:tabs>
        <w:tab w:val="left" w:pos="6750"/>
      </w:tabs>
      <w:spacing w:before="80" w:after="80"/>
      <w:jc w:val="center"/>
    </w:pPr>
    <w:rPr>
      <w:noProof/>
      <w:sz w:val="18"/>
      <w:szCs w:val="18"/>
    </w:rPr>
  </w:style>
  <w:style w:type="character" w:customStyle="1" w:styleId="TablecenteredChar">
    <w:name w:val="Table centered Char"/>
    <w:basedOn w:val="DefaultParagraphFont"/>
    <w:link w:val="Tablecentered"/>
    <w:uiPriority w:val="99"/>
    <w:rsid w:val="001928B8"/>
    <w:rPr>
      <w:rFonts w:eastAsia="Times New Roman" w:cs="Times New Roman"/>
      <w:noProof/>
      <w:sz w:val="18"/>
      <w:szCs w:val="18"/>
    </w:rPr>
  </w:style>
  <w:style w:type="paragraph" w:customStyle="1" w:styleId="Tablecenteredbold">
    <w:name w:val="Table centered bold"/>
    <w:basedOn w:val="Tablecentered"/>
    <w:autoRedefine/>
    <w:uiPriority w:val="99"/>
    <w:rsid w:val="001928B8"/>
    <w:rPr>
      <w:b/>
    </w:rPr>
  </w:style>
  <w:style w:type="paragraph" w:customStyle="1" w:styleId="Heading31">
    <w:name w:val="Heading 3.1"/>
    <w:basedOn w:val="Heading3"/>
    <w:link w:val="Heading31Char"/>
    <w:uiPriority w:val="99"/>
    <w:rsid w:val="001928B8"/>
    <w:pPr>
      <w:tabs>
        <w:tab w:val="num" w:pos="0"/>
        <w:tab w:val="num" w:pos="2160"/>
      </w:tabs>
      <w:spacing w:before="240"/>
      <w:ind w:left="2160" w:hanging="180"/>
    </w:pPr>
    <w:rPr>
      <w:rFonts w:ascii="Calibri" w:eastAsiaTheme="minorEastAsia" w:hAnsi="Calibri" w:cs="Calibri"/>
      <w:b/>
      <w:bCs/>
      <w:sz w:val="22"/>
    </w:rPr>
  </w:style>
  <w:style w:type="character" w:customStyle="1" w:styleId="Heading31Char">
    <w:name w:val="Heading 3.1 Char"/>
    <w:link w:val="Heading31"/>
    <w:uiPriority w:val="99"/>
    <w:locked/>
    <w:rsid w:val="001928B8"/>
    <w:rPr>
      <w:rFonts w:ascii="Calibri" w:eastAsiaTheme="minorEastAsia" w:hAnsi="Calibri" w:cs="Calibri"/>
      <w:b/>
      <w:bCs/>
      <w:szCs w:val="24"/>
    </w:rPr>
  </w:style>
  <w:style w:type="paragraph" w:customStyle="1" w:styleId="Usernotes">
    <w:name w:val="User notes"/>
    <w:basedOn w:val="Normal"/>
    <w:next w:val="AnalystText"/>
    <w:link w:val="UsernotesChar"/>
    <w:uiPriority w:val="99"/>
    <w:rsid w:val="001928B8"/>
    <w:pPr>
      <w:widowControl/>
      <w:spacing w:after="200" w:line="276" w:lineRule="auto"/>
      <w:jc w:val="left"/>
    </w:pPr>
    <w:rPr>
      <w:rFonts w:ascii="Comic Sans MS" w:hAnsi="Comic Sans MS"/>
      <w:sz w:val="18"/>
      <w:szCs w:val="18"/>
    </w:rPr>
  </w:style>
  <w:style w:type="paragraph" w:customStyle="1" w:styleId="AnalystText">
    <w:name w:val="Analyst Text"/>
    <w:basedOn w:val="Normal"/>
    <w:link w:val="AnalystTextChar"/>
    <w:uiPriority w:val="99"/>
    <w:rsid w:val="001928B8"/>
    <w:pPr>
      <w:widowControl/>
      <w:spacing w:after="200" w:line="276" w:lineRule="auto"/>
      <w:jc w:val="left"/>
    </w:pPr>
  </w:style>
  <w:style w:type="character" w:customStyle="1" w:styleId="AnalystTextChar">
    <w:name w:val="Analyst Text Char"/>
    <w:link w:val="AnalystText"/>
    <w:uiPriority w:val="99"/>
    <w:locked/>
    <w:rsid w:val="001928B8"/>
    <w:rPr>
      <w:rFonts w:eastAsia="Times New Roman" w:cs="Times New Roman"/>
      <w:sz w:val="20"/>
    </w:rPr>
  </w:style>
  <w:style w:type="character" w:customStyle="1" w:styleId="UsernotesChar">
    <w:name w:val="User notes Char"/>
    <w:link w:val="Usernotes"/>
    <w:uiPriority w:val="99"/>
    <w:locked/>
    <w:rsid w:val="001928B8"/>
    <w:rPr>
      <w:rFonts w:ascii="Comic Sans MS" w:eastAsia="Times New Roman" w:hAnsi="Comic Sans MS" w:cs="Times New Roman"/>
      <w:sz w:val="18"/>
      <w:szCs w:val="18"/>
    </w:rPr>
  </w:style>
  <w:style w:type="paragraph" w:styleId="Caption">
    <w:name w:val="caption"/>
    <w:aliases w:val="Table Caption,Char,Caption Char1 Char,Footnotes,Table/Figure Caption"/>
    <w:basedOn w:val="Normal"/>
    <w:next w:val="Normal"/>
    <w:link w:val="CaptionChar"/>
    <w:uiPriority w:val="35"/>
    <w:qFormat/>
    <w:rsid w:val="00B757BF"/>
    <w:pPr>
      <w:keepNext/>
      <w:widowControl/>
      <w:tabs>
        <w:tab w:val="left" w:pos="1152"/>
      </w:tabs>
      <w:spacing w:after="60"/>
      <w:jc w:val="center"/>
    </w:pPr>
    <w:rPr>
      <w:rFonts w:cstheme="minorHAnsi"/>
      <w:b/>
      <w:szCs w:val="24"/>
    </w:rPr>
  </w:style>
  <w:style w:type="character" w:customStyle="1" w:styleId="CaptionChar">
    <w:name w:val="Caption Char"/>
    <w:aliases w:val="Table Caption Char,Char Char2,Caption Char1 Char Char,Footnotes Char,Table/Figure Caption Char"/>
    <w:link w:val="Caption"/>
    <w:locked/>
    <w:rsid w:val="00B757BF"/>
    <w:rPr>
      <w:rFonts w:eastAsia="Times New Roman" w:cstheme="minorHAnsi"/>
      <w:b/>
      <w:sz w:val="20"/>
      <w:szCs w:val="24"/>
    </w:rPr>
  </w:style>
  <w:style w:type="paragraph" w:styleId="List">
    <w:name w:val="List"/>
    <w:basedOn w:val="Normal"/>
    <w:uiPriority w:val="99"/>
    <w:rsid w:val="001928B8"/>
    <w:pPr>
      <w:widowControl/>
      <w:spacing w:after="0"/>
      <w:ind w:left="360" w:hanging="360"/>
      <w:jc w:val="left"/>
    </w:pPr>
  </w:style>
  <w:style w:type="character" w:customStyle="1" w:styleId="Heading3CharChar">
    <w:name w:val="Heading 3 Char Char"/>
    <w:aliases w:val="Heading 3 Char2 Char Char2,Heading 3 Char Char1 Char Char2,Heading 3 Char2 Char Char Char1 Char2,Heading 3 Char Char1 Char Char Char Char2,Heading 3 Char2 Char Char Char1 Char Char Char2"/>
    <w:uiPriority w:val="99"/>
    <w:rsid w:val="001928B8"/>
    <w:rPr>
      <w:rFonts w:cs="Times New Roman"/>
      <w:b/>
      <w:sz w:val="32"/>
      <w:lang w:val="en-US" w:eastAsia="en-US" w:bidi="ar-SA"/>
    </w:rPr>
  </w:style>
  <w:style w:type="character" w:customStyle="1" w:styleId="MacroTextChar">
    <w:name w:val="Macro Text Char"/>
    <w:basedOn w:val="DefaultParagraphFont"/>
    <w:link w:val="MacroText"/>
    <w:uiPriority w:val="99"/>
    <w:semiHidden/>
    <w:rsid w:val="001928B8"/>
    <w:rPr>
      <w:rFonts w:ascii="Arial" w:eastAsia="Times New Roman" w:hAnsi="Arial" w:cs="Times New Roman"/>
      <w:sz w:val="20"/>
      <w:szCs w:val="20"/>
    </w:rPr>
  </w:style>
  <w:style w:type="paragraph" w:styleId="MacroText">
    <w:name w:val="macro"/>
    <w:link w:val="MacroTextChar"/>
    <w:uiPriority w:val="99"/>
    <w:semiHidden/>
    <w:rsid w:val="001928B8"/>
    <w:pPr>
      <w:tabs>
        <w:tab w:val="left" w:pos="480"/>
        <w:tab w:val="left" w:pos="960"/>
        <w:tab w:val="left" w:pos="1440"/>
        <w:tab w:val="left" w:pos="1920"/>
        <w:tab w:val="left" w:pos="2400"/>
        <w:tab w:val="left" w:pos="2880"/>
        <w:tab w:val="left" w:pos="3360"/>
        <w:tab w:val="left" w:pos="3840"/>
        <w:tab w:val="left" w:pos="4320"/>
      </w:tabs>
      <w:spacing w:after="0" w:line="260" w:lineRule="atLeast"/>
    </w:pPr>
    <w:rPr>
      <w:rFonts w:ascii="Arial" w:eastAsia="Times New Roman" w:hAnsi="Arial" w:cs="Times New Roman"/>
      <w:sz w:val="20"/>
      <w:szCs w:val="20"/>
    </w:rPr>
  </w:style>
  <w:style w:type="character" w:customStyle="1" w:styleId="MacroTextChar1">
    <w:name w:val="Macro Text Char1"/>
    <w:basedOn w:val="DefaultParagraphFont"/>
    <w:uiPriority w:val="99"/>
    <w:semiHidden/>
    <w:rsid w:val="001928B8"/>
    <w:rPr>
      <w:rFonts w:ascii="Consolas" w:eastAsia="Times New Roman" w:hAnsi="Consolas" w:cs="Consolas"/>
      <w:sz w:val="20"/>
      <w:szCs w:val="20"/>
    </w:rPr>
  </w:style>
  <w:style w:type="paragraph" w:styleId="BodyTextIndent2">
    <w:name w:val="Body Text Indent 2"/>
    <w:basedOn w:val="Normal"/>
    <w:link w:val="BodyTextIndent2Char"/>
    <w:uiPriority w:val="99"/>
    <w:rsid w:val="001928B8"/>
    <w:pPr>
      <w:widowControl/>
      <w:spacing w:after="0"/>
      <w:ind w:left="720"/>
      <w:jc w:val="left"/>
    </w:pPr>
  </w:style>
  <w:style w:type="character" w:customStyle="1" w:styleId="BodyTextIndent2Char">
    <w:name w:val="Body Text Indent 2 Char"/>
    <w:basedOn w:val="DefaultParagraphFont"/>
    <w:link w:val="BodyTextIndent2"/>
    <w:uiPriority w:val="99"/>
    <w:rsid w:val="001928B8"/>
    <w:rPr>
      <w:rFonts w:eastAsia="Times New Roman" w:cs="Times New Roman"/>
      <w:sz w:val="20"/>
    </w:rPr>
  </w:style>
  <w:style w:type="character" w:styleId="FollowedHyperlink">
    <w:name w:val="FollowedHyperlink"/>
    <w:uiPriority w:val="99"/>
    <w:rsid w:val="001928B8"/>
    <w:rPr>
      <w:rFonts w:cs="Times New Roman"/>
      <w:color w:val="800080"/>
      <w:u w:val="single"/>
    </w:rPr>
  </w:style>
  <w:style w:type="paragraph" w:customStyle="1" w:styleId="Default">
    <w:name w:val="Default"/>
    <w:rsid w:val="001928B8"/>
    <w:pPr>
      <w:autoSpaceDE w:val="0"/>
      <w:autoSpaceDN w:val="0"/>
      <w:adjustRightInd w:val="0"/>
      <w:spacing w:after="0" w:line="240" w:lineRule="auto"/>
    </w:pPr>
    <w:rPr>
      <w:rFonts w:ascii="Arial" w:eastAsia="Times New Roman" w:hAnsi="Arial" w:cs="Arial"/>
      <w:color w:val="000000"/>
      <w:sz w:val="24"/>
      <w:szCs w:val="24"/>
    </w:rPr>
  </w:style>
  <w:style w:type="character" w:customStyle="1" w:styleId="CharChar8">
    <w:name w:val="Char Char8"/>
    <w:uiPriority w:val="99"/>
    <w:rsid w:val="001928B8"/>
    <w:rPr>
      <w:rFonts w:cs="Times New Roman"/>
      <w:sz w:val="24"/>
      <w:lang w:val="en-US" w:eastAsia="en-US" w:bidi="ar-SA"/>
    </w:rPr>
  </w:style>
  <w:style w:type="character" w:customStyle="1" w:styleId="CharChar11">
    <w:name w:val="Char Char11"/>
    <w:uiPriority w:val="99"/>
    <w:locked/>
    <w:rsid w:val="001928B8"/>
    <w:rPr>
      <w:rFonts w:ascii="Cambria" w:hAnsi="Cambria" w:cs="Times New Roman"/>
      <w:b/>
      <w:bCs/>
      <w:sz w:val="28"/>
      <w:szCs w:val="28"/>
      <w:lang w:val="en-US" w:eastAsia="en-US" w:bidi="ar-SA"/>
    </w:rPr>
  </w:style>
  <w:style w:type="character" w:customStyle="1" w:styleId="CharChar10">
    <w:name w:val="Char Char10"/>
    <w:uiPriority w:val="99"/>
    <w:locked/>
    <w:rsid w:val="001928B8"/>
    <w:rPr>
      <w:rFonts w:ascii="Cambria" w:hAnsi="Cambria" w:cs="Times New Roman"/>
      <w:b/>
      <w:bCs/>
      <w:sz w:val="26"/>
      <w:szCs w:val="26"/>
      <w:lang w:val="en-US" w:eastAsia="en-US" w:bidi="ar-SA"/>
    </w:rPr>
  </w:style>
  <w:style w:type="character" w:customStyle="1" w:styleId="CharChar9">
    <w:name w:val="Char Char9"/>
    <w:uiPriority w:val="99"/>
    <w:locked/>
    <w:rsid w:val="001928B8"/>
    <w:rPr>
      <w:rFonts w:ascii="Cambria" w:hAnsi="Cambria" w:cs="Times New Roman"/>
      <w:b/>
      <w:bCs/>
      <w:sz w:val="22"/>
      <w:szCs w:val="22"/>
      <w:lang w:val="en-US" w:eastAsia="en-US" w:bidi="ar-SA"/>
    </w:rPr>
  </w:style>
  <w:style w:type="character" w:customStyle="1" w:styleId="CharChar7">
    <w:name w:val="Char Char7"/>
    <w:uiPriority w:val="99"/>
    <w:locked/>
    <w:rsid w:val="001928B8"/>
    <w:rPr>
      <w:rFonts w:ascii="Cambria" w:hAnsi="Cambria" w:cs="Times New Roman"/>
      <w:sz w:val="22"/>
      <w:szCs w:val="22"/>
      <w:lang w:val="en-US" w:eastAsia="en-US" w:bidi="ar-SA"/>
    </w:rPr>
  </w:style>
  <w:style w:type="character" w:customStyle="1" w:styleId="CharChar1">
    <w:name w:val="Char Char1"/>
    <w:uiPriority w:val="99"/>
    <w:locked/>
    <w:rsid w:val="001928B8"/>
    <w:rPr>
      <w:rFonts w:ascii="Cambria" w:hAnsi="Cambria" w:cs="Times New Roman"/>
      <w:color w:val="000000"/>
      <w:spacing w:val="5"/>
      <w:kern w:val="28"/>
      <w:sz w:val="52"/>
      <w:szCs w:val="52"/>
      <w:lang w:val="en-US" w:eastAsia="en-US" w:bidi="ar-SA"/>
    </w:rPr>
  </w:style>
  <w:style w:type="paragraph" w:customStyle="1" w:styleId="OptimalLists">
    <w:name w:val="Optimal Lists"/>
    <w:basedOn w:val="Normal"/>
    <w:uiPriority w:val="99"/>
    <w:rsid w:val="001928B8"/>
    <w:pPr>
      <w:widowControl/>
      <w:tabs>
        <w:tab w:val="num" w:pos="720"/>
      </w:tabs>
      <w:spacing w:after="0"/>
      <w:ind w:left="720" w:hanging="360"/>
      <w:jc w:val="left"/>
    </w:pPr>
  </w:style>
  <w:style w:type="character" w:customStyle="1" w:styleId="bodytext0">
    <w:name w:val="bodytext"/>
    <w:uiPriority w:val="99"/>
    <w:rsid w:val="001928B8"/>
    <w:rPr>
      <w:rFonts w:cs="Times New Roman"/>
    </w:rPr>
  </w:style>
  <w:style w:type="character" w:customStyle="1" w:styleId="StyleBold">
    <w:name w:val="Style Bold"/>
    <w:uiPriority w:val="99"/>
    <w:rsid w:val="001928B8"/>
    <w:rPr>
      <w:rFonts w:cs="Times New Roman"/>
      <w:b/>
      <w:bCs/>
      <w:sz w:val="20"/>
    </w:rPr>
  </w:style>
  <w:style w:type="character" w:customStyle="1" w:styleId="DocumentMapChar">
    <w:name w:val="Document Map Char"/>
    <w:basedOn w:val="DefaultParagraphFont"/>
    <w:link w:val="DocumentMap"/>
    <w:uiPriority w:val="99"/>
    <w:semiHidden/>
    <w:rsid w:val="001928B8"/>
    <w:rPr>
      <w:rFonts w:ascii="Tahoma" w:eastAsia="Times New Roman" w:hAnsi="Tahoma" w:cs="Tahoma"/>
      <w:sz w:val="20"/>
      <w:shd w:val="clear" w:color="auto" w:fill="000080"/>
    </w:rPr>
  </w:style>
  <w:style w:type="paragraph" w:styleId="DocumentMap">
    <w:name w:val="Document Map"/>
    <w:basedOn w:val="Normal"/>
    <w:link w:val="DocumentMapChar"/>
    <w:uiPriority w:val="99"/>
    <w:semiHidden/>
    <w:rsid w:val="001928B8"/>
    <w:pPr>
      <w:widowControl/>
      <w:shd w:val="clear" w:color="auto" w:fill="000080"/>
      <w:spacing w:after="0"/>
      <w:jc w:val="left"/>
    </w:pPr>
    <w:rPr>
      <w:rFonts w:ascii="Tahoma" w:hAnsi="Tahoma" w:cs="Tahoma"/>
    </w:rPr>
  </w:style>
  <w:style w:type="character" w:customStyle="1" w:styleId="DocumentMapChar1">
    <w:name w:val="Document Map Char1"/>
    <w:basedOn w:val="DefaultParagraphFont"/>
    <w:uiPriority w:val="99"/>
    <w:semiHidden/>
    <w:rsid w:val="001928B8"/>
    <w:rPr>
      <w:rFonts w:ascii="Segoe UI" w:eastAsia="Times New Roman" w:hAnsi="Segoe UI" w:cs="Segoe UI"/>
      <w:sz w:val="16"/>
      <w:szCs w:val="16"/>
    </w:rPr>
  </w:style>
  <w:style w:type="character" w:customStyle="1" w:styleId="apple-style-span">
    <w:name w:val="apple-style-span"/>
    <w:uiPriority w:val="99"/>
    <w:rsid w:val="001928B8"/>
    <w:rPr>
      <w:rFonts w:cs="Times New Roman"/>
    </w:rPr>
  </w:style>
  <w:style w:type="paragraph" w:styleId="BodyTextIndent3">
    <w:name w:val="Body Text Indent 3"/>
    <w:basedOn w:val="Normal"/>
    <w:link w:val="BodyTextIndent3Char"/>
    <w:uiPriority w:val="99"/>
    <w:rsid w:val="001928B8"/>
    <w:pPr>
      <w:widowControl/>
      <w:spacing w:after="0"/>
      <w:ind w:left="360"/>
      <w:jc w:val="left"/>
    </w:pPr>
    <w:rPr>
      <w:sz w:val="16"/>
      <w:szCs w:val="16"/>
    </w:rPr>
  </w:style>
  <w:style w:type="character" w:customStyle="1" w:styleId="BodyTextIndent3Char">
    <w:name w:val="Body Text Indent 3 Char"/>
    <w:basedOn w:val="DefaultParagraphFont"/>
    <w:link w:val="BodyTextIndent3"/>
    <w:uiPriority w:val="99"/>
    <w:rsid w:val="001928B8"/>
    <w:rPr>
      <w:rFonts w:eastAsia="Times New Roman" w:cs="Times New Roman"/>
      <w:sz w:val="16"/>
      <w:szCs w:val="16"/>
    </w:rPr>
  </w:style>
  <w:style w:type="paragraph" w:styleId="ListBullet">
    <w:name w:val="List Bullet"/>
    <w:basedOn w:val="Normal"/>
    <w:uiPriority w:val="99"/>
    <w:rsid w:val="001928B8"/>
    <w:pPr>
      <w:widowControl/>
      <w:tabs>
        <w:tab w:val="num" w:pos="1080"/>
      </w:tabs>
      <w:spacing w:after="0"/>
      <w:ind w:left="360" w:hanging="360"/>
      <w:jc w:val="left"/>
    </w:pPr>
  </w:style>
  <w:style w:type="paragraph" w:customStyle="1" w:styleId="xl25">
    <w:name w:val="xl25"/>
    <w:basedOn w:val="Normal"/>
    <w:uiPriority w:val="99"/>
    <w:rsid w:val="001928B8"/>
    <w:pPr>
      <w:widowControl/>
      <w:spacing w:before="100" w:beforeAutospacing="1" w:after="100" w:afterAutospacing="1"/>
      <w:jc w:val="left"/>
    </w:pPr>
    <w:rPr>
      <w:rFonts w:ascii="Arial" w:eastAsia="Arial Unicode MS" w:hAnsi="Arial" w:cs="Arial"/>
    </w:rPr>
  </w:style>
  <w:style w:type="character" w:styleId="HTMLCite">
    <w:name w:val="HTML Cite"/>
    <w:uiPriority w:val="99"/>
    <w:rsid w:val="001928B8"/>
    <w:rPr>
      <w:rFonts w:cs="Times New Roman"/>
      <w:i/>
      <w:iCs/>
    </w:rPr>
  </w:style>
  <w:style w:type="character" w:customStyle="1" w:styleId="apple-converted-space">
    <w:name w:val="apple-converted-space"/>
    <w:rsid w:val="001928B8"/>
    <w:rPr>
      <w:rFonts w:cs="Times New Roman"/>
    </w:rPr>
  </w:style>
  <w:style w:type="paragraph" w:styleId="TOC4">
    <w:name w:val="toc 4"/>
    <w:basedOn w:val="Normal"/>
    <w:next w:val="Normal"/>
    <w:autoRedefine/>
    <w:uiPriority w:val="39"/>
    <w:unhideWhenUsed/>
    <w:rsid w:val="00374E89"/>
    <w:pPr>
      <w:spacing w:after="100"/>
      <w:ind w:left="600"/>
    </w:pPr>
  </w:style>
  <w:style w:type="paragraph" w:styleId="TOC5">
    <w:name w:val="toc 5"/>
    <w:basedOn w:val="Normal"/>
    <w:next w:val="Normal"/>
    <w:autoRedefine/>
    <w:uiPriority w:val="39"/>
    <w:unhideWhenUsed/>
    <w:rsid w:val="00374E89"/>
    <w:pPr>
      <w:spacing w:after="100"/>
      <w:ind w:left="800"/>
    </w:pPr>
  </w:style>
  <w:style w:type="paragraph" w:styleId="TOC8">
    <w:name w:val="toc 8"/>
    <w:basedOn w:val="Normal"/>
    <w:next w:val="Normal"/>
    <w:autoRedefine/>
    <w:uiPriority w:val="39"/>
    <w:rsid w:val="001928B8"/>
    <w:pPr>
      <w:widowControl/>
      <w:spacing w:after="0"/>
      <w:ind w:left="1440"/>
      <w:jc w:val="left"/>
    </w:pPr>
    <w:rPr>
      <w:rFonts w:cstheme="minorHAnsi"/>
      <w:szCs w:val="20"/>
    </w:rPr>
  </w:style>
  <w:style w:type="paragraph" w:styleId="TOC9">
    <w:name w:val="toc 9"/>
    <w:basedOn w:val="Normal"/>
    <w:next w:val="Normal"/>
    <w:autoRedefine/>
    <w:uiPriority w:val="39"/>
    <w:rsid w:val="001928B8"/>
    <w:pPr>
      <w:widowControl/>
      <w:spacing w:after="0"/>
      <w:ind w:left="1680"/>
      <w:jc w:val="left"/>
    </w:pPr>
    <w:rPr>
      <w:rFonts w:cstheme="minorHAnsi"/>
      <w:szCs w:val="20"/>
    </w:rPr>
  </w:style>
  <w:style w:type="character" w:customStyle="1" w:styleId="CharChar">
    <w:name w:val="Char Char"/>
    <w:uiPriority w:val="99"/>
    <w:rsid w:val="001928B8"/>
    <w:rPr>
      <w:rFonts w:cs="Times New Roman"/>
      <w:lang w:val="en-US" w:eastAsia="en-US" w:bidi="ar-SA"/>
    </w:rPr>
  </w:style>
  <w:style w:type="character" w:customStyle="1" w:styleId="CharChar4">
    <w:name w:val="Char Char4"/>
    <w:uiPriority w:val="99"/>
    <w:rsid w:val="001928B8"/>
    <w:rPr>
      <w:rFonts w:cs="Times New Roman"/>
      <w:lang w:val="en-US" w:eastAsia="en-US" w:bidi="ar-SA"/>
    </w:rPr>
  </w:style>
  <w:style w:type="character" w:customStyle="1" w:styleId="CharChar81">
    <w:name w:val="Char Char81"/>
    <w:uiPriority w:val="99"/>
    <w:rsid w:val="001928B8"/>
    <w:rPr>
      <w:rFonts w:cs="Times New Roman"/>
      <w:sz w:val="24"/>
      <w:lang w:val="en-US" w:eastAsia="en-US" w:bidi="ar-SA"/>
    </w:rPr>
  </w:style>
  <w:style w:type="character" w:customStyle="1" w:styleId="CharChar111">
    <w:name w:val="Char Char111"/>
    <w:uiPriority w:val="99"/>
    <w:locked/>
    <w:rsid w:val="001928B8"/>
    <w:rPr>
      <w:rFonts w:ascii="Cambria" w:hAnsi="Cambria" w:cs="Times New Roman"/>
      <w:b/>
      <w:bCs/>
      <w:sz w:val="28"/>
      <w:szCs w:val="28"/>
      <w:lang w:val="en-US" w:eastAsia="en-US" w:bidi="ar-SA"/>
    </w:rPr>
  </w:style>
  <w:style w:type="character" w:customStyle="1" w:styleId="CharChar101">
    <w:name w:val="Char Char101"/>
    <w:uiPriority w:val="99"/>
    <w:locked/>
    <w:rsid w:val="001928B8"/>
    <w:rPr>
      <w:rFonts w:ascii="Cambria" w:hAnsi="Cambria" w:cs="Times New Roman"/>
      <w:b/>
      <w:bCs/>
      <w:sz w:val="26"/>
      <w:szCs w:val="26"/>
      <w:lang w:val="en-US" w:eastAsia="en-US" w:bidi="ar-SA"/>
    </w:rPr>
  </w:style>
  <w:style w:type="character" w:customStyle="1" w:styleId="CharChar91">
    <w:name w:val="Char Char91"/>
    <w:uiPriority w:val="99"/>
    <w:locked/>
    <w:rsid w:val="001928B8"/>
    <w:rPr>
      <w:rFonts w:ascii="Cambria" w:hAnsi="Cambria" w:cs="Times New Roman"/>
      <w:b/>
      <w:bCs/>
      <w:sz w:val="22"/>
      <w:szCs w:val="22"/>
      <w:lang w:val="en-US" w:eastAsia="en-US" w:bidi="ar-SA"/>
    </w:rPr>
  </w:style>
  <w:style w:type="character" w:customStyle="1" w:styleId="CharChar71">
    <w:name w:val="Char Char71"/>
    <w:uiPriority w:val="99"/>
    <w:locked/>
    <w:rsid w:val="001928B8"/>
    <w:rPr>
      <w:rFonts w:ascii="Cambria" w:hAnsi="Cambria" w:cs="Times New Roman"/>
      <w:sz w:val="22"/>
      <w:szCs w:val="22"/>
      <w:lang w:val="en-US" w:eastAsia="en-US" w:bidi="ar-SA"/>
    </w:rPr>
  </w:style>
  <w:style w:type="character" w:customStyle="1" w:styleId="CharChar12">
    <w:name w:val="Char Char12"/>
    <w:uiPriority w:val="99"/>
    <w:locked/>
    <w:rsid w:val="001928B8"/>
    <w:rPr>
      <w:rFonts w:ascii="Cambria" w:hAnsi="Cambria" w:cs="Times New Roman"/>
      <w:color w:val="000000"/>
      <w:spacing w:val="5"/>
      <w:kern w:val="28"/>
      <w:sz w:val="52"/>
      <w:szCs w:val="52"/>
      <w:lang w:val="en-US" w:eastAsia="en-US" w:bidi="ar-SA"/>
    </w:rPr>
  </w:style>
  <w:style w:type="character" w:styleId="Strong">
    <w:name w:val="Strong"/>
    <w:basedOn w:val="DefaultParagraphFont"/>
    <w:uiPriority w:val="22"/>
    <w:qFormat/>
    <w:rsid w:val="001928B8"/>
    <w:rPr>
      <w:b/>
      <w:bCs/>
    </w:rPr>
  </w:style>
  <w:style w:type="paragraph" w:customStyle="1" w:styleId="TableText">
    <w:name w:val="Table Text"/>
    <w:basedOn w:val="Normal"/>
    <w:autoRedefine/>
    <w:qFormat/>
    <w:rsid w:val="001928B8"/>
    <w:pPr>
      <w:widowControl/>
      <w:spacing w:after="0"/>
      <w:jc w:val="left"/>
    </w:pPr>
    <w:rPr>
      <w:rFonts w:ascii="Calibri" w:hAnsi="Calibri" w:cs="Arial"/>
      <w:noProof/>
      <w:szCs w:val="18"/>
      <w:lang w:val="en"/>
    </w:rPr>
  </w:style>
  <w:style w:type="paragraph" w:customStyle="1" w:styleId="NormalTRM">
    <w:name w:val="Normal TRM"/>
    <w:basedOn w:val="Normal"/>
    <w:link w:val="NormalTRMChar"/>
    <w:rsid w:val="001928B8"/>
    <w:pPr>
      <w:widowControl/>
      <w:spacing w:after="0"/>
      <w:jc w:val="left"/>
    </w:pPr>
  </w:style>
  <w:style w:type="character" w:customStyle="1" w:styleId="NormalTRMChar">
    <w:name w:val="Normal TRM Char"/>
    <w:basedOn w:val="DefaultParagraphFont"/>
    <w:link w:val="NormalTRM"/>
    <w:rsid w:val="001928B8"/>
    <w:rPr>
      <w:rFonts w:eastAsia="Times New Roman" w:cs="Times New Roman"/>
      <w:sz w:val="20"/>
    </w:rPr>
  </w:style>
  <w:style w:type="paragraph" w:styleId="EndnoteText">
    <w:name w:val="endnote text"/>
    <w:basedOn w:val="Normal"/>
    <w:link w:val="EndnoteTextChar"/>
    <w:uiPriority w:val="99"/>
    <w:unhideWhenUsed/>
    <w:rsid w:val="001928B8"/>
    <w:pPr>
      <w:widowControl/>
      <w:spacing w:after="0"/>
      <w:jc w:val="left"/>
    </w:pPr>
    <w:rPr>
      <w:rFonts w:ascii="Calibri" w:hAnsi="Calibri"/>
      <w:szCs w:val="20"/>
    </w:rPr>
  </w:style>
  <w:style w:type="character" w:customStyle="1" w:styleId="EndnoteTextChar">
    <w:name w:val="Endnote Text Char"/>
    <w:basedOn w:val="DefaultParagraphFont"/>
    <w:link w:val="EndnoteText"/>
    <w:uiPriority w:val="99"/>
    <w:rsid w:val="001928B8"/>
    <w:rPr>
      <w:rFonts w:ascii="Calibri" w:eastAsia="Times New Roman" w:hAnsi="Calibri" w:cs="Times New Roman"/>
      <w:sz w:val="20"/>
      <w:szCs w:val="20"/>
    </w:rPr>
  </w:style>
  <w:style w:type="character" w:customStyle="1" w:styleId="FootnoteChar">
    <w:name w:val="Footnote Char"/>
    <w:basedOn w:val="footnoteChar0"/>
    <w:link w:val="Footnote"/>
    <w:rsid w:val="001928B8"/>
    <w:rPr>
      <w:rFonts w:eastAsiaTheme="minorEastAsia" w:cstheme="minorHAnsi"/>
      <w:sz w:val="18"/>
      <w:szCs w:val="20"/>
    </w:rPr>
  </w:style>
  <w:style w:type="character" w:customStyle="1" w:styleId="footnoteChar0">
    <w:name w:val="footnote Char"/>
    <w:basedOn w:val="FootnoteTextChar"/>
    <w:link w:val="footnote0"/>
    <w:rsid w:val="001928B8"/>
    <w:rPr>
      <w:rFonts w:eastAsia="Times New Roman" w:cs="Times New Roman"/>
      <w:sz w:val="18"/>
      <w:szCs w:val="24"/>
    </w:rPr>
  </w:style>
  <w:style w:type="paragraph" w:customStyle="1" w:styleId="footnote0">
    <w:name w:val="footnote"/>
    <w:basedOn w:val="FootnoteText"/>
    <w:link w:val="footnoteChar0"/>
    <w:rsid w:val="001928B8"/>
    <w:pPr>
      <w:widowControl/>
    </w:pPr>
    <w:rPr>
      <w:szCs w:val="24"/>
    </w:rPr>
  </w:style>
  <w:style w:type="paragraph" w:styleId="TableofFigures">
    <w:name w:val="table of figures"/>
    <w:basedOn w:val="Normal"/>
    <w:next w:val="Normal"/>
    <w:uiPriority w:val="99"/>
    <w:unhideWhenUsed/>
    <w:rsid w:val="001928B8"/>
    <w:pPr>
      <w:widowControl/>
      <w:spacing w:after="0"/>
      <w:jc w:val="left"/>
    </w:pPr>
  </w:style>
  <w:style w:type="character" w:customStyle="1" w:styleId="TechnicalTableChar">
    <w:name w:val="Technical Table Char"/>
    <w:basedOn w:val="DefaultParagraphFont"/>
    <w:link w:val="TechnicalTable"/>
    <w:rsid w:val="001928B8"/>
    <w:rPr>
      <w:rFonts w:ascii="Times New Roman" w:eastAsia="Times New Roman" w:hAnsi="Times New Roman" w:cstheme="minorHAnsi"/>
      <w:sz w:val="20"/>
      <w:szCs w:val="20"/>
    </w:rPr>
  </w:style>
  <w:style w:type="paragraph" w:customStyle="1" w:styleId="Captions">
    <w:name w:val="Captions"/>
    <w:basedOn w:val="Title"/>
    <w:link w:val="CaptionsChar"/>
    <w:autoRedefine/>
    <w:qFormat/>
    <w:rsid w:val="00D21F1A"/>
    <w:pPr>
      <w:keepNext/>
      <w:pBdr>
        <w:bottom w:val="none" w:sz="0" w:space="0" w:color="auto"/>
      </w:pBdr>
      <w:spacing w:after="60"/>
      <w:contextualSpacing w:val="0"/>
      <w:jc w:val="center"/>
    </w:pPr>
    <w:rPr>
      <w:rFonts w:ascii="Calibri" w:hAnsi="Calibri" w:cs="Calibri"/>
      <w:b/>
      <w:sz w:val="20"/>
      <w:szCs w:val="20"/>
    </w:rPr>
  </w:style>
  <w:style w:type="character" w:customStyle="1" w:styleId="CaptionsChar">
    <w:name w:val="Captions Char"/>
    <w:basedOn w:val="TitleChar"/>
    <w:link w:val="Captions"/>
    <w:rsid w:val="00D21F1A"/>
    <w:rPr>
      <w:rFonts w:ascii="Calibri" w:eastAsia="Times New Roman" w:hAnsi="Calibri" w:cs="Calibri"/>
      <w:b/>
      <w:color w:val="000000"/>
      <w:spacing w:val="5"/>
      <w:kern w:val="28"/>
      <w:sz w:val="20"/>
      <w:szCs w:val="20"/>
    </w:rPr>
  </w:style>
  <w:style w:type="paragraph" w:customStyle="1" w:styleId="FormH2">
    <w:name w:val="Form H2"/>
    <w:basedOn w:val="NormalWeb"/>
    <w:link w:val="FormH2Char"/>
    <w:qFormat/>
    <w:rsid w:val="001928B8"/>
    <w:pPr>
      <w:ind w:left="1440"/>
    </w:pPr>
    <w:rPr>
      <w:rFonts w:ascii="Calibri" w:hAnsi="Calibri" w:cs="Arial"/>
    </w:rPr>
  </w:style>
  <w:style w:type="paragraph" w:styleId="NormalWeb">
    <w:name w:val="Normal (Web)"/>
    <w:basedOn w:val="Normal"/>
    <w:uiPriority w:val="99"/>
    <w:unhideWhenUsed/>
    <w:rsid w:val="001928B8"/>
    <w:pPr>
      <w:widowControl/>
      <w:spacing w:after="0"/>
      <w:jc w:val="left"/>
    </w:pPr>
    <w:rPr>
      <w:rFonts w:ascii="Times New Roman" w:hAnsi="Times New Roman"/>
      <w:sz w:val="24"/>
      <w:szCs w:val="24"/>
    </w:rPr>
  </w:style>
  <w:style w:type="character" w:customStyle="1" w:styleId="FormH2Char">
    <w:name w:val="Form H2 Char"/>
    <w:basedOn w:val="Heading2Char"/>
    <w:link w:val="FormH2"/>
    <w:rsid w:val="001928B8"/>
    <w:rPr>
      <w:rFonts w:ascii="Calibri" w:eastAsia="Times New Roman" w:hAnsi="Calibri" w:cs="Arial"/>
      <w:sz w:val="24"/>
      <w:szCs w:val="24"/>
    </w:rPr>
  </w:style>
  <w:style w:type="paragraph" w:customStyle="1" w:styleId="Form">
    <w:name w:val="Form"/>
    <w:basedOn w:val="NormalWeb"/>
    <w:next w:val="Normal"/>
    <w:link w:val="FormChar"/>
    <w:qFormat/>
    <w:rsid w:val="001928B8"/>
    <w:rPr>
      <w:rFonts w:ascii="Calibri" w:hAnsi="Calibri" w:cs="Arial"/>
    </w:rPr>
  </w:style>
  <w:style w:type="character" w:customStyle="1" w:styleId="FormChar">
    <w:name w:val="Form Char"/>
    <w:basedOn w:val="Heading2Char"/>
    <w:link w:val="Form"/>
    <w:rsid w:val="001928B8"/>
    <w:rPr>
      <w:rFonts w:ascii="Calibri" w:eastAsia="Times New Roman" w:hAnsi="Calibri" w:cs="Arial"/>
      <w:sz w:val="24"/>
      <w:szCs w:val="24"/>
    </w:rPr>
  </w:style>
  <w:style w:type="paragraph" w:customStyle="1" w:styleId="FormH4">
    <w:name w:val="Form H4"/>
    <w:basedOn w:val="FormH2"/>
    <w:link w:val="FormH4Char"/>
    <w:qFormat/>
    <w:rsid w:val="001928B8"/>
    <w:pPr>
      <w:keepNext/>
      <w:keepLines/>
      <w:spacing w:before="200" w:line="276" w:lineRule="auto"/>
      <w:ind w:left="1800"/>
      <w:outlineLvl w:val="1"/>
    </w:pPr>
    <w:rPr>
      <w:bCs/>
      <w:iCs/>
      <w:sz w:val="28"/>
      <w:szCs w:val="28"/>
    </w:rPr>
  </w:style>
  <w:style w:type="character" w:customStyle="1" w:styleId="FormH4Char">
    <w:name w:val="Form H4 Char"/>
    <w:basedOn w:val="FormH2Char"/>
    <w:link w:val="FormH4"/>
    <w:rsid w:val="001928B8"/>
    <w:rPr>
      <w:rFonts w:ascii="Calibri" w:eastAsia="Times New Roman" w:hAnsi="Calibri" w:cs="Arial"/>
      <w:bCs/>
      <w:iCs/>
      <w:sz w:val="28"/>
      <w:szCs w:val="28"/>
    </w:rPr>
  </w:style>
  <w:style w:type="paragraph" w:customStyle="1" w:styleId="Normal1">
    <w:name w:val="Normal1"/>
    <w:basedOn w:val="Normal"/>
    <w:uiPriority w:val="99"/>
    <w:rsid w:val="001928B8"/>
    <w:pPr>
      <w:widowControl/>
      <w:autoSpaceDE w:val="0"/>
      <w:autoSpaceDN w:val="0"/>
      <w:spacing w:after="0"/>
      <w:jc w:val="left"/>
    </w:pPr>
    <w:rPr>
      <w:rFonts w:ascii="Arial" w:hAnsi="Arial" w:cs="Arial"/>
      <w:sz w:val="24"/>
      <w:szCs w:val="24"/>
    </w:rPr>
  </w:style>
  <w:style w:type="paragraph" w:customStyle="1" w:styleId="whs2">
    <w:name w:val="whs2"/>
    <w:basedOn w:val="Normal"/>
    <w:uiPriority w:val="99"/>
    <w:rsid w:val="001928B8"/>
    <w:pPr>
      <w:widowControl/>
      <w:spacing w:after="0"/>
      <w:jc w:val="left"/>
    </w:pPr>
    <w:rPr>
      <w:rFonts w:ascii="Arial" w:hAnsi="Arial" w:cs="Arial"/>
      <w:szCs w:val="20"/>
    </w:rPr>
  </w:style>
  <w:style w:type="paragraph" w:customStyle="1" w:styleId="font5">
    <w:name w:val="font5"/>
    <w:basedOn w:val="Normal"/>
    <w:uiPriority w:val="99"/>
    <w:rsid w:val="001928B8"/>
    <w:pPr>
      <w:widowControl/>
      <w:spacing w:before="100" w:beforeAutospacing="1" w:after="100" w:afterAutospacing="1"/>
      <w:jc w:val="left"/>
    </w:pPr>
    <w:rPr>
      <w:rFonts w:ascii="Tahoma" w:hAnsi="Tahoma" w:cs="Tahoma"/>
      <w:b/>
      <w:bCs/>
      <w:color w:val="000000"/>
      <w:sz w:val="18"/>
      <w:szCs w:val="18"/>
    </w:rPr>
  </w:style>
  <w:style w:type="paragraph" w:customStyle="1" w:styleId="font6">
    <w:name w:val="font6"/>
    <w:basedOn w:val="Normal"/>
    <w:uiPriority w:val="99"/>
    <w:rsid w:val="001928B8"/>
    <w:pPr>
      <w:widowControl/>
      <w:spacing w:before="100" w:beforeAutospacing="1" w:after="100" w:afterAutospacing="1"/>
      <w:jc w:val="left"/>
    </w:pPr>
    <w:rPr>
      <w:rFonts w:ascii="Tahoma" w:hAnsi="Tahoma" w:cs="Tahoma"/>
      <w:color w:val="000000"/>
      <w:sz w:val="18"/>
      <w:szCs w:val="18"/>
    </w:rPr>
  </w:style>
  <w:style w:type="paragraph" w:customStyle="1" w:styleId="xl65">
    <w:name w:val="xl65"/>
    <w:basedOn w:val="Normal"/>
    <w:uiPriority w:val="99"/>
    <w:rsid w:val="001928B8"/>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Cs w:val="20"/>
    </w:rPr>
  </w:style>
  <w:style w:type="paragraph" w:customStyle="1" w:styleId="xl66">
    <w:name w:val="xl66"/>
    <w:basedOn w:val="Normal"/>
    <w:uiPriority w:val="99"/>
    <w:rsid w:val="001928B8"/>
    <w:pPr>
      <w:widowControl/>
      <w:pBdr>
        <w:top w:val="single" w:sz="4" w:space="0" w:color="auto"/>
        <w:left w:val="single" w:sz="8" w:space="0" w:color="auto"/>
        <w:bottom w:val="single" w:sz="4" w:space="0" w:color="auto"/>
        <w:right w:val="single" w:sz="4" w:space="0" w:color="auto"/>
      </w:pBdr>
      <w:spacing w:before="100" w:beforeAutospacing="1" w:after="100" w:afterAutospacing="1"/>
      <w:jc w:val="left"/>
      <w:textAlignment w:val="center"/>
    </w:pPr>
    <w:rPr>
      <w:rFonts w:ascii="Times New Roman" w:hAnsi="Times New Roman"/>
      <w:szCs w:val="20"/>
    </w:rPr>
  </w:style>
  <w:style w:type="paragraph" w:customStyle="1" w:styleId="xl67">
    <w:name w:val="xl67"/>
    <w:basedOn w:val="Normal"/>
    <w:uiPriority w:val="99"/>
    <w:rsid w:val="001928B8"/>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Cs w:val="20"/>
    </w:rPr>
  </w:style>
  <w:style w:type="paragraph" w:customStyle="1" w:styleId="xl68">
    <w:name w:val="xl68"/>
    <w:basedOn w:val="Normal"/>
    <w:uiPriority w:val="99"/>
    <w:rsid w:val="001928B8"/>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Cs w:val="20"/>
    </w:rPr>
  </w:style>
  <w:style w:type="paragraph" w:customStyle="1" w:styleId="xl69">
    <w:name w:val="xl69"/>
    <w:basedOn w:val="Normal"/>
    <w:uiPriority w:val="99"/>
    <w:rsid w:val="001928B8"/>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hAnsi="Times New Roman"/>
      <w:szCs w:val="20"/>
    </w:rPr>
  </w:style>
  <w:style w:type="paragraph" w:customStyle="1" w:styleId="xl70">
    <w:name w:val="xl70"/>
    <w:basedOn w:val="Normal"/>
    <w:uiPriority w:val="99"/>
    <w:rsid w:val="001928B8"/>
    <w:pPr>
      <w:widowControl/>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Times New Roman" w:hAnsi="Times New Roman"/>
      <w:szCs w:val="20"/>
    </w:rPr>
  </w:style>
  <w:style w:type="paragraph" w:customStyle="1" w:styleId="xl71">
    <w:name w:val="xl71"/>
    <w:basedOn w:val="Normal"/>
    <w:uiPriority w:val="99"/>
    <w:rsid w:val="001928B8"/>
    <w:pPr>
      <w:widowControl/>
      <w:pBdr>
        <w:top w:val="single" w:sz="4" w:space="0" w:color="auto"/>
        <w:left w:val="single" w:sz="8" w:space="0" w:color="auto"/>
        <w:bottom w:val="single" w:sz="8" w:space="0" w:color="auto"/>
        <w:right w:val="single" w:sz="4" w:space="0" w:color="auto"/>
      </w:pBdr>
      <w:spacing w:before="100" w:beforeAutospacing="1" w:after="100" w:afterAutospacing="1"/>
      <w:jc w:val="left"/>
      <w:textAlignment w:val="center"/>
    </w:pPr>
    <w:rPr>
      <w:rFonts w:ascii="Times New Roman" w:hAnsi="Times New Roman"/>
      <w:szCs w:val="20"/>
    </w:rPr>
  </w:style>
  <w:style w:type="paragraph" w:customStyle="1" w:styleId="xl72">
    <w:name w:val="xl72"/>
    <w:basedOn w:val="Normal"/>
    <w:uiPriority w:val="99"/>
    <w:rsid w:val="001928B8"/>
    <w:pPr>
      <w:widowControl/>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hAnsi="Times New Roman"/>
      <w:szCs w:val="20"/>
    </w:rPr>
  </w:style>
  <w:style w:type="paragraph" w:customStyle="1" w:styleId="xl73">
    <w:name w:val="xl73"/>
    <w:basedOn w:val="Normal"/>
    <w:uiPriority w:val="99"/>
    <w:rsid w:val="001928B8"/>
    <w:pPr>
      <w:widowControl/>
      <w:pBdr>
        <w:top w:val="single" w:sz="4" w:space="0" w:color="auto"/>
        <w:left w:val="single" w:sz="4" w:space="0" w:color="auto"/>
        <w:bottom w:val="single" w:sz="8" w:space="0" w:color="auto"/>
        <w:right w:val="single" w:sz="4" w:space="0" w:color="auto"/>
      </w:pBdr>
      <w:spacing w:before="100" w:beforeAutospacing="1" w:after="100" w:afterAutospacing="1"/>
      <w:jc w:val="left"/>
      <w:textAlignment w:val="center"/>
    </w:pPr>
    <w:rPr>
      <w:rFonts w:ascii="Times New Roman" w:hAnsi="Times New Roman"/>
      <w:szCs w:val="20"/>
    </w:rPr>
  </w:style>
  <w:style w:type="paragraph" w:customStyle="1" w:styleId="xl74">
    <w:name w:val="xl74"/>
    <w:basedOn w:val="Normal"/>
    <w:uiPriority w:val="99"/>
    <w:rsid w:val="001928B8"/>
    <w:pPr>
      <w:widowControl/>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hAnsi="Times New Roman"/>
      <w:szCs w:val="20"/>
    </w:rPr>
  </w:style>
  <w:style w:type="paragraph" w:customStyle="1" w:styleId="xl75">
    <w:name w:val="xl75"/>
    <w:basedOn w:val="Normal"/>
    <w:uiPriority w:val="99"/>
    <w:rsid w:val="001928B8"/>
    <w:pPr>
      <w:widowControl/>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hAnsi="Times New Roman"/>
      <w:szCs w:val="20"/>
    </w:rPr>
  </w:style>
  <w:style w:type="paragraph" w:customStyle="1" w:styleId="xl76">
    <w:name w:val="xl76"/>
    <w:basedOn w:val="Normal"/>
    <w:uiPriority w:val="99"/>
    <w:rsid w:val="001928B8"/>
    <w:pPr>
      <w:widowControl/>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ascii="Times New Roman" w:hAnsi="Times New Roman"/>
      <w:szCs w:val="20"/>
    </w:rPr>
  </w:style>
  <w:style w:type="paragraph" w:customStyle="1" w:styleId="xl77">
    <w:name w:val="xl77"/>
    <w:basedOn w:val="Normal"/>
    <w:uiPriority w:val="99"/>
    <w:rsid w:val="001928B8"/>
    <w:pPr>
      <w:widowControl/>
      <w:pBdr>
        <w:top w:val="single" w:sz="4" w:space="0" w:color="auto"/>
        <w:left w:val="single" w:sz="8" w:space="0" w:color="auto"/>
        <w:bottom w:val="single" w:sz="8" w:space="0" w:color="auto"/>
        <w:right w:val="single" w:sz="4" w:space="0" w:color="auto"/>
      </w:pBdr>
      <w:spacing w:before="100" w:beforeAutospacing="1" w:after="100" w:afterAutospacing="1"/>
      <w:jc w:val="left"/>
      <w:textAlignment w:val="center"/>
    </w:pPr>
    <w:rPr>
      <w:rFonts w:ascii="Times New Roman" w:hAnsi="Times New Roman"/>
      <w:szCs w:val="20"/>
    </w:rPr>
  </w:style>
  <w:style w:type="paragraph" w:customStyle="1" w:styleId="xl78">
    <w:name w:val="xl78"/>
    <w:basedOn w:val="Normal"/>
    <w:uiPriority w:val="99"/>
    <w:rsid w:val="001928B8"/>
    <w:pPr>
      <w:widowControl/>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hAnsi="Times New Roman"/>
      <w:szCs w:val="20"/>
    </w:rPr>
  </w:style>
  <w:style w:type="paragraph" w:customStyle="1" w:styleId="xl79">
    <w:name w:val="xl79"/>
    <w:basedOn w:val="Normal"/>
    <w:uiPriority w:val="99"/>
    <w:rsid w:val="001928B8"/>
    <w:pPr>
      <w:widowControl/>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hAnsi="Times New Roman"/>
      <w:szCs w:val="20"/>
    </w:rPr>
  </w:style>
  <w:style w:type="paragraph" w:customStyle="1" w:styleId="xl80">
    <w:name w:val="xl80"/>
    <w:basedOn w:val="Normal"/>
    <w:uiPriority w:val="99"/>
    <w:rsid w:val="001928B8"/>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Cs w:val="20"/>
    </w:rPr>
  </w:style>
  <w:style w:type="paragraph" w:customStyle="1" w:styleId="xl81">
    <w:name w:val="xl81"/>
    <w:basedOn w:val="Normal"/>
    <w:uiPriority w:val="99"/>
    <w:rsid w:val="001928B8"/>
    <w:pPr>
      <w:widowControl/>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hAnsi="Times New Roman"/>
      <w:szCs w:val="20"/>
    </w:rPr>
  </w:style>
  <w:style w:type="paragraph" w:customStyle="1" w:styleId="xl82">
    <w:name w:val="xl82"/>
    <w:basedOn w:val="Normal"/>
    <w:uiPriority w:val="99"/>
    <w:rsid w:val="001928B8"/>
    <w:pPr>
      <w:widowControl/>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hAnsi="Times New Roman"/>
      <w:szCs w:val="20"/>
    </w:rPr>
  </w:style>
  <w:style w:type="paragraph" w:customStyle="1" w:styleId="xl83">
    <w:name w:val="xl83"/>
    <w:basedOn w:val="Normal"/>
    <w:uiPriority w:val="99"/>
    <w:rsid w:val="001928B8"/>
    <w:pPr>
      <w:widowControl/>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hAnsi="Times New Roman"/>
      <w:szCs w:val="20"/>
    </w:rPr>
  </w:style>
  <w:style w:type="paragraph" w:customStyle="1" w:styleId="xl84">
    <w:name w:val="xl84"/>
    <w:basedOn w:val="Normal"/>
    <w:uiPriority w:val="99"/>
    <w:rsid w:val="001928B8"/>
    <w:pPr>
      <w:widowControl/>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ascii="Times New Roman" w:hAnsi="Times New Roman"/>
      <w:szCs w:val="20"/>
    </w:rPr>
  </w:style>
  <w:style w:type="paragraph" w:customStyle="1" w:styleId="xl85">
    <w:name w:val="xl85"/>
    <w:basedOn w:val="Normal"/>
    <w:uiPriority w:val="99"/>
    <w:rsid w:val="001928B8"/>
    <w:pPr>
      <w:widowControl/>
      <w:pBdr>
        <w:top w:val="single" w:sz="8" w:space="0" w:color="auto"/>
        <w:left w:val="single" w:sz="8" w:space="0" w:color="auto"/>
        <w:bottom w:val="single" w:sz="4" w:space="0" w:color="auto"/>
      </w:pBdr>
      <w:spacing w:before="100" w:beforeAutospacing="1" w:after="100" w:afterAutospacing="1"/>
      <w:jc w:val="left"/>
      <w:textAlignment w:val="center"/>
    </w:pPr>
    <w:rPr>
      <w:rFonts w:ascii="Times New Roman" w:hAnsi="Times New Roman"/>
      <w:b/>
      <w:bCs/>
      <w:sz w:val="24"/>
      <w:szCs w:val="24"/>
    </w:rPr>
  </w:style>
  <w:style w:type="paragraph" w:customStyle="1" w:styleId="xl86">
    <w:name w:val="xl86"/>
    <w:basedOn w:val="Normal"/>
    <w:uiPriority w:val="99"/>
    <w:rsid w:val="001928B8"/>
    <w:pPr>
      <w:widowControl/>
      <w:pBdr>
        <w:top w:val="single" w:sz="8" w:space="0" w:color="auto"/>
        <w:bottom w:val="single" w:sz="4" w:space="0" w:color="auto"/>
      </w:pBdr>
      <w:spacing w:before="100" w:beforeAutospacing="1" w:after="100" w:afterAutospacing="1"/>
      <w:jc w:val="left"/>
      <w:textAlignment w:val="center"/>
    </w:pPr>
    <w:rPr>
      <w:rFonts w:ascii="Times New Roman" w:hAnsi="Times New Roman"/>
      <w:b/>
      <w:bCs/>
      <w:sz w:val="24"/>
      <w:szCs w:val="24"/>
    </w:rPr>
  </w:style>
  <w:style w:type="paragraph" w:customStyle="1" w:styleId="xl87">
    <w:name w:val="xl87"/>
    <w:basedOn w:val="Normal"/>
    <w:uiPriority w:val="99"/>
    <w:rsid w:val="001928B8"/>
    <w:pPr>
      <w:widowControl/>
      <w:pBdr>
        <w:top w:val="single" w:sz="8" w:space="0" w:color="auto"/>
        <w:bottom w:val="single" w:sz="4" w:space="0" w:color="auto"/>
        <w:right w:val="single" w:sz="8" w:space="0" w:color="auto"/>
      </w:pBdr>
      <w:spacing w:before="100" w:beforeAutospacing="1" w:after="100" w:afterAutospacing="1"/>
      <w:jc w:val="left"/>
      <w:textAlignment w:val="center"/>
    </w:pPr>
    <w:rPr>
      <w:rFonts w:ascii="Times New Roman" w:hAnsi="Times New Roman"/>
      <w:b/>
      <w:bCs/>
      <w:sz w:val="24"/>
      <w:szCs w:val="24"/>
    </w:rPr>
  </w:style>
  <w:style w:type="character" w:customStyle="1" w:styleId="st">
    <w:name w:val="st"/>
    <w:basedOn w:val="DefaultParagraphFont"/>
    <w:rsid w:val="001928B8"/>
  </w:style>
  <w:style w:type="paragraph" w:customStyle="1" w:styleId="TableandFigureCaption">
    <w:name w:val="Table and Figure Caption"/>
    <w:basedOn w:val="Tablecentered"/>
    <w:link w:val="TableandFigureCaptionChar"/>
    <w:autoRedefine/>
    <w:qFormat/>
    <w:rsid w:val="001928B8"/>
    <w:pPr>
      <w:tabs>
        <w:tab w:val="clear" w:pos="6750"/>
      </w:tabs>
    </w:pPr>
  </w:style>
  <w:style w:type="character" w:customStyle="1" w:styleId="TableandFigureCaptionChar">
    <w:name w:val="Table and Figure Caption Char"/>
    <w:basedOn w:val="TablecenteredChar"/>
    <w:link w:val="TableandFigureCaption"/>
    <w:rsid w:val="001928B8"/>
    <w:rPr>
      <w:rFonts w:eastAsia="Times New Roman" w:cs="Times New Roman"/>
      <w:noProof/>
      <w:sz w:val="18"/>
      <w:szCs w:val="18"/>
    </w:rPr>
  </w:style>
  <w:style w:type="paragraph" w:customStyle="1" w:styleId="TableHeading">
    <w:name w:val="Table Heading"/>
    <w:basedOn w:val="TableText"/>
    <w:autoRedefine/>
    <w:uiPriority w:val="99"/>
    <w:qFormat/>
    <w:rsid w:val="0021790A"/>
    <w:pPr>
      <w:spacing w:after="60"/>
      <w:jc w:val="center"/>
    </w:pPr>
    <w:rPr>
      <w:rFonts w:cs="Times New Roman"/>
      <w:b/>
      <w:szCs w:val="24"/>
      <w:lang w:val="en-US"/>
    </w:rPr>
  </w:style>
  <w:style w:type="character" w:customStyle="1" w:styleId="StyleFootnoteReferenceBodyCalibriBackground1">
    <w:name w:val="Style Footnote Reference + +Body (Calibri) Background 1"/>
    <w:basedOn w:val="FootnoteReference"/>
    <w:rsid w:val="001928B8"/>
    <w:rPr>
      <w:rFonts w:asciiTheme="minorHAnsi" w:hAnsiTheme="minorHAnsi" w:cs="Times New Roman"/>
      <w:color w:val="FFFFFF" w:themeColor="background1"/>
      <w:sz w:val="18"/>
      <w:vertAlign w:val="superscript"/>
    </w:rPr>
  </w:style>
  <w:style w:type="paragraph" w:customStyle="1" w:styleId="VersionText">
    <w:name w:val="Version Text"/>
    <w:basedOn w:val="Normal"/>
    <w:link w:val="VersionTextChar"/>
    <w:qFormat/>
    <w:rsid w:val="001928B8"/>
    <w:pPr>
      <w:widowControl/>
      <w:spacing w:after="0"/>
      <w:jc w:val="left"/>
    </w:pPr>
    <w:rPr>
      <w:rFonts w:cstheme="minorHAnsi"/>
    </w:rPr>
  </w:style>
  <w:style w:type="character" w:customStyle="1" w:styleId="VersionTextChar">
    <w:name w:val="Version Text Char"/>
    <w:basedOn w:val="DefaultParagraphFont"/>
    <w:link w:val="VersionText"/>
    <w:rsid w:val="001928B8"/>
    <w:rPr>
      <w:rFonts w:eastAsia="Times New Roman" w:cstheme="minorHAnsi"/>
      <w:sz w:val="20"/>
    </w:rPr>
  </w:style>
  <w:style w:type="paragraph" w:customStyle="1" w:styleId="VersionandDate">
    <w:name w:val="Version and Date"/>
    <w:basedOn w:val="Normal"/>
    <w:link w:val="VersionandDateChar"/>
    <w:qFormat/>
    <w:rsid w:val="001928B8"/>
    <w:pPr>
      <w:widowControl/>
      <w:spacing w:after="0"/>
      <w:jc w:val="left"/>
    </w:pPr>
    <w:rPr>
      <w:rFonts w:ascii="Times New Roman" w:hAnsi="Times New Roman"/>
      <w:szCs w:val="20"/>
    </w:rPr>
  </w:style>
  <w:style w:type="character" w:customStyle="1" w:styleId="VersionandDateChar">
    <w:name w:val="Version and Date Char"/>
    <w:basedOn w:val="DefaultParagraphFont"/>
    <w:link w:val="VersionandDate"/>
    <w:rsid w:val="001928B8"/>
    <w:rPr>
      <w:rFonts w:ascii="Times New Roman" w:eastAsia="Times New Roman" w:hAnsi="Times New Roman" w:cs="Times New Roman"/>
      <w:sz w:val="20"/>
      <w:szCs w:val="20"/>
    </w:rPr>
  </w:style>
  <w:style w:type="character" w:customStyle="1" w:styleId="FootnoteTextChar2">
    <w:name w:val="Footnote Text Char2"/>
    <w:uiPriority w:val="99"/>
    <w:locked/>
    <w:rsid w:val="001928B8"/>
    <w:rPr>
      <w:sz w:val="18"/>
      <w:lang w:val="en-US" w:eastAsia="en-US" w:bidi="ar-SA"/>
    </w:rPr>
  </w:style>
  <w:style w:type="character" w:customStyle="1" w:styleId="CommentSubjectChar1">
    <w:name w:val="Comment Subject Char1"/>
    <w:basedOn w:val="CommentTextChar"/>
    <w:uiPriority w:val="99"/>
    <w:semiHidden/>
    <w:rsid w:val="001928B8"/>
    <w:rPr>
      <w:rFonts w:eastAsia="Times New Roman" w:cs="Times New Roman"/>
      <w:b/>
      <w:bCs/>
      <w:sz w:val="20"/>
    </w:rPr>
  </w:style>
  <w:style w:type="character" w:styleId="EndnoteReference">
    <w:name w:val="endnote reference"/>
    <w:semiHidden/>
    <w:rsid w:val="001928B8"/>
    <w:rPr>
      <w:vertAlign w:val="superscript"/>
    </w:rPr>
  </w:style>
  <w:style w:type="character" w:styleId="Emphasis">
    <w:name w:val="Emphasis"/>
    <w:basedOn w:val="DefaultParagraphFont"/>
    <w:uiPriority w:val="20"/>
    <w:qFormat/>
    <w:rsid w:val="001928B8"/>
    <w:rPr>
      <w:i/>
      <w:iCs/>
    </w:rPr>
  </w:style>
  <w:style w:type="paragraph" w:customStyle="1" w:styleId="Reporttitle">
    <w:name w:val="Report title"/>
    <w:basedOn w:val="Normal"/>
    <w:rsid w:val="001928B8"/>
    <w:pPr>
      <w:widowControl/>
      <w:spacing w:before="720" w:after="0" w:line="480" w:lineRule="exact"/>
      <w:jc w:val="left"/>
    </w:pPr>
    <w:rPr>
      <w:rFonts w:ascii="Arial Black" w:hAnsi="Arial Black" w:cs="Arial"/>
      <w:sz w:val="40"/>
      <w:szCs w:val="24"/>
    </w:rPr>
  </w:style>
  <w:style w:type="character" w:customStyle="1" w:styleId="cf01">
    <w:name w:val="cf01"/>
    <w:basedOn w:val="DefaultParagraphFont"/>
    <w:rsid w:val="00E3500B"/>
    <w:rPr>
      <w:rFonts w:ascii="Segoe UI" w:hAnsi="Segoe UI" w:cs="Segoe UI" w:hint="default"/>
      <w:sz w:val="18"/>
      <w:szCs w:val="18"/>
    </w:rPr>
  </w:style>
  <w:style w:type="character" w:customStyle="1" w:styleId="FootnoteTextChar1">
    <w:name w:val="Footnote Text Char1"/>
    <w:aliases w:val="Footnote Text1 Char Char1,Footnote Text Char Ch Char2,Footnote Text Char Ch Char Char Char Char1,Footnote Text Char Ch Char Char Char2,Footnote Text1 Char Char Char Char1,Footnote Text Char Ch Char Char2,ft Char Char1,ft Char2"/>
    <w:basedOn w:val="DefaultParagraphFont"/>
    <w:uiPriority w:val="99"/>
    <w:semiHidden/>
    <w:rsid w:val="001928B8"/>
    <w:rPr>
      <w:rFonts w:eastAsia="Times New Roman" w:cs="Times New Roman"/>
      <w:sz w:val="20"/>
      <w:szCs w:val="20"/>
    </w:rPr>
  </w:style>
  <w:style w:type="paragraph" w:customStyle="1" w:styleId="Footnote">
    <w:name w:val="Footnote"/>
    <w:basedOn w:val="FootnoteText"/>
    <w:link w:val="FootnoteChar"/>
    <w:autoRedefine/>
    <w:qFormat/>
    <w:rsid w:val="001928B8"/>
    <w:pPr>
      <w:widowControl/>
    </w:pPr>
    <w:rPr>
      <w:rFonts w:eastAsiaTheme="minorEastAsia" w:cstheme="minorHAnsi"/>
      <w:szCs w:val="20"/>
    </w:rPr>
  </w:style>
  <w:style w:type="paragraph" w:customStyle="1" w:styleId="TechnicalTable">
    <w:name w:val="Technical Table"/>
    <w:basedOn w:val="Normal"/>
    <w:link w:val="TechnicalTableChar"/>
    <w:autoRedefine/>
    <w:qFormat/>
    <w:rsid w:val="001928B8"/>
    <w:pPr>
      <w:widowControl/>
      <w:spacing w:after="0"/>
      <w:jc w:val="left"/>
    </w:pPr>
    <w:rPr>
      <w:rFonts w:ascii="Times New Roman" w:hAnsi="Times New Roman" w:cstheme="minorHAnsi"/>
      <w:szCs w:val="20"/>
    </w:rPr>
  </w:style>
  <w:style w:type="paragraph" w:customStyle="1" w:styleId="DocumentLabel">
    <w:name w:val="Document Label"/>
    <w:next w:val="Normal"/>
    <w:uiPriority w:val="99"/>
    <w:rsid w:val="001928B8"/>
    <w:pPr>
      <w:pBdr>
        <w:top w:val="double" w:sz="6" w:space="8" w:color="808080"/>
        <w:bottom w:val="double" w:sz="6" w:space="8" w:color="808080"/>
      </w:pBdr>
      <w:spacing w:after="40" w:line="240" w:lineRule="atLeast"/>
      <w:jc w:val="center"/>
    </w:pPr>
    <w:rPr>
      <w:rFonts w:ascii="Garamond" w:eastAsia="Times New Roman" w:hAnsi="Garamond" w:cs="Times New Roman"/>
      <w:b/>
      <w:caps/>
      <w:spacing w:val="20"/>
      <w:sz w:val="18"/>
      <w:szCs w:val="20"/>
    </w:rPr>
  </w:style>
  <w:style w:type="paragraph" w:styleId="MessageHeader">
    <w:name w:val="Message Header"/>
    <w:basedOn w:val="BodyText"/>
    <w:link w:val="MessageHeaderChar"/>
    <w:uiPriority w:val="99"/>
    <w:rsid w:val="001928B8"/>
    <w:pPr>
      <w:keepLines/>
      <w:widowControl/>
      <w:spacing w:after="0" w:line="240" w:lineRule="atLeast"/>
      <w:ind w:left="1080" w:hanging="1080"/>
      <w:jc w:val="left"/>
    </w:pPr>
    <w:rPr>
      <w:rFonts w:ascii="Garamond" w:hAnsi="Garamond"/>
      <w:caps/>
      <w:sz w:val="18"/>
      <w:szCs w:val="20"/>
    </w:rPr>
  </w:style>
  <w:style w:type="character" w:customStyle="1" w:styleId="MessageHeaderChar">
    <w:name w:val="Message Header Char"/>
    <w:basedOn w:val="DefaultParagraphFont"/>
    <w:link w:val="MessageHeader"/>
    <w:uiPriority w:val="99"/>
    <w:rsid w:val="001928B8"/>
    <w:rPr>
      <w:rFonts w:ascii="Garamond" w:eastAsia="Times New Roman" w:hAnsi="Garamond" w:cs="Times New Roman"/>
      <w:caps/>
      <w:sz w:val="18"/>
      <w:szCs w:val="20"/>
    </w:rPr>
  </w:style>
  <w:style w:type="character" w:customStyle="1" w:styleId="MessageHeaderLabel">
    <w:name w:val="Message Header Label"/>
    <w:uiPriority w:val="99"/>
    <w:rsid w:val="001928B8"/>
    <w:rPr>
      <w:b/>
      <w:sz w:val="18"/>
    </w:rPr>
  </w:style>
  <w:style w:type="paragraph" w:customStyle="1" w:styleId="Bodysansserif">
    <w:name w:val="Body sans serif"/>
    <w:qFormat/>
    <w:rsid w:val="00E3500B"/>
    <w:pPr>
      <w:spacing w:after="100" w:afterAutospacing="1" w:line="276" w:lineRule="auto"/>
    </w:pPr>
    <w:rPr>
      <w:rFonts w:ascii="Adobe Caslon Pro" w:eastAsiaTheme="minorEastAsia" w:hAnsi="Adobe Caslon Pro"/>
      <w:szCs w:val="24"/>
    </w:rPr>
  </w:style>
  <w:style w:type="table" w:customStyle="1" w:styleId="TableGrid11">
    <w:name w:val="Table Grid11"/>
    <w:basedOn w:val="TableNormal"/>
    <w:next w:val="TableGrid"/>
    <w:uiPriority w:val="59"/>
    <w:rsid w:val="001928B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59"/>
    <w:rsid w:val="001928B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
    <w:name w:val="Grid Table 1 Light"/>
    <w:basedOn w:val="TableNormal"/>
    <w:uiPriority w:val="46"/>
    <w:rsid w:val="00E3500B"/>
    <w:pPr>
      <w:spacing w:after="0" w:line="240" w:lineRule="auto"/>
    </w:pPr>
    <w:rPr>
      <w:rFonts w:ascii="Times New Roman" w:hAnsi="Times New Roman"/>
      <w:sz w:val="24"/>
      <w:szCs w:val="24"/>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TableGrid4">
    <w:name w:val="Table Grid4"/>
    <w:basedOn w:val="TableNormal"/>
    <w:next w:val="TableGrid"/>
    <w:uiPriority w:val="59"/>
    <w:rsid w:val="001928B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59"/>
    <w:rsid w:val="001928B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59"/>
    <w:rsid w:val="001928B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uiPriority w:val="59"/>
    <w:rsid w:val="001928B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59"/>
    <w:rsid w:val="001928B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uiPriority w:val="59"/>
    <w:rsid w:val="001928B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59"/>
    <w:rsid w:val="001928B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59"/>
    <w:rsid w:val="001928B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59"/>
    <w:rsid w:val="001928B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59"/>
    <w:rsid w:val="001928B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59"/>
    <w:rsid w:val="001928B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next w:val="TableGrid"/>
    <w:uiPriority w:val="59"/>
    <w:rsid w:val="001928B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59"/>
    <w:rsid w:val="001928B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59"/>
    <w:rsid w:val="001928B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59"/>
    <w:rsid w:val="001928B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59"/>
    <w:rsid w:val="001928B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59"/>
    <w:rsid w:val="001928B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59"/>
    <w:rsid w:val="001928B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losing">
    <w:name w:val="Closing"/>
    <w:basedOn w:val="Normal"/>
    <w:next w:val="Normal"/>
    <w:link w:val="ClosingChar"/>
    <w:uiPriority w:val="99"/>
    <w:rsid w:val="001928B8"/>
    <w:pPr>
      <w:widowControl/>
      <w:spacing w:after="0" w:line="220" w:lineRule="atLeast"/>
      <w:jc w:val="left"/>
    </w:pPr>
    <w:rPr>
      <w:rFonts w:ascii="Garamond" w:hAnsi="Garamond"/>
      <w:sz w:val="22"/>
      <w:szCs w:val="20"/>
    </w:rPr>
  </w:style>
  <w:style w:type="character" w:customStyle="1" w:styleId="ClosingChar">
    <w:name w:val="Closing Char"/>
    <w:basedOn w:val="DefaultParagraphFont"/>
    <w:link w:val="Closing"/>
    <w:uiPriority w:val="99"/>
    <w:rsid w:val="001928B8"/>
    <w:rPr>
      <w:rFonts w:ascii="Garamond" w:eastAsia="Times New Roman" w:hAnsi="Garamond" w:cs="Times New Roman"/>
      <w:szCs w:val="20"/>
    </w:rPr>
  </w:style>
  <w:style w:type="paragraph" w:customStyle="1" w:styleId="CompanyName">
    <w:name w:val="Company Name"/>
    <w:basedOn w:val="BodyText"/>
    <w:uiPriority w:val="99"/>
    <w:rsid w:val="001928B8"/>
    <w:pPr>
      <w:keepLines/>
      <w:framePr w:w="8640" w:h="1440" w:wrap="notBeside" w:vAnchor="page" w:hAnchor="margin" w:xAlign="center" w:y="889"/>
      <w:widowControl/>
      <w:spacing w:after="40" w:line="240" w:lineRule="atLeast"/>
      <w:jc w:val="center"/>
    </w:pPr>
    <w:rPr>
      <w:rFonts w:ascii="Garamond" w:hAnsi="Garamond"/>
      <w:caps/>
      <w:spacing w:val="75"/>
      <w:sz w:val="22"/>
      <w:szCs w:val="20"/>
    </w:rPr>
  </w:style>
  <w:style w:type="paragraph" w:customStyle="1" w:styleId="Enclosure">
    <w:name w:val="Enclosure"/>
    <w:basedOn w:val="BodyText"/>
    <w:next w:val="Normal"/>
    <w:uiPriority w:val="99"/>
    <w:rsid w:val="001928B8"/>
    <w:pPr>
      <w:keepLines/>
      <w:widowControl/>
      <w:spacing w:before="220" w:line="240" w:lineRule="atLeast"/>
      <w:jc w:val="left"/>
    </w:pPr>
    <w:rPr>
      <w:rFonts w:ascii="Garamond" w:hAnsi="Garamond"/>
      <w:sz w:val="22"/>
      <w:szCs w:val="20"/>
    </w:rPr>
  </w:style>
  <w:style w:type="paragraph" w:customStyle="1" w:styleId="HeaderBase">
    <w:name w:val="Header Base"/>
    <w:basedOn w:val="BodyText"/>
    <w:uiPriority w:val="99"/>
    <w:rsid w:val="001928B8"/>
    <w:pPr>
      <w:keepLines/>
      <w:widowControl/>
      <w:tabs>
        <w:tab w:val="center" w:pos="4320"/>
        <w:tab w:val="right" w:pos="8640"/>
      </w:tabs>
      <w:spacing w:after="0" w:line="240" w:lineRule="atLeast"/>
      <w:ind w:firstLine="360"/>
      <w:jc w:val="left"/>
    </w:pPr>
    <w:rPr>
      <w:rFonts w:ascii="Garamond" w:hAnsi="Garamond"/>
      <w:sz w:val="22"/>
      <w:szCs w:val="20"/>
    </w:rPr>
  </w:style>
  <w:style w:type="paragraph" w:customStyle="1" w:styleId="HeadingBase">
    <w:name w:val="Heading Base"/>
    <w:basedOn w:val="BodyText"/>
    <w:next w:val="BodyText"/>
    <w:uiPriority w:val="99"/>
    <w:rsid w:val="001928B8"/>
    <w:pPr>
      <w:keepNext/>
      <w:keepLines/>
      <w:widowControl/>
      <w:spacing w:after="0" w:line="240" w:lineRule="atLeast"/>
      <w:jc w:val="left"/>
    </w:pPr>
    <w:rPr>
      <w:rFonts w:ascii="Garamond" w:hAnsi="Garamond"/>
      <w:kern w:val="20"/>
      <w:sz w:val="22"/>
      <w:szCs w:val="20"/>
    </w:rPr>
  </w:style>
  <w:style w:type="paragraph" w:customStyle="1" w:styleId="MessageHeaderFirst">
    <w:name w:val="Message Header First"/>
    <w:basedOn w:val="MessageHeader"/>
    <w:next w:val="MessageHeader"/>
    <w:uiPriority w:val="99"/>
    <w:rsid w:val="001928B8"/>
    <w:pPr>
      <w:spacing w:before="360"/>
    </w:pPr>
  </w:style>
  <w:style w:type="paragraph" w:customStyle="1" w:styleId="MessageHeaderLast">
    <w:name w:val="Message Header Last"/>
    <w:basedOn w:val="MessageHeader"/>
    <w:next w:val="BodyText"/>
    <w:uiPriority w:val="99"/>
    <w:rsid w:val="001928B8"/>
    <w:pPr>
      <w:pBdr>
        <w:bottom w:val="single" w:sz="6" w:space="18" w:color="808080"/>
      </w:pBdr>
      <w:spacing w:after="360"/>
    </w:pPr>
  </w:style>
  <w:style w:type="paragraph" w:styleId="NormalIndent">
    <w:name w:val="Normal Indent"/>
    <w:basedOn w:val="Normal"/>
    <w:uiPriority w:val="99"/>
    <w:rsid w:val="001928B8"/>
    <w:pPr>
      <w:widowControl/>
      <w:spacing w:after="0"/>
      <w:ind w:left="720"/>
      <w:jc w:val="left"/>
    </w:pPr>
    <w:rPr>
      <w:rFonts w:ascii="Garamond" w:hAnsi="Garamond"/>
      <w:sz w:val="22"/>
      <w:szCs w:val="20"/>
    </w:rPr>
  </w:style>
  <w:style w:type="paragraph" w:customStyle="1" w:styleId="ReturnAddress">
    <w:name w:val="Return Address"/>
    <w:uiPriority w:val="99"/>
    <w:rsid w:val="001928B8"/>
    <w:pPr>
      <w:framePr w:w="8640" w:hSpace="187" w:vSpace="187" w:wrap="notBeside" w:vAnchor="page" w:hAnchor="margin" w:xAlign="center" w:y="14401" w:anchorLock="1"/>
      <w:spacing w:after="0" w:line="240" w:lineRule="atLeast"/>
      <w:ind w:right="-240"/>
      <w:jc w:val="center"/>
    </w:pPr>
    <w:rPr>
      <w:rFonts w:ascii="Garamond" w:eastAsia="Times New Roman" w:hAnsi="Garamond" w:cs="Times New Roman"/>
      <w:caps/>
      <w:spacing w:val="30"/>
      <w:sz w:val="15"/>
      <w:szCs w:val="20"/>
    </w:rPr>
  </w:style>
  <w:style w:type="paragraph" w:styleId="Signature">
    <w:name w:val="Signature"/>
    <w:basedOn w:val="BodyText"/>
    <w:next w:val="Normal"/>
    <w:link w:val="SignatureChar"/>
    <w:uiPriority w:val="99"/>
    <w:rsid w:val="001928B8"/>
    <w:pPr>
      <w:keepNext/>
      <w:keepLines/>
      <w:widowControl/>
      <w:spacing w:before="660" w:after="0" w:line="240" w:lineRule="atLeast"/>
      <w:ind w:firstLine="360"/>
      <w:jc w:val="left"/>
    </w:pPr>
    <w:rPr>
      <w:rFonts w:ascii="Garamond" w:hAnsi="Garamond"/>
      <w:sz w:val="22"/>
      <w:szCs w:val="20"/>
    </w:rPr>
  </w:style>
  <w:style w:type="character" w:customStyle="1" w:styleId="SignatureChar">
    <w:name w:val="Signature Char"/>
    <w:basedOn w:val="DefaultParagraphFont"/>
    <w:link w:val="Signature"/>
    <w:uiPriority w:val="99"/>
    <w:rsid w:val="001928B8"/>
    <w:rPr>
      <w:rFonts w:ascii="Garamond" w:eastAsia="Times New Roman" w:hAnsi="Garamond" w:cs="Times New Roman"/>
      <w:szCs w:val="20"/>
    </w:rPr>
  </w:style>
  <w:style w:type="paragraph" w:customStyle="1" w:styleId="SignatureJobTitle">
    <w:name w:val="Signature Job Title"/>
    <w:basedOn w:val="Signature"/>
    <w:next w:val="Normal"/>
    <w:uiPriority w:val="99"/>
    <w:rsid w:val="001928B8"/>
    <w:pPr>
      <w:spacing w:before="0"/>
      <w:ind w:firstLine="0"/>
    </w:pPr>
  </w:style>
  <w:style w:type="paragraph" w:customStyle="1" w:styleId="SignatureName">
    <w:name w:val="Signature Name"/>
    <w:basedOn w:val="Signature"/>
    <w:next w:val="SignatureJobTitle"/>
    <w:uiPriority w:val="99"/>
    <w:rsid w:val="001928B8"/>
    <w:pPr>
      <w:ind w:firstLine="0"/>
    </w:pPr>
  </w:style>
  <w:style w:type="character" w:customStyle="1" w:styleId="Slogan">
    <w:name w:val="Slogan"/>
    <w:uiPriority w:val="99"/>
    <w:rsid w:val="001928B8"/>
    <w:rPr>
      <w:i/>
      <w:spacing w:val="70"/>
      <w:sz w:val="21"/>
    </w:rPr>
  </w:style>
  <w:style w:type="table" w:customStyle="1" w:styleId="TableGrid19">
    <w:name w:val="Table Grid19"/>
    <w:basedOn w:val="TableNormal"/>
    <w:next w:val="TableGrid"/>
    <w:uiPriority w:val="59"/>
    <w:rsid w:val="001928B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next w:val="TableGrid"/>
    <w:uiPriority w:val="59"/>
    <w:rsid w:val="001928B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itle1">
    <w:name w:val="Title1"/>
    <w:basedOn w:val="Normal"/>
    <w:next w:val="Normal"/>
    <w:uiPriority w:val="10"/>
    <w:qFormat/>
    <w:rsid w:val="001928B8"/>
    <w:pPr>
      <w:widowControl/>
      <w:pBdr>
        <w:bottom w:val="single" w:sz="8" w:space="4" w:color="4F81BD"/>
      </w:pBdr>
      <w:spacing w:after="300"/>
      <w:contextualSpacing/>
      <w:jc w:val="left"/>
    </w:pPr>
    <w:rPr>
      <w:rFonts w:ascii="Cambria" w:hAnsi="Cambria"/>
      <w:color w:val="17365D"/>
      <w:spacing w:val="5"/>
      <w:kern w:val="28"/>
      <w:sz w:val="52"/>
      <w:szCs w:val="52"/>
    </w:rPr>
  </w:style>
  <w:style w:type="character" w:customStyle="1" w:styleId="TitleChar1">
    <w:name w:val="Title Char1"/>
    <w:basedOn w:val="DefaultParagraphFont"/>
    <w:rsid w:val="001928B8"/>
    <w:rPr>
      <w:rFonts w:ascii="Cambria" w:eastAsia="Times New Roman" w:hAnsi="Cambria" w:cs="Times New Roman"/>
      <w:color w:val="17365D"/>
      <w:spacing w:val="5"/>
      <w:kern w:val="28"/>
      <w:sz w:val="52"/>
      <w:szCs w:val="52"/>
    </w:rPr>
  </w:style>
  <w:style w:type="table" w:customStyle="1" w:styleId="TableGrid23">
    <w:name w:val="Table Grid23"/>
    <w:basedOn w:val="TableNormal"/>
    <w:next w:val="TableGrid"/>
    <w:uiPriority w:val="59"/>
    <w:rsid w:val="001928B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uiPriority w:val="59"/>
    <w:rsid w:val="001928B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59"/>
    <w:rsid w:val="001928B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uiPriority w:val="59"/>
    <w:rsid w:val="001928B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uiPriority w:val="59"/>
    <w:rsid w:val="001928B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59"/>
    <w:rsid w:val="001928B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sumeBullet">
    <w:name w:val="Resume Bullet"/>
    <w:basedOn w:val="BodyText"/>
    <w:rsid w:val="001928B8"/>
    <w:pPr>
      <w:keepLines/>
      <w:widowControl/>
      <w:numPr>
        <w:numId w:val="9"/>
      </w:numPr>
      <w:tabs>
        <w:tab w:val="clear" w:pos="2790"/>
        <w:tab w:val="num" w:pos="432"/>
      </w:tabs>
      <w:ind w:left="360" w:hanging="360"/>
      <w:jc w:val="left"/>
    </w:pPr>
    <w:rPr>
      <w:rFonts w:ascii="Palatino Linotype" w:hAnsi="Palatino Linotype"/>
      <w:bCs/>
      <w:sz w:val="20"/>
      <w:szCs w:val="20"/>
    </w:rPr>
  </w:style>
  <w:style w:type="table" w:customStyle="1" w:styleId="TableGrid20">
    <w:name w:val="Table Grid20"/>
    <w:basedOn w:val="TableNormal"/>
    <w:next w:val="TableGrid"/>
    <w:uiPriority w:val="59"/>
    <w:rsid w:val="001928B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uiPriority w:val="59"/>
    <w:rsid w:val="001928B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uiPriority w:val="59"/>
    <w:rsid w:val="001928B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uiPriority w:val="59"/>
    <w:rsid w:val="001928B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uiPriority w:val="59"/>
    <w:rsid w:val="001928B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59"/>
    <w:rsid w:val="001928B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Preformatted">
    <w:name w:val="HTML Preformatted"/>
    <w:basedOn w:val="Normal"/>
    <w:link w:val="HTMLPreformattedChar"/>
    <w:uiPriority w:val="99"/>
    <w:unhideWhenUsed/>
    <w:rsid w:val="001928B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pPr>
    <w:rPr>
      <w:rFonts w:ascii="Courier New" w:hAnsi="Courier New" w:cs="Courier New"/>
      <w:szCs w:val="20"/>
    </w:rPr>
  </w:style>
  <w:style w:type="character" w:customStyle="1" w:styleId="HTMLPreformattedChar">
    <w:name w:val="HTML Preformatted Char"/>
    <w:basedOn w:val="DefaultParagraphFont"/>
    <w:link w:val="HTMLPreformatted"/>
    <w:uiPriority w:val="99"/>
    <w:rsid w:val="001928B8"/>
    <w:rPr>
      <w:rFonts w:ascii="Courier New" w:eastAsia="Times New Roman" w:hAnsi="Courier New" w:cs="Courier New"/>
      <w:sz w:val="20"/>
      <w:szCs w:val="20"/>
    </w:rPr>
  </w:style>
  <w:style w:type="table" w:styleId="LightList">
    <w:name w:val="Light List"/>
    <w:basedOn w:val="TableNormal"/>
    <w:uiPriority w:val="61"/>
    <w:rsid w:val="001928B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Lines="0" w:before="0" w:beforeAutospacing="0" w:afterLines="0" w:after="0" w:afterAutospacing="0" w:line="240" w:lineRule="auto"/>
      </w:pPr>
      <w:rPr>
        <w:b/>
        <w:bCs/>
        <w:color w:val="FFFFFF" w:themeColor="background1"/>
      </w:rPr>
      <w:tblPr/>
      <w:tcPr>
        <w:shd w:val="clear" w:color="auto" w:fill="000000" w:themeFill="text1"/>
      </w:tcPr>
    </w:tblStylePr>
    <w:tblStylePr w:type="lastRow">
      <w:pPr>
        <w:spacing w:beforeLines="0" w:before="0" w:beforeAutospacing="0" w:afterLines="0" w:after="0" w:afterAutospacing="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TableGrid27">
    <w:name w:val="Table Grid27"/>
    <w:basedOn w:val="TableNormal"/>
    <w:next w:val="TableGrid"/>
    <w:uiPriority w:val="39"/>
    <w:rsid w:val="001928B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leEmphasis1">
    <w:name w:val="Subtle Emphasis1"/>
    <w:basedOn w:val="DefaultParagraphFont"/>
    <w:uiPriority w:val="19"/>
    <w:qFormat/>
    <w:rsid w:val="001928B8"/>
    <w:rPr>
      <w:i/>
      <w:iCs/>
      <w:color w:val="404040"/>
    </w:rPr>
  </w:style>
  <w:style w:type="character" w:customStyle="1" w:styleId="A0">
    <w:name w:val="A0"/>
    <w:uiPriority w:val="99"/>
    <w:rsid w:val="001928B8"/>
    <w:rPr>
      <w:rFonts w:cs="HelveticaNeueLT Std"/>
      <w:b/>
      <w:bCs/>
      <w:color w:val="00863E"/>
      <w:sz w:val="44"/>
      <w:szCs w:val="44"/>
    </w:rPr>
  </w:style>
  <w:style w:type="character" w:customStyle="1" w:styleId="A1">
    <w:name w:val="A1"/>
    <w:uiPriority w:val="99"/>
    <w:rsid w:val="001928B8"/>
    <w:rPr>
      <w:rFonts w:ascii="HelveticaNeueLT Std Med" w:hAnsi="HelveticaNeueLT Std Med" w:cs="HelveticaNeueLT Std Med"/>
      <w:color w:val="221E1F"/>
      <w:sz w:val="26"/>
      <w:szCs w:val="26"/>
    </w:rPr>
  </w:style>
  <w:style w:type="paragraph" w:customStyle="1" w:styleId="Bullet1">
    <w:name w:val="Bullet 1"/>
    <w:basedOn w:val="Normal"/>
    <w:next w:val="BodyText"/>
    <w:link w:val="Bullet1Char"/>
    <w:qFormat/>
    <w:rsid w:val="001928B8"/>
    <w:pPr>
      <w:widowControl/>
      <w:numPr>
        <w:numId w:val="10"/>
      </w:numPr>
      <w:spacing w:before="200" w:after="0"/>
      <w:jc w:val="left"/>
    </w:pPr>
    <w:rPr>
      <w:rFonts w:ascii="Franklin Gothic Book" w:hAnsi="Franklin Gothic Book"/>
      <w:sz w:val="22"/>
      <w:szCs w:val="24"/>
    </w:rPr>
  </w:style>
  <w:style w:type="character" w:customStyle="1" w:styleId="Bullet1Char">
    <w:name w:val="Bullet 1 Char"/>
    <w:basedOn w:val="DefaultParagraphFont"/>
    <w:link w:val="Bullet1"/>
    <w:locked/>
    <w:rsid w:val="001928B8"/>
    <w:rPr>
      <w:rFonts w:ascii="Franklin Gothic Book" w:eastAsia="Times New Roman" w:hAnsi="Franklin Gothic Book" w:cs="Times New Roman"/>
      <w:szCs w:val="24"/>
    </w:rPr>
  </w:style>
  <w:style w:type="paragraph" w:styleId="List2">
    <w:name w:val="List 2"/>
    <w:semiHidden/>
    <w:unhideWhenUsed/>
    <w:rsid w:val="001928B8"/>
    <w:pPr>
      <w:numPr>
        <w:numId w:val="11"/>
      </w:numPr>
      <w:spacing w:before="40" w:after="80" w:line="240" w:lineRule="auto"/>
      <w:ind w:left="720"/>
      <w:contextualSpacing/>
    </w:pPr>
    <w:rPr>
      <w:rFonts w:ascii="Times New Roman" w:eastAsia="Times New Roman" w:hAnsi="Times New Roman" w:cs="Times New Roman"/>
      <w:sz w:val="24"/>
      <w:szCs w:val="24"/>
    </w:rPr>
  </w:style>
  <w:style w:type="paragraph" w:customStyle="1" w:styleId="NormalBeforeList">
    <w:name w:val="Normal Before List"/>
    <w:basedOn w:val="Normal"/>
    <w:qFormat/>
    <w:rsid w:val="001928B8"/>
    <w:pPr>
      <w:keepNext/>
      <w:widowControl/>
      <w:spacing w:after="0" w:line="276" w:lineRule="auto"/>
      <w:jc w:val="left"/>
    </w:pPr>
    <w:rPr>
      <w:rFonts w:eastAsia="Franklin Gothic Book"/>
      <w:sz w:val="22"/>
    </w:rPr>
  </w:style>
  <w:style w:type="paragraph" w:customStyle="1" w:styleId="Bulletlevel1">
    <w:name w:val="Bullet level 1"/>
    <w:basedOn w:val="ListParagraph"/>
    <w:qFormat/>
    <w:rsid w:val="001928B8"/>
    <w:pPr>
      <w:widowControl/>
      <w:numPr>
        <w:numId w:val="12"/>
      </w:numPr>
      <w:tabs>
        <w:tab w:val="num" w:pos="360"/>
      </w:tabs>
      <w:spacing w:after="60" w:line="276" w:lineRule="auto"/>
      <w:ind w:firstLine="0"/>
      <w:contextualSpacing w:val="0"/>
      <w:jc w:val="left"/>
    </w:pPr>
    <w:rPr>
      <w:rFonts w:eastAsia="Franklin Gothic Book"/>
      <w:sz w:val="22"/>
    </w:rPr>
  </w:style>
  <w:style w:type="paragraph" w:customStyle="1" w:styleId="Bulletlevel1-last">
    <w:name w:val="Bullet level 1-last"/>
    <w:basedOn w:val="Bulletlevel1"/>
    <w:qFormat/>
    <w:rsid w:val="001928B8"/>
    <w:pPr>
      <w:spacing w:after="200"/>
    </w:pPr>
  </w:style>
  <w:style w:type="paragraph" w:customStyle="1" w:styleId="NormalIntroSentence">
    <w:name w:val="Normal Intro Sentence"/>
    <w:qFormat/>
    <w:rsid w:val="001928B8"/>
    <w:pPr>
      <w:keepNext/>
      <w:spacing w:after="100" w:line="276" w:lineRule="auto"/>
    </w:pPr>
  </w:style>
  <w:style w:type="character" w:customStyle="1" w:styleId="aqj">
    <w:name w:val="aqj"/>
    <w:basedOn w:val="DefaultParagraphFont"/>
    <w:rsid w:val="001928B8"/>
  </w:style>
  <w:style w:type="character" w:styleId="SubtleEmphasis">
    <w:name w:val="Subtle Emphasis"/>
    <w:basedOn w:val="DefaultParagraphFont"/>
    <w:uiPriority w:val="19"/>
    <w:qFormat/>
    <w:rsid w:val="001928B8"/>
    <w:rPr>
      <w:i/>
      <w:iCs/>
      <w:color w:val="808080" w:themeColor="text1" w:themeTint="7F"/>
    </w:rPr>
  </w:style>
  <w:style w:type="table" w:customStyle="1" w:styleId="TableGrid28">
    <w:name w:val="Table Grid28"/>
    <w:basedOn w:val="TableNormal"/>
    <w:next w:val="TableGrid"/>
    <w:uiPriority w:val="59"/>
    <w:rsid w:val="001928B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next w:val="TableGrid"/>
    <w:uiPriority w:val="39"/>
    <w:rsid w:val="001928B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
    <w:name w:val="Table Grid30"/>
    <w:basedOn w:val="TableNormal"/>
    <w:next w:val="TableGrid"/>
    <w:uiPriority w:val="39"/>
    <w:rsid w:val="001928B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uiPriority w:val="39"/>
    <w:rsid w:val="001928B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uiPriority w:val="59"/>
    <w:rsid w:val="001928B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uiPriority w:val="59"/>
    <w:rsid w:val="001928B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il">
    <w:name w:val="il"/>
    <w:basedOn w:val="DefaultParagraphFont"/>
    <w:rsid w:val="001928B8"/>
  </w:style>
  <w:style w:type="paragraph" w:customStyle="1" w:styleId="Text">
    <w:name w:val="__Text"/>
    <w:qFormat/>
    <w:rsid w:val="001928B8"/>
    <w:pPr>
      <w:spacing w:after="240" w:line="288" w:lineRule="auto"/>
    </w:pPr>
    <w:rPr>
      <w:rFonts w:ascii="Arial" w:eastAsia="Times New Roman" w:hAnsi="Arial" w:cs="Arial"/>
      <w:color w:val="333333"/>
    </w:rPr>
  </w:style>
  <w:style w:type="paragraph" w:customStyle="1" w:styleId="TableBodyHeading">
    <w:name w:val="Table Body Heading"/>
    <w:basedOn w:val="Normal"/>
    <w:link w:val="TableBodyHeadingChar"/>
    <w:rsid w:val="001928B8"/>
    <w:pPr>
      <w:widowControl/>
      <w:numPr>
        <w:ilvl w:val="12"/>
      </w:numPr>
      <w:spacing w:before="80" w:after="40"/>
      <w:ind w:left="144" w:hanging="144"/>
      <w:jc w:val="left"/>
    </w:pPr>
    <w:rPr>
      <w:rFonts w:ascii="Arial" w:hAnsi="Arial" w:cs="Arial"/>
      <w:sz w:val="18"/>
      <w:szCs w:val="18"/>
    </w:rPr>
  </w:style>
  <w:style w:type="character" w:customStyle="1" w:styleId="TableBodyHeadingChar">
    <w:name w:val="Table Body Heading Char"/>
    <w:basedOn w:val="DefaultParagraphFont"/>
    <w:link w:val="TableBodyHeading"/>
    <w:rsid w:val="001928B8"/>
    <w:rPr>
      <w:rFonts w:ascii="Arial" w:eastAsia="Times New Roman" w:hAnsi="Arial" w:cs="Arial"/>
      <w:sz w:val="18"/>
      <w:szCs w:val="18"/>
    </w:rPr>
  </w:style>
  <w:style w:type="paragraph" w:customStyle="1" w:styleId="TableFootnote">
    <w:name w:val="Table Footnote"/>
    <w:basedOn w:val="Normal"/>
    <w:qFormat/>
    <w:rsid w:val="001928B8"/>
    <w:pPr>
      <w:widowControl/>
      <w:spacing w:after="0"/>
      <w:jc w:val="left"/>
    </w:pPr>
    <w:rPr>
      <w:rFonts w:eastAsia="Franklin Gothic Book"/>
      <w:sz w:val="16"/>
    </w:rPr>
  </w:style>
  <w:style w:type="paragraph" w:customStyle="1" w:styleId="default0">
    <w:name w:val="default0"/>
    <w:basedOn w:val="Normal"/>
    <w:rsid w:val="00C36ED5"/>
    <w:pPr>
      <w:widowControl/>
      <w:autoSpaceDE w:val="0"/>
      <w:autoSpaceDN w:val="0"/>
      <w:spacing w:after="0"/>
      <w:jc w:val="left"/>
    </w:pPr>
    <w:rPr>
      <w:rFonts w:ascii="Calibri" w:eastAsiaTheme="minorHAnsi" w:hAnsi="Calibri"/>
      <w:color w:val="000000"/>
      <w:sz w:val="24"/>
      <w:szCs w:val="24"/>
    </w:rPr>
  </w:style>
  <w:style w:type="paragraph" w:styleId="BodyTextIndent">
    <w:name w:val="Body Text Indent"/>
    <w:basedOn w:val="Normal"/>
    <w:link w:val="BodyTextIndentChar"/>
    <w:uiPriority w:val="99"/>
    <w:unhideWhenUsed/>
    <w:rsid w:val="001702D1"/>
    <w:pPr>
      <w:ind w:left="720" w:hanging="360"/>
    </w:pPr>
    <w:rPr>
      <w:rFonts w:ascii="Calibri" w:hAnsi="Calibri"/>
    </w:rPr>
  </w:style>
  <w:style w:type="character" w:customStyle="1" w:styleId="BodyTextIndentChar">
    <w:name w:val="Body Text Indent Char"/>
    <w:basedOn w:val="DefaultParagraphFont"/>
    <w:link w:val="BodyTextIndent"/>
    <w:uiPriority w:val="99"/>
    <w:rsid w:val="001702D1"/>
    <w:rPr>
      <w:rFonts w:ascii="Calibri" w:eastAsia="Times New Roman" w:hAnsi="Calibri" w:cs="Times New Roman"/>
      <w:sz w:val="20"/>
    </w:rPr>
  </w:style>
  <w:style w:type="paragraph" w:customStyle="1" w:styleId="Attachment1">
    <w:name w:val="Attachment 1"/>
    <w:basedOn w:val="Heading1"/>
    <w:qFormat/>
    <w:rsid w:val="001702D1"/>
    <w:pPr>
      <w:keepLines w:val="0"/>
      <w:widowControl/>
      <w:tabs>
        <w:tab w:val="decimal" w:pos="720"/>
      </w:tabs>
      <w:jc w:val="left"/>
    </w:pPr>
    <w:rPr>
      <w:rFonts w:ascii="Calibri" w:eastAsia="Franklin Gothic Book" w:hAnsi="Calibri" w:cs="Times New Roman"/>
    </w:rPr>
  </w:style>
  <w:style w:type="paragraph" w:customStyle="1" w:styleId="Attachment2">
    <w:name w:val="Attachment 2"/>
    <w:basedOn w:val="Heading2"/>
    <w:qFormat/>
    <w:rsid w:val="00762130"/>
    <w:pPr>
      <w:keepLines w:val="0"/>
      <w:widowControl/>
      <w:ind w:left="0" w:firstLine="0"/>
      <w:jc w:val="left"/>
    </w:pPr>
    <w:rPr>
      <w:rFonts w:ascii="Calibri" w:eastAsia="Franklin Gothic Book" w:hAnsi="Calibri" w:cs="Times New Roman"/>
    </w:rPr>
  </w:style>
  <w:style w:type="character" w:customStyle="1" w:styleId="UnresolvedMention1">
    <w:name w:val="Unresolved Mention1"/>
    <w:basedOn w:val="DefaultParagraphFont"/>
    <w:uiPriority w:val="99"/>
    <w:semiHidden/>
    <w:unhideWhenUsed/>
    <w:rsid w:val="00883DD0"/>
    <w:rPr>
      <w:color w:val="808080"/>
      <w:shd w:val="clear" w:color="auto" w:fill="E6E6E6"/>
    </w:rPr>
  </w:style>
  <w:style w:type="table" w:customStyle="1" w:styleId="EnergyTable">
    <w:name w:val="Energy Table"/>
    <w:basedOn w:val="TableNormal"/>
    <w:uiPriority w:val="99"/>
    <w:qFormat/>
    <w:rsid w:val="005D3C69"/>
    <w:pPr>
      <w:spacing w:before="40" w:after="40" w:line="240" w:lineRule="auto"/>
      <w:jc w:val="center"/>
    </w:pPr>
    <w:rPr>
      <w:rFonts w:ascii="Arial" w:eastAsia="Times New Roman" w:hAnsi="Arial" w:cs="Times New Roman"/>
      <w:sz w:val="20"/>
      <w:szCs w:val="20"/>
    </w:rPr>
    <w:tblPr>
      <w:tblStyleRowBandSize w:val="1"/>
      <w:tblInd w:w="0" w:type="nil"/>
      <w:tblBorders>
        <w:bottom w:val="single" w:sz="8" w:space="0" w:color="44546A" w:themeColor="text2"/>
        <w:insideH w:val="single" w:sz="4" w:space="0" w:color="D5DCE4" w:themeColor="text2" w:themeTint="33"/>
      </w:tblBorders>
    </w:tblPr>
    <w:tcPr>
      <w:vAlign w:val="center"/>
    </w:tcPr>
    <w:tblStylePr w:type="firstRow">
      <w:pPr>
        <w:jc w:val="center"/>
      </w:pPr>
      <w:rPr>
        <w:rFonts w:ascii="Arial" w:hAnsi="Arial" w:cs="Arial" w:hint="default"/>
        <w:b/>
        <w:color w:val="FFFFFF" w:themeColor="background1"/>
        <w:sz w:val="20"/>
        <w:szCs w:val="20"/>
      </w:rPr>
      <w:tblPr/>
      <w:tcPr>
        <w:tcBorders>
          <w:top w:val="nil"/>
          <w:left w:val="nil"/>
          <w:bottom w:val="single" w:sz="12" w:space="0" w:color="5B9BD5" w:themeColor="accent1"/>
          <w:right w:val="nil"/>
          <w:insideH w:val="nil"/>
          <w:insideV w:val="nil"/>
          <w:tl2br w:val="nil"/>
          <w:tr2bl w:val="nil"/>
        </w:tcBorders>
        <w:shd w:val="clear" w:color="auto" w:fill="44546A" w:themeFill="text2"/>
      </w:tcPr>
    </w:tblStylePr>
    <w:tblStylePr w:type="lastRow">
      <w:pPr>
        <w:jc w:val="center"/>
      </w:pPr>
      <w:rPr>
        <w:rFonts w:ascii="Comic Sans MS" w:hAnsi="Comic Sans MS" w:hint="default"/>
        <w:b/>
      </w:rPr>
      <w:tblPr/>
      <w:tcPr>
        <w:tcBorders>
          <w:top w:val="double" w:sz="4" w:space="0" w:color="545759"/>
          <w:bottom w:val="single" w:sz="4" w:space="0" w:color="545759"/>
        </w:tcBorders>
      </w:tcPr>
    </w:tblStylePr>
    <w:tblStylePr w:type="firstCol">
      <w:rPr>
        <w:rFonts w:ascii="Cambria" w:hAnsi="Cambria" w:cs="Times New Roman" w:hint="default"/>
        <w:b w:val="0"/>
        <w:color w:val="auto"/>
      </w:rPr>
    </w:tblStylePr>
    <w:tblStylePr w:type="band1Horz">
      <w:pPr>
        <w:jc w:val="center"/>
      </w:pPr>
      <w:tblPr/>
      <w:tcPr>
        <w:vAlign w:val="center"/>
      </w:tcPr>
    </w:tblStylePr>
    <w:tblStylePr w:type="band2Horz">
      <w:pPr>
        <w:jc w:val="center"/>
      </w:pPr>
      <w:tblPr/>
      <w:tcPr>
        <w:shd w:val="clear" w:color="auto" w:fill="FFFFFF" w:themeFill="background1"/>
      </w:tcPr>
    </w:tblStylePr>
  </w:style>
  <w:style w:type="table" w:customStyle="1" w:styleId="EnergyTable1">
    <w:name w:val="Energy Table1"/>
    <w:basedOn w:val="TableNormal"/>
    <w:uiPriority w:val="99"/>
    <w:qFormat/>
    <w:rsid w:val="005D3C69"/>
    <w:pPr>
      <w:spacing w:before="40" w:after="40" w:line="240" w:lineRule="auto"/>
      <w:jc w:val="center"/>
    </w:pPr>
    <w:rPr>
      <w:rFonts w:ascii="Arial" w:eastAsia="Times New Roman" w:hAnsi="Arial" w:cs="Times New Roman"/>
      <w:sz w:val="20"/>
      <w:szCs w:val="20"/>
    </w:rPr>
    <w:tblPr>
      <w:tblStyleRowBandSize w:val="1"/>
      <w:tblInd w:w="0" w:type="nil"/>
      <w:tblBorders>
        <w:bottom w:val="single" w:sz="8" w:space="0" w:color="44546A" w:themeColor="text2"/>
        <w:insideH w:val="single" w:sz="4" w:space="0" w:color="D5DCE4" w:themeColor="text2" w:themeTint="33"/>
      </w:tblBorders>
    </w:tblPr>
    <w:tcPr>
      <w:vAlign w:val="center"/>
    </w:tcPr>
    <w:tblStylePr w:type="firstRow">
      <w:pPr>
        <w:jc w:val="center"/>
      </w:pPr>
      <w:rPr>
        <w:rFonts w:ascii="Arial" w:hAnsi="Arial" w:cs="Arial" w:hint="default"/>
        <w:b/>
        <w:color w:val="FFFFFF" w:themeColor="background1"/>
        <w:sz w:val="20"/>
        <w:szCs w:val="20"/>
      </w:rPr>
      <w:tblPr/>
      <w:tcPr>
        <w:tcBorders>
          <w:top w:val="nil"/>
          <w:left w:val="nil"/>
          <w:bottom w:val="single" w:sz="12" w:space="0" w:color="5B9BD5" w:themeColor="accent1"/>
          <w:right w:val="nil"/>
          <w:insideH w:val="nil"/>
          <w:insideV w:val="nil"/>
          <w:tl2br w:val="nil"/>
          <w:tr2bl w:val="nil"/>
        </w:tcBorders>
        <w:shd w:val="clear" w:color="auto" w:fill="44546A" w:themeFill="text2"/>
      </w:tcPr>
    </w:tblStylePr>
    <w:tblStylePr w:type="lastRow">
      <w:pPr>
        <w:jc w:val="center"/>
      </w:pPr>
      <w:rPr>
        <w:rFonts w:ascii="Comic Sans MS" w:hAnsi="Comic Sans MS" w:hint="default"/>
        <w:b/>
      </w:rPr>
      <w:tblPr/>
      <w:tcPr>
        <w:tcBorders>
          <w:top w:val="double" w:sz="4" w:space="0" w:color="545759"/>
          <w:bottom w:val="single" w:sz="4" w:space="0" w:color="545759"/>
        </w:tcBorders>
      </w:tcPr>
    </w:tblStylePr>
    <w:tblStylePr w:type="firstCol">
      <w:rPr>
        <w:rFonts w:ascii="Cambria" w:hAnsi="Cambria" w:hint="default"/>
        <w:b w:val="0"/>
        <w:color w:val="auto"/>
      </w:rPr>
    </w:tblStylePr>
    <w:tblStylePr w:type="band1Horz">
      <w:pPr>
        <w:jc w:val="center"/>
      </w:pPr>
      <w:tblPr/>
      <w:tcPr>
        <w:vAlign w:val="center"/>
      </w:tcPr>
    </w:tblStylePr>
    <w:tblStylePr w:type="band2Horz">
      <w:pPr>
        <w:jc w:val="center"/>
      </w:pPr>
      <w:tblPr/>
      <w:tcPr>
        <w:shd w:val="clear" w:color="auto" w:fill="FFFFFF" w:themeFill="background1"/>
      </w:tcPr>
    </w:tblStylePr>
  </w:style>
  <w:style w:type="table" w:customStyle="1" w:styleId="PlainTable41">
    <w:name w:val="Plain Table 41"/>
    <w:basedOn w:val="TableNormal"/>
    <w:uiPriority w:val="44"/>
    <w:rsid w:val="0030676F"/>
    <w:pPr>
      <w:spacing w:after="0" w:line="240" w:lineRule="auto"/>
    </w:pPr>
    <w:rPr>
      <w:sz w:val="24"/>
      <w:szCs w:val="24"/>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42">
    <w:name w:val="Plain Table 42"/>
    <w:basedOn w:val="TableNormal"/>
    <w:uiPriority w:val="44"/>
    <w:rsid w:val="0030676F"/>
    <w:pPr>
      <w:spacing w:after="0" w:line="240" w:lineRule="auto"/>
    </w:pPr>
    <w:rPr>
      <w:sz w:val="24"/>
      <w:szCs w:val="24"/>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21">
    <w:name w:val="Plain Table 21"/>
    <w:basedOn w:val="TableNormal"/>
    <w:uiPriority w:val="42"/>
    <w:rsid w:val="0030676F"/>
    <w:pPr>
      <w:spacing w:after="0" w:line="240" w:lineRule="auto"/>
    </w:pPr>
    <w:rPr>
      <w:sz w:val="24"/>
      <w:szCs w:val="24"/>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customStyle="1" w:styleId="NoSpacingChar">
    <w:name w:val="No Spacing Char"/>
    <w:basedOn w:val="DefaultParagraphFont"/>
    <w:link w:val="NoSpacing"/>
    <w:uiPriority w:val="1"/>
    <w:rsid w:val="0030676F"/>
    <w:rPr>
      <w:rFonts w:ascii="Times New Roman" w:eastAsia="Times New Roman" w:hAnsi="Times New Roman" w:cs="Times New Roman"/>
      <w:sz w:val="20"/>
      <w:szCs w:val="20"/>
    </w:rPr>
  </w:style>
  <w:style w:type="character" w:customStyle="1" w:styleId="UnresolvedMention2">
    <w:name w:val="Unresolved Mention2"/>
    <w:basedOn w:val="DefaultParagraphFont"/>
    <w:uiPriority w:val="99"/>
    <w:semiHidden/>
    <w:unhideWhenUsed/>
    <w:rsid w:val="0030676F"/>
    <w:rPr>
      <w:color w:val="808080"/>
      <w:shd w:val="clear" w:color="auto" w:fill="E6E6E6"/>
    </w:rPr>
  </w:style>
  <w:style w:type="paragraph" w:styleId="TOC7">
    <w:name w:val="toc 7"/>
    <w:basedOn w:val="Normal"/>
    <w:next w:val="Normal"/>
    <w:autoRedefine/>
    <w:uiPriority w:val="39"/>
    <w:unhideWhenUsed/>
    <w:rsid w:val="00DC6458"/>
    <w:pPr>
      <w:widowControl/>
      <w:spacing w:after="100" w:line="259" w:lineRule="auto"/>
      <w:ind w:left="1320"/>
      <w:jc w:val="left"/>
    </w:pPr>
    <w:rPr>
      <w:rFonts w:eastAsiaTheme="minorEastAsia" w:cstheme="minorBidi"/>
      <w:sz w:val="22"/>
    </w:rPr>
  </w:style>
  <w:style w:type="character" w:styleId="UnresolvedMention">
    <w:name w:val="Unresolved Mention"/>
    <w:basedOn w:val="DefaultParagraphFont"/>
    <w:uiPriority w:val="99"/>
    <w:semiHidden/>
    <w:unhideWhenUsed/>
    <w:rsid w:val="00DC6458"/>
    <w:rPr>
      <w:color w:val="605E5C"/>
      <w:shd w:val="clear" w:color="auto" w:fill="E1DFDD"/>
    </w:rPr>
  </w:style>
  <w:style w:type="table" w:styleId="ListTable3-Accent1">
    <w:name w:val="List Table 3 Accent 1"/>
    <w:basedOn w:val="TableNormal"/>
    <w:uiPriority w:val="99"/>
    <w:qFormat/>
    <w:rsid w:val="00D34C6E"/>
    <w:pPr>
      <w:spacing w:before="40" w:after="40" w:line="240" w:lineRule="auto"/>
      <w:jc w:val="center"/>
    </w:pPr>
    <w:rPr>
      <w:rFonts w:ascii="Arial" w:eastAsia="Times New Roman" w:hAnsi="Arial" w:cs="Times New Roman"/>
      <w:sz w:val="20"/>
      <w:szCs w:val="20"/>
    </w:rPr>
    <w:tblPr>
      <w:tblStyleRowBandSize w:val="1"/>
      <w:jc w:val="center"/>
      <w:tblBorders>
        <w:bottom w:val="single" w:sz="8" w:space="0" w:color="44546A" w:themeColor="text2"/>
        <w:insideH w:val="single" w:sz="4" w:space="0" w:color="D5DCE4" w:themeColor="text2" w:themeTint="33"/>
      </w:tblBorders>
    </w:tblPr>
    <w:trPr>
      <w:cantSplit/>
      <w:jc w:val="center"/>
    </w:trPr>
    <w:tcPr>
      <w:vAlign w:val="center"/>
    </w:tcPr>
    <w:tblStylePr w:type="firstRow">
      <w:pPr>
        <w:jc w:val="center"/>
      </w:pPr>
      <w:rPr>
        <w:rFonts w:ascii="Arial" w:hAnsi="Arial"/>
        <w:b/>
        <w:color w:val="FFFFFF" w:themeColor="background1"/>
        <w:sz w:val="20"/>
      </w:rPr>
      <w:tblPr/>
      <w:tcPr>
        <w:tcBorders>
          <w:top w:val="nil"/>
          <w:left w:val="nil"/>
          <w:bottom w:val="single" w:sz="12" w:space="0" w:color="5B9BD5" w:themeColor="accent1"/>
          <w:right w:val="nil"/>
          <w:insideH w:val="nil"/>
          <w:insideV w:val="nil"/>
          <w:tl2br w:val="nil"/>
          <w:tr2bl w:val="nil"/>
        </w:tcBorders>
        <w:shd w:val="clear" w:color="auto" w:fill="44546A" w:themeFill="text2"/>
      </w:tcPr>
    </w:tblStylePr>
    <w:tblStylePr w:type="lastRow">
      <w:pPr>
        <w:jc w:val="center"/>
      </w:pPr>
      <w:rPr>
        <w:rFonts w:ascii="Consolas" w:hAnsi="Consolas"/>
        <w:b/>
      </w:rPr>
      <w:tblPr/>
      <w:tcPr>
        <w:tcBorders>
          <w:top w:val="double" w:sz="4" w:space="0" w:color="545759"/>
          <w:bottom w:val="single" w:sz="4" w:space="0" w:color="545759"/>
        </w:tcBorders>
      </w:tcPr>
    </w:tblStylePr>
    <w:tblStylePr w:type="firstCol">
      <w:rPr>
        <w:rFonts w:ascii="Roboto" w:hAnsi="Roboto"/>
        <w:b w:val="0"/>
        <w:color w:val="auto"/>
      </w:rPr>
    </w:tblStylePr>
    <w:tblStylePr w:type="band1Horz">
      <w:pPr>
        <w:jc w:val="center"/>
      </w:pPr>
      <w:tblPr/>
      <w:tcPr>
        <w:vAlign w:val="center"/>
      </w:tcPr>
    </w:tblStylePr>
    <w:tblStylePr w:type="band2Horz">
      <w:pPr>
        <w:jc w:val="center"/>
      </w:pPr>
      <w:tblPr/>
      <w:tcPr>
        <w:shd w:val="clear" w:color="auto" w:fill="FFFFFF" w:themeFill="background1"/>
      </w:tcPr>
    </w:tblStylePr>
  </w:style>
  <w:style w:type="character" w:styleId="PlaceholderText">
    <w:name w:val="Placeholder Text"/>
    <w:basedOn w:val="DefaultParagraphFont"/>
    <w:uiPriority w:val="99"/>
    <w:semiHidden/>
    <w:rsid w:val="0074270E"/>
    <w:rPr>
      <w:color w:val="808080"/>
    </w:rPr>
  </w:style>
  <w:style w:type="table" w:customStyle="1" w:styleId="TableGrid36">
    <w:name w:val="Table Grid36"/>
    <w:basedOn w:val="TableNormal"/>
    <w:next w:val="TableGrid"/>
    <w:uiPriority w:val="39"/>
    <w:rsid w:val="00E90044"/>
    <w:pPr>
      <w:spacing w:after="0" w:line="240" w:lineRule="auto"/>
    </w:pPr>
    <w:rPr>
      <w:rFonts w:ascii="Times New Roman" w:hAnsi="Times New Roman" w:cs="Times New Roman"/>
      <w:sz w:val="20"/>
      <w:szCs w:val="20"/>
      <w:lang w:val="e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uiPriority w:val="39"/>
    <w:rsid w:val="00F67E0A"/>
    <w:pPr>
      <w:spacing w:after="0" w:line="240" w:lineRule="auto"/>
    </w:pPr>
    <w:rPr>
      <w:rFonts w:ascii="Times New Roman" w:hAnsi="Times New Roman" w:cs="Times New Roman"/>
      <w:sz w:val="20"/>
      <w:szCs w:val="20"/>
      <w:lang w:val="e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4615598">
      <w:bodyDiv w:val="1"/>
      <w:marLeft w:val="0"/>
      <w:marRight w:val="0"/>
      <w:marTop w:val="0"/>
      <w:marBottom w:val="0"/>
      <w:divBdr>
        <w:top w:val="none" w:sz="0" w:space="0" w:color="auto"/>
        <w:left w:val="none" w:sz="0" w:space="0" w:color="auto"/>
        <w:bottom w:val="none" w:sz="0" w:space="0" w:color="auto"/>
        <w:right w:val="none" w:sz="0" w:space="0" w:color="auto"/>
      </w:divBdr>
    </w:div>
    <w:div w:id="85540487">
      <w:bodyDiv w:val="1"/>
      <w:marLeft w:val="0"/>
      <w:marRight w:val="0"/>
      <w:marTop w:val="0"/>
      <w:marBottom w:val="0"/>
      <w:divBdr>
        <w:top w:val="none" w:sz="0" w:space="0" w:color="auto"/>
        <w:left w:val="none" w:sz="0" w:space="0" w:color="auto"/>
        <w:bottom w:val="none" w:sz="0" w:space="0" w:color="auto"/>
        <w:right w:val="none" w:sz="0" w:space="0" w:color="auto"/>
      </w:divBdr>
    </w:div>
    <w:div w:id="166558566">
      <w:bodyDiv w:val="1"/>
      <w:marLeft w:val="0"/>
      <w:marRight w:val="0"/>
      <w:marTop w:val="0"/>
      <w:marBottom w:val="0"/>
      <w:divBdr>
        <w:top w:val="none" w:sz="0" w:space="0" w:color="auto"/>
        <w:left w:val="none" w:sz="0" w:space="0" w:color="auto"/>
        <w:bottom w:val="none" w:sz="0" w:space="0" w:color="auto"/>
        <w:right w:val="none" w:sz="0" w:space="0" w:color="auto"/>
      </w:divBdr>
    </w:div>
    <w:div w:id="347952859">
      <w:bodyDiv w:val="1"/>
      <w:marLeft w:val="0"/>
      <w:marRight w:val="0"/>
      <w:marTop w:val="0"/>
      <w:marBottom w:val="0"/>
      <w:divBdr>
        <w:top w:val="none" w:sz="0" w:space="0" w:color="auto"/>
        <w:left w:val="none" w:sz="0" w:space="0" w:color="auto"/>
        <w:bottom w:val="none" w:sz="0" w:space="0" w:color="auto"/>
        <w:right w:val="none" w:sz="0" w:space="0" w:color="auto"/>
      </w:divBdr>
    </w:div>
    <w:div w:id="476994794">
      <w:bodyDiv w:val="1"/>
      <w:marLeft w:val="0"/>
      <w:marRight w:val="0"/>
      <w:marTop w:val="0"/>
      <w:marBottom w:val="0"/>
      <w:divBdr>
        <w:top w:val="none" w:sz="0" w:space="0" w:color="auto"/>
        <w:left w:val="none" w:sz="0" w:space="0" w:color="auto"/>
        <w:bottom w:val="none" w:sz="0" w:space="0" w:color="auto"/>
        <w:right w:val="none" w:sz="0" w:space="0" w:color="auto"/>
      </w:divBdr>
    </w:div>
    <w:div w:id="537282860">
      <w:bodyDiv w:val="1"/>
      <w:marLeft w:val="0"/>
      <w:marRight w:val="0"/>
      <w:marTop w:val="0"/>
      <w:marBottom w:val="0"/>
      <w:divBdr>
        <w:top w:val="none" w:sz="0" w:space="0" w:color="auto"/>
        <w:left w:val="none" w:sz="0" w:space="0" w:color="auto"/>
        <w:bottom w:val="none" w:sz="0" w:space="0" w:color="auto"/>
        <w:right w:val="none" w:sz="0" w:space="0" w:color="auto"/>
      </w:divBdr>
    </w:div>
    <w:div w:id="544607565">
      <w:bodyDiv w:val="1"/>
      <w:marLeft w:val="0"/>
      <w:marRight w:val="0"/>
      <w:marTop w:val="0"/>
      <w:marBottom w:val="0"/>
      <w:divBdr>
        <w:top w:val="none" w:sz="0" w:space="0" w:color="auto"/>
        <w:left w:val="none" w:sz="0" w:space="0" w:color="auto"/>
        <w:bottom w:val="none" w:sz="0" w:space="0" w:color="auto"/>
        <w:right w:val="none" w:sz="0" w:space="0" w:color="auto"/>
      </w:divBdr>
    </w:div>
    <w:div w:id="734818680">
      <w:bodyDiv w:val="1"/>
      <w:marLeft w:val="0"/>
      <w:marRight w:val="0"/>
      <w:marTop w:val="0"/>
      <w:marBottom w:val="0"/>
      <w:divBdr>
        <w:top w:val="none" w:sz="0" w:space="0" w:color="auto"/>
        <w:left w:val="none" w:sz="0" w:space="0" w:color="auto"/>
        <w:bottom w:val="none" w:sz="0" w:space="0" w:color="auto"/>
        <w:right w:val="none" w:sz="0" w:space="0" w:color="auto"/>
      </w:divBdr>
    </w:div>
    <w:div w:id="736056596">
      <w:bodyDiv w:val="1"/>
      <w:marLeft w:val="0"/>
      <w:marRight w:val="0"/>
      <w:marTop w:val="0"/>
      <w:marBottom w:val="0"/>
      <w:divBdr>
        <w:top w:val="none" w:sz="0" w:space="0" w:color="auto"/>
        <w:left w:val="none" w:sz="0" w:space="0" w:color="auto"/>
        <w:bottom w:val="none" w:sz="0" w:space="0" w:color="auto"/>
        <w:right w:val="none" w:sz="0" w:space="0" w:color="auto"/>
      </w:divBdr>
      <w:divsChild>
        <w:div w:id="1097671910">
          <w:marLeft w:val="720"/>
          <w:marRight w:val="0"/>
          <w:marTop w:val="77"/>
          <w:marBottom w:val="0"/>
          <w:divBdr>
            <w:top w:val="none" w:sz="0" w:space="0" w:color="auto"/>
            <w:left w:val="none" w:sz="0" w:space="0" w:color="auto"/>
            <w:bottom w:val="none" w:sz="0" w:space="0" w:color="auto"/>
            <w:right w:val="none" w:sz="0" w:space="0" w:color="auto"/>
          </w:divBdr>
        </w:div>
      </w:divsChild>
    </w:div>
    <w:div w:id="912589586">
      <w:bodyDiv w:val="1"/>
      <w:marLeft w:val="0"/>
      <w:marRight w:val="0"/>
      <w:marTop w:val="0"/>
      <w:marBottom w:val="0"/>
      <w:divBdr>
        <w:top w:val="none" w:sz="0" w:space="0" w:color="auto"/>
        <w:left w:val="none" w:sz="0" w:space="0" w:color="auto"/>
        <w:bottom w:val="none" w:sz="0" w:space="0" w:color="auto"/>
        <w:right w:val="none" w:sz="0" w:space="0" w:color="auto"/>
      </w:divBdr>
    </w:div>
    <w:div w:id="925385333">
      <w:bodyDiv w:val="1"/>
      <w:marLeft w:val="0"/>
      <w:marRight w:val="0"/>
      <w:marTop w:val="0"/>
      <w:marBottom w:val="0"/>
      <w:divBdr>
        <w:top w:val="none" w:sz="0" w:space="0" w:color="auto"/>
        <w:left w:val="none" w:sz="0" w:space="0" w:color="auto"/>
        <w:bottom w:val="none" w:sz="0" w:space="0" w:color="auto"/>
        <w:right w:val="none" w:sz="0" w:space="0" w:color="auto"/>
      </w:divBdr>
    </w:div>
    <w:div w:id="999194056">
      <w:bodyDiv w:val="1"/>
      <w:marLeft w:val="0"/>
      <w:marRight w:val="0"/>
      <w:marTop w:val="0"/>
      <w:marBottom w:val="0"/>
      <w:divBdr>
        <w:top w:val="none" w:sz="0" w:space="0" w:color="auto"/>
        <w:left w:val="none" w:sz="0" w:space="0" w:color="auto"/>
        <w:bottom w:val="none" w:sz="0" w:space="0" w:color="auto"/>
        <w:right w:val="none" w:sz="0" w:space="0" w:color="auto"/>
      </w:divBdr>
    </w:div>
    <w:div w:id="1007711391">
      <w:bodyDiv w:val="1"/>
      <w:marLeft w:val="0"/>
      <w:marRight w:val="0"/>
      <w:marTop w:val="0"/>
      <w:marBottom w:val="0"/>
      <w:divBdr>
        <w:top w:val="none" w:sz="0" w:space="0" w:color="auto"/>
        <w:left w:val="none" w:sz="0" w:space="0" w:color="auto"/>
        <w:bottom w:val="none" w:sz="0" w:space="0" w:color="auto"/>
        <w:right w:val="none" w:sz="0" w:space="0" w:color="auto"/>
      </w:divBdr>
    </w:div>
    <w:div w:id="1082987158">
      <w:bodyDiv w:val="1"/>
      <w:marLeft w:val="0"/>
      <w:marRight w:val="0"/>
      <w:marTop w:val="0"/>
      <w:marBottom w:val="0"/>
      <w:divBdr>
        <w:top w:val="none" w:sz="0" w:space="0" w:color="auto"/>
        <w:left w:val="none" w:sz="0" w:space="0" w:color="auto"/>
        <w:bottom w:val="none" w:sz="0" w:space="0" w:color="auto"/>
        <w:right w:val="none" w:sz="0" w:space="0" w:color="auto"/>
      </w:divBdr>
    </w:div>
    <w:div w:id="1094788088">
      <w:bodyDiv w:val="1"/>
      <w:marLeft w:val="0"/>
      <w:marRight w:val="0"/>
      <w:marTop w:val="0"/>
      <w:marBottom w:val="0"/>
      <w:divBdr>
        <w:top w:val="none" w:sz="0" w:space="0" w:color="auto"/>
        <w:left w:val="none" w:sz="0" w:space="0" w:color="auto"/>
        <w:bottom w:val="none" w:sz="0" w:space="0" w:color="auto"/>
        <w:right w:val="none" w:sz="0" w:space="0" w:color="auto"/>
      </w:divBdr>
    </w:div>
    <w:div w:id="1365053901">
      <w:bodyDiv w:val="1"/>
      <w:marLeft w:val="0"/>
      <w:marRight w:val="0"/>
      <w:marTop w:val="0"/>
      <w:marBottom w:val="0"/>
      <w:divBdr>
        <w:top w:val="none" w:sz="0" w:space="0" w:color="auto"/>
        <w:left w:val="none" w:sz="0" w:space="0" w:color="auto"/>
        <w:bottom w:val="none" w:sz="0" w:space="0" w:color="auto"/>
        <w:right w:val="none" w:sz="0" w:space="0" w:color="auto"/>
      </w:divBdr>
      <w:divsChild>
        <w:div w:id="592519262">
          <w:marLeft w:val="0"/>
          <w:marRight w:val="0"/>
          <w:marTop w:val="0"/>
          <w:marBottom w:val="0"/>
          <w:divBdr>
            <w:top w:val="none" w:sz="0" w:space="0" w:color="auto"/>
            <w:left w:val="none" w:sz="0" w:space="0" w:color="auto"/>
            <w:bottom w:val="none" w:sz="0" w:space="0" w:color="auto"/>
            <w:right w:val="none" w:sz="0" w:space="0" w:color="auto"/>
          </w:divBdr>
          <w:divsChild>
            <w:div w:id="9991912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9225745">
      <w:bodyDiv w:val="1"/>
      <w:marLeft w:val="0"/>
      <w:marRight w:val="0"/>
      <w:marTop w:val="0"/>
      <w:marBottom w:val="0"/>
      <w:divBdr>
        <w:top w:val="none" w:sz="0" w:space="0" w:color="auto"/>
        <w:left w:val="none" w:sz="0" w:space="0" w:color="auto"/>
        <w:bottom w:val="none" w:sz="0" w:space="0" w:color="auto"/>
        <w:right w:val="none" w:sz="0" w:space="0" w:color="auto"/>
      </w:divBdr>
    </w:div>
    <w:div w:id="1515605157">
      <w:bodyDiv w:val="1"/>
      <w:marLeft w:val="0"/>
      <w:marRight w:val="0"/>
      <w:marTop w:val="0"/>
      <w:marBottom w:val="0"/>
      <w:divBdr>
        <w:top w:val="none" w:sz="0" w:space="0" w:color="auto"/>
        <w:left w:val="none" w:sz="0" w:space="0" w:color="auto"/>
        <w:bottom w:val="none" w:sz="0" w:space="0" w:color="auto"/>
        <w:right w:val="none" w:sz="0" w:space="0" w:color="auto"/>
      </w:divBdr>
    </w:div>
    <w:div w:id="1546021703">
      <w:bodyDiv w:val="1"/>
      <w:marLeft w:val="0"/>
      <w:marRight w:val="0"/>
      <w:marTop w:val="0"/>
      <w:marBottom w:val="0"/>
      <w:divBdr>
        <w:top w:val="none" w:sz="0" w:space="0" w:color="auto"/>
        <w:left w:val="none" w:sz="0" w:space="0" w:color="auto"/>
        <w:bottom w:val="none" w:sz="0" w:space="0" w:color="auto"/>
        <w:right w:val="none" w:sz="0" w:space="0" w:color="auto"/>
      </w:divBdr>
      <w:divsChild>
        <w:div w:id="1991471114">
          <w:marLeft w:val="2160"/>
          <w:marRight w:val="0"/>
          <w:marTop w:val="67"/>
          <w:marBottom w:val="0"/>
          <w:divBdr>
            <w:top w:val="none" w:sz="0" w:space="0" w:color="auto"/>
            <w:left w:val="none" w:sz="0" w:space="0" w:color="auto"/>
            <w:bottom w:val="none" w:sz="0" w:space="0" w:color="auto"/>
            <w:right w:val="none" w:sz="0" w:space="0" w:color="auto"/>
          </w:divBdr>
        </w:div>
      </w:divsChild>
    </w:div>
    <w:div w:id="1686588155">
      <w:bodyDiv w:val="1"/>
      <w:marLeft w:val="0"/>
      <w:marRight w:val="0"/>
      <w:marTop w:val="0"/>
      <w:marBottom w:val="0"/>
      <w:divBdr>
        <w:top w:val="none" w:sz="0" w:space="0" w:color="auto"/>
        <w:left w:val="none" w:sz="0" w:space="0" w:color="auto"/>
        <w:bottom w:val="none" w:sz="0" w:space="0" w:color="auto"/>
        <w:right w:val="none" w:sz="0" w:space="0" w:color="auto"/>
      </w:divBdr>
    </w:div>
    <w:div w:id="1814325895">
      <w:bodyDiv w:val="1"/>
      <w:marLeft w:val="0"/>
      <w:marRight w:val="0"/>
      <w:marTop w:val="0"/>
      <w:marBottom w:val="0"/>
      <w:divBdr>
        <w:top w:val="none" w:sz="0" w:space="0" w:color="auto"/>
        <w:left w:val="none" w:sz="0" w:space="0" w:color="auto"/>
        <w:bottom w:val="none" w:sz="0" w:space="0" w:color="auto"/>
        <w:right w:val="none" w:sz="0" w:space="0" w:color="auto"/>
      </w:divBdr>
    </w:div>
    <w:div w:id="1898972511">
      <w:bodyDiv w:val="1"/>
      <w:marLeft w:val="0"/>
      <w:marRight w:val="0"/>
      <w:marTop w:val="0"/>
      <w:marBottom w:val="0"/>
      <w:divBdr>
        <w:top w:val="none" w:sz="0" w:space="0" w:color="auto"/>
        <w:left w:val="none" w:sz="0" w:space="0" w:color="auto"/>
        <w:bottom w:val="none" w:sz="0" w:space="0" w:color="auto"/>
        <w:right w:val="none" w:sz="0" w:space="0" w:color="auto"/>
      </w:divBdr>
    </w:div>
    <w:div w:id="1999649772">
      <w:bodyDiv w:val="1"/>
      <w:marLeft w:val="0"/>
      <w:marRight w:val="0"/>
      <w:marTop w:val="0"/>
      <w:marBottom w:val="0"/>
      <w:divBdr>
        <w:top w:val="none" w:sz="0" w:space="0" w:color="auto"/>
        <w:left w:val="none" w:sz="0" w:space="0" w:color="auto"/>
        <w:bottom w:val="none" w:sz="0" w:space="0" w:color="auto"/>
        <w:right w:val="none" w:sz="0" w:space="0" w:color="auto"/>
      </w:divBdr>
    </w:div>
    <w:div w:id="20617822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hyperlink" Target="http://ma-eeac.org/wordpress/wp-content/uploads/Home-Energy-Report-Savings-Decay-Analysis-Final-Report1.pdf" TargetMode="External"/><Relationship Id="rId26" Type="http://schemas.openxmlformats.org/officeDocument/2006/relationships/hyperlink" Target="http://www.puc.state.pa.us/Electric/pdf/Act129/SWE_Res_Behavioral_Program-Persistence_Study_Addendum2018.pdf" TargetMode="External"/><Relationship Id="rId39" Type="http://schemas.openxmlformats.org/officeDocument/2006/relationships/header" Target="header5.xml"/><Relationship Id="rId21" Type="http://schemas.openxmlformats.org/officeDocument/2006/relationships/hyperlink" Target="http://www.ripuc.org/eventsactions/docket/2.%20RI%20HER%20Savings%20Decay%20Lit%20Review%20FINAL.pdf" TargetMode="External"/><Relationship Id="rId34" Type="http://schemas.openxmlformats.org/officeDocument/2006/relationships/hyperlink" Target="https://conduitnw.org/pages/file.aspx?rid=4976" TargetMode="External"/><Relationship Id="rId42" Type="http://schemas.openxmlformats.org/officeDocument/2006/relationships/hyperlink" Target="http://www.icc.illinois.gov/downloads/public/edocket/367581.pdf" TargetMode="External"/><Relationship Id="rId47" Type="http://schemas.openxmlformats.org/officeDocument/2006/relationships/image" Target="media/image1.png"/><Relationship Id="rId50" Type="http://schemas.openxmlformats.org/officeDocument/2006/relationships/hyperlink" Target="http://www.ilsag.info/il_ntg_methods.html" TargetMode="External"/><Relationship Id="rId55" Type="http://schemas.openxmlformats.org/officeDocument/2006/relationships/image" Target="media/image8.jpeg"/><Relationship Id="rId63" Type="http://schemas.openxmlformats.org/officeDocument/2006/relationships/image" Target="media/image16.png"/><Relationship Id="rId68" Type="http://schemas.openxmlformats.org/officeDocument/2006/relationships/hyperlink" Target="https://xp20.ashrae.org/publicdatabase/system_service_life.asp?selected_system_type=7" TargetMode="External"/><Relationship Id="rId76" Type="http://schemas.openxmlformats.org/officeDocument/2006/relationships/image" Target="media/image24.emf"/><Relationship Id="rId84" Type="http://schemas.openxmlformats.org/officeDocument/2006/relationships/header" Target="header13.xml"/><Relationship Id="rId89" Type="http://schemas.openxmlformats.org/officeDocument/2006/relationships/header" Target="header16.xml"/><Relationship Id="rId7" Type="http://schemas.openxmlformats.org/officeDocument/2006/relationships/settings" Target="settings.xml"/><Relationship Id="rId71" Type="http://schemas.openxmlformats.org/officeDocument/2006/relationships/header" Target="header7.xml"/><Relationship Id="rId92" Type="http://schemas.openxmlformats.org/officeDocument/2006/relationships/hyperlink" Target="http://ma-eeac.org/wordpress/wp-content/uploads/Methods-for-Measuring-Market-Effects-of-Massachusetts-Energy-Efficiency-Programs.pdf" TargetMode="External"/><Relationship Id="rId2" Type="http://schemas.openxmlformats.org/officeDocument/2006/relationships/customXml" Target="../customXml/item2.xml"/><Relationship Id="rId16" Type="http://schemas.openxmlformats.org/officeDocument/2006/relationships/hyperlink" Target="https://www.povertyactionlab.org/sites/default/files/publications/899%20Allcott%20and%20Rogers%20AER2014%20The%20Short-Run%20and%20Long-Run%20Effects%20of%20Behavioral%20Interventions.pdf" TargetMode="External"/><Relationship Id="rId29" Type="http://schemas.openxmlformats.org/officeDocument/2006/relationships/hyperlink" Target="http://www.oracle.com/us/industries/utilities/herp-puget-sound-energy-3628986.pdf" TargetMode="External"/><Relationship Id="rId11" Type="http://schemas.openxmlformats.org/officeDocument/2006/relationships/header" Target="header1.xml"/><Relationship Id="rId24" Type="http://schemas.openxmlformats.org/officeDocument/2006/relationships/hyperlink" Target="http://www.calmac.org/publications/PG&amp;E_2016_HER_Energy_and_Demand_Savings_Early_EM&amp;V.pdf" TargetMode="External"/><Relationship Id="rId32" Type="http://schemas.openxmlformats.org/officeDocument/2006/relationships/hyperlink" Target="https://conduitnw.org/pages/file.aspx?rid=4252" TargetMode="External"/><Relationship Id="rId37" Type="http://schemas.openxmlformats.org/officeDocument/2006/relationships/hyperlink" Target="http://ilsagfiles.org/SAG_files/Technical_Reference_Manual/Version_6/Evaluation_Documents/Nicor_Gas_HER_Persistence_Study_Part_2_Final_2016-09-21.pdf" TargetMode="External"/><Relationship Id="rId40" Type="http://schemas.openxmlformats.org/officeDocument/2006/relationships/hyperlink" Target="http://www.icc.illinois.gov/downloads/public/edocket/367591.pdf" TargetMode="External"/><Relationship Id="rId45" Type="http://schemas.openxmlformats.org/officeDocument/2006/relationships/hyperlink" Target="http://www.seeaction.energy.gov" TargetMode="External"/><Relationship Id="rId53" Type="http://schemas.openxmlformats.org/officeDocument/2006/relationships/image" Target="media/image6.emf"/><Relationship Id="rId58" Type="http://schemas.openxmlformats.org/officeDocument/2006/relationships/image" Target="media/image11.jpg"/><Relationship Id="rId66" Type="http://schemas.openxmlformats.org/officeDocument/2006/relationships/image" Target="media/image19.png"/><Relationship Id="rId74" Type="http://schemas.openxmlformats.org/officeDocument/2006/relationships/image" Target="media/image22.jpg"/><Relationship Id="rId79" Type="http://schemas.openxmlformats.org/officeDocument/2006/relationships/footer" Target="footer2.xml"/><Relationship Id="rId87" Type="http://schemas.openxmlformats.org/officeDocument/2006/relationships/image" Target="media/image25.png"/><Relationship Id="rId5" Type="http://schemas.openxmlformats.org/officeDocument/2006/relationships/numbering" Target="numbering.xml"/><Relationship Id="rId61" Type="http://schemas.openxmlformats.org/officeDocument/2006/relationships/image" Target="media/image14.png"/><Relationship Id="rId82" Type="http://schemas.openxmlformats.org/officeDocument/2006/relationships/header" Target="header11.xml"/><Relationship Id="rId90" Type="http://schemas.openxmlformats.org/officeDocument/2006/relationships/hyperlink" Target="https://www.navigant.com/experience/energy/2019/energy-efficiency-market-transformation-summit" TargetMode="External"/><Relationship Id="rId95" Type="http://schemas.openxmlformats.org/officeDocument/2006/relationships/theme" Target="theme/theme1.xml"/><Relationship Id="rId19" Type="http://schemas.openxmlformats.org/officeDocument/2006/relationships/hyperlink" Target="https://dms.psc.sc.gov/attachments/matter/9F872380-155D-141F-231F53E80756D3C3" TargetMode="External"/><Relationship Id="rId14" Type="http://schemas.openxmlformats.org/officeDocument/2006/relationships/header" Target="header3.xml"/><Relationship Id="rId22" Type="http://schemas.openxmlformats.org/officeDocument/2006/relationships/hyperlink" Target="https://aceee.org/files/proceedings/2016/data/papers/2_935.pdf" TargetMode="External"/><Relationship Id="rId27" Type="http://schemas.openxmlformats.org/officeDocument/2006/relationships/hyperlink" Target="https://conduitnw.org/_layouts/Conduit/FileHandler.ashx?RID=849" TargetMode="External"/><Relationship Id="rId30" Type="http://schemas.openxmlformats.org/officeDocument/2006/relationships/hyperlink" Target="https://conduitnw.org/_layouts/Conduit/FileHandler.ashx?rid=2963" TargetMode="External"/><Relationship Id="rId35" Type="http://schemas.openxmlformats.org/officeDocument/2006/relationships/hyperlink" Target="https://s3.amazonaws.com/ilsag/ComEd-HER-Year-Five-Persistence-and-Decay-Study-2019-10-25.docx" TargetMode="External"/><Relationship Id="rId43" Type="http://schemas.openxmlformats.org/officeDocument/2006/relationships/hyperlink" Target="http://www.icc.illinois.gov/downloads/public/edocket/378494.pdf" TargetMode="External"/><Relationship Id="rId48" Type="http://schemas.openxmlformats.org/officeDocument/2006/relationships/image" Target="media/image2.png"/><Relationship Id="rId56" Type="http://schemas.openxmlformats.org/officeDocument/2006/relationships/image" Target="media/image9.png"/><Relationship Id="rId64" Type="http://schemas.openxmlformats.org/officeDocument/2006/relationships/image" Target="media/image17.png"/><Relationship Id="rId69" Type="http://schemas.openxmlformats.org/officeDocument/2006/relationships/hyperlink" Target="https://www.energystar.gov" TargetMode="External"/><Relationship Id="rId77" Type="http://schemas.openxmlformats.org/officeDocument/2006/relationships/header" Target="header8.xml"/><Relationship Id="rId8" Type="http://schemas.openxmlformats.org/officeDocument/2006/relationships/webSettings" Target="webSettings.xml"/><Relationship Id="rId51" Type="http://schemas.openxmlformats.org/officeDocument/2006/relationships/image" Target="media/image4.png"/><Relationship Id="rId72" Type="http://schemas.openxmlformats.org/officeDocument/2006/relationships/image" Target="media/image20.jpeg"/><Relationship Id="rId80" Type="http://schemas.openxmlformats.org/officeDocument/2006/relationships/header" Target="header10.xml"/><Relationship Id="rId85" Type="http://schemas.openxmlformats.org/officeDocument/2006/relationships/header" Target="header14.xml"/><Relationship Id="rId93"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hyperlink" Target="https://library.cee1.org/content/impact-persistence-evaluation-report-sacramento-municipal-utility-district-home-energy-repor" TargetMode="External"/><Relationship Id="rId25" Type="http://schemas.openxmlformats.org/officeDocument/2006/relationships/hyperlink" Target="https://www.indianamichiganpower.com/global/utilities/lib/docs/info/projects/IMDemandSideManagement/44841%20Jon%20C.%20Walter%20Direct%20Testimony%20&amp;%20Attachments%20Vol%20II.pdf" TargetMode="External"/><Relationship Id="rId33" Type="http://schemas.openxmlformats.org/officeDocument/2006/relationships/hyperlink" Target="https://conduitnw.org/Pages/File.aspx?rid=4415" TargetMode="External"/><Relationship Id="rId38" Type="http://schemas.openxmlformats.org/officeDocument/2006/relationships/header" Target="header4.xml"/><Relationship Id="rId46" Type="http://schemas.openxmlformats.org/officeDocument/2006/relationships/hyperlink" Target="http://www.nrel.gov/docs/fy17osti/68578.pdf" TargetMode="External"/><Relationship Id="rId59" Type="http://schemas.openxmlformats.org/officeDocument/2006/relationships/image" Target="media/image12.jpg"/><Relationship Id="rId67" Type="http://schemas.openxmlformats.org/officeDocument/2006/relationships/header" Target="header6.xml"/><Relationship Id="rId20" Type="http://schemas.openxmlformats.org/officeDocument/2006/relationships/hyperlink" Target="http://www.calmac.org/publications/DNVGL_SCE_HER_2015_final_to_calmac.pdf" TargetMode="External"/><Relationship Id="rId41" Type="http://schemas.openxmlformats.org/officeDocument/2006/relationships/hyperlink" Target="http://www.icc.illinois.gov/downloads/public/edocket/367603.pdf" TargetMode="External"/><Relationship Id="rId54" Type="http://schemas.openxmlformats.org/officeDocument/2006/relationships/image" Target="media/image7.emf"/><Relationship Id="rId62" Type="http://schemas.openxmlformats.org/officeDocument/2006/relationships/image" Target="media/image15.png"/><Relationship Id="rId70" Type="http://schemas.openxmlformats.org/officeDocument/2006/relationships/hyperlink" Target="https://www.energystar.gov/sites/default/files/asset/document/appliance_calculator.xlsx" TargetMode="External"/><Relationship Id="rId75" Type="http://schemas.openxmlformats.org/officeDocument/2006/relationships/image" Target="media/image23.jpeg"/><Relationship Id="rId83" Type="http://schemas.openxmlformats.org/officeDocument/2006/relationships/header" Target="header12.xml"/><Relationship Id="rId88" Type="http://schemas.openxmlformats.org/officeDocument/2006/relationships/header" Target="header15.xml"/><Relationship Id="rId91" Type="http://schemas.openxmlformats.org/officeDocument/2006/relationships/hyperlink" Target="https://www.navigant.com/-/media/www/site/downloads/energy/2019/market-transformation-summit-report.pdf?la=en&amp;utm_source=Direct&amp;utm_medium=PDF_MTS"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cadmusgroup.com/wp-content/uploads/2014/11/Cadmus_Home_Energy_Reports_Winter2014.pdf" TargetMode="External"/><Relationship Id="rId23" Type="http://schemas.openxmlformats.org/officeDocument/2006/relationships/hyperlink" Target="https://www.energizect.com/sites/default/files/R1606_Eversource%20Behavior%20Persistence%20Evaluation_Review%20Draft_4.10.17.pdf" TargetMode="External"/><Relationship Id="rId28" Type="http://schemas.openxmlformats.org/officeDocument/2006/relationships/hyperlink" Target="http://www.oracle.com/us/industries/utilities/puget-sound-energy-home-3631948.pdf" TargetMode="External"/><Relationship Id="rId36" Type="http://schemas.openxmlformats.org/officeDocument/2006/relationships/hyperlink" Target="https://s3.amazonaws.com/ilsag/AIC_2018_Behavioral_Modification_Persistence_Study_Memo_FINAL_2019-10-21.pdf" TargetMode="External"/><Relationship Id="rId49" Type="http://schemas.openxmlformats.org/officeDocument/2006/relationships/image" Target="media/image3.png"/><Relationship Id="rId57" Type="http://schemas.openxmlformats.org/officeDocument/2006/relationships/image" Target="media/image10.emf"/><Relationship Id="rId10" Type="http://schemas.openxmlformats.org/officeDocument/2006/relationships/endnotes" Target="endnotes.xml"/><Relationship Id="rId31" Type="http://schemas.openxmlformats.org/officeDocument/2006/relationships/hyperlink" Target="http://www.oracle.com/us/industries/utilities/home-energy-reports-err-2015-3697558.pdf" TargetMode="External"/><Relationship Id="rId44" Type="http://schemas.openxmlformats.org/officeDocument/2006/relationships/hyperlink" Target="http://www.icc.illinois.gov/downloads/public/edocket/378495.pdf" TargetMode="External"/><Relationship Id="rId52" Type="http://schemas.openxmlformats.org/officeDocument/2006/relationships/image" Target="media/image5.jpeg"/><Relationship Id="rId60" Type="http://schemas.openxmlformats.org/officeDocument/2006/relationships/image" Target="media/image13.png"/><Relationship Id="rId65" Type="http://schemas.openxmlformats.org/officeDocument/2006/relationships/image" Target="media/image18.png"/><Relationship Id="rId73" Type="http://schemas.openxmlformats.org/officeDocument/2006/relationships/image" Target="media/image21.emf"/><Relationship Id="rId78" Type="http://schemas.openxmlformats.org/officeDocument/2006/relationships/header" Target="header9.xml"/><Relationship Id="rId81" Type="http://schemas.openxmlformats.org/officeDocument/2006/relationships/footer" Target="footer3.xml"/><Relationship Id="rId86" Type="http://schemas.openxmlformats.org/officeDocument/2006/relationships/footer" Target="footer4.xml"/><Relationship Id="rId94"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s>
</file>

<file path=word/_rels/footnotes.xml.rels><?xml version="1.0" encoding="UTF-8" standalone="yes"?>
<Relationships xmlns="http://schemas.openxmlformats.org/package/2006/relationships"><Relationship Id="rId8" Type="http://schemas.openxmlformats.org/officeDocument/2006/relationships/hyperlink" Target="https://en.wikipedia.org/wiki/Statistics" TargetMode="External"/><Relationship Id="rId3" Type="http://schemas.openxmlformats.org/officeDocument/2006/relationships/hyperlink" Target="http://www.ilsag.info/il_ntg_methods.html" TargetMode="External"/><Relationship Id="rId7" Type="http://schemas.openxmlformats.org/officeDocument/2006/relationships/hyperlink" Target="https://neea.org/resources-reports" TargetMode="External"/><Relationship Id="rId12" Type="http://schemas.openxmlformats.org/officeDocument/2006/relationships/hyperlink" Target="http://ma-eeac.org/wordpress/wp-content/uploads/TXC_47_Nonres_CCSI_Attribution_Assessment_26July2018_Final-1.pdf" TargetMode="External"/><Relationship Id="rId2" Type="http://schemas.openxmlformats.org/officeDocument/2006/relationships/hyperlink" Target="http://www.ilsag.info/il_ntg_methods.html" TargetMode="External"/><Relationship Id="rId1" Type="http://schemas.openxmlformats.org/officeDocument/2006/relationships/hyperlink" Target="http://www.ilsag.info/evaluation-documents.html" TargetMode="External"/><Relationship Id="rId6" Type="http://schemas.openxmlformats.org/officeDocument/2006/relationships/hyperlink" Target="https://neea.org/resources/northwest-heat-pump-water-heater-initiative-market-progress-evaluation-report-4" TargetMode="External"/><Relationship Id="rId11" Type="http://schemas.openxmlformats.org/officeDocument/2006/relationships/hyperlink" Target="http://ma-eeac.org/wordpress/wp-content/uploads/TXC_48_RNCAttribution_24AUG2018_Final.pdf" TargetMode="External"/><Relationship Id="rId5" Type="http://schemas.openxmlformats.org/officeDocument/2006/relationships/hyperlink" Target="https://neea.org/resources/northwest-heat-pump-water-heater-initiative-market-progress-evaluation-report-3" TargetMode="External"/><Relationship Id="rId10" Type="http://schemas.openxmlformats.org/officeDocument/2006/relationships/hyperlink" Target="https://en.wikipedia.org/wiki/Dependent_variable" TargetMode="External"/><Relationship Id="rId4" Type="http://schemas.openxmlformats.org/officeDocument/2006/relationships/hyperlink" Target="http://people.duke.edu/~mch55/resources/Harding_Goals.pdf" TargetMode="External"/><Relationship Id="rId9" Type="http://schemas.openxmlformats.org/officeDocument/2006/relationships/hyperlink" Target="https://en.wikipedia.org/wiki/Regression_analysi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AD57B319AB822E4A9207DC7F31971FB9" ma:contentTypeVersion="0" ma:contentTypeDescription="Create a new document." ma:contentTypeScope="" ma:versionID="b4c71465134a46c9dcc5c1e07287fe81">
  <xsd:schema xmlns:xsd="http://www.w3.org/2001/XMLSchema" xmlns:xs="http://www.w3.org/2001/XMLSchema" xmlns:p="http://schemas.microsoft.com/office/2006/metadata/properties" targetNamespace="http://schemas.microsoft.com/office/2006/metadata/properties" ma:root="true" ma:fieldsID="1b05d82d297216baf5b26c55225140df">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32F4AF7-47C7-4D2D-8C3F-605DA3212328}">
  <ds:schemaRefs>
    <ds:schemaRef ds:uri="http://schemas.microsoft.com/office/2006/metadata/properties"/>
  </ds:schemaRefs>
</ds:datastoreItem>
</file>

<file path=customXml/itemProps2.xml><?xml version="1.0" encoding="utf-8"?>
<ds:datastoreItem xmlns:ds="http://schemas.openxmlformats.org/officeDocument/2006/customXml" ds:itemID="{231F2867-C72E-4470-A5B7-ABD82BF503C9}">
  <ds:schemaRefs>
    <ds:schemaRef ds:uri="http://schemas.openxmlformats.org/officeDocument/2006/bibliography"/>
  </ds:schemaRefs>
</ds:datastoreItem>
</file>

<file path=customXml/itemProps3.xml><?xml version="1.0" encoding="utf-8"?>
<ds:datastoreItem xmlns:ds="http://schemas.openxmlformats.org/officeDocument/2006/customXml" ds:itemID="{C31F8E01-24BA-47CD-A47B-D377E24018D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4.xml><?xml version="1.0" encoding="utf-8"?>
<ds:datastoreItem xmlns:ds="http://schemas.openxmlformats.org/officeDocument/2006/customXml" ds:itemID="{2BD820CF-A5F7-4D40-99E5-3881395BE2F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170</Pages>
  <Words>71698</Words>
  <Characters>408685</Characters>
  <Application>Microsoft Office Word</Application>
  <DocSecurity>0</DocSecurity>
  <Lines>3405</Lines>
  <Paragraphs>958</Paragraphs>
  <ScaleCrop>false</ScaleCrop>
  <HeadingPairs>
    <vt:vector size="2" baseType="variant">
      <vt:variant>
        <vt:lpstr>Title</vt:lpstr>
      </vt:variant>
      <vt:variant>
        <vt:i4>1</vt:i4>
      </vt:variant>
    </vt:vector>
  </HeadingPairs>
  <TitlesOfParts>
    <vt:vector size="1" baseType="lpstr">
      <vt:lpstr/>
    </vt:vector>
  </TitlesOfParts>
  <Company>VEIC</Company>
  <LinksUpToDate>false</LinksUpToDate>
  <CharactersWithSpaces>479425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Stephanie Baer</dc:creator>
  <cp:keywords/>
  <dc:description/>
  <cp:lastModifiedBy>Celia Johnson</cp:lastModifiedBy>
  <cp:revision>2</cp:revision>
  <cp:lastPrinted>2020-09-24T18:16:00Z</cp:lastPrinted>
  <dcterms:created xsi:type="dcterms:W3CDTF">2022-09-23T14:21:00Z</dcterms:created>
  <dcterms:modified xsi:type="dcterms:W3CDTF">2022-09-23T14:21:00Z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0x010100AD57B319AB822E4A9207DC7F31971FB9</vt:lpwstr>
  </property>
  <property fmtid="{D5CDD505-2E9C-101B-9397-08002B2CF9AE}" pid="3" name="AuthorIds_UIVersion_512">
    <vt:lpwstr>4</vt:lpwstr>
  </property>
  <property fmtid="{D5CDD505-2E9C-101B-9397-08002B2CF9AE}" pid="4" name="Order">
    <vt:r8>65300</vt:r8>
  </property>
  <property fmtid="{D5CDD505-2E9C-101B-9397-08002B2CF9AE}" pid="5" name="ComplianceAssetId">
    <vt:lpwstr/>
  </property>
</Properties>
</file>