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Franklin Gothic Book" w:hAnsi="Franklin Gothic Book"/>
          <w:sz w:val="22"/>
        </w:rPr>
        <w:id w:val="2047950357"/>
        <w:docPartObj>
          <w:docPartGallery w:val="Cover Pages"/>
          <w:docPartUnique/>
        </w:docPartObj>
      </w:sdtPr>
      <w:sdtEndPr/>
      <w:sdtContent>
        <w:p w14:paraId="61FE7135" w14:textId="77777777" w:rsidR="001F322C" w:rsidRDefault="001F322C" w:rsidP="000E0419">
          <w:pPr>
            <w:pStyle w:val="TableTextLeftMedium"/>
          </w:pPr>
        </w:p>
        <w:p w14:paraId="7949F22A" w14:textId="77777777" w:rsidR="009F5AAD" w:rsidRDefault="009F5AAD" w:rsidP="001F322C"/>
        <w:p w14:paraId="24DC3563" w14:textId="77777777" w:rsidR="009F5AAD" w:rsidRDefault="009F5AAD" w:rsidP="001F322C"/>
        <w:p w14:paraId="2EF8E1D2" w14:textId="77777777" w:rsidR="009F5AAD" w:rsidRDefault="009F5AAD" w:rsidP="001F322C"/>
        <w:p w14:paraId="1CFBFA60" w14:textId="77777777" w:rsidR="009F5AAD" w:rsidRDefault="009F5AAD" w:rsidP="001F322C"/>
        <w:p w14:paraId="09C0FA7D" w14:textId="77777777" w:rsidR="0040139D" w:rsidRDefault="007E1A84" w:rsidP="0040139D">
          <w:r>
            <w:rPr>
              <w:noProof/>
            </w:rPr>
            <w:drawing>
              <wp:anchor distT="0" distB="0" distL="114300" distR="114300" simplePos="0" relativeHeight="251658240" behindDoc="1" locked="1" layoutInCell="1" allowOverlap="1" wp14:anchorId="0337421B" wp14:editId="79EFB516">
                <wp:simplePos x="0" y="0"/>
                <wp:positionH relativeFrom="margin">
                  <wp:align>center</wp:align>
                </wp:positionH>
                <wp:positionV relativeFrom="margin">
                  <wp:align>top</wp:align>
                </wp:positionV>
                <wp:extent cx="7753350" cy="1651000"/>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3350" cy="1651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4B563712" w14:textId="77777777" w:rsidR="0040139D" w:rsidRPr="0040139D" w:rsidRDefault="007E1A84" w:rsidP="0040139D">
      <w:pPr>
        <w:pStyle w:val="Heading4"/>
        <w:rPr>
          <w:sz w:val="48"/>
          <w:szCs w:val="48"/>
        </w:rPr>
      </w:pPr>
      <w:r w:rsidRPr="0040139D">
        <w:rPr>
          <w:sz w:val="48"/>
          <w:szCs w:val="48"/>
        </w:rPr>
        <w:t>Memorandum</w:t>
      </w:r>
    </w:p>
    <w:p w14:paraId="458B8714" w14:textId="025B7ADB" w:rsidR="0040139D" w:rsidRPr="00900F0B" w:rsidRDefault="007E1A84" w:rsidP="0040139D">
      <w:pPr>
        <w:spacing w:before="120" w:after="100"/>
        <w:rPr>
          <w:lang w:val="en-ZA"/>
        </w:rPr>
      </w:pPr>
      <w:r w:rsidRPr="00456518">
        <w:rPr>
          <w:b/>
          <w:bCs/>
          <w:lang w:val="en-ZA"/>
        </w:rPr>
        <w:t>To:</w:t>
      </w:r>
      <w:r w:rsidRPr="00900F0B">
        <w:rPr>
          <w:lang w:val="en-ZA"/>
        </w:rPr>
        <w:tab/>
      </w:r>
      <w:r w:rsidR="00400758">
        <w:rPr>
          <w:lang w:val="en-ZA"/>
        </w:rPr>
        <w:t>Illinois SAG</w:t>
      </w:r>
    </w:p>
    <w:p w14:paraId="14C9E66E" w14:textId="6BFD9411" w:rsidR="0040139D" w:rsidRPr="00900F0B" w:rsidRDefault="007E1A84" w:rsidP="0040139D">
      <w:pPr>
        <w:spacing w:after="100"/>
        <w:rPr>
          <w:lang w:val="en-ZA"/>
        </w:rPr>
      </w:pPr>
      <w:r w:rsidRPr="00456518">
        <w:rPr>
          <w:b/>
          <w:bCs/>
          <w:lang w:val="en-ZA"/>
        </w:rPr>
        <w:t>From:</w:t>
      </w:r>
      <w:r w:rsidRPr="00900F0B">
        <w:rPr>
          <w:lang w:val="en-ZA"/>
        </w:rPr>
        <w:tab/>
      </w:r>
      <w:r w:rsidR="00400758">
        <w:rPr>
          <w:lang w:val="en-ZA"/>
        </w:rPr>
        <w:t>The Opinion Dynamics Evaluation Team</w:t>
      </w:r>
    </w:p>
    <w:p w14:paraId="2099CD79" w14:textId="6C86B9AF" w:rsidR="0040139D" w:rsidRPr="00900F0B" w:rsidRDefault="007E1A84" w:rsidP="0040139D">
      <w:pPr>
        <w:spacing w:after="100"/>
        <w:rPr>
          <w:lang w:val="en-ZA"/>
        </w:rPr>
      </w:pPr>
      <w:r w:rsidRPr="00456518">
        <w:rPr>
          <w:b/>
          <w:bCs/>
          <w:lang w:val="en-ZA"/>
        </w:rPr>
        <w:t>Date:</w:t>
      </w:r>
      <w:r w:rsidRPr="00900F0B">
        <w:rPr>
          <w:lang w:val="en-ZA"/>
        </w:rPr>
        <w:tab/>
      </w:r>
      <w:r w:rsidR="00BC1D79">
        <w:rPr>
          <w:lang w:val="en-ZA"/>
        </w:rPr>
        <w:t xml:space="preserve">April </w:t>
      </w:r>
      <w:r w:rsidR="002A7563">
        <w:rPr>
          <w:lang w:val="en-ZA"/>
        </w:rPr>
        <w:t>2</w:t>
      </w:r>
      <w:r w:rsidR="00CC48ED">
        <w:rPr>
          <w:lang w:val="en-ZA"/>
        </w:rPr>
        <w:t xml:space="preserve">9, </w:t>
      </w:r>
      <w:r w:rsidR="00F606CA">
        <w:rPr>
          <w:lang w:val="en-ZA"/>
        </w:rPr>
        <w:t>2025</w:t>
      </w:r>
    </w:p>
    <w:p w14:paraId="476C67AF" w14:textId="0F1EE92E" w:rsidR="0040139D" w:rsidRPr="00900F0B" w:rsidRDefault="007E1A84" w:rsidP="0040139D">
      <w:pPr>
        <w:spacing w:after="100"/>
        <w:rPr>
          <w:lang w:val="en-ZA"/>
        </w:rPr>
      </w:pPr>
      <w:r w:rsidRPr="00456518">
        <w:rPr>
          <w:b/>
          <w:bCs/>
          <w:lang w:val="en-ZA"/>
        </w:rPr>
        <w:t>Re:</w:t>
      </w:r>
      <w:r w:rsidRPr="00900F0B">
        <w:rPr>
          <w:lang w:val="en-ZA"/>
        </w:rPr>
        <w:tab/>
      </w:r>
      <w:r w:rsidR="00400758">
        <w:rPr>
          <w:lang w:val="en-ZA"/>
        </w:rPr>
        <w:t xml:space="preserve">Deviation from IL-TRM Midstream Free-Ridership Protocol for </w:t>
      </w:r>
      <w:r w:rsidR="00F606CA">
        <w:rPr>
          <w:lang w:val="en-ZA"/>
        </w:rPr>
        <w:t>202</w:t>
      </w:r>
      <w:r w:rsidR="00BC1D79">
        <w:rPr>
          <w:lang w:val="en-ZA"/>
        </w:rPr>
        <w:t>5</w:t>
      </w:r>
      <w:r w:rsidR="00F606CA">
        <w:rPr>
          <w:lang w:val="en-ZA"/>
        </w:rPr>
        <w:t xml:space="preserve"> </w:t>
      </w:r>
      <w:r w:rsidR="00400758">
        <w:rPr>
          <w:lang w:val="en-ZA"/>
        </w:rPr>
        <w:t>Research</w:t>
      </w:r>
    </w:p>
    <w:p w14:paraId="24D27E6A" w14:textId="77777777" w:rsidR="0040139D" w:rsidRDefault="0040139D" w:rsidP="0040139D">
      <w:pPr>
        <w:sectPr w:rsidR="0040139D" w:rsidSect="008F7F95">
          <w:headerReference w:type="default" r:id="rId12"/>
          <w:footerReference w:type="default" r:id="rId13"/>
          <w:type w:val="continuous"/>
          <w:pgSz w:w="12240" w:h="15840" w:code="1"/>
          <w:pgMar w:top="39" w:right="567" w:bottom="567" w:left="567" w:header="142" w:footer="340" w:gutter="0"/>
          <w:cols w:space="708"/>
          <w:titlePg/>
          <w:docGrid w:linePitch="360"/>
        </w:sectPr>
      </w:pPr>
    </w:p>
    <w:p w14:paraId="3A487A2E" w14:textId="77777777" w:rsidR="0040139D" w:rsidRDefault="007E1A84" w:rsidP="0040139D">
      <w:r>
        <w:rPr>
          <w:noProof/>
        </w:rPr>
        <mc:AlternateContent>
          <mc:Choice Requires="wps">
            <w:drawing>
              <wp:anchor distT="0" distB="0" distL="114300" distR="114300" simplePos="0" relativeHeight="251659264" behindDoc="0" locked="0" layoutInCell="1" allowOverlap="1" wp14:anchorId="7C02FE6F" wp14:editId="19E7D965">
                <wp:simplePos x="0" y="0"/>
                <wp:positionH relativeFrom="column">
                  <wp:posOffset>10069</wp:posOffset>
                </wp:positionH>
                <wp:positionV relativeFrom="paragraph">
                  <wp:posOffset>125549</wp:posOffset>
                </wp:positionV>
                <wp:extent cx="7075715" cy="0"/>
                <wp:effectExtent l="0" t="0" r="0" b="0"/>
                <wp:wrapNone/>
                <wp:docPr id="2143302414" name="Straight Connector 1"/>
                <wp:cNvGraphicFramePr/>
                <a:graphic xmlns:a="http://schemas.openxmlformats.org/drawingml/2006/main">
                  <a:graphicData uri="http://schemas.microsoft.com/office/word/2010/wordprocessingShape">
                    <wps:wsp>
                      <wps:cNvCnPr/>
                      <wps:spPr>
                        <a:xfrm>
                          <a:off x="0" y="0"/>
                          <a:ext cx="7075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3C3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9pt" to="557.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OJmwEAAJQDAAAOAAAAZHJzL2Uyb0RvYy54bWysU8tu2zAQvBfIPxC8x5ICpA4Eyz4kSC5B&#10;GjTpBzDU0iLAF5aMJf99l7QtB2mBokUvFB87szuzq9VmsobtAKP2ruPNouYMnPS9dtuO/3i9v7zh&#10;LCbhemG8g47vIfLN+uLLagwtXPnBmx6QEYmL7Rg6PqQU2qqKcgAr4sIHcPSoPFqR6IjbqkcxErs1&#10;1VVdf61Gj31ALyFGur07PPJ14VcKZPqmVITETMeptlRWLOtbXqv1SrRbFGHQ8liG+IcqrNCOks5U&#10;dyIJ9o76FyqrJfroVVpIbyuvlJZQNJCapv6k5mUQAYoWMieG2ab4/2jl0+7WPSPZMIbYxvCMWcWk&#10;0OYv1cemYtZ+NgumxCRdLuvl9bK55kye3qozMGBMD+Aty5uOG+2yDtGK3WNMlIxCTyF0OKcuu7Q3&#10;kION+w6K6Z6SNQVdpgJuDbKdoH4KKcGlJveQ+Ep0hiltzAys/ww8xmcolIn5G/CMKJm9SzPYaufx&#10;d9nTdCpZHeJPDhx0ZwvefL8vTSnWUOuLwuOY5tn6eC7w88+0/gkAAP//AwBQSwMEFAAGAAgAAAAh&#10;AIa40AzcAAAACAEAAA8AAABkcnMvZG93bnJldi54bWxMT01rwkAQvRf6H5Yp9FY3ESo1ZiMilFqh&#10;iLagxzU7TdJmZ8PuauK/70gP7Wl48x7vI58PthVn9KFxpCAdJSCQSmcaqhR8vD8/PIEIUZPRrSNU&#10;cMEA8+L2JteZcT1t8byLlWATCplWUMfYZVKGskarw8h1SMx9Om91ZOgrabzu2dy2cpwkE2l1Q5xQ&#10;6w6XNZbfu5NV8OZXq+ViffmizcH2+/F6v3kdXpS6vxsWMxARh/gnhmt9rg4Fdzq6E5kgWsYTFvKZ&#10;8oArnaaPUxDH348scvl/QPEDAAD//wMAUEsBAi0AFAAGAAgAAAAhALaDOJL+AAAA4QEAABMAAAAA&#10;AAAAAAAAAAAAAAAAAFtDb250ZW50X1R5cGVzXS54bWxQSwECLQAUAAYACAAAACEAOP0h/9YAAACU&#10;AQAACwAAAAAAAAAAAAAAAAAvAQAAX3JlbHMvLnJlbHNQSwECLQAUAAYACAAAACEAAS4TiZsBAACU&#10;AwAADgAAAAAAAAAAAAAAAAAuAgAAZHJzL2Uyb0RvYy54bWxQSwECLQAUAAYACAAAACEAhrjQDNwA&#10;AAAIAQAADwAAAAAAAAAAAAAAAAD1AwAAZHJzL2Rvd25yZXYueG1sUEsFBgAAAAAEAAQA8wAAAP4E&#10;AAAAAA==&#10;" strokecolor="#172b54 [3204]" strokeweight=".5pt">
                <v:stroke joinstyle="miter"/>
              </v:line>
            </w:pict>
          </mc:Fallback>
        </mc:AlternateContent>
      </w:r>
    </w:p>
    <w:p w14:paraId="70298098" w14:textId="071E623B" w:rsidR="00556D7B" w:rsidRDefault="00400758" w:rsidP="00041AA5">
      <w:r>
        <w:t xml:space="preserve">This memo outlines a proposed deviation from the Illinois </w:t>
      </w:r>
      <w:r w:rsidR="00565A3E">
        <w:t>Technical Reference Manual (IL-TRM)</w:t>
      </w:r>
      <w:r>
        <w:t xml:space="preserve"> Midstream Free-Ridership Protoco</w:t>
      </w:r>
      <w:r w:rsidR="00565A3E">
        <w:t>l (“Midstream Protocol”)</w:t>
      </w:r>
      <w:r>
        <w:t xml:space="preserve"> to be used by Opinion Dynamics for 202</w:t>
      </w:r>
      <w:r w:rsidR="00BC1D79">
        <w:t>5</w:t>
      </w:r>
      <w:r>
        <w:t xml:space="preserve"> evaluation research.</w:t>
      </w:r>
    </w:p>
    <w:p w14:paraId="3BF33D85" w14:textId="7ECF310F" w:rsidR="00400758" w:rsidRDefault="00400758" w:rsidP="00135D62">
      <w:r>
        <w:t xml:space="preserve">This deviation will apply to </w:t>
      </w:r>
      <w:r w:rsidR="00BC1D79">
        <w:t>the Statewide Midstream Commercial Food Service Program</w:t>
      </w:r>
      <w:r>
        <w:t xml:space="preserve"> free-ridership research effort currently underway</w:t>
      </w:r>
      <w:r w:rsidR="00BC1D79">
        <w:t>, specifically, our i</w:t>
      </w:r>
      <w:r>
        <w:t>nterviews with participating distributors</w:t>
      </w:r>
      <w:r w:rsidR="00BC1D79">
        <w:t>.</w:t>
      </w:r>
      <w:r>
        <w:t xml:space="preserve"> </w:t>
      </w:r>
    </w:p>
    <w:p w14:paraId="7F52A8C6" w14:textId="571B79A5" w:rsidR="00400758" w:rsidRDefault="00400758" w:rsidP="00A62569">
      <w:r>
        <w:t xml:space="preserve">These deviations are to </w:t>
      </w:r>
      <w:r w:rsidR="00565A3E">
        <w:t xml:space="preserve">ensure that research conducted in </w:t>
      </w:r>
      <w:r w:rsidR="00F606CA">
        <w:t>spring 2025</w:t>
      </w:r>
      <w:r w:rsidR="00565A3E">
        <w:t xml:space="preserve"> is sound</w:t>
      </w:r>
      <w:r w:rsidR="00A62569">
        <w:t xml:space="preserve"> and measures the correct concepts.</w:t>
      </w:r>
    </w:p>
    <w:p w14:paraId="1003DE8A" w14:textId="7AFC992E" w:rsidR="00565A3E" w:rsidRDefault="00565A3E" w:rsidP="00565A3E">
      <w:pPr>
        <w:pStyle w:val="Heading4"/>
      </w:pPr>
      <w:r>
        <w:t>Background</w:t>
      </w:r>
    </w:p>
    <w:p w14:paraId="160A001B" w14:textId="5863A0DF" w:rsidR="00565A3E" w:rsidRDefault="00F229FC" w:rsidP="00565A3E">
      <w:r>
        <w:t>Over the past few</w:t>
      </w:r>
      <w:r w:rsidR="00565A3E">
        <w:t xml:space="preserve"> years, the Illinois Net-to-Gross Working Group (NTG WG) has </w:t>
      </w:r>
      <w:r w:rsidR="0063678D">
        <w:t>dedicated</w:t>
      </w:r>
      <w:r w:rsidR="00565A3E">
        <w:t xml:space="preserve"> significant time </w:t>
      </w:r>
      <w:r w:rsidR="0063678D">
        <w:t>to</w:t>
      </w:r>
      <w:r w:rsidR="00565A3E">
        <w:t xml:space="preserve"> </w:t>
      </w:r>
      <w:r w:rsidR="00CC1DB2">
        <w:t>updating</w:t>
      </w:r>
      <w:r w:rsidR="00565A3E">
        <w:t xml:space="preserve"> the Core Non-Residential Free-Ridership Protocol. As of April 2023, the Illinois independent evaluators (Opinion Dynamics and Guidehouse) reached consensus on </w:t>
      </w:r>
      <w:r w:rsidR="00217A73">
        <w:t>substantial</w:t>
      </w:r>
      <w:r w:rsidR="00565A3E">
        <w:t xml:space="preserve"> </w:t>
      </w:r>
      <w:r w:rsidR="00372CD9">
        <w:t>revisions</w:t>
      </w:r>
      <w:r w:rsidR="00C55B8E">
        <w:t xml:space="preserve"> </w:t>
      </w:r>
      <w:r w:rsidR="00565A3E">
        <w:t xml:space="preserve">to this protocol and </w:t>
      </w:r>
      <w:r w:rsidR="00BC1D79">
        <w:t>incorporated them into the IL-TRM V12.0 Attachment A (the Illinois Statewide Net-to-Gross Methodologies)</w:t>
      </w:r>
      <w:r>
        <w:t>, finalized on September 22, 2023</w:t>
      </w:r>
      <w:r w:rsidR="00565A3E">
        <w:t>.</w:t>
      </w:r>
      <w:r w:rsidR="00135D62">
        <w:t xml:space="preserve"> Those revisions are also present in V13.0 of the IL-TRM, finalized on September 20, 2024, and currently in effect.</w:t>
      </w:r>
    </w:p>
    <w:p w14:paraId="7C53CF61" w14:textId="1E67E080" w:rsidR="00565A3E" w:rsidRDefault="00565A3E" w:rsidP="00565A3E">
      <w:r>
        <w:t xml:space="preserve">Multiple other Attachment A protocols are based on the Core Non-Residential Free-Ridership Protocol, including the Midstream Protocol. </w:t>
      </w:r>
      <w:r w:rsidR="00EB0E43">
        <w:t>While</w:t>
      </w:r>
      <w:r w:rsidR="00D73A81">
        <w:t xml:space="preserve"> making</w:t>
      </w:r>
      <w:r>
        <w:t xml:space="preserve"> updates to Attachment A, the independent evaluators </w:t>
      </w:r>
      <w:r w:rsidR="002C68FA">
        <w:t>also revised</w:t>
      </w:r>
      <w:r>
        <w:t xml:space="preserve"> these protocols to align with the new Core Non-Residential Free-Ridership Protocol. </w:t>
      </w:r>
      <w:r w:rsidR="00045D3A">
        <w:t>While</w:t>
      </w:r>
      <w:r w:rsidR="00915CD1">
        <w:t xml:space="preserve"> </w:t>
      </w:r>
      <w:r w:rsidR="00045D3A">
        <w:t>developing data collection instruments for 202</w:t>
      </w:r>
      <w:r w:rsidR="00445FA3">
        <w:t>3</w:t>
      </w:r>
      <w:r w:rsidR="00045D3A">
        <w:t xml:space="preserve"> evaluation research</w:t>
      </w:r>
      <w:r w:rsidR="00445FA3">
        <w:rPr>
          <w:rStyle w:val="FootnoteReference"/>
        </w:rPr>
        <w:footnoteReference w:id="2"/>
      </w:r>
      <w:r>
        <w:t xml:space="preserve">, Opinion Dynamics </w:t>
      </w:r>
      <w:r w:rsidR="002D5CDD">
        <w:t>concluded</w:t>
      </w:r>
      <w:r>
        <w:t xml:space="preserve"> that the updated Midstream Protocol does not measure the appropriate concepts and needs to be modified to ensure high-quality evaluation research. </w:t>
      </w:r>
      <w:r w:rsidR="00445FA3">
        <w:t xml:space="preserve">Opinion Dynamics </w:t>
      </w:r>
      <w:r w:rsidR="00135D62">
        <w:t xml:space="preserve">then </w:t>
      </w:r>
      <w:r w:rsidR="00445FA3">
        <w:t>incorporated a set of modifications into these data collection instruments (shared with the SAG via a deviation memo</w:t>
      </w:r>
      <w:r w:rsidR="00445FA3">
        <w:rPr>
          <w:rStyle w:val="FootnoteReference"/>
        </w:rPr>
        <w:footnoteReference w:id="3"/>
      </w:r>
      <w:r w:rsidR="0006057A">
        <w:t xml:space="preserve">). The NTG WG </w:t>
      </w:r>
      <w:r w:rsidR="0006057A" w:rsidRPr="0006057A">
        <w:t xml:space="preserve">has been working on updating the </w:t>
      </w:r>
      <w:r w:rsidR="0006057A">
        <w:t>M</w:t>
      </w:r>
      <w:r w:rsidR="0006057A" w:rsidRPr="0006057A">
        <w:t xml:space="preserve">idstream </w:t>
      </w:r>
      <w:r w:rsidR="0006057A">
        <w:t>P</w:t>
      </w:r>
      <w:r w:rsidR="0006057A" w:rsidRPr="0006057A">
        <w:t xml:space="preserve">rotocol to resolve </w:t>
      </w:r>
      <w:r w:rsidR="0006057A">
        <w:t>the</w:t>
      </w:r>
      <w:r w:rsidR="0006057A" w:rsidRPr="0006057A">
        <w:t xml:space="preserve"> concerns </w:t>
      </w:r>
      <w:r w:rsidR="0006057A">
        <w:t>raised by Opinion Dynamics in</w:t>
      </w:r>
      <w:r w:rsidR="0006057A" w:rsidRPr="0006057A">
        <w:t xml:space="preserve"> </w:t>
      </w:r>
      <w:proofErr w:type="gramStart"/>
      <w:r w:rsidR="0006057A" w:rsidRPr="0006057A">
        <w:t>2023</w:t>
      </w:r>
      <w:r w:rsidR="0006057A">
        <w:t>,</w:t>
      </w:r>
      <w:r w:rsidR="0006057A" w:rsidRPr="0006057A">
        <w:t xml:space="preserve"> but</w:t>
      </w:r>
      <w:proofErr w:type="gramEnd"/>
      <w:r w:rsidR="0006057A" w:rsidRPr="0006057A">
        <w:t xml:space="preserve"> has not yet reached consensus</w:t>
      </w:r>
      <w:r w:rsidR="0006057A">
        <w:t>. Therefore, Opinion Dynamics intends to apply the same set of modifications previously mentioned in the 2025 evaluation research.</w:t>
      </w:r>
    </w:p>
    <w:p w14:paraId="75A13D1D" w14:textId="6E7A8565" w:rsidR="00565A3E" w:rsidRDefault="00565A3E" w:rsidP="00565A3E">
      <w:pPr>
        <w:pStyle w:val="Heading4"/>
      </w:pPr>
      <w:r>
        <w:t>Concerns</w:t>
      </w:r>
    </w:p>
    <w:p w14:paraId="0B7B7089" w14:textId="77759B57" w:rsidR="00565A3E" w:rsidRDefault="00A62569" w:rsidP="00565A3E">
      <w:r>
        <w:t>Our concerns with the Midstream Protocol</w:t>
      </w:r>
      <w:r w:rsidR="00F229FC">
        <w:t>,</w:t>
      </w:r>
      <w:r>
        <w:t xml:space="preserve"> as outlined in the </w:t>
      </w:r>
      <w:r w:rsidR="00F229FC">
        <w:t xml:space="preserve">September 22, </w:t>
      </w:r>
      <w:proofErr w:type="gramStart"/>
      <w:r w:rsidR="00F229FC">
        <w:t>2023</w:t>
      </w:r>
      <w:proofErr w:type="gramEnd"/>
      <w:r>
        <w:t xml:space="preserve"> version of Attachment A</w:t>
      </w:r>
      <w:r w:rsidR="00F229FC">
        <w:t xml:space="preserve">, </w:t>
      </w:r>
      <w:r>
        <w:t>are twofold:</w:t>
      </w:r>
    </w:p>
    <w:p w14:paraId="3E43CB6D" w14:textId="6114B8CD" w:rsidR="00A62569" w:rsidRDefault="00A62569" w:rsidP="007E1A84">
      <w:pPr>
        <w:pStyle w:val="ListParagraph"/>
        <w:numPr>
          <w:ilvl w:val="0"/>
          <w:numId w:val="17"/>
        </w:numPr>
      </w:pPr>
      <w:r>
        <w:lastRenderedPageBreak/>
        <w:t xml:space="preserve">Language in the Protocol focuses partially (but not comprehensively) on “sales strategies” </w:t>
      </w:r>
      <w:r w:rsidR="00C250D2">
        <w:t>a</w:t>
      </w:r>
      <w:r w:rsidR="00EF011A">
        <w:t>nd</w:t>
      </w:r>
      <w:r w:rsidR="00C250D2">
        <w:t xml:space="preserve"> </w:t>
      </w:r>
      <w:r>
        <w:t>does not appropriately tie sales strategies to sales volume, leading to FR estimates that may be misaligned with program outcomes</w:t>
      </w:r>
      <w:r w:rsidR="00B8261F">
        <w:t>.</w:t>
      </w:r>
    </w:p>
    <w:p w14:paraId="28BC4E8F" w14:textId="1A6D11DC" w:rsidR="00A62569" w:rsidRDefault="00A62569" w:rsidP="007E1A84">
      <w:pPr>
        <w:pStyle w:val="ListParagraph"/>
        <w:numPr>
          <w:ilvl w:val="0"/>
          <w:numId w:val="17"/>
        </w:numPr>
      </w:pPr>
      <w:r>
        <w:t xml:space="preserve">The Protocol’s Counterfactual Free-Ridership Score does not appropriately handle partial </w:t>
      </w:r>
      <w:r w:rsidR="00EE071B">
        <w:t>effects of program interventions</w:t>
      </w:r>
      <w:r w:rsidR="00B8261F">
        <w:t>.</w:t>
      </w:r>
      <w:r w:rsidR="00EE071B">
        <w:t xml:space="preserve"> </w:t>
      </w:r>
    </w:p>
    <w:p w14:paraId="25C8CC08" w14:textId="75526A7F" w:rsidR="00A62569" w:rsidRDefault="00A62569" w:rsidP="007E1A84">
      <w:pPr>
        <w:pStyle w:val="ListParagraph"/>
        <w:numPr>
          <w:ilvl w:val="1"/>
          <w:numId w:val="17"/>
        </w:numPr>
      </w:pPr>
      <w:r>
        <w:t xml:space="preserve">For example, using the Protocol’s existing constructs, any distributor who indicated that they would have used some, but not all, </w:t>
      </w:r>
      <w:r w:rsidR="0003118E">
        <w:t xml:space="preserve">of </w:t>
      </w:r>
      <w:r>
        <w:t>the same sales strategies in the absence of the program would be considered a full non-free-rider – even if the program caused only minor components of the distributor’s sales strategies to change</w:t>
      </w:r>
      <w:r w:rsidR="00B8261F">
        <w:t>.</w:t>
      </w:r>
    </w:p>
    <w:p w14:paraId="6FFEE8A4" w14:textId="26D1D862" w:rsidR="00A62569" w:rsidRDefault="00A62569" w:rsidP="007E1A84">
      <w:pPr>
        <w:pStyle w:val="ListParagraph"/>
        <w:numPr>
          <w:ilvl w:val="1"/>
          <w:numId w:val="17"/>
        </w:numPr>
      </w:pPr>
      <w:r>
        <w:t>Similarly, if the Protocol was refocused on changes in sales volume, rather than changes in sales strategies (as we later propose), distributor indication that the program caused any change in their sales of efficient equipment would lead to</w:t>
      </w:r>
      <w:r w:rsidR="00F229FC">
        <w:t xml:space="preserve"> the</w:t>
      </w:r>
      <w:r>
        <w:t xml:space="preserve"> treatment of a distributor as a full non-free-rider, even if the program caused only a small change in their total sales volume</w:t>
      </w:r>
      <w:r w:rsidR="00B8261F">
        <w:t>.</w:t>
      </w:r>
    </w:p>
    <w:p w14:paraId="3E4B11AF" w14:textId="1690C1A4" w:rsidR="00A62569" w:rsidRDefault="00A62569" w:rsidP="00A62569">
      <w:pPr>
        <w:pStyle w:val="Heading4"/>
      </w:pPr>
      <w:r>
        <w:t>Resolution</w:t>
      </w:r>
    </w:p>
    <w:p w14:paraId="15EC1764" w14:textId="142452D8" w:rsidR="00A62569" w:rsidRDefault="00A62569" w:rsidP="00A62569">
      <w:r>
        <w:t xml:space="preserve">Our proposed deviation </w:t>
      </w:r>
      <w:r w:rsidR="004F389B">
        <w:t>involves</w:t>
      </w:r>
      <w:r>
        <w:t xml:space="preserve"> two revisions to the </w:t>
      </w:r>
      <w:r w:rsidR="007E1A84">
        <w:t xml:space="preserve">questions used in the </w:t>
      </w:r>
      <w:r>
        <w:t>Midstream Protocol</w:t>
      </w:r>
      <w:r w:rsidR="007E1A84">
        <w:t xml:space="preserve"> to develop the Program Influence and Counterfactual FR Scores, while combining the scores in the same manner as currently prescribed.</w:t>
      </w:r>
    </w:p>
    <w:p w14:paraId="2D529728" w14:textId="1B7CE284" w:rsidR="00A62569" w:rsidRDefault="007E1A84" w:rsidP="007E1A84">
      <w:pPr>
        <w:pStyle w:val="ListParagraph"/>
        <w:numPr>
          <w:ilvl w:val="0"/>
          <w:numId w:val="18"/>
        </w:numPr>
      </w:pPr>
      <w:r>
        <w:t xml:space="preserve">To address our first concern, </w:t>
      </w:r>
      <w:r w:rsidR="00A62569">
        <w:t xml:space="preserve">while </w:t>
      </w:r>
      <w:r w:rsidR="00BD7AB1">
        <w:t xml:space="preserve">reminding </w:t>
      </w:r>
      <w:r w:rsidR="00A62569">
        <w:t xml:space="preserve">the respondent </w:t>
      </w:r>
      <w:r w:rsidR="00BD7AB1">
        <w:t xml:space="preserve">of </w:t>
      </w:r>
      <w:r w:rsidR="00A62569">
        <w:t xml:space="preserve">the sales strategies the program may have affected, we will reframe the Program Influence and Counterfactual questions to focus on </w:t>
      </w:r>
      <w:r w:rsidR="00864075">
        <w:t>pr</w:t>
      </w:r>
      <w:r w:rsidR="00202EE1">
        <w:t>ogr</w:t>
      </w:r>
      <w:r w:rsidR="00864075">
        <w:t>am-incent</w:t>
      </w:r>
      <w:r w:rsidR="00905493">
        <w:t>iviz</w:t>
      </w:r>
      <w:r w:rsidR="00864075">
        <w:t>ed</w:t>
      </w:r>
      <w:r w:rsidR="00905493">
        <w:t xml:space="preserve"> </w:t>
      </w:r>
      <w:r w:rsidR="00A62569">
        <w:t xml:space="preserve">sales volume rather than sales strategies. For example, the </w:t>
      </w:r>
      <w:r>
        <w:t>primary Program Influence question will read:</w:t>
      </w:r>
    </w:p>
    <w:p w14:paraId="14ECC8C2" w14:textId="6B3CD677" w:rsidR="007E1A84" w:rsidRPr="007E1A84" w:rsidRDefault="007E1A84" w:rsidP="007E1A84">
      <w:pPr>
        <w:keepNext/>
        <w:keepLines/>
        <w:ind w:left="720" w:right="36"/>
        <w:jc w:val="both"/>
        <w:rPr>
          <w:rStyle w:val="Emphasis"/>
          <w:lang w:val="en-ZA"/>
        </w:rPr>
      </w:pPr>
      <w:r w:rsidRPr="007E1A84">
        <w:rPr>
          <w:rStyle w:val="Emphasis"/>
          <w:lang w:val="en-ZA"/>
        </w:rPr>
        <w:t>Thinking about your sales over the past year, on a scale of 0 to 10, where 0 means “Not at all influential” and 10 means “Extremely influential”, how influential were the program elements I listed</w:t>
      </w:r>
      <w:r w:rsidRPr="007E1A84">
        <w:rPr>
          <w:rStyle w:val="Emphasis"/>
        </w:rPr>
        <w:t xml:space="preserve"> </w:t>
      </w:r>
      <w:r w:rsidRPr="007E1A84">
        <w:rPr>
          <w:rStyle w:val="Emphasis"/>
          <w:lang w:val="en-ZA"/>
        </w:rPr>
        <w:t xml:space="preserve">on your sales of program-incentivized </w:t>
      </w:r>
      <w:r w:rsidRPr="007E1A84">
        <w:rPr>
          <w:rStyle w:val="Emphasis"/>
        </w:rPr>
        <w:t>equipment</w:t>
      </w:r>
      <w:r w:rsidRPr="007E1A84">
        <w:rPr>
          <w:rStyle w:val="Emphasis"/>
          <w:lang w:val="en-ZA"/>
        </w:rPr>
        <w:t>?</w:t>
      </w:r>
    </w:p>
    <w:p w14:paraId="2B3FCC14" w14:textId="69343452" w:rsidR="007E1A84" w:rsidRDefault="007E1A84" w:rsidP="007E1A84">
      <w:pPr>
        <w:pStyle w:val="ListParagraph"/>
        <w:numPr>
          <w:ilvl w:val="0"/>
          <w:numId w:val="18"/>
        </w:numPr>
      </w:pPr>
      <w:r>
        <w:t xml:space="preserve">To address our second concern, we will reframe the Counterfactual follow-up question to ask </w:t>
      </w:r>
      <w:r w:rsidR="00EE7CD5">
        <w:t xml:space="preserve">respondents </w:t>
      </w:r>
      <w:r>
        <w:t xml:space="preserve">to estimate what </w:t>
      </w:r>
      <w:r w:rsidRPr="007E1A84">
        <w:rPr>
          <w:i/>
          <w:iCs/>
        </w:rPr>
        <w:t>percentage</w:t>
      </w:r>
      <w:r>
        <w:t xml:space="preserve"> of their program-incentivized sales they would have expected to make. For example, the primary Counterfactual question will read:</w:t>
      </w:r>
    </w:p>
    <w:p w14:paraId="3433D56B" w14:textId="1324DD89" w:rsidR="007E1A84" w:rsidRPr="007E1A84" w:rsidRDefault="007E1A84" w:rsidP="007E1A84">
      <w:pPr>
        <w:keepNext/>
        <w:keepLines/>
        <w:ind w:left="720" w:right="126"/>
        <w:jc w:val="both"/>
        <w:rPr>
          <w:rStyle w:val="Emphasis"/>
          <w:lang w:val="en-ZA"/>
        </w:rPr>
      </w:pPr>
      <w:r w:rsidRPr="007E1A84">
        <w:rPr>
          <w:rStyle w:val="Emphasis"/>
        </w:rPr>
        <w:t xml:space="preserve">Still thinking about your sales over the past year, if </w:t>
      </w:r>
      <w:r w:rsidR="00F229FC">
        <w:rPr>
          <w:rStyle w:val="Emphasis"/>
        </w:rPr>
        <w:t xml:space="preserve">the Commercial Food Service </w:t>
      </w:r>
      <w:r w:rsidR="00940EC5">
        <w:rPr>
          <w:rStyle w:val="Emphasis"/>
        </w:rPr>
        <w:t>Program</w:t>
      </w:r>
      <w:r w:rsidRPr="007E1A84">
        <w:rPr>
          <w:rStyle w:val="Emphasis"/>
        </w:rPr>
        <w:t xml:space="preserve"> had not been available, what percentage of those program-</w:t>
      </w:r>
      <w:proofErr w:type="gramStart"/>
      <w:r w:rsidRPr="007E1A84">
        <w:rPr>
          <w:rStyle w:val="Emphasis"/>
        </w:rPr>
        <w:t>incentivized &lt;EQUIPMENT&gt;</w:t>
      </w:r>
      <w:proofErr w:type="gramEnd"/>
      <w:r w:rsidRPr="007E1A84">
        <w:rPr>
          <w:rStyle w:val="Emphasis"/>
        </w:rPr>
        <w:t xml:space="preserve"> sales would you still have expected to make? [NUMERIC OPEN END 0%-100%]</w:t>
      </w:r>
    </w:p>
    <w:p w14:paraId="4137B0B2" w14:textId="2B99F8F4" w:rsidR="00304B97" w:rsidRDefault="007E1A84" w:rsidP="00565A3E">
      <w:r>
        <w:t>Opinion Dynamics will report the results of this research to the Illinois NTG WG for the IL-TRM V1</w:t>
      </w:r>
      <w:r w:rsidR="00F229FC">
        <w:t>4</w:t>
      </w:r>
      <w:r>
        <w:t xml:space="preserve">.0 update process with the goal of reaching </w:t>
      </w:r>
      <w:r w:rsidR="005623EE">
        <w:t xml:space="preserve">a </w:t>
      </w:r>
      <w:r>
        <w:t>consensus on a set of changes to the Protocol to address both concerns.</w:t>
      </w:r>
    </w:p>
    <w:p w14:paraId="0E357E87" w14:textId="13AD5795" w:rsidR="00304B97" w:rsidRDefault="00304B97" w:rsidP="00304B97">
      <w:pPr>
        <w:pStyle w:val="Heading4"/>
        <w:pageBreakBefore/>
      </w:pPr>
      <w:r>
        <w:lastRenderedPageBreak/>
        <w:t>Appendix</w:t>
      </w:r>
    </w:p>
    <w:p w14:paraId="122DC99B" w14:textId="70FBC7CF" w:rsidR="00304B97" w:rsidRDefault="00304B97" w:rsidP="00304B97">
      <w:pPr>
        <w:rPr>
          <w:rFonts w:eastAsia="Franklin Gothic Book"/>
        </w:rPr>
      </w:pPr>
      <w:r>
        <w:rPr>
          <w:rFonts w:eastAsia="Franklin Gothic Book"/>
        </w:rPr>
        <w:t xml:space="preserve">Below, we reproduce the Midstream Free-Ridership Protocol </w:t>
      </w:r>
      <w:r w:rsidR="002E777A">
        <w:rPr>
          <w:rFonts w:eastAsia="Franklin Gothic Book"/>
        </w:rPr>
        <w:t>from the IL-TRM V1</w:t>
      </w:r>
      <w:r w:rsidR="009E3E9F">
        <w:rPr>
          <w:rFonts w:eastAsia="Franklin Gothic Book"/>
        </w:rPr>
        <w:t>3</w:t>
      </w:r>
      <w:r w:rsidR="002E777A">
        <w:rPr>
          <w:rFonts w:eastAsia="Franklin Gothic Book"/>
        </w:rPr>
        <w:t xml:space="preserve">.0 </w:t>
      </w:r>
      <w:r>
        <w:rPr>
          <w:rFonts w:eastAsia="Franklin Gothic Book"/>
        </w:rPr>
        <w:t xml:space="preserve">(dated </w:t>
      </w:r>
      <w:r w:rsidR="002E777A">
        <w:rPr>
          <w:rFonts w:eastAsia="Franklin Gothic Book"/>
        </w:rPr>
        <w:t>September 2</w:t>
      </w:r>
      <w:r w:rsidR="009E3E9F">
        <w:rPr>
          <w:rFonts w:eastAsia="Franklin Gothic Book"/>
        </w:rPr>
        <w:t>0</w:t>
      </w:r>
      <w:r>
        <w:rPr>
          <w:rFonts w:eastAsia="Franklin Gothic Book"/>
        </w:rPr>
        <w:t>, 202</w:t>
      </w:r>
      <w:r w:rsidR="009E3E9F">
        <w:rPr>
          <w:rFonts w:eastAsia="Franklin Gothic Book"/>
        </w:rPr>
        <w:t>4</w:t>
      </w:r>
      <w:r>
        <w:rPr>
          <w:rFonts w:eastAsia="Franklin Gothic Book"/>
        </w:rPr>
        <w:t xml:space="preserve">) </w:t>
      </w:r>
      <w:r w:rsidR="002E777A">
        <w:rPr>
          <w:rFonts w:eastAsia="Franklin Gothic Book"/>
        </w:rPr>
        <w:t>from which this memo deviates</w:t>
      </w:r>
      <w:r>
        <w:rPr>
          <w:rFonts w:eastAsia="Franklin Gothic Book"/>
        </w:rPr>
        <w:t>.</w:t>
      </w:r>
    </w:p>
    <w:p w14:paraId="03CAAD1B" w14:textId="77777777" w:rsidR="009E3E9F" w:rsidRPr="009E3E9F" w:rsidRDefault="009E3E9F" w:rsidP="009E3E9F">
      <w:pPr>
        <w:keepNext/>
        <w:widowControl w:val="0"/>
        <w:numPr>
          <w:ilvl w:val="1"/>
          <w:numId w:val="20"/>
        </w:numPr>
        <w:spacing w:before="200" w:after="120" w:line="240" w:lineRule="auto"/>
        <w:jc w:val="both"/>
        <w:outlineLvl w:val="1"/>
        <w:rPr>
          <w:rFonts w:ascii="Calibri" w:eastAsia="MS Gothic" w:hAnsi="Calibri"/>
          <w:color w:val="auto"/>
          <w:sz w:val="24"/>
          <w:szCs w:val="26"/>
        </w:rPr>
      </w:pPr>
      <w:r w:rsidRPr="009E3E9F">
        <w:rPr>
          <w:rFonts w:ascii="Calibri" w:eastAsia="MS Gothic" w:hAnsi="Calibri"/>
          <w:color w:val="auto"/>
          <w:sz w:val="24"/>
          <w:szCs w:val="26"/>
        </w:rPr>
        <w:t>Midstream Free-Ridership Protocol</w:t>
      </w:r>
      <w:r w:rsidRPr="009E3E9F">
        <w:rPr>
          <w:rFonts w:ascii="Calibri" w:eastAsia="MS Gothic" w:hAnsi="Calibri"/>
          <w:color w:val="auto"/>
          <w:sz w:val="24"/>
          <w:szCs w:val="26"/>
          <w:vertAlign w:val="superscript"/>
        </w:rPr>
        <w:footnoteReference w:id="4"/>
      </w:r>
      <w:r w:rsidRPr="009E3E9F">
        <w:rPr>
          <w:rFonts w:ascii="Calibri" w:eastAsia="MS Gothic" w:hAnsi="Calibri"/>
          <w:color w:val="auto"/>
          <w:sz w:val="24"/>
          <w:szCs w:val="26"/>
        </w:rPr>
        <w:tab/>
      </w:r>
    </w:p>
    <w:p w14:paraId="115F8E52" w14:textId="77777777" w:rsidR="009E3E9F" w:rsidRPr="009E3E9F" w:rsidRDefault="009E3E9F" w:rsidP="009E3E9F">
      <w:pPr>
        <w:widowControl w:val="0"/>
        <w:spacing w:after="120" w:line="240" w:lineRule="auto"/>
        <w:jc w:val="both"/>
        <w:rPr>
          <w:rFonts w:ascii="Calibri" w:eastAsia="MS Gothic" w:hAnsi="Calibri"/>
          <w:color w:val="auto"/>
          <w:sz w:val="20"/>
        </w:rPr>
      </w:pPr>
      <w:r w:rsidRPr="009E3E9F">
        <w:rPr>
          <w:rFonts w:ascii="Calibri" w:hAnsi="Calibri"/>
          <w:color w:val="auto"/>
          <w:sz w:val="20"/>
        </w:rPr>
        <w:t>Typical energy efficiency programs offer incentives to end-use customers to purchase more efficient equipment. These can be referred to as “downstream” incentives, or downstream programs. Moving up the supply chain, the next entities are distributors, contractors, and design professionals. Programs aimed at influencing these market actors are referred to as “midstream” programs. “Upstream” programs target manufacturers and potentially retailers.</w:t>
      </w:r>
    </w:p>
    <w:p w14:paraId="19E3AB65" w14:textId="77777777" w:rsidR="009E3E9F" w:rsidRPr="009E3E9F" w:rsidRDefault="009E3E9F" w:rsidP="009E3E9F">
      <w:pPr>
        <w:keepNext/>
        <w:widowControl w:val="0"/>
        <w:numPr>
          <w:ilvl w:val="2"/>
          <w:numId w:val="20"/>
        </w:numPr>
        <w:spacing w:after="120" w:line="240" w:lineRule="auto"/>
        <w:jc w:val="both"/>
        <w:outlineLvl w:val="2"/>
        <w:rPr>
          <w:rFonts w:ascii="Calibri" w:eastAsia="MS Gothic" w:hAnsi="Calibri" w:cs="Arial"/>
          <w:color w:val="auto"/>
          <w:sz w:val="24"/>
          <w:szCs w:val="24"/>
        </w:rPr>
      </w:pPr>
      <w:r w:rsidRPr="009E3E9F">
        <w:rPr>
          <w:rFonts w:ascii="Calibri" w:eastAsia="MS Gothic" w:hAnsi="Calibri" w:cs="Arial"/>
          <w:color w:val="auto"/>
          <w:sz w:val="24"/>
          <w:szCs w:val="24"/>
        </w:rPr>
        <w:t>Using This Protocol</w:t>
      </w:r>
    </w:p>
    <w:p w14:paraId="4E32FFBB"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333333"/>
          <w:sz w:val="20"/>
          <w:shd w:val="clear" w:color="auto" w:fill="FFFFFF"/>
        </w:rPr>
        <w:t>T</w:t>
      </w:r>
      <w:r w:rsidRPr="009E3E9F">
        <w:rPr>
          <w:rFonts w:ascii="Calibri" w:hAnsi="Calibri"/>
          <w:color w:val="auto"/>
          <w:sz w:val="20"/>
        </w:rPr>
        <w:t xml:space="preserve">he methods described in this section should be applied for estimating NTGRs for midstream programs in which the incentives are paid directly to distributors who have the option of sharing some or </w:t>
      </w:r>
      <w:proofErr w:type="gramStart"/>
      <w:r w:rsidRPr="009E3E9F">
        <w:rPr>
          <w:rFonts w:ascii="Calibri" w:hAnsi="Calibri"/>
          <w:color w:val="auto"/>
          <w:sz w:val="20"/>
        </w:rPr>
        <w:t>all of</w:t>
      </w:r>
      <w:proofErr w:type="gramEnd"/>
      <w:r w:rsidRPr="009E3E9F">
        <w:rPr>
          <w:rFonts w:ascii="Calibri" w:hAnsi="Calibri"/>
          <w:color w:val="auto"/>
          <w:sz w:val="20"/>
        </w:rPr>
        <w:t xml:space="preserve"> these incentives with the end-use customers in the form of price reductions. As discussed in further detail later in this section, programs of this </w:t>
      </w:r>
      <w:proofErr w:type="gramStart"/>
      <w:r w:rsidRPr="009E3E9F">
        <w:rPr>
          <w:rFonts w:ascii="Calibri" w:hAnsi="Calibri"/>
          <w:color w:val="auto"/>
          <w:sz w:val="20"/>
        </w:rPr>
        <w:t>type</w:t>
      </w:r>
      <w:proofErr w:type="gramEnd"/>
      <w:r w:rsidRPr="009E3E9F">
        <w:rPr>
          <w:rFonts w:ascii="Calibri" w:hAnsi="Calibri"/>
          <w:color w:val="auto"/>
          <w:sz w:val="20"/>
        </w:rPr>
        <w:t xml:space="preserve"> influence behavior of distributors, end-users, and intermediaries such as contractors, installers, or design </w:t>
      </w:r>
      <w:proofErr w:type="gramStart"/>
      <w:r w:rsidRPr="009E3E9F">
        <w:rPr>
          <w:rFonts w:ascii="Calibri" w:hAnsi="Calibri"/>
          <w:color w:val="auto"/>
          <w:sz w:val="20"/>
        </w:rPr>
        <w:t>professionals(</w:t>
      </w:r>
      <w:proofErr w:type="gramEnd"/>
      <w:r w:rsidRPr="009E3E9F">
        <w:rPr>
          <w:rFonts w:ascii="Calibri" w:hAnsi="Calibri"/>
          <w:color w:val="auto"/>
          <w:sz w:val="20"/>
        </w:rPr>
        <w:t>to various degrees).</w:t>
      </w:r>
      <w:r w:rsidRPr="009E3E9F">
        <w:rPr>
          <w:rFonts w:ascii="Arial" w:hAnsi="Arial"/>
          <w:color w:val="auto"/>
          <w:sz w:val="20"/>
          <w:vertAlign w:val="superscript"/>
        </w:rPr>
        <w:footnoteReference w:id="5"/>
      </w:r>
      <w:r w:rsidRPr="009E3E9F">
        <w:rPr>
          <w:rFonts w:ascii="Calibri" w:hAnsi="Calibri"/>
          <w:color w:val="auto"/>
          <w:sz w:val="20"/>
        </w:rPr>
        <w:t xml:space="preserve"> </w:t>
      </w:r>
    </w:p>
    <w:p w14:paraId="15899210"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As a result, in midstream programs where it is believed that multiple parties are aware of the utility intervention, it is desirable for evaluators to conduct research that produces multiple estimates of free ridership from different perspectives, and to combine these estimates using guidance provided in Section 5.1: Combining Participant and Trade Ally Free Ridership Scores to estimate a NTGR that is inclusive of multiple perspectives.</w:t>
      </w:r>
      <w:r w:rsidRPr="009E3E9F">
        <w:rPr>
          <w:rFonts w:ascii="Times New Roman" w:hAnsi="Times New Roman"/>
          <w:color w:val="auto"/>
          <w:sz w:val="24"/>
          <w:szCs w:val="24"/>
          <w:vertAlign w:val="superscript"/>
        </w:rPr>
        <w:footnoteReference w:id="6"/>
      </w:r>
    </w:p>
    <w:p w14:paraId="59B51D38"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In these cases, care should be taken to design an evaluation approach that most appropriately reflects the theory of program influence and selects perspectives to research </w:t>
      </w:r>
      <w:proofErr w:type="gramStart"/>
      <w:r w:rsidRPr="009E3E9F">
        <w:rPr>
          <w:rFonts w:ascii="Calibri" w:hAnsi="Calibri"/>
          <w:color w:val="auto"/>
          <w:sz w:val="20"/>
        </w:rPr>
        <w:t>free-ridership</w:t>
      </w:r>
      <w:proofErr w:type="gramEnd"/>
      <w:r w:rsidRPr="009E3E9F">
        <w:rPr>
          <w:rFonts w:ascii="Calibri" w:hAnsi="Calibri"/>
          <w:color w:val="auto"/>
          <w:sz w:val="20"/>
        </w:rPr>
        <w:t xml:space="preserve"> from commensurate with program theory. For example, in many midstream HVAC program models, intermediaries (contractors/installers) have an influential role in the sales process with end-use customers, and to the extent that program design attempts to influence intermediary behavior as well as distributor and end-user behavior, research with these actors may be appropriate. Conversely, in other midstream program models, intermediaries may not be a target for program activity and/or may not play an influential role in the sales process, in which case research with these actors would not be appropriate. </w:t>
      </w:r>
    </w:p>
    <w:p w14:paraId="142ECA08"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All midstream programs should collect contact information for participating distributors and make it available to evaluators. Midstream programs may or may not collect information for other actors such as end-use customers and/or intermediaries. In cases where midstream programs do not collect customer information, end-user research will generally not be feasible, and free ridership estimates will not be able to include an end-user perspective on </w:t>
      </w:r>
      <w:proofErr w:type="gramStart"/>
      <w:r w:rsidRPr="009E3E9F">
        <w:rPr>
          <w:rFonts w:ascii="Calibri" w:hAnsi="Calibri"/>
          <w:color w:val="auto"/>
          <w:sz w:val="20"/>
        </w:rPr>
        <w:t>free-ridership</w:t>
      </w:r>
      <w:proofErr w:type="gramEnd"/>
      <w:r w:rsidRPr="009E3E9F">
        <w:rPr>
          <w:rFonts w:ascii="Calibri" w:hAnsi="Calibri"/>
          <w:color w:val="auto"/>
          <w:sz w:val="20"/>
        </w:rPr>
        <w:t xml:space="preserve">. In cases where midstream programs do not collect intermediary information, intermediary research may still be </w:t>
      </w:r>
      <w:proofErr w:type="gramStart"/>
      <w:r w:rsidRPr="009E3E9F">
        <w:rPr>
          <w:rFonts w:ascii="Calibri" w:hAnsi="Calibri"/>
          <w:color w:val="auto"/>
          <w:sz w:val="20"/>
        </w:rPr>
        <w:t>feasible, but</w:t>
      </w:r>
      <w:proofErr w:type="gramEnd"/>
      <w:r w:rsidRPr="009E3E9F">
        <w:rPr>
          <w:rFonts w:ascii="Calibri" w:hAnsi="Calibri"/>
          <w:color w:val="auto"/>
          <w:sz w:val="20"/>
        </w:rPr>
        <w:t xml:space="preserve"> will require care </w:t>
      </w:r>
      <w:proofErr w:type="gramStart"/>
      <w:r w:rsidRPr="009E3E9F">
        <w:rPr>
          <w:rFonts w:ascii="Calibri" w:hAnsi="Calibri"/>
          <w:color w:val="auto"/>
          <w:sz w:val="20"/>
        </w:rPr>
        <w:t>in order to</w:t>
      </w:r>
      <w:proofErr w:type="gramEnd"/>
      <w:r w:rsidRPr="009E3E9F">
        <w:rPr>
          <w:rFonts w:ascii="Calibri" w:hAnsi="Calibri"/>
          <w:color w:val="auto"/>
          <w:sz w:val="20"/>
        </w:rPr>
        <w:t xml:space="preserve"> define an appropriate sample that accurately represents the pool of intermediaries relevant to the program. For example, some midstream programs may not track installing contractors but may maintain a list of qualified program allies who would be expected to complete a significant share of installations receiving program incentives.   </w:t>
      </w:r>
    </w:p>
    <w:p w14:paraId="620962D4"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If evaluation constraints do not allow for high quality research to be conducted from multiple perspectives, it is likely preferable to conduct high quality research from only one perspective rather than lower quality (e.g., minimal sample size) research from multiple perspectives, and the evaluator may choose to utilize only one approach without it being considered a divergence from the IL-NTG Methods. In this case, the evaluator should carefully consider the specific design and intent of a given program when choosing the appropriate protocol(s) for evaluation and must document the rationale for its decision in the evaluation plan.</w:t>
      </w:r>
    </w:p>
    <w:p w14:paraId="1D215BA0"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Ultimately, the protocol(s) to be used for a given program is defined in Table 3-1 and Table 4-1. If the design of a given program changes significantly, then it may mean that the NTG protocol listed for that program in Table 3-1 or Table 4-1 is no longer appropriate. In addition, the evaluator may determine that the defined customer or distributor NTG algorithms need to be substantially modified to accommodate the specific design of a midstream program. If the evaluator chooses to use an alternative method or approach to estimate the NTG, the evaluator should follow the procedures outlined in Section 1.4: Diverging from the IL-NTG Methods. For new programs the choice of </w:t>
      </w:r>
      <w:r w:rsidRPr="009E3E9F">
        <w:rPr>
          <w:rFonts w:ascii="Calibri" w:hAnsi="Calibri"/>
          <w:color w:val="auto"/>
          <w:sz w:val="20"/>
        </w:rPr>
        <w:lastRenderedPageBreak/>
        <w:t>protocol(s) will be ultimately at the discretion of the evaluator.</w:t>
      </w:r>
    </w:p>
    <w:p w14:paraId="23C4BF3A" w14:textId="77777777" w:rsidR="009E3E9F" w:rsidRPr="009E3E9F" w:rsidRDefault="009E3E9F" w:rsidP="009E3E9F">
      <w:pPr>
        <w:widowControl w:val="0"/>
        <w:spacing w:after="120" w:line="240" w:lineRule="auto"/>
        <w:jc w:val="both"/>
        <w:rPr>
          <w:rFonts w:ascii="Calibri" w:hAnsi="Calibri"/>
          <w:color w:val="191919"/>
          <w:sz w:val="20"/>
        </w:rPr>
      </w:pPr>
      <w:r w:rsidRPr="009E3E9F">
        <w:rPr>
          <w:rFonts w:ascii="Calibri" w:hAnsi="Calibri"/>
          <w:color w:val="191919"/>
          <w:sz w:val="20"/>
        </w:rPr>
        <w:t xml:space="preserve">Knowing that they will receive an incentive for selling high efficiency units, distributors may choose to increase their stock of high efficiency units, and/or to </w:t>
      </w:r>
      <w:proofErr w:type="gramStart"/>
      <w:r w:rsidRPr="009E3E9F">
        <w:rPr>
          <w:rFonts w:ascii="Calibri" w:hAnsi="Calibri"/>
          <w:color w:val="191919"/>
          <w:sz w:val="20"/>
        </w:rPr>
        <w:t>upsell</w:t>
      </w:r>
      <w:proofErr w:type="gramEnd"/>
      <w:r w:rsidRPr="009E3E9F">
        <w:rPr>
          <w:rFonts w:ascii="Calibri" w:hAnsi="Calibri"/>
          <w:color w:val="191919"/>
          <w:sz w:val="20"/>
        </w:rPr>
        <w:t xml:space="preserve"> high efficiency units to contractors. Distributors may also choose to offer training sessions or marketing campaigns aimed at engineers, architects, and contractors to increase awareness of these high efficiency units. As a result of the program’s actions: </w:t>
      </w:r>
    </w:p>
    <w:p w14:paraId="4DE8CD17" w14:textId="77777777" w:rsidR="009E3E9F" w:rsidRPr="009E3E9F" w:rsidRDefault="009E3E9F" w:rsidP="009E3E9F">
      <w:pPr>
        <w:widowControl w:val="0"/>
        <w:spacing w:after="120" w:line="240" w:lineRule="auto"/>
        <w:ind w:firstLine="720"/>
        <w:jc w:val="both"/>
        <w:rPr>
          <w:rFonts w:ascii="Calibri" w:hAnsi="Calibri"/>
          <w:color w:val="000000"/>
          <w:sz w:val="20"/>
        </w:rPr>
      </w:pPr>
      <w:r w:rsidRPr="009E3E9F">
        <w:rPr>
          <w:rFonts w:ascii="Calibri" w:hAnsi="Calibri"/>
          <w:color w:val="000000"/>
          <w:sz w:val="20"/>
        </w:rPr>
        <w:t xml:space="preserve">Contractors/customers may be more likely to purchase high efficiency units because they are in stock, </w:t>
      </w:r>
    </w:p>
    <w:p w14:paraId="7710CDF5" w14:textId="77777777" w:rsidR="009E3E9F" w:rsidRPr="009E3E9F" w:rsidRDefault="009E3E9F" w:rsidP="009E3E9F">
      <w:pPr>
        <w:widowControl w:val="0"/>
        <w:spacing w:after="120" w:line="240" w:lineRule="auto"/>
        <w:ind w:left="720"/>
        <w:jc w:val="both"/>
        <w:rPr>
          <w:rFonts w:ascii="Calibri" w:hAnsi="Calibri"/>
          <w:color w:val="000000"/>
          <w:sz w:val="20"/>
        </w:rPr>
      </w:pPr>
      <w:r w:rsidRPr="009E3E9F">
        <w:rPr>
          <w:rFonts w:ascii="Calibri" w:hAnsi="Calibri"/>
          <w:color w:val="000000"/>
          <w:sz w:val="20"/>
        </w:rPr>
        <w:t xml:space="preserve">Contractors/customers may be more likely to purchase high efficiency equipment because the distributor upsold these units, </w:t>
      </w:r>
    </w:p>
    <w:p w14:paraId="5ABA31B4" w14:textId="77777777" w:rsidR="009E3E9F" w:rsidRPr="009E3E9F" w:rsidRDefault="009E3E9F" w:rsidP="009E3E9F">
      <w:pPr>
        <w:widowControl w:val="0"/>
        <w:spacing w:after="120" w:line="240" w:lineRule="auto"/>
        <w:ind w:left="720"/>
        <w:jc w:val="both"/>
        <w:rPr>
          <w:rFonts w:ascii="Calibri" w:hAnsi="Calibri"/>
          <w:color w:val="000000"/>
          <w:sz w:val="20"/>
        </w:rPr>
      </w:pPr>
      <w:r w:rsidRPr="009E3E9F">
        <w:rPr>
          <w:rFonts w:ascii="Calibri" w:hAnsi="Calibri"/>
          <w:color w:val="000000"/>
          <w:sz w:val="20"/>
        </w:rPr>
        <w:t xml:space="preserve">Contractors/customers may be more likely to purchase high efficiency units because the incremental cost is lower than it would have been without the incentive (assuming the distributor uses the incentive to reduce the price of the equipment), and </w:t>
      </w:r>
    </w:p>
    <w:p w14:paraId="3411B06A" w14:textId="77777777" w:rsidR="009E3E9F" w:rsidRPr="009E3E9F" w:rsidRDefault="009E3E9F" w:rsidP="009E3E9F">
      <w:pPr>
        <w:widowControl w:val="0"/>
        <w:spacing w:after="120" w:line="240" w:lineRule="auto"/>
        <w:ind w:left="720"/>
        <w:jc w:val="both"/>
        <w:rPr>
          <w:rFonts w:ascii="Calibri" w:hAnsi="Calibri"/>
          <w:color w:val="000000"/>
          <w:sz w:val="20"/>
        </w:rPr>
      </w:pPr>
      <w:r w:rsidRPr="009E3E9F">
        <w:rPr>
          <w:rFonts w:ascii="Calibri" w:hAnsi="Calibri"/>
          <w:color w:val="000000"/>
          <w:sz w:val="20"/>
        </w:rPr>
        <w:t xml:space="preserve">Design professionals and contractors may be more likely to specify or recommend high efficiency units because they are more aware or more familiar with these options. </w:t>
      </w:r>
    </w:p>
    <w:p w14:paraId="25A9AD2C" w14:textId="77777777" w:rsidR="009E3E9F" w:rsidRPr="009E3E9F" w:rsidRDefault="009E3E9F" w:rsidP="009E3E9F">
      <w:pPr>
        <w:widowControl w:val="0"/>
        <w:spacing w:after="120" w:line="240" w:lineRule="auto"/>
        <w:jc w:val="both"/>
        <w:rPr>
          <w:rFonts w:ascii="Calibri" w:hAnsi="Calibri"/>
          <w:color w:val="191919"/>
          <w:sz w:val="20"/>
        </w:rPr>
      </w:pPr>
      <w:r w:rsidRPr="009E3E9F">
        <w:rPr>
          <w:rFonts w:ascii="Calibri" w:hAnsi="Calibri"/>
          <w:color w:val="191919"/>
          <w:sz w:val="20"/>
        </w:rPr>
        <w:t xml:space="preserve">The expected overall outcome is that a greater proportion of customer purchases will be high efficiency units. As distributors sell more high efficiency units, manufacturers will respond by producing more high efficiency equipment. Ultimately, the overall market in a utility’s service territory will become more efficient than it otherwise would have been, or it will achieve this efficiency sooner than if no intervention had occurred. </w:t>
      </w:r>
    </w:p>
    <w:p w14:paraId="79654294"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To assess impacts from this type of program, the evaluator needs to determine if the distributor changed their practices in a way that ultimately influenced the customer’s buying decision. Assessing the influence of the program involves conducting in-depth interviews with participating distributors and asking them how they would </w:t>
      </w:r>
      <w:proofErr w:type="gramStart"/>
      <w:r w:rsidRPr="009E3E9F">
        <w:rPr>
          <w:rFonts w:ascii="Calibri" w:hAnsi="Calibri"/>
          <w:color w:val="auto"/>
          <w:sz w:val="20"/>
        </w:rPr>
        <w:t>have behaved</w:t>
      </w:r>
      <w:proofErr w:type="gramEnd"/>
      <w:r w:rsidRPr="009E3E9F">
        <w:rPr>
          <w:rFonts w:ascii="Calibri" w:hAnsi="Calibri"/>
          <w:color w:val="auto"/>
          <w:sz w:val="20"/>
        </w:rPr>
        <w:t xml:space="preserve"> in the absence of the program. While interviews with others such as contractors and design professionals can also be conducted </w:t>
      </w:r>
      <w:proofErr w:type="gramStart"/>
      <w:r w:rsidRPr="009E3E9F">
        <w:rPr>
          <w:rFonts w:ascii="Calibri" w:hAnsi="Calibri"/>
          <w:color w:val="auto"/>
          <w:sz w:val="20"/>
        </w:rPr>
        <w:t>in order to</w:t>
      </w:r>
      <w:proofErr w:type="gramEnd"/>
      <w:r w:rsidRPr="009E3E9F">
        <w:rPr>
          <w:rFonts w:ascii="Calibri" w:hAnsi="Calibri"/>
          <w:color w:val="auto"/>
          <w:sz w:val="20"/>
        </w:rPr>
        <w:t xml:space="preserve"> develop a more complete </w:t>
      </w:r>
      <w:proofErr w:type="gramStart"/>
      <w:r w:rsidRPr="009E3E9F">
        <w:rPr>
          <w:rFonts w:ascii="Calibri" w:hAnsi="Calibri"/>
          <w:color w:val="auto"/>
          <w:sz w:val="20"/>
        </w:rPr>
        <w:t>understanding of the influence</w:t>
      </w:r>
      <w:proofErr w:type="gramEnd"/>
      <w:r w:rsidRPr="009E3E9F">
        <w:rPr>
          <w:rFonts w:ascii="Calibri" w:hAnsi="Calibri"/>
          <w:color w:val="auto"/>
          <w:sz w:val="20"/>
        </w:rPr>
        <w:t xml:space="preserve"> of the program, the focus of the protocol in Section </w:t>
      </w:r>
      <w:r w:rsidRPr="009E3E9F">
        <w:rPr>
          <w:rFonts w:ascii="Calibri" w:hAnsi="Calibri"/>
          <w:color w:val="auto"/>
          <w:sz w:val="20"/>
        </w:rPr>
        <w:fldChar w:fldCharType="begin"/>
      </w:r>
      <w:r w:rsidRPr="009E3E9F">
        <w:rPr>
          <w:rFonts w:ascii="Calibri" w:hAnsi="Calibri"/>
          <w:color w:val="auto"/>
          <w:sz w:val="20"/>
        </w:rPr>
        <w:instrText xml:space="preserve"> REF _Ref133499975 \r \h </w:instrText>
      </w:r>
      <w:r w:rsidRPr="009E3E9F">
        <w:rPr>
          <w:rFonts w:ascii="Calibri" w:hAnsi="Calibri"/>
          <w:color w:val="auto"/>
          <w:sz w:val="20"/>
        </w:rPr>
      </w:r>
      <w:r w:rsidRPr="009E3E9F">
        <w:rPr>
          <w:rFonts w:ascii="Calibri" w:hAnsi="Calibri"/>
          <w:color w:val="auto"/>
          <w:sz w:val="20"/>
        </w:rPr>
        <w:fldChar w:fldCharType="separate"/>
      </w:r>
      <w:r w:rsidRPr="009E3E9F">
        <w:rPr>
          <w:rFonts w:ascii="Calibri" w:hAnsi="Calibri"/>
          <w:color w:val="auto"/>
          <w:sz w:val="20"/>
        </w:rPr>
        <w:t>5.4.2</w:t>
      </w:r>
      <w:r w:rsidRPr="009E3E9F">
        <w:rPr>
          <w:rFonts w:ascii="Calibri" w:hAnsi="Calibri"/>
          <w:color w:val="auto"/>
          <w:sz w:val="20"/>
        </w:rPr>
        <w:fldChar w:fldCharType="end"/>
      </w:r>
      <w:r w:rsidRPr="009E3E9F">
        <w:rPr>
          <w:rFonts w:ascii="Calibri" w:hAnsi="Calibri"/>
          <w:color w:val="auto"/>
          <w:sz w:val="20"/>
        </w:rPr>
        <w:t xml:space="preserve">below is on the distributor interviews. </w:t>
      </w:r>
    </w:p>
    <w:p w14:paraId="3CB8208D"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This protocol is based on the key considerations and guidelines for estimation of free ridership for non-residential programs that is described in Section 3.1.1: Core Non-Residential Free Ridership Protocol. The process to be used for scoring free ridership is described in Section 3.1.1.1: Core Non-Residential Free Ridership Scoring Algorithm. This midstream protocol can be used for estimating NTGRs for both residential and non-residential midstream programs that focus on distributors.</w:t>
      </w:r>
      <w:r w:rsidRPr="009E3E9F">
        <w:rPr>
          <w:rFonts w:ascii="Times New Roman" w:hAnsi="Times New Roman"/>
          <w:color w:val="auto"/>
          <w:sz w:val="24"/>
          <w:szCs w:val="24"/>
          <w:vertAlign w:val="superscript"/>
        </w:rPr>
        <w:footnoteReference w:id="7"/>
      </w:r>
      <w:r w:rsidRPr="009E3E9F">
        <w:rPr>
          <w:rFonts w:ascii="Calibri" w:hAnsi="Calibri"/>
          <w:color w:val="auto"/>
          <w:sz w:val="20"/>
        </w:rPr>
        <w:t xml:space="preserve"> </w:t>
      </w:r>
    </w:p>
    <w:p w14:paraId="7EC59391" w14:textId="77777777" w:rsidR="009E3E9F" w:rsidRPr="009E3E9F" w:rsidRDefault="009E3E9F" w:rsidP="009E3E9F">
      <w:pPr>
        <w:widowControl w:val="0"/>
        <w:spacing w:after="120" w:line="240" w:lineRule="auto"/>
        <w:jc w:val="both"/>
        <w:rPr>
          <w:rFonts w:ascii="Calibri" w:hAnsi="Calibri"/>
          <w:color w:val="000000"/>
          <w:sz w:val="20"/>
        </w:rPr>
      </w:pPr>
      <w:r w:rsidRPr="009E3E9F">
        <w:rPr>
          <w:rFonts w:ascii="Calibri" w:hAnsi="Calibri"/>
          <w:color w:val="000000"/>
          <w:sz w:val="20"/>
        </w:rPr>
        <w:t xml:space="preserve">To ensure that the midstream NTGR approach covers all avenues of program influence, one should develop a logic model based on discussions with utility program staff, implementer staff, and a general review of midstream programs. The midstream NTGR approach recommended here is designed to be flexible as the midstream incentives may be impacting distributors’ businesses in one of many ways—including via changes in stocking, upselling, price reduction, etc. Ultimately, the midstream program should be given credit for influence via any of these causal pathways. Note that a midstream program might have </w:t>
      </w:r>
      <w:r w:rsidRPr="009E3E9F">
        <w:rPr>
          <w:rFonts w:ascii="Calibri" w:hAnsi="Calibri"/>
          <w:color w:val="auto"/>
          <w:sz w:val="20"/>
        </w:rPr>
        <w:t>longer-term impacts that are not immediately measurable. Such longer-term impacts manifest as “market effects,” which signify a transformation in the underlying structure and functioning of the market. This midstream protocol does not address the measurement of such market effects.</w:t>
      </w:r>
    </w:p>
    <w:p w14:paraId="7CBB136A" w14:textId="77777777" w:rsidR="009E3E9F" w:rsidRPr="009E3E9F" w:rsidRDefault="009E3E9F" w:rsidP="009E3E9F">
      <w:pPr>
        <w:keepNext/>
        <w:widowControl w:val="0"/>
        <w:numPr>
          <w:ilvl w:val="2"/>
          <w:numId w:val="20"/>
        </w:numPr>
        <w:spacing w:after="120" w:line="240" w:lineRule="auto"/>
        <w:jc w:val="both"/>
        <w:outlineLvl w:val="2"/>
        <w:rPr>
          <w:rFonts w:ascii="Calibri" w:eastAsia="MS Gothic" w:hAnsi="Calibri" w:cs="Arial"/>
          <w:color w:val="auto"/>
          <w:sz w:val="24"/>
          <w:szCs w:val="24"/>
        </w:rPr>
      </w:pPr>
      <w:r w:rsidRPr="009E3E9F">
        <w:rPr>
          <w:rFonts w:ascii="Calibri" w:eastAsia="MS Gothic" w:hAnsi="Calibri" w:cs="Arial"/>
          <w:color w:val="auto"/>
          <w:sz w:val="24"/>
          <w:szCs w:val="24"/>
        </w:rPr>
        <w:t>Free Ridership Estimation Methodology</w:t>
      </w:r>
    </w:p>
    <w:p w14:paraId="2FE4BF85"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This methodology uses two indicators of free ridership:</w:t>
      </w:r>
    </w:p>
    <w:p w14:paraId="75942E73" w14:textId="77777777" w:rsidR="009E3E9F" w:rsidRPr="009E3E9F" w:rsidRDefault="009E3E9F" w:rsidP="009E3E9F">
      <w:pPr>
        <w:widowControl w:val="0"/>
        <w:spacing w:after="120" w:line="240" w:lineRule="auto"/>
        <w:ind w:left="720"/>
        <w:jc w:val="both"/>
        <w:rPr>
          <w:rFonts w:ascii="Calibri" w:hAnsi="Calibri"/>
          <w:color w:val="auto"/>
          <w:sz w:val="20"/>
        </w:rPr>
      </w:pPr>
      <w:r w:rsidRPr="009E3E9F">
        <w:rPr>
          <w:rFonts w:ascii="Calibri" w:hAnsi="Calibri"/>
          <w:color w:val="auto"/>
          <w:sz w:val="20"/>
        </w:rPr>
        <w:t>Program Influence (PI) FR Score, and</w:t>
      </w:r>
    </w:p>
    <w:p w14:paraId="50C6E983" w14:textId="77777777" w:rsidR="009E3E9F" w:rsidRPr="009E3E9F" w:rsidRDefault="009E3E9F" w:rsidP="009E3E9F">
      <w:pPr>
        <w:widowControl w:val="0"/>
        <w:spacing w:after="120" w:line="240" w:lineRule="auto"/>
        <w:ind w:left="720"/>
        <w:jc w:val="both"/>
        <w:rPr>
          <w:rFonts w:ascii="Calibri" w:hAnsi="Calibri"/>
          <w:color w:val="auto"/>
          <w:sz w:val="20"/>
        </w:rPr>
      </w:pPr>
      <w:r w:rsidRPr="009E3E9F">
        <w:rPr>
          <w:rFonts w:ascii="Calibri" w:hAnsi="Calibri"/>
          <w:color w:val="auto"/>
          <w:sz w:val="20"/>
        </w:rPr>
        <w:t>Counterfactual (CF) FR Score</w:t>
      </w:r>
    </w:p>
    <w:p w14:paraId="79F92A9E"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These scores are then averaged to arrive at a final free ridership value. The algorithm shown in Section 3, Figure 3-1: Core Free Ridership Algorithm, can be used to calculate the </w:t>
      </w:r>
      <w:proofErr w:type="gramStart"/>
      <w:r w:rsidRPr="009E3E9F">
        <w:rPr>
          <w:rFonts w:ascii="Calibri" w:hAnsi="Calibri"/>
          <w:color w:val="auto"/>
          <w:sz w:val="20"/>
        </w:rPr>
        <w:t>free-ridership</w:t>
      </w:r>
      <w:proofErr w:type="gramEnd"/>
      <w:r w:rsidRPr="009E3E9F">
        <w:rPr>
          <w:rFonts w:ascii="Calibri" w:hAnsi="Calibri"/>
          <w:color w:val="auto"/>
          <w:sz w:val="20"/>
        </w:rPr>
        <w:t>. The resulting NTGR value should be weighted proportionate to the ex post gross kWh savings for each respondent.</w:t>
      </w:r>
    </w:p>
    <w:p w14:paraId="66E4DC0B"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The one exception to the free ridership algorithm described above concerns the quantity and timing adjustment. Note that normally, in the case of downstream rebate programs, it is possible that the old equipment was still functioning, but the program induced the participant to swap out the equipment before the end of its useful life. Because of the conceptually challenging nature of a timing question for distributors, it has been removed. </w:t>
      </w:r>
    </w:p>
    <w:p w14:paraId="74DA7A85"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This protocol starts with the Core Non-Residential Protocol methodology outlined in Section 3, Figure 3-1: Core Free Ridership Algorithm and suggests modifications to the free ridership questions to recognize the unique nature of midstream programs. Below are some examples of the types of questions that could be asked </w:t>
      </w:r>
      <w:proofErr w:type="gramStart"/>
      <w:r w:rsidRPr="009E3E9F">
        <w:rPr>
          <w:rFonts w:ascii="Calibri" w:hAnsi="Calibri"/>
          <w:color w:val="auto"/>
          <w:sz w:val="20"/>
        </w:rPr>
        <w:t>of</w:t>
      </w:r>
      <w:proofErr w:type="gramEnd"/>
      <w:r w:rsidRPr="009E3E9F">
        <w:rPr>
          <w:rFonts w:ascii="Calibri" w:hAnsi="Calibri"/>
          <w:color w:val="auto"/>
          <w:sz w:val="20"/>
        </w:rPr>
        <w:t xml:space="preserve"> distributors for each of the three pathways to program influence.</w:t>
      </w:r>
    </w:p>
    <w:p w14:paraId="7C9B2910" w14:textId="77777777" w:rsidR="009E3E9F" w:rsidRPr="009E3E9F" w:rsidRDefault="009E3E9F" w:rsidP="009E3E9F">
      <w:pPr>
        <w:keepNext/>
        <w:widowControl w:val="0"/>
        <w:numPr>
          <w:ilvl w:val="3"/>
          <w:numId w:val="20"/>
        </w:numPr>
        <w:spacing w:after="120" w:line="240" w:lineRule="auto"/>
        <w:jc w:val="both"/>
        <w:outlineLvl w:val="3"/>
        <w:rPr>
          <w:rFonts w:ascii="Calibri Light" w:eastAsia="MS Gothic" w:hAnsi="Calibri Light"/>
          <w:b/>
          <w:iCs/>
          <w:color w:val="auto"/>
          <w:sz w:val="20"/>
        </w:rPr>
      </w:pPr>
      <w:r w:rsidRPr="009E3E9F">
        <w:rPr>
          <w:rFonts w:ascii="Calibri Light" w:eastAsia="MS Gothic" w:hAnsi="Calibri Light"/>
          <w:b/>
          <w:iCs/>
          <w:color w:val="auto"/>
          <w:sz w:val="20"/>
        </w:rPr>
        <w:lastRenderedPageBreak/>
        <w:t>Strategies Used</w:t>
      </w:r>
    </w:p>
    <w:p w14:paraId="6783489D" w14:textId="77777777" w:rsidR="009E3E9F" w:rsidRPr="009E3E9F" w:rsidRDefault="009E3E9F" w:rsidP="009E3E9F">
      <w:pPr>
        <w:widowControl w:val="0"/>
        <w:spacing w:after="120" w:line="240" w:lineRule="auto"/>
        <w:jc w:val="both"/>
        <w:rPr>
          <w:rFonts w:ascii="Calibri" w:hAnsi="Calibri"/>
          <w:color w:val="auto"/>
          <w:w w:val="105"/>
          <w:sz w:val="20"/>
        </w:rPr>
      </w:pPr>
      <w:r w:rsidRPr="009E3E9F">
        <w:rPr>
          <w:rFonts w:ascii="Calibri" w:hAnsi="Calibri"/>
          <w:color w:val="auto"/>
          <w:w w:val="105"/>
          <w:sz w:val="20"/>
        </w:rPr>
        <w:t xml:space="preserve">First, the evaluator must ask each distributor which of the available sales strategies they used to promote program-qualified equipment. </w:t>
      </w:r>
    </w:p>
    <w:p w14:paraId="3285AE57"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w w:val="105"/>
          <w:sz w:val="20"/>
        </w:rPr>
        <w:t>Now,</w:t>
      </w:r>
      <w:r w:rsidRPr="009E3E9F">
        <w:rPr>
          <w:rFonts w:ascii="Calibri" w:hAnsi="Calibri"/>
          <w:color w:val="auto"/>
          <w:spacing w:val="-5"/>
          <w:w w:val="105"/>
          <w:sz w:val="20"/>
        </w:rPr>
        <w:t xml:space="preserve"> </w:t>
      </w:r>
      <w:r w:rsidRPr="009E3E9F">
        <w:rPr>
          <w:rFonts w:ascii="Calibri" w:hAnsi="Calibri"/>
          <w:color w:val="auto"/>
          <w:w w:val="105"/>
          <w:sz w:val="20"/>
        </w:rPr>
        <w:t>I’m</w:t>
      </w:r>
      <w:r w:rsidRPr="009E3E9F">
        <w:rPr>
          <w:rFonts w:ascii="Calibri" w:hAnsi="Calibri"/>
          <w:color w:val="auto"/>
          <w:spacing w:val="-4"/>
          <w:w w:val="105"/>
          <w:sz w:val="20"/>
        </w:rPr>
        <w:t xml:space="preserve"> </w:t>
      </w:r>
      <w:r w:rsidRPr="009E3E9F">
        <w:rPr>
          <w:rFonts w:ascii="Calibri" w:hAnsi="Calibri"/>
          <w:color w:val="auto"/>
          <w:w w:val="105"/>
          <w:sz w:val="20"/>
        </w:rPr>
        <w:t>going</w:t>
      </w:r>
      <w:r w:rsidRPr="009E3E9F">
        <w:rPr>
          <w:rFonts w:ascii="Calibri" w:hAnsi="Calibri"/>
          <w:color w:val="auto"/>
          <w:spacing w:val="-4"/>
          <w:w w:val="105"/>
          <w:sz w:val="20"/>
        </w:rPr>
        <w:t xml:space="preserve"> </w:t>
      </w:r>
      <w:r w:rsidRPr="009E3E9F">
        <w:rPr>
          <w:rFonts w:ascii="Calibri" w:hAnsi="Calibri"/>
          <w:color w:val="auto"/>
          <w:w w:val="105"/>
          <w:sz w:val="20"/>
        </w:rPr>
        <w:t>to</w:t>
      </w:r>
      <w:r w:rsidRPr="009E3E9F">
        <w:rPr>
          <w:rFonts w:ascii="Calibri" w:hAnsi="Calibri"/>
          <w:color w:val="auto"/>
          <w:spacing w:val="-5"/>
          <w:w w:val="105"/>
          <w:sz w:val="20"/>
        </w:rPr>
        <w:t xml:space="preserve"> </w:t>
      </w:r>
      <w:r w:rsidRPr="009E3E9F">
        <w:rPr>
          <w:rFonts w:ascii="Calibri" w:hAnsi="Calibri"/>
          <w:color w:val="auto"/>
          <w:w w:val="105"/>
          <w:sz w:val="20"/>
        </w:rPr>
        <w:t>ask</w:t>
      </w:r>
      <w:r w:rsidRPr="009E3E9F">
        <w:rPr>
          <w:rFonts w:ascii="Calibri" w:hAnsi="Calibri"/>
          <w:color w:val="auto"/>
          <w:spacing w:val="-4"/>
          <w:w w:val="105"/>
          <w:sz w:val="20"/>
        </w:rPr>
        <w:t xml:space="preserve"> </w:t>
      </w:r>
      <w:r w:rsidRPr="009E3E9F">
        <w:rPr>
          <w:rFonts w:ascii="Calibri" w:hAnsi="Calibri"/>
          <w:color w:val="auto"/>
          <w:w w:val="105"/>
          <w:sz w:val="20"/>
        </w:rPr>
        <w:t xml:space="preserve">you about the various strategies you might have used to sell </w:t>
      </w:r>
      <w:proofErr w:type="gramStart"/>
      <w:r w:rsidRPr="009E3E9F">
        <w:rPr>
          <w:rFonts w:ascii="Calibri" w:hAnsi="Calibri"/>
          <w:color w:val="auto"/>
          <w:w w:val="105"/>
          <w:sz w:val="20"/>
        </w:rPr>
        <w:t>program-qualified</w:t>
      </w:r>
      <w:proofErr w:type="gramEnd"/>
      <w:r w:rsidRPr="009E3E9F">
        <w:rPr>
          <w:rFonts w:ascii="Calibri" w:hAnsi="Calibri"/>
          <w:color w:val="auto"/>
          <w:w w:val="105"/>
          <w:sz w:val="20"/>
        </w:rPr>
        <w:t xml:space="preserve"> equipment. Please indicate which ones you have used. [READ]</w:t>
      </w:r>
    </w:p>
    <w:p w14:paraId="4D7E0A62"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w w:val="105"/>
          <w:sz w:val="20"/>
        </w:rPr>
        <w:t>___ Upsell contractors to purchase program-qualified</w:t>
      </w:r>
      <w:r w:rsidRPr="009E3E9F">
        <w:rPr>
          <w:rFonts w:ascii="Calibri" w:hAnsi="Calibri"/>
          <w:color w:val="auto"/>
          <w:spacing w:val="2"/>
          <w:w w:val="105"/>
          <w:sz w:val="20"/>
        </w:rPr>
        <w:t xml:space="preserve"> </w:t>
      </w:r>
      <w:r w:rsidRPr="009E3E9F">
        <w:rPr>
          <w:rFonts w:ascii="Calibri" w:hAnsi="Calibri"/>
          <w:color w:val="auto"/>
          <w:w w:val="105"/>
          <w:sz w:val="20"/>
        </w:rPr>
        <w:t>units</w:t>
      </w:r>
    </w:p>
    <w:p w14:paraId="77613614"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w w:val="105"/>
          <w:sz w:val="20"/>
        </w:rPr>
        <w:t>___ Conduct training workshops for</w:t>
      </w:r>
      <w:r w:rsidRPr="009E3E9F">
        <w:rPr>
          <w:rFonts w:ascii="Calibri" w:hAnsi="Calibri"/>
          <w:color w:val="auto"/>
          <w:spacing w:val="1"/>
          <w:w w:val="105"/>
          <w:sz w:val="20"/>
        </w:rPr>
        <w:t xml:space="preserve"> </w:t>
      </w:r>
      <w:r w:rsidRPr="009E3E9F">
        <w:rPr>
          <w:rFonts w:ascii="Calibri" w:hAnsi="Calibri"/>
          <w:color w:val="auto"/>
          <w:w w:val="105"/>
          <w:sz w:val="20"/>
        </w:rPr>
        <w:t>contractors</w:t>
      </w:r>
    </w:p>
    <w:p w14:paraId="67648D5B"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w w:val="105"/>
          <w:sz w:val="20"/>
        </w:rPr>
        <w:t>___ Increase marketing of program-qualified</w:t>
      </w:r>
      <w:r w:rsidRPr="009E3E9F">
        <w:rPr>
          <w:rFonts w:ascii="Calibri" w:hAnsi="Calibri"/>
          <w:color w:val="auto"/>
          <w:spacing w:val="3"/>
          <w:w w:val="105"/>
          <w:sz w:val="20"/>
        </w:rPr>
        <w:t xml:space="preserve"> </w:t>
      </w:r>
      <w:r w:rsidRPr="009E3E9F">
        <w:rPr>
          <w:rFonts w:ascii="Calibri" w:hAnsi="Calibri"/>
          <w:color w:val="auto"/>
          <w:w w:val="105"/>
          <w:sz w:val="20"/>
        </w:rPr>
        <w:t>units</w:t>
      </w:r>
    </w:p>
    <w:p w14:paraId="178FD213"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w w:val="105"/>
          <w:sz w:val="20"/>
        </w:rPr>
        <w:t>___ Reduce the prices of program-qualified</w:t>
      </w:r>
      <w:r w:rsidRPr="009E3E9F">
        <w:rPr>
          <w:rFonts w:ascii="Calibri" w:hAnsi="Calibri"/>
          <w:color w:val="auto"/>
          <w:spacing w:val="3"/>
          <w:w w:val="105"/>
          <w:sz w:val="20"/>
        </w:rPr>
        <w:t xml:space="preserve"> </w:t>
      </w:r>
      <w:r w:rsidRPr="009E3E9F">
        <w:rPr>
          <w:rFonts w:ascii="Calibri" w:hAnsi="Calibri"/>
          <w:color w:val="auto"/>
          <w:w w:val="105"/>
          <w:sz w:val="20"/>
        </w:rPr>
        <w:t>units</w:t>
      </w:r>
    </w:p>
    <w:p w14:paraId="037AD99B"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w w:val="105"/>
          <w:sz w:val="20"/>
        </w:rPr>
        <w:t>___ Increase the stocking or assortment of program-qualified</w:t>
      </w:r>
      <w:r w:rsidRPr="009E3E9F">
        <w:rPr>
          <w:rFonts w:ascii="Calibri" w:hAnsi="Calibri"/>
          <w:color w:val="auto"/>
          <w:spacing w:val="2"/>
          <w:w w:val="105"/>
          <w:sz w:val="20"/>
        </w:rPr>
        <w:t xml:space="preserve"> </w:t>
      </w:r>
      <w:r w:rsidRPr="009E3E9F">
        <w:rPr>
          <w:rFonts w:ascii="Calibri" w:hAnsi="Calibri"/>
          <w:color w:val="auto"/>
          <w:w w:val="105"/>
          <w:sz w:val="20"/>
        </w:rPr>
        <w:t>units</w:t>
      </w:r>
    </w:p>
    <w:p w14:paraId="1AFAB35A" w14:textId="77777777" w:rsidR="009E3E9F" w:rsidRPr="009E3E9F" w:rsidRDefault="009E3E9F" w:rsidP="009E3E9F">
      <w:pPr>
        <w:widowControl w:val="0"/>
        <w:spacing w:after="120" w:line="240" w:lineRule="auto"/>
        <w:jc w:val="both"/>
        <w:rPr>
          <w:rFonts w:ascii="Calibri" w:hAnsi="Calibri"/>
          <w:color w:val="auto"/>
          <w:w w:val="105"/>
          <w:sz w:val="20"/>
        </w:rPr>
      </w:pPr>
      <w:r w:rsidRPr="009E3E9F">
        <w:rPr>
          <w:rFonts w:ascii="Calibri" w:hAnsi="Calibri"/>
          <w:color w:val="auto"/>
          <w:w w:val="105"/>
          <w:sz w:val="20"/>
        </w:rPr>
        <w:t>___ Discuss the benefits of program-qualified units with design</w:t>
      </w:r>
      <w:r w:rsidRPr="009E3E9F">
        <w:rPr>
          <w:rFonts w:ascii="Calibri" w:hAnsi="Calibri"/>
          <w:color w:val="auto"/>
          <w:spacing w:val="-1"/>
          <w:w w:val="105"/>
          <w:sz w:val="20"/>
        </w:rPr>
        <w:t xml:space="preserve"> </w:t>
      </w:r>
      <w:r w:rsidRPr="009E3E9F">
        <w:rPr>
          <w:rFonts w:ascii="Calibri" w:hAnsi="Calibri"/>
          <w:color w:val="auto"/>
          <w:w w:val="105"/>
          <w:sz w:val="20"/>
        </w:rPr>
        <w:t>professionals</w:t>
      </w:r>
    </w:p>
    <w:p w14:paraId="1EBF4556"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w w:val="105"/>
          <w:sz w:val="20"/>
        </w:rPr>
        <w:t>___ Other (Please describe: ________________________________________)</w:t>
      </w:r>
    </w:p>
    <w:p w14:paraId="2AD3AC37" w14:textId="77777777" w:rsidR="009E3E9F" w:rsidRPr="009E3E9F" w:rsidRDefault="009E3E9F" w:rsidP="009E3E9F">
      <w:pPr>
        <w:keepNext/>
        <w:keepLines/>
        <w:numPr>
          <w:ilvl w:val="4"/>
          <w:numId w:val="0"/>
        </w:numPr>
        <w:spacing w:before="120" w:after="120" w:line="240" w:lineRule="auto"/>
        <w:ind w:left="1008" w:hanging="1008"/>
        <w:outlineLvl w:val="4"/>
        <w:rPr>
          <w:rFonts w:ascii="Calibri" w:eastAsia="Franklin Gothic Book" w:hAnsi="Calibri"/>
          <w:b/>
          <w:color w:val="auto"/>
          <w:sz w:val="20"/>
        </w:rPr>
      </w:pPr>
      <w:r w:rsidRPr="009E3E9F">
        <w:rPr>
          <w:rFonts w:ascii="Calibri" w:eastAsia="Franklin Gothic Book" w:hAnsi="Calibri"/>
          <w:b/>
          <w:color w:val="auto"/>
          <w:sz w:val="20"/>
        </w:rPr>
        <w:t>Program Influence FR Score</w:t>
      </w:r>
    </w:p>
    <w:p w14:paraId="158287C2"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The PI Score measures the overall influence of the program on the distributor’s efforts to sell more energy efficient equipment instead of a less efficient alternative.  It is developed based on a single question that asks the respondent to rate the overall importance of the program on the decision to install energy efficient equipment using a scale from 0 to 10, with 0 being not at all important and 10 being extremely important. </w:t>
      </w:r>
    </w:p>
    <w:p w14:paraId="4B9EE5C8"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 xml:space="preserve">As described in Section </w:t>
      </w:r>
      <w:r w:rsidRPr="009E3E9F">
        <w:rPr>
          <w:rFonts w:ascii="Calibri" w:eastAsia="Franklin Gothic Book" w:hAnsi="Calibri"/>
          <w:color w:val="auto"/>
          <w:sz w:val="20"/>
        </w:rPr>
        <w:fldChar w:fldCharType="begin"/>
      </w:r>
      <w:r w:rsidRPr="009E3E9F">
        <w:rPr>
          <w:rFonts w:ascii="Calibri" w:eastAsia="Franklin Gothic Book" w:hAnsi="Calibri"/>
          <w:color w:val="auto"/>
          <w:sz w:val="20"/>
        </w:rPr>
        <w:instrText xml:space="preserve"> REF _Ref442021223 \r \h </w:instrText>
      </w:r>
      <w:r w:rsidRPr="009E3E9F">
        <w:rPr>
          <w:rFonts w:ascii="Calibri" w:eastAsia="Franklin Gothic Book" w:hAnsi="Calibri"/>
          <w:color w:val="auto"/>
          <w:sz w:val="20"/>
        </w:rPr>
      </w:r>
      <w:r w:rsidRPr="009E3E9F">
        <w:rPr>
          <w:rFonts w:ascii="Calibri" w:eastAsia="Franklin Gothic Book" w:hAnsi="Calibri"/>
          <w:color w:val="auto"/>
          <w:sz w:val="20"/>
        </w:rPr>
        <w:fldChar w:fldCharType="separate"/>
      </w:r>
      <w:r w:rsidRPr="009E3E9F">
        <w:rPr>
          <w:rFonts w:ascii="Calibri" w:eastAsia="Franklin Gothic Book" w:hAnsi="Calibri"/>
          <w:color w:val="auto"/>
          <w:sz w:val="20"/>
        </w:rPr>
        <w:t>3.1</w:t>
      </w:r>
      <w:r w:rsidRPr="009E3E9F">
        <w:rPr>
          <w:rFonts w:ascii="Calibri" w:eastAsia="Franklin Gothic Book" w:hAnsi="Calibri"/>
          <w:color w:val="auto"/>
          <w:sz w:val="20"/>
        </w:rPr>
        <w:fldChar w:fldCharType="end"/>
      </w:r>
      <w:r w:rsidRPr="009E3E9F">
        <w:rPr>
          <w:rFonts w:ascii="Calibri" w:eastAsia="Franklin Gothic Book" w:hAnsi="Calibri"/>
          <w:color w:val="auto"/>
          <w:sz w:val="20"/>
        </w:rPr>
        <w:t>, to ensure the respondent thinks about the program holistically, before asking the single question, the survey will remind the respondent of various program factors that might have influenced decision-making. This could either be through one or more questions about various program factors, or through a read-in of program factors.</w:t>
      </w:r>
    </w:p>
    <w:p w14:paraId="29E20E5D" w14:textId="77777777" w:rsidR="009E3E9F" w:rsidRPr="009E3E9F" w:rsidRDefault="009E3E9F" w:rsidP="009E3E9F">
      <w:pPr>
        <w:widowControl w:val="0"/>
        <w:spacing w:after="120" w:line="240" w:lineRule="auto"/>
        <w:jc w:val="both"/>
        <w:rPr>
          <w:rFonts w:ascii="Calibri" w:hAnsi="Calibri"/>
          <w:b/>
          <w:color w:val="auto"/>
          <w:sz w:val="20"/>
        </w:rPr>
      </w:pPr>
      <w:r w:rsidRPr="009E3E9F">
        <w:rPr>
          <w:rFonts w:ascii="Calibri" w:hAnsi="Calibri"/>
          <w:color w:val="auto"/>
          <w:sz w:val="20"/>
        </w:rPr>
        <w:t xml:space="preserve">Program factors are those utility actions designed to convince the distributor to increase their stock of efficient equipment and to change their sales strategies </w:t>
      </w:r>
      <w:proofErr w:type="gramStart"/>
      <w:r w:rsidRPr="009E3E9F">
        <w:rPr>
          <w:rFonts w:ascii="Calibri" w:hAnsi="Calibri"/>
          <w:color w:val="auto"/>
          <w:sz w:val="20"/>
        </w:rPr>
        <w:t>in order to</w:t>
      </w:r>
      <w:proofErr w:type="gramEnd"/>
      <w:r w:rsidRPr="009E3E9F">
        <w:rPr>
          <w:rFonts w:ascii="Calibri" w:hAnsi="Calibri"/>
          <w:color w:val="auto"/>
          <w:sz w:val="20"/>
        </w:rPr>
        <w:t xml:space="preserve"> sell more of </w:t>
      </w:r>
      <w:proofErr w:type="gramStart"/>
      <w:r w:rsidRPr="009E3E9F">
        <w:rPr>
          <w:rFonts w:ascii="Calibri" w:hAnsi="Calibri"/>
          <w:color w:val="auto"/>
          <w:sz w:val="20"/>
        </w:rPr>
        <w:t>these more</w:t>
      </w:r>
      <w:proofErr w:type="gramEnd"/>
      <w:r w:rsidRPr="009E3E9F">
        <w:rPr>
          <w:rFonts w:ascii="Calibri" w:hAnsi="Calibri"/>
          <w:color w:val="auto"/>
          <w:sz w:val="20"/>
        </w:rPr>
        <w:t xml:space="preserve"> energy efficient models. These might include such things as the incentive, information about the cost-effectiveness of the more efficient units, promotional materials, and the training of sales staff. The various program factors referenced in the survey will be determined by evaluators based on available information.</w:t>
      </w:r>
    </w:p>
    <w:p w14:paraId="604DBE0E"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 xml:space="preserve">Evaluators will calculate the PI Score for each survey respondent using the following equation: </w:t>
      </w:r>
    </w:p>
    <w:p w14:paraId="218108BD" w14:textId="77777777" w:rsidR="009E3E9F" w:rsidRPr="009E3E9F" w:rsidRDefault="009E3E9F" w:rsidP="009E3E9F">
      <w:pPr>
        <w:keepNext/>
        <w:widowControl w:val="0"/>
        <w:spacing w:after="120" w:line="240" w:lineRule="auto"/>
        <w:ind w:left="720"/>
        <w:jc w:val="both"/>
        <w:rPr>
          <w:rFonts w:ascii="Calibri" w:eastAsia="Franklin Gothic Book" w:hAnsi="Calibri"/>
          <w:color w:val="auto"/>
          <w:sz w:val="20"/>
        </w:rPr>
      </w:pPr>
      <m:oMathPara>
        <m:oMathParaPr>
          <m:jc m:val="center"/>
        </m:oMathParaPr>
        <m:oMath>
          <m:r>
            <w:rPr>
              <w:rFonts w:ascii="Cambria Math" w:eastAsia="Franklin Gothic Book" w:hAnsi="Cambria Math"/>
              <w:color w:val="auto"/>
              <w:sz w:val="20"/>
            </w:rPr>
            <m:t xml:space="preserve">Program Influence FR Score  =  1 - </m:t>
          </m:r>
          <m:d>
            <m:dPr>
              <m:ctrlPr>
                <w:rPr>
                  <w:rFonts w:ascii="Cambria Math" w:eastAsia="Franklin Gothic Book" w:hAnsi="Cambria Math"/>
                  <w:i/>
                  <w:color w:val="auto"/>
                  <w:sz w:val="20"/>
                </w:rPr>
              </m:ctrlPr>
            </m:dPr>
            <m:e>
              <m:f>
                <m:fPr>
                  <m:ctrlPr>
                    <w:rPr>
                      <w:rFonts w:ascii="Cambria Math" w:eastAsia="Franklin Gothic Book" w:hAnsi="Cambria Math"/>
                      <w:i/>
                      <w:color w:val="auto"/>
                      <w:sz w:val="20"/>
                    </w:rPr>
                  </m:ctrlPr>
                </m:fPr>
                <m:num>
                  <m:d>
                    <m:dPr>
                      <m:begChr m:val="["/>
                      <m:endChr m:val="]"/>
                      <m:ctrlPr>
                        <w:rPr>
                          <w:rFonts w:ascii="Cambria Math" w:eastAsia="Franklin Gothic Book" w:hAnsi="Cambria Math"/>
                          <w:i/>
                          <w:color w:val="auto"/>
                          <w:sz w:val="20"/>
                        </w:rPr>
                      </m:ctrlPr>
                    </m:dPr>
                    <m:e>
                      <m:r>
                        <w:rPr>
                          <w:rFonts w:ascii="Cambria Math" w:eastAsia="Franklin Gothic Book" w:hAnsi="Cambria Math"/>
                          <w:color w:val="auto"/>
                          <w:sz w:val="20"/>
                        </w:rPr>
                        <m:t>Influence Rating</m:t>
                      </m:r>
                    </m:e>
                  </m:d>
                </m:num>
                <m:den>
                  <m:r>
                    <w:rPr>
                      <w:rFonts w:ascii="Cambria Math" w:eastAsia="Franklin Gothic Book" w:hAnsi="Cambria Math"/>
                      <w:color w:val="auto"/>
                      <w:sz w:val="20"/>
                    </w:rPr>
                    <m:t>10</m:t>
                  </m:r>
                </m:den>
              </m:f>
            </m:e>
          </m:d>
          <m:r>
            <w:rPr>
              <w:rFonts w:ascii="Cambria Math" w:eastAsia="Franklin Gothic Book" w:hAnsi="Cambria Math"/>
              <w:color w:val="auto"/>
              <w:sz w:val="20"/>
            </w:rPr>
            <m:t>.</m:t>
          </m:r>
        </m:oMath>
      </m:oMathPara>
    </w:p>
    <w:p w14:paraId="6E38F27B"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This score can range from 0 (no free ridership) to 1 (full free rider).</w:t>
      </w:r>
    </w:p>
    <w:p w14:paraId="19BB3EE3" w14:textId="77777777" w:rsidR="009E3E9F" w:rsidRPr="009E3E9F" w:rsidRDefault="009E3E9F" w:rsidP="009E3E9F">
      <w:pPr>
        <w:keepNext/>
        <w:keepLines/>
        <w:numPr>
          <w:ilvl w:val="4"/>
          <w:numId w:val="0"/>
        </w:numPr>
        <w:spacing w:before="120" w:after="120" w:line="240" w:lineRule="auto"/>
        <w:ind w:left="1008" w:hanging="1008"/>
        <w:outlineLvl w:val="4"/>
        <w:rPr>
          <w:rFonts w:ascii="Calibri" w:eastAsia="Franklin Gothic Book" w:hAnsi="Calibri"/>
          <w:b/>
          <w:color w:val="auto"/>
          <w:sz w:val="20"/>
        </w:rPr>
      </w:pPr>
      <w:r w:rsidRPr="009E3E9F">
        <w:rPr>
          <w:rFonts w:ascii="Calibri" w:eastAsia="Franklin Gothic Book" w:hAnsi="Calibri"/>
          <w:b/>
          <w:color w:val="auto"/>
          <w:sz w:val="20"/>
        </w:rPr>
        <w:t>Counterfactual FR Score</w:t>
      </w:r>
    </w:p>
    <w:p w14:paraId="3F685B03"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The CF Score is based on the most likely action the distributor would have taken with respect to sales strategies for program-qualified equipment in the absence of the program.</w:t>
      </w:r>
    </w:p>
    <w:p w14:paraId="2178660C"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 xml:space="preserve">Evaluators will administer a counterfactual likelihood survey question, which asks the respondent to identify which alternative among a list they would have been most likely to choose if the program and rebate had not been available. The scenarios will be specific to the </w:t>
      </w:r>
      <w:proofErr w:type="gramStart"/>
      <w:r w:rsidRPr="009E3E9F">
        <w:rPr>
          <w:rFonts w:ascii="Calibri" w:eastAsia="Franklin Gothic Book" w:hAnsi="Calibri"/>
          <w:color w:val="auto"/>
          <w:sz w:val="20"/>
        </w:rPr>
        <w:t>program, but</w:t>
      </w:r>
      <w:proofErr w:type="gramEnd"/>
      <w:r w:rsidRPr="009E3E9F">
        <w:rPr>
          <w:rFonts w:ascii="Calibri" w:eastAsia="Franklin Gothic Book" w:hAnsi="Calibri"/>
          <w:color w:val="auto"/>
          <w:sz w:val="20"/>
        </w:rPr>
        <w:t xml:space="preserve"> generally include options such as using fewer sales strategies to sell </w:t>
      </w:r>
      <w:proofErr w:type="gramStart"/>
      <w:r w:rsidRPr="009E3E9F">
        <w:rPr>
          <w:rFonts w:ascii="Calibri" w:eastAsia="Franklin Gothic Book" w:hAnsi="Calibri"/>
          <w:color w:val="auto"/>
          <w:sz w:val="20"/>
        </w:rPr>
        <w:t>program-qualified</w:t>
      </w:r>
      <w:proofErr w:type="gramEnd"/>
      <w:r w:rsidRPr="009E3E9F">
        <w:rPr>
          <w:rFonts w:ascii="Calibri" w:eastAsia="Franklin Gothic Book" w:hAnsi="Calibri"/>
          <w:color w:val="auto"/>
          <w:sz w:val="20"/>
        </w:rPr>
        <w:t xml:space="preserve"> equipment or using the same sales strategies as they did through the program. The respondents will be asked a follow-up question as illustrated in Figure 3-1. </w:t>
      </w:r>
    </w:p>
    <w:p w14:paraId="22EF99AD"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In cases where the response to the initial scenario question indicates likely free-ridership, evaluators will ask a follow-up question that obtains the likelihood on a 0 to 10-point numeric scale (where 0 means “not at all likely” and 10 means “extremely likely”), absent the program, that the respondent would not have used the same sales strategies as they did through the program.</w:t>
      </w:r>
    </w:p>
    <w:p w14:paraId="5CE747FB"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In cases where the response to the initial scenario question indicates likely non-free-ridership (flagged as “initial presumption of FR = 0” in Figure 3-1), evaluators will ask a follow-up question that obtains the likelihood on a 0 to 10-point numeric scale (where 0 means “not at all likely” and 10 means “extremely likely”), absent the program, that the respondent would have used the same sales strategies as they did through the program.</w:t>
      </w:r>
    </w:p>
    <w:p w14:paraId="2FC142A0"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There are two options for calculating the CF Score based on the above questions.</w:t>
      </w:r>
    </w:p>
    <w:p w14:paraId="2425B0D2"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 xml:space="preserve">Option 1 is the default choice and should be implemented except in cases as defined in Option 2 below. In Option 1, evaluators will </w:t>
      </w:r>
      <w:r w:rsidRPr="009E3E9F">
        <w:rPr>
          <w:rFonts w:ascii="Calibri" w:eastAsia="Franklin Gothic Book" w:hAnsi="Calibri"/>
          <w:color w:val="auto"/>
          <w:sz w:val="20"/>
        </w:rPr>
        <w:lastRenderedPageBreak/>
        <w:t>calculate the CF Score for each survey respondent based on responses to the likelihood follow-up questions using one of the following equations, with the selection of the equation based on the initial scenario selected by the respondent:</w:t>
      </w:r>
    </w:p>
    <w:p w14:paraId="54FD20B6" w14:textId="77777777" w:rsidR="009E3E9F" w:rsidRPr="009E3E9F" w:rsidRDefault="009E3E9F" w:rsidP="009E3E9F">
      <w:pPr>
        <w:keepNext/>
        <w:widowControl w:val="0"/>
        <w:spacing w:after="120" w:line="240" w:lineRule="auto"/>
        <w:ind w:left="720"/>
        <w:jc w:val="both"/>
        <w:rPr>
          <w:rFonts w:ascii="Calibri" w:eastAsia="Franklin Gothic Book" w:hAnsi="Calibri"/>
          <w:color w:val="auto"/>
          <w:sz w:val="20"/>
          <w:szCs w:val="20"/>
        </w:rPr>
      </w:pPr>
      <m:oMathPara>
        <m:oMath>
          <m:r>
            <w:rPr>
              <w:rFonts w:ascii="Cambria Math" w:eastAsia="Franklin Gothic Book" w:hAnsi="Cambria Math"/>
              <w:color w:val="auto"/>
              <w:sz w:val="20"/>
            </w:rPr>
            <m:t xml:space="preserve">CF Score= Likelihood would not have used same sales strategies =  1- </m:t>
          </m:r>
          <m:d>
            <m:dPr>
              <m:ctrlPr>
                <w:rPr>
                  <w:rFonts w:ascii="Cambria Math" w:eastAsia="Franklin Gothic Book" w:hAnsi="Cambria Math"/>
                  <w:i/>
                  <w:color w:val="auto"/>
                  <w:sz w:val="20"/>
                </w:rPr>
              </m:ctrlPr>
            </m:dPr>
            <m:e>
              <m:f>
                <m:fPr>
                  <m:ctrlPr>
                    <w:rPr>
                      <w:rFonts w:ascii="Cambria Math" w:eastAsia="Franklin Gothic Book" w:hAnsi="Cambria Math"/>
                      <w:i/>
                      <w:color w:val="auto"/>
                      <w:sz w:val="20"/>
                    </w:rPr>
                  </m:ctrlPr>
                </m:fPr>
                <m:num>
                  <m:d>
                    <m:dPr>
                      <m:begChr m:val="["/>
                      <m:endChr m:val="]"/>
                      <m:ctrlPr>
                        <w:rPr>
                          <w:rFonts w:ascii="Cambria Math" w:eastAsia="Franklin Gothic Book" w:hAnsi="Cambria Math"/>
                          <w:i/>
                          <w:color w:val="auto"/>
                          <w:sz w:val="20"/>
                        </w:rPr>
                      </m:ctrlPr>
                    </m:dPr>
                    <m:e>
                      <m:r>
                        <w:rPr>
                          <w:rFonts w:ascii="Cambria Math" w:eastAsia="Franklin Gothic Book" w:hAnsi="Cambria Math"/>
                          <w:color w:val="auto"/>
                          <w:sz w:val="20"/>
                        </w:rPr>
                        <m:t>Rating</m:t>
                      </m:r>
                    </m:e>
                  </m:d>
                </m:num>
                <m:den>
                  <m:r>
                    <w:rPr>
                      <w:rFonts w:ascii="Cambria Math" w:eastAsia="Franklin Gothic Book" w:hAnsi="Cambria Math"/>
                      <w:color w:val="auto"/>
                      <w:sz w:val="20"/>
                    </w:rPr>
                    <m:t>10</m:t>
                  </m:r>
                </m:den>
              </m:f>
            </m:e>
          </m:d>
          <m:r>
            <w:rPr>
              <w:rFonts w:ascii="Cambria Math" w:eastAsia="Franklin Gothic Book" w:hAnsi="Cambria Math"/>
              <w:color w:val="auto"/>
              <w:sz w:val="20"/>
            </w:rPr>
            <m:t xml:space="preserve"> </m:t>
          </m:r>
          <m:r>
            <m:rPr>
              <m:sty m:val="p"/>
            </m:rPr>
            <w:rPr>
              <w:rFonts w:ascii="Cambria Math" w:eastAsia="Franklin Gothic Book" w:hAnsi="Cambria Math"/>
              <w:color w:val="auto"/>
              <w:sz w:val="20"/>
            </w:rPr>
            <w:br/>
          </m:r>
        </m:oMath>
        <m:oMath>
          <m:r>
            <w:rPr>
              <w:rFonts w:ascii="Cambria Math" w:eastAsia="Franklin Gothic Book" w:hAnsi="Cambria Math"/>
              <w:color w:val="auto"/>
              <w:sz w:val="20"/>
            </w:rPr>
            <m:t xml:space="preserve">OR </m:t>
          </m:r>
          <m:r>
            <m:rPr>
              <m:sty m:val="p"/>
            </m:rPr>
            <w:rPr>
              <w:rFonts w:ascii="Cambria Math" w:eastAsia="Franklin Gothic Book" w:hAnsi="Cambria Math"/>
              <w:color w:val="auto"/>
              <w:sz w:val="20"/>
            </w:rPr>
            <w:br/>
          </m:r>
        </m:oMath>
        <m:oMath>
          <m:r>
            <w:rPr>
              <w:rFonts w:ascii="Cambria Math" w:eastAsia="Franklin Gothic Book" w:hAnsi="Cambria Math"/>
              <w:color w:val="auto"/>
              <w:sz w:val="20"/>
              <w:szCs w:val="20"/>
            </w:rPr>
            <m:t xml:space="preserve">Likelihood would have used same sales strategies =  </m:t>
          </m:r>
          <m:d>
            <m:dPr>
              <m:ctrlPr>
                <w:rPr>
                  <w:rFonts w:ascii="Cambria Math" w:eastAsia="Franklin Gothic Book" w:hAnsi="Cambria Math"/>
                  <w:i/>
                  <w:color w:val="auto"/>
                  <w:sz w:val="20"/>
                </w:rPr>
              </m:ctrlPr>
            </m:dPr>
            <m:e>
              <m:f>
                <m:fPr>
                  <m:ctrlPr>
                    <w:rPr>
                      <w:rFonts w:ascii="Cambria Math" w:eastAsia="Franklin Gothic Book" w:hAnsi="Cambria Math"/>
                      <w:i/>
                      <w:color w:val="auto"/>
                      <w:sz w:val="20"/>
                    </w:rPr>
                  </m:ctrlPr>
                </m:fPr>
                <m:num>
                  <m:d>
                    <m:dPr>
                      <m:begChr m:val="["/>
                      <m:endChr m:val="]"/>
                      <m:ctrlPr>
                        <w:rPr>
                          <w:rFonts w:ascii="Cambria Math" w:eastAsia="Franklin Gothic Book" w:hAnsi="Cambria Math"/>
                          <w:i/>
                          <w:color w:val="auto"/>
                          <w:sz w:val="20"/>
                        </w:rPr>
                      </m:ctrlPr>
                    </m:dPr>
                    <m:e>
                      <m:r>
                        <w:rPr>
                          <w:rFonts w:ascii="Cambria Math" w:eastAsia="Franklin Gothic Book" w:hAnsi="Cambria Math"/>
                          <w:color w:val="auto"/>
                          <w:sz w:val="20"/>
                        </w:rPr>
                        <m:t>Rating</m:t>
                      </m:r>
                    </m:e>
                  </m:d>
                </m:num>
                <m:den>
                  <m:r>
                    <w:rPr>
                      <w:rFonts w:ascii="Cambria Math" w:eastAsia="Franklin Gothic Book" w:hAnsi="Cambria Math"/>
                      <w:color w:val="auto"/>
                      <w:sz w:val="20"/>
                    </w:rPr>
                    <m:t>10</m:t>
                  </m:r>
                </m:den>
              </m:f>
            </m:e>
          </m:d>
          <m:r>
            <w:rPr>
              <w:rFonts w:ascii="Cambria Math" w:eastAsia="Franklin Gothic Book" w:hAnsi="Cambria Math"/>
              <w:color w:val="auto"/>
              <w:sz w:val="20"/>
              <w:szCs w:val="20"/>
            </w:rPr>
            <m:t>.</m:t>
          </m:r>
        </m:oMath>
      </m:oMathPara>
    </w:p>
    <w:p w14:paraId="0DDCB758" w14:textId="77777777" w:rsidR="009E3E9F" w:rsidRPr="009E3E9F" w:rsidRDefault="009E3E9F" w:rsidP="009E3E9F">
      <w:pPr>
        <w:keepNext/>
        <w:widowControl w:val="0"/>
        <w:spacing w:after="120" w:line="240" w:lineRule="auto"/>
        <w:jc w:val="both"/>
        <w:rPr>
          <w:rFonts w:ascii="Calibri" w:eastAsia="Franklin Gothic Book" w:hAnsi="Calibri"/>
          <w:color w:val="auto"/>
          <w:sz w:val="20"/>
          <w:szCs w:val="20"/>
        </w:rPr>
      </w:pPr>
      <w:r w:rsidRPr="009E3E9F">
        <w:rPr>
          <w:rFonts w:ascii="Calibri" w:eastAsia="Franklin Gothic Book" w:hAnsi="Calibri"/>
          <w:color w:val="auto"/>
          <w:sz w:val="20"/>
        </w:rPr>
        <w:t>Option 2 is an alternative option to be used only in cases where evaluators believe that there is evidence that respondents are not able to understand and correctly answer the likelihood follow-up questions. In Option 2, evaluators will set the CF Score equal to a presumption of FR based on the initial response to the scenario question only. Figure 3-</w:t>
      </w:r>
      <w:proofErr w:type="gramStart"/>
      <w:r w:rsidRPr="009E3E9F">
        <w:rPr>
          <w:rFonts w:ascii="Calibri" w:eastAsia="Franklin Gothic Book" w:hAnsi="Calibri"/>
          <w:color w:val="auto"/>
          <w:sz w:val="20"/>
        </w:rPr>
        <w:t>1 provides</w:t>
      </w:r>
      <w:proofErr w:type="gramEnd"/>
      <w:r w:rsidRPr="009E3E9F">
        <w:rPr>
          <w:rFonts w:ascii="Calibri" w:eastAsia="Franklin Gothic Book" w:hAnsi="Calibri"/>
          <w:color w:val="auto"/>
          <w:sz w:val="20"/>
        </w:rPr>
        <w:t xml:space="preserve"> prescribes initial presumption of FR values for default scenarios. These values are binary and take the form of either no free ridership (CF Score = 0) or total free ridership (CF Score = 1).</w:t>
      </w:r>
    </w:p>
    <w:p w14:paraId="67725A8C"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If evaluators choose Option 2, they should still report Option 1 scores and provide a rationale for why they believe Option 1 is not appropriate based on available data. Option 2 scores do not need to be reported if Option 1 is chosen, but evaluators may wish to report the scores to enable future dialog in the NTG Working Group as to the form of the Core Non-Residential Free Ridership Protocol.</w:t>
      </w:r>
    </w:p>
    <w:p w14:paraId="290893D0"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 xml:space="preserve">Both options for calculating the CF Score produce scores that can range from 0 (no free ridership) to 1 (full free rider). Option 2 will lead to CF Score values that are </w:t>
      </w:r>
      <w:r w:rsidRPr="009E3E9F">
        <w:rPr>
          <w:rFonts w:ascii="Calibri" w:eastAsia="Franklin Gothic Book" w:hAnsi="Calibri"/>
          <w:i/>
          <w:iCs/>
          <w:color w:val="auto"/>
          <w:sz w:val="20"/>
        </w:rPr>
        <w:t>only</w:t>
      </w:r>
      <w:r w:rsidRPr="009E3E9F">
        <w:rPr>
          <w:rFonts w:ascii="Calibri" w:eastAsia="Franklin Gothic Book" w:hAnsi="Calibri"/>
          <w:color w:val="auto"/>
          <w:sz w:val="20"/>
        </w:rPr>
        <w:t xml:space="preserve"> 0 (no free ridership) or 1 (full free ridership).</w:t>
      </w:r>
    </w:p>
    <w:p w14:paraId="491B5C11" w14:textId="77777777" w:rsidR="009E3E9F" w:rsidRPr="009E3E9F" w:rsidRDefault="009E3E9F" w:rsidP="009E3E9F">
      <w:pPr>
        <w:widowControl w:val="0"/>
        <w:spacing w:after="120" w:line="240" w:lineRule="auto"/>
        <w:jc w:val="both"/>
        <w:rPr>
          <w:rFonts w:ascii="Calibri" w:eastAsia="Franklin Gothic Book" w:hAnsi="Calibri"/>
          <w:color w:val="auto"/>
          <w:sz w:val="20"/>
        </w:rPr>
      </w:pPr>
      <w:r w:rsidRPr="009E3E9F">
        <w:rPr>
          <w:rFonts w:ascii="Calibri" w:eastAsia="Franklin Gothic Book" w:hAnsi="Calibri"/>
          <w:color w:val="auto"/>
          <w:sz w:val="20"/>
        </w:rPr>
        <w:t>Note that evaluators may determine that the development of the Counterfactual FR Score for Midstream programs cannot be implemented in the same manner as described above due to distributors considering multiple components with different decision-making. In these cases, evaluators may need to deviate from the Midstream Free-Ridership Protocol. This issue will be addressed in IL-TRM V13.0.</w:t>
      </w:r>
    </w:p>
    <w:p w14:paraId="39A7D949" w14:textId="77777777" w:rsidR="009E3E9F" w:rsidRPr="009E3E9F" w:rsidRDefault="009E3E9F" w:rsidP="009E3E9F">
      <w:pPr>
        <w:keepNext/>
        <w:keepLines/>
        <w:numPr>
          <w:ilvl w:val="4"/>
          <w:numId w:val="0"/>
        </w:numPr>
        <w:spacing w:before="120" w:after="120" w:line="240" w:lineRule="auto"/>
        <w:ind w:left="1008" w:hanging="1008"/>
        <w:outlineLvl w:val="4"/>
        <w:rPr>
          <w:rFonts w:ascii="Calibri" w:eastAsia="Franklin Gothic Book" w:hAnsi="Calibri"/>
          <w:b/>
          <w:color w:val="auto"/>
          <w:sz w:val="20"/>
        </w:rPr>
      </w:pPr>
      <w:r w:rsidRPr="009E3E9F">
        <w:rPr>
          <w:rFonts w:ascii="Calibri" w:eastAsia="Franklin Gothic Book" w:hAnsi="Calibri"/>
          <w:b/>
          <w:color w:val="auto"/>
          <w:sz w:val="20"/>
        </w:rPr>
        <w:t>Program Factors, Consistency Checks, and Quality Control Review</w:t>
      </w:r>
    </w:p>
    <w:p w14:paraId="77478894"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Evaluators should also follow the guidelines regarding program and non-program factors, consistency checks, and quality control review in Section 3.1.1: Core Non-Residential Free Ridership Protocol. </w:t>
      </w:r>
    </w:p>
    <w:p w14:paraId="0E4F856A"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 xml:space="preserve">Consistency checks, specifically, should be included </w:t>
      </w:r>
      <w:proofErr w:type="gramStart"/>
      <w:r w:rsidRPr="009E3E9F">
        <w:rPr>
          <w:rFonts w:ascii="Calibri" w:hAnsi="Calibri"/>
          <w:color w:val="auto"/>
          <w:sz w:val="20"/>
        </w:rPr>
        <w:t>consistent</w:t>
      </w:r>
      <w:proofErr w:type="gramEnd"/>
      <w:r w:rsidRPr="009E3E9F">
        <w:rPr>
          <w:rFonts w:ascii="Calibri" w:hAnsi="Calibri"/>
          <w:color w:val="auto"/>
          <w:sz w:val="20"/>
        </w:rPr>
        <w:t xml:space="preserve"> with guidance in Section </w:t>
      </w:r>
      <w:r w:rsidRPr="009E3E9F">
        <w:rPr>
          <w:rFonts w:ascii="Calibri" w:hAnsi="Calibri"/>
          <w:color w:val="auto"/>
          <w:sz w:val="20"/>
        </w:rPr>
        <w:fldChar w:fldCharType="begin"/>
      </w:r>
      <w:r w:rsidRPr="009E3E9F">
        <w:rPr>
          <w:rFonts w:ascii="Calibri" w:hAnsi="Calibri"/>
          <w:color w:val="auto"/>
          <w:sz w:val="20"/>
        </w:rPr>
        <w:instrText xml:space="preserve"> REF _Ref133350205 \r \h </w:instrText>
      </w:r>
      <w:r w:rsidRPr="009E3E9F">
        <w:rPr>
          <w:rFonts w:ascii="Calibri" w:hAnsi="Calibri"/>
          <w:color w:val="auto"/>
          <w:sz w:val="20"/>
        </w:rPr>
      </w:r>
      <w:r w:rsidRPr="009E3E9F">
        <w:rPr>
          <w:rFonts w:ascii="Calibri" w:hAnsi="Calibri"/>
          <w:color w:val="auto"/>
          <w:sz w:val="20"/>
        </w:rPr>
        <w:fldChar w:fldCharType="separate"/>
      </w:r>
      <w:r w:rsidRPr="009E3E9F">
        <w:rPr>
          <w:rFonts w:ascii="Calibri" w:hAnsi="Calibri"/>
          <w:color w:val="auto"/>
          <w:sz w:val="20"/>
        </w:rPr>
        <w:t>3.1.1.1.4</w:t>
      </w:r>
      <w:r w:rsidRPr="009E3E9F">
        <w:rPr>
          <w:rFonts w:ascii="Calibri" w:hAnsi="Calibri"/>
          <w:color w:val="auto"/>
          <w:sz w:val="20"/>
        </w:rPr>
        <w:fldChar w:fldCharType="end"/>
      </w:r>
      <w:r w:rsidRPr="009E3E9F">
        <w:rPr>
          <w:rFonts w:ascii="Calibri" w:hAnsi="Calibri"/>
          <w:color w:val="auto"/>
          <w:sz w:val="20"/>
        </w:rPr>
        <w:t xml:space="preserve">. Additional consistency </w:t>
      </w:r>
      <w:proofErr w:type="gramStart"/>
      <w:r w:rsidRPr="009E3E9F">
        <w:rPr>
          <w:rFonts w:ascii="Calibri" w:hAnsi="Calibri"/>
          <w:color w:val="auto"/>
          <w:sz w:val="20"/>
        </w:rPr>
        <w:t>check</w:t>
      </w:r>
      <w:proofErr w:type="gramEnd"/>
      <w:r w:rsidRPr="009E3E9F">
        <w:rPr>
          <w:rFonts w:ascii="Calibri" w:hAnsi="Calibri"/>
          <w:color w:val="auto"/>
          <w:sz w:val="20"/>
        </w:rPr>
        <w:t xml:space="preserve"> questions to resolve identified inconsistencies remain </w:t>
      </w:r>
      <w:proofErr w:type="gramStart"/>
      <w:r w:rsidRPr="009E3E9F">
        <w:rPr>
          <w:rFonts w:ascii="Calibri" w:hAnsi="Calibri"/>
          <w:color w:val="auto"/>
          <w:sz w:val="20"/>
        </w:rPr>
        <w:t>optional, but</w:t>
      </w:r>
      <w:proofErr w:type="gramEnd"/>
      <w:r w:rsidRPr="009E3E9F">
        <w:rPr>
          <w:rFonts w:ascii="Calibri" w:hAnsi="Calibri"/>
          <w:color w:val="auto"/>
          <w:sz w:val="20"/>
        </w:rPr>
        <w:t xml:space="preserve"> may be used by the evaluator to resolve inconsistencies in real time if desirable.</w:t>
      </w:r>
    </w:p>
    <w:p w14:paraId="1BBDD980" w14:textId="77777777" w:rsidR="009E3E9F" w:rsidRPr="009E3E9F" w:rsidRDefault="009E3E9F" w:rsidP="009E3E9F">
      <w:pPr>
        <w:keepNext/>
        <w:keepLines/>
        <w:numPr>
          <w:ilvl w:val="4"/>
          <w:numId w:val="0"/>
        </w:numPr>
        <w:spacing w:before="120" w:after="120" w:line="240" w:lineRule="auto"/>
        <w:ind w:left="1008" w:hanging="1008"/>
        <w:outlineLvl w:val="4"/>
        <w:rPr>
          <w:rFonts w:ascii="Calibri" w:eastAsia="Franklin Gothic Book" w:hAnsi="Calibri"/>
          <w:b/>
          <w:color w:val="auto"/>
          <w:sz w:val="20"/>
        </w:rPr>
      </w:pPr>
      <w:r w:rsidRPr="009E3E9F">
        <w:rPr>
          <w:rFonts w:ascii="Calibri" w:eastAsia="Franklin Gothic Book" w:hAnsi="Calibri"/>
          <w:b/>
          <w:color w:val="auto"/>
          <w:sz w:val="20"/>
        </w:rPr>
        <w:t>Alternative Approaches to Estimation of Midstream Influence</w:t>
      </w:r>
    </w:p>
    <w:p w14:paraId="5D4DBA7F" w14:textId="77777777" w:rsidR="009E3E9F" w:rsidRPr="009E3E9F" w:rsidRDefault="009E3E9F" w:rsidP="009E3E9F">
      <w:pPr>
        <w:widowControl w:val="0"/>
        <w:spacing w:after="120" w:line="240" w:lineRule="auto"/>
        <w:jc w:val="both"/>
        <w:rPr>
          <w:rFonts w:ascii="Calibri" w:hAnsi="Calibri"/>
          <w:color w:val="auto"/>
          <w:sz w:val="20"/>
        </w:rPr>
      </w:pPr>
      <w:r w:rsidRPr="009E3E9F">
        <w:rPr>
          <w:rFonts w:ascii="Calibri" w:hAnsi="Calibri"/>
          <w:color w:val="auto"/>
          <w:sz w:val="20"/>
        </w:rPr>
        <w:t>The approach for assessing program impacts described in this section should not be considered exclusive or exhaustive. However, use of a different method or of a modified algorithm will be considered a deviation as discussed in Section 1.4: Diverging from the IL-</w:t>
      </w:r>
      <w:proofErr w:type="gramStart"/>
      <w:r w:rsidRPr="009E3E9F">
        <w:rPr>
          <w:rFonts w:ascii="Calibri" w:hAnsi="Calibri"/>
          <w:color w:val="auto"/>
          <w:sz w:val="20"/>
        </w:rPr>
        <w:t>NTG Methods, and</w:t>
      </w:r>
      <w:proofErr w:type="gramEnd"/>
      <w:r w:rsidRPr="009E3E9F">
        <w:rPr>
          <w:rFonts w:ascii="Calibri" w:hAnsi="Calibri"/>
          <w:color w:val="auto"/>
          <w:sz w:val="20"/>
        </w:rPr>
        <w:t xml:space="preserve"> will require a proposal to the Illinois SAG and approval of the proposed method by the SAG. Some additional potential methods that would be considered a deviation from this protocol will now be discussed.</w:t>
      </w:r>
      <w:r w:rsidRPr="009E3E9F">
        <w:rPr>
          <w:rFonts w:ascii="Times New Roman" w:hAnsi="Times New Roman"/>
          <w:color w:val="auto"/>
          <w:sz w:val="24"/>
          <w:szCs w:val="24"/>
        </w:rPr>
        <w:t xml:space="preserve"> </w:t>
      </w:r>
      <w:r w:rsidRPr="009E3E9F">
        <w:rPr>
          <w:rFonts w:ascii="Calibri" w:hAnsi="Calibri"/>
          <w:color w:val="auto"/>
          <w:sz w:val="20"/>
        </w:rPr>
        <w:t xml:space="preserve">Within the general framework of the non-residential algorithm, there are other possible ways to construct indicators of free ridership depending on the data available. For example, for the No-Program FR Score, if the evaluator can obtain historic and current category sales data from each participating distributor, these data can be combined with program sales data (that they are required to provide to the utility) to determine the shift in efficient market shares at the distributor and program levels. If current category sales data are not available, the evaluator could ask the distributors about changes in these shares from the pre- to the post-participation periods (see example from EMI, 2018), although this approach is likely less reliable than shares based on recorded sales data. </w:t>
      </w:r>
      <w:proofErr w:type="gramStart"/>
      <w:r w:rsidRPr="009E3E9F">
        <w:rPr>
          <w:rFonts w:ascii="Calibri" w:hAnsi="Calibri"/>
          <w:color w:val="auto"/>
          <w:sz w:val="20"/>
        </w:rPr>
        <w:t>Or,</w:t>
      </w:r>
      <w:proofErr w:type="gramEnd"/>
      <w:r w:rsidRPr="009E3E9F">
        <w:rPr>
          <w:rFonts w:ascii="Calibri" w:hAnsi="Calibri"/>
          <w:color w:val="auto"/>
          <w:sz w:val="20"/>
        </w:rPr>
        <w:t xml:space="preserve"> one could also conduct an interrupted time-series analysis of monthly sales of program-qualified units. There may also be qualitative methodologies which can be combined with quantitative methodologies to enhance the accuracy of program impact estimates. One could also employ a theory-driven evaluation framework (Coryn, 2011) within which an evaluator could assess the program’s effectiveness, guided by the program theory and logic model. For a complex midstream distributor program, an evaluator could develop performance metrics for each activity, output, and outcome and assess the extent to which major activities of the program have been and are being successfully implemented and whether these activities had led to or are likely to lead eventually to the expected short-, mid-, and long-term outcomes.  Of course, as evaluators choose to use some of these other methods, they must propose and defend a modified algorithm that can include the results from using these other methods.</w:t>
      </w:r>
    </w:p>
    <w:p w14:paraId="0BEB1064" w14:textId="16A6D347" w:rsidR="002E777A" w:rsidRPr="002E777A" w:rsidRDefault="002E777A" w:rsidP="002E777A">
      <w:pPr>
        <w:widowControl w:val="0"/>
        <w:spacing w:after="120" w:line="240" w:lineRule="auto"/>
        <w:jc w:val="both"/>
        <w:rPr>
          <w:rFonts w:ascii="Calibri" w:hAnsi="Calibri"/>
          <w:color w:val="auto"/>
          <w:sz w:val="20"/>
        </w:rPr>
      </w:pPr>
    </w:p>
    <w:p w14:paraId="00C9A4DF" w14:textId="50B8EFAA" w:rsidR="00304B97" w:rsidRDefault="00304B97" w:rsidP="002E777A">
      <w:bookmarkStart w:id="0" w:name="_Toc520824190"/>
      <w:bookmarkStart w:id="1" w:name="_Toc520824191"/>
      <w:bookmarkStart w:id="2" w:name="_Toc520824192"/>
      <w:bookmarkStart w:id="3" w:name="_Toc520824193"/>
      <w:bookmarkStart w:id="4" w:name="_Toc520824194"/>
      <w:bookmarkStart w:id="5" w:name="_Toc520824195"/>
      <w:bookmarkStart w:id="6" w:name="_Toc520824196"/>
      <w:bookmarkStart w:id="7" w:name="_Toc520824197"/>
      <w:bookmarkStart w:id="8" w:name="_Toc520824198"/>
      <w:bookmarkStart w:id="9" w:name="_Toc520824199"/>
      <w:bookmarkStart w:id="10" w:name="_Toc520824200"/>
      <w:bookmarkStart w:id="11" w:name="_Toc520824201"/>
      <w:bookmarkStart w:id="12" w:name="_Toc520440439"/>
      <w:bookmarkStart w:id="13" w:name="_Toc520440527"/>
      <w:bookmarkStart w:id="14" w:name="_Toc520824202"/>
      <w:bookmarkStart w:id="15" w:name="_Toc520440440"/>
      <w:bookmarkStart w:id="16" w:name="_Toc520440528"/>
      <w:bookmarkStart w:id="17" w:name="_Toc520824203"/>
      <w:bookmarkStart w:id="18" w:name="_Toc520440441"/>
      <w:bookmarkStart w:id="19" w:name="_Toc520440529"/>
      <w:bookmarkStart w:id="20" w:name="_Toc520824204"/>
      <w:bookmarkStart w:id="21" w:name="_Toc520440442"/>
      <w:bookmarkStart w:id="22" w:name="_Toc520440530"/>
      <w:bookmarkStart w:id="23" w:name="_Toc520824205"/>
      <w:bookmarkStart w:id="24" w:name="_Toc520440443"/>
      <w:bookmarkStart w:id="25" w:name="_Toc520440531"/>
      <w:bookmarkStart w:id="26" w:name="_Toc520824206"/>
      <w:bookmarkStart w:id="27" w:name="_Toc520440444"/>
      <w:bookmarkStart w:id="28" w:name="_Toc520440532"/>
      <w:bookmarkStart w:id="29" w:name="_Toc520824207"/>
      <w:bookmarkStart w:id="30" w:name="_Toc520440445"/>
      <w:bookmarkStart w:id="31" w:name="_Toc520440533"/>
      <w:bookmarkStart w:id="32" w:name="_Toc520824208"/>
      <w:bookmarkStart w:id="33" w:name="_Toc520824209"/>
      <w:bookmarkStart w:id="34" w:name="_Toc520824210"/>
      <w:bookmarkStart w:id="35" w:name="_Toc520824211"/>
      <w:bookmarkStart w:id="36" w:name="_Toc520824212"/>
      <w:bookmarkStart w:id="37" w:name="_Toc520824213"/>
      <w:bookmarkStart w:id="38" w:name="_Toc520824214"/>
      <w:bookmarkStart w:id="39" w:name="_Toc520824215"/>
      <w:bookmarkStart w:id="40" w:name="_Toc520824216"/>
      <w:bookmarkStart w:id="41" w:name="_Toc520824217"/>
      <w:bookmarkStart w:id="42" w:name="_Toc520824218"/>
      <w:bookmarkStart w:id="43" w:name="_Toc520824219"/>
      <w:bookmarkStart w:id="44" w:name="_Toc520824220"/>
      <w:bookmarkStart w:id="45" w:name="_Toc520824221"/>
      <w:bookmarkStart w:id="46" w:name="_Toc520824222"/>
      <w:bookmarkStart w:id="47" w:name="_Toc520824223"/>
      <w:bookmarkStart w:id="48" w:name="_Toc520824224"/>
      <w:bookmarkStart w:id="49" w:name="_Toc520824225"/>
      <w:bookmarkStart w:id="50" w:name="_Toc520824226"/>
      <w:bookmarkStart w:id="51" w:name="_Toc520824227"/>
      <w:bookmarkStart w:id="52" w:name="_Toc520824228"/>
      <w:bookmarkStart w:id="53" w:name="_Toc520824229"/>
      <w:bookmarkStart w:id="54" w:name="_Toc520824230"/>
      <w:bookmarkStart w:id="55" w:name="_Toc520824231"/>
      <w:bookmarkStart w:id="56" w:name="_Toc520824232"/>
      <w:bookmarkStart w:id="57" w:name="_Toc520824233"/>
      <w:bookmarkStart w:id="58" w:name="_Toc520824234"/>
      <w:bookmarkStart w:id="59" w:name="_Toc520824235"/>
      <w:bookmarkStart w:id="60" w:name="_Toc520824236"/>
      <w:bookmarkStart w:id="61" w:name="_Toc520824237"/>
      <w:bookmarkStart w:id="62" w:name="_Toc520824238"/>
      <w:bookmarkStart w:id="63" w:name="_Toc520824239"/>
      <w:bookmarkStart w:id="64" w:name="_Toc520824240"/>
      <w:bookmarkStart w:id="65" w:name="_Toc5208242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ectPr w:rsidR="00304B97" w:rsidSect="003924A0">
      <w:headerReference w:type="default" r:id="rId14"/>
      <w:footerReference w:type="default" r:id="rId15"/>
      <w:type w:val="continuous"/>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086F2" w14:textId="77777777" w:rsidR="00135D62" w:rsidRDefault="00135D62">
      <w:pPr>
        <w:spacing w:after="0" w:line="240" w:lineRule="auto"/>
      </w:pPr>
      <w:r>
        <w:separator/>
      </w:r>
    </w:p>
    <w:p w14:paraId="72A5D0FF" w14:textId="77777777" w:rsidR="00135D62" w:rsidRDefault="00135D62"/>
  </w:endnote>
  <w:endnote w:type="continuationSeparator" w:id="0">
    <w:p w14:paraId="32AEF8C2" w14:textId="77777777" w:rsidR="00135D62" w:rsidRDefault="00135D62">
      <w:pPr>
        <w:spacing w:after="0" w:line="240" w:lineRule="auto"/>
      </w:pPr>
      <w:r>
        <w:continuationSeparator/>
      </w:r>
    </w:p>
    <w:p w14:paraId="7D89EC8F" w14:textId="77777777" w:rsidR="00135D62" w:rsidRDefault="00135D62"/>
  </w:endnote>
  <w:endnote w:type="continuationNotice" w:id="1">
    <w:p w14:paraId="5DBC5FC2" w14:textId="77777777" w:rsidR="00135D62" w:rsidRDefault="00135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ft Soft">
    <w:panose1 w:val="00000500000000000000"/>
    <w:charset w:val="00"/>
    <w:family w:val="modern"/>
    <w:notTrueType/>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Rift Soft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ift Soft Demi">
    <w:panose1 w:val="00000700000000000000"/>
    <w:charset w:val="00"/>
    <w:family w:val="modern"/>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DExcelPlaceholder"/>
      <w:tblW w:w="0" w:type="auto"/>
      <w:tblLayout w:type="fixed"/>
      <w:tblLook w:val="04A0" w:firstRow="1" w:lastRow="0" w:firstColumn="1" w:lastColumn="0" w:noHBand="0" w:noVBand="1"/>
    </w:tblPr>
    <w:tblGrid>
      <w:gridCol w:w="5548"/>
      <w:gridCol w:w="5548"/>
    </w:tblGrid>
    <w:tr w:rsidR="007C320D" w14:paraId="4DBD324A" w14:textId="77777777" w:rsidTr="008420AC">
      <w:trPr>
        <w:cnfStyle w:val="100000000000" w:firstRow="1" w:lastRow="0" w:firstColumn="0" w:lastColumn="0" w:oddVBand="0" w:evenVBand="0" w:oddHBand="0" w:evenHBand="0" w:firstRowFirstColumn="0" w:firstRowLastColumn="0" w:lastRowFirstColumn="0" w:lastRowLastColumn="0"/>
      </w:trPr>
      <w:tc>
        <w:tcPr>
          <w:tcW w:w="5548" w:type="dxa"/>
        </w:tcPr>
        <w:p w14:paraId="53294A9B" w14:textId="77777777" w:rsidR="0040139D" w:rsidRPr="00EF048B" w:rsidRDefault="007E1A84" w:rsidP="001F322C">
          <w:r w:rsidRPr="00CB54CF">
            <w:t>Opinion Dynamics</w:t>
          </w:r>
        </w:p>
      </w:tc>
      <w:tc>
        <w:tcPr>
          <w:tcW w:w="5548" w:type="dxa"/>
        </w:tcPr>
        <w:p w14:paraId="721FEC67" w14:textId="77777777" w:rsidR="0040139D" w:rsidRPr="00EF048B" w:rsidRDefault="007E1A84" w:rsidP="001F322C">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6E3F18EC" w14:textId="77777777" w:rsidR="0040139D" w:rsidRDefault="0040139D" w:rsidP="001F32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DExcelPlaceholder"/>
      <w:tblW w:w="0" w:type="auto"/>
      <w:tblLayout w:type="fixed"/>
      <w:tblLook w:val="04A0" w:firstRow="1" w:lastRow="0" w:firstColumn="1" w:lastColumn="0" w:noHBand="0" w:noVBand="1"/>
    </w:tblPr>
    <w:tblGrid>
      <w:gridCol w:w="5548"/>
      <w:gridCol w:w="5548"/>
    </w:tblGrid>
    <w:tr w:rsidR="007C320D" w14:paraId="071F9F59" w14:textId="77777777" w:rsidTr="00963607">
      <w:trPr>
        <w:cnfStyle w:val="100000000000" w:firstRow="1" w:lastRow="0" w:firstColumn="0" w:lastColumn="0" w:oddVBand="0" w:evenVBand="0" w:oddHBand="0" w:evenHBand="0" w:firstRowFirstColumn="0" w:firstRowLastColumn="0" w:lastRowFirstColumn="0" w:lastRowLastColumn="0"/>
      </w:trPr>
      <w:tc>
        <w:tcPr>
          <w:tcW w:w="5548" w:type="dxa"/>
        </w:tcPr>
        <w:p w14:paraId="4EB231A8" w14:textId="77777777" w:rsidR="00BD573A" w:rsidRPr="00EF048B" w:rsidRDefault="007E1A84" w:rsidP="00A02BBA">
          <w:pPr>
            <w:pStyle w:val="Footer"/>
            <w:jc w:val="left"/>
          </w:pPr>
          <w:r w:rsidRPr="00CB54CF">
            <w:t>Opinion Dynamics</w:t>
          </w:r>
        </w:p>
      </w:tc>
      <w:tc>
        <w:tcPr>
          <w:tcW w:w="5548" w:type="dxa"/>
        </w:tcPr>
        <w:p w14:paraId="2527E8ED" w14:textId="77777777" w:rsidR="00BD573A" w:rsidRPr="00EF048B" w:rsidRDefault="007E1A84" w:rsidP="00A02BBA">
          <w:pPr>
            <w:pStyle w:val="Footer"/>
            <w:jc w:val="right"/>
          </w:pPr>
          <w:r w:rsidRPr="00CB54CF">
            <w:t>|</w:t>
          </w:r>
          <w:r w:rsidR="002E2AB7">
            <w:t xml:space="preserve">  </w:t>
          </w:r>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6330C53D" w14:textId="77777777" w:rsidR="00E842FE" w:rsidRPr="00BD573A" w:rsidRDefault="00E842FE" w:rsidP="00BD5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4EC5" w14:textId="77777777" w:rsidR="00135D62" w:rsidRDefault="00135D62">
      <w:pPr>
        <w:spacing w:after="0" w:line="240" w:lineRule="auto"/>
      </w:pPr>
      <w:r>
        <w:separator/>
      </w:r>
    </w:p>
  </w:footnote>
  <w:footnote w:type="continuationSeparator" w:id="0">
    <w:p w14:paraId="6E43F7C4" w14:textId="77777777" w:rsidR="00135D62" w:rsidRDefault="00135D62">
      <w:pPr>
        <w:spacing w:after="0" w:line="240" w:lineRule="auto"/>
      </w:pPr>
      <w:r>
        <w:continuationSeparator/>
      </w:r>
    </w:p>
    <w:p w14:paraId="40851F6D" w14:textId="77777777" w:rsidR="00135D62" w:rsidRDefault="00135D62"/>
  </w:footnote>
  <w:footnote w:type="continuationNotice" w:id="1">
    <w:p w14:paraId="477A1939" w14:textId="77777777" w:rsidR="00135D62" w:rsidRDefault="00135D62">
      <w:pPr>
        <w:spacing w:after="0" w:line="240" w:lineRule="auto"/>
      </w:pPr>
    </w:p>
  </w:footnote>
  <w:footnote w:id="2">
    <w:p w14:paraId="798DD267" w14:textId="0C55ABAC" w:rsidR="00445FA3" w:rsidRDefault="00445FA3">
      <w:pPr>
        <w:pStyle w:val="FootnoteText"/>
      </w:pPr>
      <w:r>
        <w:rPr>
          <w:rStyle w:val="FootnoteReference"/>
        </w:rPr>
        <w:footnoteRef/>
      </w:r>
      <w:r>
        <w:t xml:space="preserve"> NTG research for </w:t>
      </w:r>
      <w:r w:rsidRPr="00445FA3">
        <w:t xml:space="preserve">Ameren Illinois Company (AIC)’s Business Midstream Initiative – HVAC </w:t>
      </w:r>
      <w:r>
        <w:t xml:space="preserve">and Lighting </w:t>
      </w:r>
      <w:r w:rsidRPr="00445FA3">
        <w:t>channel</w:t>
      </w:r>
      <w:r>
        <w:t xml:space="preserve">s and </w:t>
      </w:r>
      <w:r w:rsidRPr="00445FA3">
        <w:t>Residential Single Family Market Rate Initiative – Midstream HVAC channel</w:t>
      </w:r>
    </w:p>
  </w:footnote>
  <w:footnote w:id="3">
    <w:p w14:paraId="2C18BA95" w14:textId="0A25BA80" w:rsidR="00445FA3" w:rsidRDefault="00445FA3">
      <w:pPr>
        <w:pStyle w:val="FootnoteText"/>
      </w:pPr>
      <w:r>
        <w:rPr>
          <w:rStyle w:val="FootnoteReference"/>
        </w:rPr>
        <w:footnoteRef/>
      </w:r>
      <w:r>
        <w:t xml:space="preserve"> </w:t>
      </w:r>
      <w:hyperlink r:id="rId1" w:history="1">
        <w:r w:rsidRPr="00445FA3">
          <w:rPr>
            <w:rStyle w:val="Hyperlink"/>
            <w:rFonts w:ascii="Franklin Gothic Book" w:hAnsi="Franklin Gothic Book"/>
            <w:noProof w:val="0"/>
            <w:sz w:val="18"/>
          </w:rPr>
          <w:t>AIC-Midstream-NTG-Deviation-Memo-2023-08-21.docx</w:t>
        </w:r>
      </w:hyperlink>
    </w:p>
  </w:footnote>
  <w:footnote w:id="4">
    <w:p w14:paraId="09F8806B" w14:textId="77777777" w:rsidR="009E3E9F" w:rsidRPr="009E3E9F" w:rsidRDefault="009E3E9F" w:rsidP="009E3E9F">
      <w:pPr>
        <w:pStyle w:val="FootnoteText"/>
        <w:rPr>
          <w:rFonts w:cs="Calibri"/>
          <w:szCs w:val="18"/>
        </w:rPr>
      </w:pPr>
      <w:r w:rsidRPr="009E3E9F">
        <w:rPr>
          <w:rStyle w:val="FootnoteReference"/>
          <w:rFonts w:ascii="Calibri" w:hAnsi="Calibri" w:cs="Calibri"/>
        </w:rPr>
        <w:footnoteRef/>
      </w:r>
      <w:r w:rsidRPr="009E3E9F">
        <w:rPr>
          <w:rFonts w:cs="Calibri"/>
        </w:rPr>
        <w:t xml:space="preserve"> </w:t>
      </w:r>
      <w:r w:rsidRPr="009E3E9F">
        <w:rPr>
          <w:rFonts w:cs="Calibri"/>
          <w:szCs w:val="18"/>
        </w:rPr>
        <w:t>Note that the method for assessing trade ally spillover is included in Section 5.2.</w:t>
      </w:r>
    </w:p>
  </w:footnote>
  <w:footnote w:id="5">
    <w:p w14:paraId="1D633A07" w14:textId="77777777" w:rsidR="009E3E9F" w:rsidRDefault="009E3E9F" w:rsidP="009E3E9F">
      <w:pPr>
        <w:pStyle w:val="FootnoteText"/>
      </w:pPr>
      <w:r>
        <w:rPr>
          <w:rStyle w:val="FootnoteReference"/>
        </w:rPr>
        <w:footnoteRef/>
      </w:r>
      <w:r>
        <w:t xml:space="preserve"> Note that the Illinois TRM does not currently prescribe a specific method for assessing free ridership from a trade ally perspective. Consistent with Section </w:t>
      </w:r>
      <w:r>
        <w:fldChar w:fldCharType="begin"/>
      </w:r>
      <w:r>
        <w:instrText xml:space="preserve"> REF _Ref118722637 \r \h </w:instrText>
      </w:r>
      <w:r>
        <w:fldChar w:fldCharType="separate"/>
      </w:r>
      <w:r>
        <w:t>5.1.1</w:t>
      </w:r>
      <w:r>
        <w:fldChar w:fldCharType="end"/>
      </w:r>
      <w:r>
        <w:t>, until such a prescribed methodology becomes available, evaluators should coordinate on survey design and calculation algorithms for trade ally free-ridership estimation.</w:t>
      </w:r>
    </w:p>
  </w:footnote>
  <w:footnote w:id="6">
    <w:p w14:paraId="02B5D804" w14:textId="77777777" w:rsidR="009E3E9F" w:rsidRPr="009E3E9F" w:rsidRDefault="009E3E9F" w:rsidP="009E3E9F">
      <w:pPr>
        <w:pStyle w:val="FootnoteText"/>
        <w:rPr>
          <w:rFonts w:cs="Calibri"/>
          <w:szCs w:val="18"/>
        </w:rPr>
      </w:pPr>
      <w:r w:rsidRPr="009E3E9F">
        <w:rPr>
          <w:rStyle w:val="FootnoteReference"/>
          <w:rFonts w:ascii="Calibri" w:hAnsi="Calibri" w:cs="Calibri"/>
          <w:szCs w:val="18"/>
        </w:rPr>
        <w:footnoteRef/>
      </w:r>
      <w:r w:rsidRPr="009E3E9F">
        <w:rPr>
          <w:rFonts w:cs="Calibri"/>
          <w:szCs w:val="18"/>
        </w:rPr>
        <w:t xml:space="preserve"> In cases where midstream programs require distributors to pass the entire incentive to a customer and collect customer information, it is still likely that the program is affecting distributor behavior, and distributor research is still valuable.</w:t>
      </w:r>
    </w:p>
  </w:footnote>
  <w:footnote w:id="7">
    <w:p w14:paraId="152CD125" w14:textId="77777777" w:rsidR="009E3E9F" w:rsidRPr="009E3E9F" w:rsidRDefault="009E3E9F" w:rsidP="009E3E9F">
      <w:pPr>
        <w:pStyle w:val="FootnoteText"/>
        <w:rPr>
          <w:rFonts w:cs="Calibri"/>
          <w:szCs w:val="18"/>
        </w:rPr>
      </w:pPr>
      <w:r w:rsidRPr="009E3E9F">
        <w:rPr>
          <w:rStyle w:val="FootnoteReference"/>
          <w:rFonts w:ascii="Calibri" w:hAnsi="Calibri" w:cs="Calibri"/>
          <w:szCs w:val="18"/>
        </w:rPr>
        <w:footnoteRef/>
      </w:r>
      <w:r w:rsidRPr="009E3E9F">
        <w:rPr>
          <w:rFonts w:cs="Calibri"/>
          <w:szCs w:val="18"/>
        </w:rPr>
        <w:t xml:space="preserve">  See Section 4.3 for a description of an approach for calculating NTG specifically for Residential Upstream Lighting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E1EE" w14:textId="77777777" w:rsidR="0040139D" w:rsidRDefault="007E1A84" w:rsidP="00AE2204">
    <w:r>
      <w:rPr>
        <w:noProof/>
      </w:rPr>
      <w:drawing>
        <wp:anchor distT="0" distB="0" distL="114300" distR="114300" simplePos="0" relativeHeight="251659264" behindDoc="0" locked="1" layoutInCell="1" allowOverlap="1" wp14:anchorId="1BA44F2B" wp14:editId="097DD46E">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230441103" name="Picture 23044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4110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2FE7" w14:textId="77777777" w:rsidR="00E842FE" w:rsidRDefault="007E1A84">
    <w:r>
      <w:rPr>
        <w:noProof/>
      </w:rPr>
      <w:drawing>
        <wp:anchor distT="0" distB="0" distL="114300" distR="114300" simplePos="0" relativeHeight="251658240" behindDoc="0" locked="1" layoutInCell="1" allowOverlap="1" wp14:anchorId="3B4B2F17" wp14:editId="4E5A68DC">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981587770" name="Picture 98158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77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 w15:restartNumberingAfterBreak="0">
    <w:nsid w:val="00000002"/>
    <w:multiLevelType w:val="multilevel"/>
    <w:tmpl w:val="75F80716"/>
    <w:lvl w:ilvl="0">
      <w:start w:val="1"/>
      <w:numFmt w:val="bullet"/>
      <w:pStyle w:val="Bullet2"/>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2" w15:restartNumberingAfterBreak="0">
    <w:nsid w:val="00000003"/>
    <w:multiLevelType w:val="multilevel"/>
    <w:tmpl w:val="75F80716"/>
    <w:lvl w:ilvl="0">
      <w:start w:val="1"/>
      <w:numFmt w:val="bullet"/>
      <w:lvlText w:val=""/>
      <w:lvlJc w:val="left"/>
      <w:pPr>
        <w:ind w:left="720" w:hanging="360"/>
      </w:pPr>
      <w:rPr>
        <w:rFonts w:ascii="Wingdings" w:hAnsi="Wingdings" w:hint="default"/>
        <w:color w:val="053572"/>
        <w:sz w:val="22"/>
      </w:rPr>
    </w:lvl>
    <w:lvl w:ilvl="1">
      <w:start w:val="1"/>
      <w:numFmt w:val="bullet"/>
      <w:pStyle w:val="Bullet3"/>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3" w15:restartNumberingAfterBreak="0">
    <w:nsid w:val="00000004"/>
    <w:multiLevelType w:val="hybridMultilevel"/>
    <w:tmpl w:val="1B8E5A38"/>
    <w:lvl w:ilvl="0" w:tplc="56E88874">
      <w:start w:val="1"/>
      <w:numFmt w:val="decimal"/>
      <w:pStyle w:val="CaptionFigure"/>
      <w:suff w:val="space"/>
      <w:lvlText w:val="Figure %1."/>
      <w:lvlJc w:val="left"/>
      <w:pPr>
        <w:ind w:left="0" w:firstLine="0"/>
      </w:pPr>
      <w:rPr>
        <w:rFonts w:hint="default"/>
      </w:rPr>
    </w:lvl>
    <w:lvl w:ilvl="1" w:tplc="4052086A" w:tentative="1">
      <w:start w:val="1"/>
      <w:numFmt w:val="lowerLetter"/>
      <w:lvlText w:val="%2."/>
      <w:lvlJc w:val="left"/>
      <w:pPr>
        <w:ind w:left="1440" w:hanging="360"/>
      </w:pPr>
    </w:lvl>
    <w:lvl w:ilvl="2" w:tplc="266A147A" w:tentative="1">
      <w:start w:val="1"/>
      <w:numFmt w:val="lowerRoman"/>
      <w:lvlText w:val="%3."/>
      <w:lvlJc w:val="right"/>
      <w:pPr>
        <w:ind w:left="2160" w:hanging="180"/>
      </w:pPr>
    </w:lvl>
    <w:lvl w:ilvl="3" w:tplc="DE64582A" w:tentative="1">
      <w:start w:val="1"/>
      <w:numFmt w:val="decimal"/>
      <w:lvlText w:val="%4."/>
      <w:lvlJc w:val="left"/>
      <w:pPr>
        <w:ind w:left="2880" w:hanging="360"/>
      </w:pPr>
    </w:lvl>
    <w:lvl w:ilvl="4" w:tplc="DD2C6B0A" w:tentative="1">
      <w:start w:val="1"/>
      <w:numFmt w:val="lowerLetter"/>
      <w:lvlText w:val="%5."/>
      <w:lvlJc w:val="left"/>
      <w:pPr>
        <w:ind w:left="3600" w:hanging="360"/>
      </w:pPr>
    </w:lvl>
    <w:lvl w:ilvl="5" w:tplc="C7382350" w:tentative="1">
      <w:start w:val="1"/>
      <w:numFmt w:val="lowerRoman"/>
      <w:lvlText w:val="%6."/>
      <w:lvlJc w:val="right"/>
      <w:pPr>
        <w:ind w:left="4320" w:hanging="180"/>
      </w:pPr>
    </w:lvl>
    <w:lvl w:ilvl="6" w:tplc="2A8EF032" w:tentative="1">
      <w:start w:val="1"/>
      <w:numFmt w:val="decimal"/>
      <w:lvlText w:val="%7."/>
      <w:lvlJc w:val="left"/>
      <w:pPr>
        <w:ind w:left="5040" w:hanging="360"/>
      </w:pPr>
    </w:lvl>
    <w:lvl w:ilvl="7" w:tplc="6068D17E" w:tentative="1">
      <w:start w:val="1"/>
      <w:numFmt w:val="lowerLetter"/>
      <w:lvlText w:val="%8."/>
      <w:lvlJc w:val="left"/>
      <w:pPr>
        <w:ind w:left="5760" w:hanging="360"/>
      </w:pPr>
    </w:lvl>
    <w:lvl w:ilvl="8" w:tplc="610C6D54" w:tentative="1">
      <w:start w:val="1"/>
      <w:numFmt w:val="lowerRoman"/>
      <w:lvlText w:val="%9."/>
      <w:lvlJc w:val="right"/>
      <w:pPr>
        <w:ind w:left="6480" w:hanging="180"/>
      </w:pPr>
    </w:lvl>
  </w:abstractNum>
  <w:abstractNum w:abstractNumId="4" w15:restartNumberingAfterBreak="0">
    <w:nsid w:val="00000005"/>
    <w:multiLevelType w:val="hybridMultilevel"/>
    <w:tmpl w:val="F0A220D0"/>
    <w:lvl w:ilvl="0" w:tplc="3DA8E5CE">
      <w:start w:val="1"/>
      <w:numFmt w:val="decimal"/>
      <w:pStyle w:val="CaptionTable"/>
      <w:suff w:val="space"/>
      <w:lvlText w:val="Table %1."/>
      <w:lvlJc w:val="left"/>
      <w:pPr>
        <w:ind w:left="0" w:firstLine="0"/>
      </w:pPr>
      <w:rPr>
        <w:rFonts w:hint="default"/>
      </w:rPr>
    </w:lvl>
    <w:lvl w:ilvl="1" w:tplc="9EAEE094" w:tentative="1">
      <w:start w:val="1"/>
      <w:numFmt w:val="lowerLetter"/>
      <w:lvlText w:val="%2."/>
      <w:lvlJc w:val="left"/>
      <w:pPr>
        <w:ind w:left="1440" w:hanging="360"/>
      </w:pPr>
    </w:lvl>
    <w:lvl w:ilvl="2" w:tplc="3ABA3FA6" w:tentative="1">
      <w:start w:val="1"/>
      <w:numFmt w:val="lowerRoman"/>
      <w:lvlText w:val="%3."/>
      <w:lvlJc w:val="right"/>
      <w:pPr>
        <w:ind w:left="2160" w:hanging="180"/>
      </w:pPr>
    </w:lvl>
    <w:lvl w:ilvl="3" w:tplc="3EEEB0EA" w:tentative="1">
      <w:start w:val="1"/>
      <w:numFmt w:val="decimal"/>
      <w:lvlText w:val="%4."/>
      <w:lvlJc w:val="left"/>
      <w:pPr>
        <w:ind w:left="2880" w:hanging="360"/>
      </w:pPr>
    </w:lvl>
    <w:lvl w:ilvl="4" w:tplc="7EAC3240" w:tentative="1">
      <w:start w:val="1"/>
      <w:numFmt w:val="lowerLetter"/>
      <w:lvlText w:val="%5."/>
      <w:lvlJc w:val="left"/>
      <w:pPr>
        <w:ind w:left="3600" w:hanging="360"/>
      </w:pPr>
    </w:lvl>
    <w:lvl w:ilvl="5" w:tplc="12E0921E" w:tentative="1">
      <w:start w:val="1"/>
      <w:numFmt w:val="lowerRoman"/>
      <w:lvlText w:val="%6."/>
      <w:lvlJc w:val="right"/>
      <w:pPr>
        <w:ind w:left="4320" w:hanging="180"/>
      </w:pPr>
    </w:lvl>
    <w:lvl w:ilvl="6" w:tplc="ED321540" w:tentative="1">
      <w:start w:val="1"/>
      <w:numFmt w:val="decimal"/>
      <w:lvlText w:val="%7."/>
      <w:lvlJc w:val="left"/>
      <w:pPr>
        <w:ind w:left="5040" w:hanging="360"/>
      </w:pPr>
    </w:lvl>
    <w:lvl w:ilvl="7" w:tplc="BF861E44" w:tentative="1">
      <w:start w:val="1"/>
      <w:numFmt w:val="lowerLetter"/>
      <w:lvlText w:val="%8."/>
      <w:lvlJc w:val="left"/>
      <w:pPr>
        <w:ind w:left="5760" w:hanging="360"/>
      </w:pPr>
    </w:lvl>
    <w:lvl w:ilvl="8" w:tplc="727A35E4" w:tentative="1">
      <w:start w:val="1"/>
      <w:numFmt w:val="lowerRoman"/>
      <w:lvlText w:val="%9."/>
      <w:lvlJc w:val="right"/>
      <w:pPr>
        <w:ind w:left="6480" w:hanging="180"/>
      </w:pPr>
    </w:lvl>
  </w:abstractNum>
  <w:abstractNum w:abstractNumId="5" w15:restartNumberingAfterBreak="0">
    <w:nsid w:val="00000006"/>
    <w:multiLevelType w:val="multilevel"/>
    <w:tmpl w:val="7694A4F6"/>
    <w:lvl w:ilvl="0">
      <w:start w:val="1"/>
      <w:numFmt w:val="decimal"/>
      <w:lvlText w:val="%1."/>
      <w:lvlJc w:val="left"/>
      <w:pPr>
        <w:tabs>
          <w:tab w:val="num" w:pos="1080"/>
        </w:tabs>
        <w:ind w:left="0" w:firstLine="0"/>
      </w:pPr>
      <w:rPr>
        <w:rFonts w:hint="default"/>
      </w:rPr>
    </w:lvl>
    <w:lvl w:ilvl="1">
      <w:start w:val="1"/>
      <w:numFmt w:val="decimal"/>
      <w:lvlText w:val="%1.%2"/>
      <w:lvlJc w:val="left"/>
      <w:pPr>
        <w:tabs>
          <w:tab w:val="num" w:pos="1080"/>
        </w:tabs>
        <w:ind w:left="0" w:firstLine="0"/>
      </w:pPr>
    </w:lvl>
    <w:lvl w:ilvl="2">
      <w:start w:val="1"/>
      <w:numFmt w:val="decimal"/>
      <w:lvlText w:val="%1.%2.%3"/>
      <w:lvlJc w:val="left"/>
      <w:pPr>
        <w:tabs>
          <w:tab w:val="num" w:pos="1080"/>
        </w:tabs>
        <w:ind w:left="0" w:firstLine="0"/>
      </w:pPr>
      <w:rPr>
        <w:rFonts w:cs="Times New Roman"/>
        <w:b w:val="0"/>
        <w:bCs w:val="0"/>
        <w:i w:val="0"/>
        <w:iCs w:val="0"/>
        <w:caps w:val="0"/>
        <w:smallCaps w:val="0"/>
        <w:strike w:val="0"/>
        <w:dstrike w:val="0"/>
        <w:outline w:val="0"/>
        <w:shadow w:val="0"/>
        <w:emboss w:val="0"/>
        <w:imprint w:val="0"/>
        <w:noProof w:val="0"/>
        <w:vanish w:val="0"/>
        <w:color w:val="265EAC" w:themeColor="accent2"/>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6" w15:restartNumberingAfterBreak="0">
    <w:nsid w:val="00000009"/>
    <w:multiLevelType w:val="singleLevel"/>
    <w:tmpl w:val="01A6B67E"/>
    <w:lvl w:ilvl="0">
      <w:start w:val="1"/>
      <w:numFmt w:val="decimal"/>
      <w:pStyle w:val="ListNumber"/>
      <w:lvlText w:val="%1."/>
      <w:lvlJc w:val="left"/>
      <w:pPr>
        <w:tabs>
          <w:tab w:val="num" w:pos="360"/>
        </w:tabs>
        <w:ind w:left="360" w:hanging="360"/>
      </w:pPr>
    </w:lvl>
  </w:abstractNum>
  <w:abstractNum w:abstractNumId="7" w15:restartNumberingAfterBreak="0">
    <w:nsid w:val="0000000A"/>
    <w:multiLevelType w:val="singleLevel"/>
    <w:tmpl w:val="AB1A98D2"/>
    <w:lvl w:ilvl="0">
      <w:start w:val="1"/>
      <w:numFmt w:val="decimal"/>
      <w:pStyle w:val="ListNumber2"/>
      <w:lvlText w:val="%1."/>
      <w:lvlJc w:val="left"/>
      <w:pPr>
        <w:tabs>
          <w:tab w:val="num" w:pos="720"/>
        </w:tabs>
        <w:ind w:left="720" w:hanging="360"/>
      </w:pPr>
    </w:lvl>
  </w:abstractNum>
  <w:abstractNum w:abstractNumId="8" w15:restartNumberingAfterBreak="0">
    <w:nsid w:val="0000000B"/>
    <w:multiLevelType w:val="singleLevel"/>
    <w:tmpl w:val="57B63BE6"/>
    <w:lvl w:ilvl="0">
      <w:start w:val="1"/>
      <w:numFmt w:val="decimal"/>
      <w:pStyle w:val="ListNumber3"/>
      <w:lvlText w:val="%1."/>
      <w:lvlJc w:val="left"/>
      <w:pPr>
        <w:tabs>
          <w:tab w:val="num" w:pos="1080"/>
        </w:tabs>
        <w:ind w:left="1080" w:hanging="360"/>
      </w:pPr>
    </w:lvl>
  </w:abstractNum>
  <w:abstractNum w:abstractNumId="9" w15:restartNumberingAfterBreak="0">
    <w:nsid w:val="0000000C"/>
    <w:multiLevelType w:val="multilevel"/>
    <w:tmpl w:val="7C74D798"/>
    <w:lvl w:ilvl="0">
      <w:start w:val="1"/>
      <w:numFmt w:val="decimal"/>
      <w:pStyle w:val="NoList1"/>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00000D"/>
    <w:multiLevelType w:val="multilevel"/>
    <w:tmpl w:val="CA48C9AC"/>
    <w:lvl w:ilvl="0">
      <w:start w:val="1"/>
      <w:numFmt w:val="decimal"/>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00000E"/>
    <w:multiLevelType w:val="multilevel"/>
    <w:tmpl w:val="73526CFC"/>
    <w:lvl w:ilvl="0">
      <w:start w:val="1"/>
      <w:numFmt w:val="decimal"/>
      <w:lvlText w:val="%1."/>
      <w:lvlJc w:val="left"/>
      <w:pPr>
        <w:ind w:left="360" w:hanging="360"/>
      </w:pPr>
      <w:rPr>
        <w:rFonts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4A4D56" w:themeColor="text1"/>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000012"/>
    <w:multiLevelType w:val="multilevel"/>
    <w:tmpl w:val="62AA902E"/>
    <w:lvl w:ilvl="0">
      <w:start w:val="1"/>
      <w:numFmt w:val="bullet"/>
      <w:pStyle w:val="TableBullet"/>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3" w15:restartNumberingAfterBreak="0">
    <w:nsid w:val="0C8C7D85"/>
    <w:multiLevelType w:val="multilevel"/>
    <w:tmpl w:val="6B3E96C4"/>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D40620D"/>
    <w:multiLevelType w:val="hybridMultilevel"/>
    <w:tmpl w:val="8AFE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D16E2"/>
    <w:multiLevelType w:val="hybridMultilevel"/>
    <w:tmpl w:val="0EF07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62BFB"/>
    <w:multiLevelType w:val="multilevel"/>
    <w:tmpl w:val="EB1ADD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A6A36"/>
    <w:multiLevelType w:val="multilevel"/>
    <w:tmpl w:val="D55A9D6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030AC2"/>
    <w:multiLevelType w:val="hybridMultilevel"/>
    <w:tmpl w:val="BA4C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D6C61"/>
    <w:multiLevelType w:val="hybridMultilevel"/>
    <w:tmpl w:val="57AA98B0"/>
    <w:lvl w:ilvl="0" w:tplc="303A6FAC">
      <w:start w:val="1"/>
      <w:numFmt w:val="bullet"/>
      <w:pStyle w:val="ListBullet"/>
      <w:lvlText w:val=""/>
      <w:lvlJc w:val="left"/>
      <w:pPr>
        <w:ind w:left="540" w:hanging="360"/>
      </w:pPr>
      <w:rPr>
        <w:rFonts w:ascii="Wingdings" w:hAnsi="Wingdings" w:hint="default"/>
        <w:color w:val="053572" w:themeColor="text2"/>
      </w:rPr>
    </w:lvl>
    <w:lvl w:ilvl="1" w:tplc="9138973A">
      <w:start w:val="1"/>
      <w:numFmt w:val="bullet"/>
      <w:pStyle w:val="ListBullet2"/>
      <w:lvlText w:val=""/>
      <w:lvlJc w:val="left"/>
      <w:pPr>
        <w:ind w:left="2670" w:hanging="360"/>
      </w:pPr>
      <w:rPr>
        <w:rFonts w:ascii="Wingdings" w:hAnsi="Wingdings" w:hint="default"/>
        <w:color w:val="1FA9E1" w:themeColor="accent3"/>
      </w:rPr>
    </w:lvl>
    <w:lvl w:ilvl="2" w:tplc="33D260E4">
      <w:start w:val="1"/>
      <w:numFmt w:val="bullet"/>
      <w:pStyle w:val="ListBullet3"/>
      <w:lvlText w:val=""/>
      <w:lvlJc w:val="left"/>
      <w:pPr>
        <w:ind w:left="3390" w:hanging="360"/>
      </w:pPr>
      <w:rPr>
        <w:rFonts w:ascii="Wingdings" w:hAnsi="Wingdings" w:hint="default"/>
        <w:color w:val="7E83C0" w:themeColor="accent4"/>
      </w:rPr>
    </w:lvl>
    <w:lvl w:ilvl="3" w:tplc="93CEF16C" w:tentative="1">
      <w:start w:val="1"/>
      <w:numFmt w:val="bullet"/>
      <w:lvlText w:val=""/>
      <w:lvlJc w:val="left"/>
      <w:pPr>
        <w:ind w:left="4110" w:hanging="360"/>
      </w:pPr>
      <w:rPr>
        <w:rFonts w:ascii="Symbol" w:hAnsi="Symbol" w:hint="default"/>
      </w:rPr>
    </w:lvl>
    <w:lvl w:ilvl="4" w:tplc="8126FF06" w:tentative="1">
      <w:start w:val="1"/>
      <w:numFmt w:val="bullet"/>
      <w:lvlText w:val="o"/>
      <w:lvlJc w:val="left"/>
      <w:pPr>
        <w:ind w:left="4830" w:hanging="360"/>
      </w:pPr>
      <w:rPr>
        <w:rFonts w:ascii="Courier New" w:hAnsi="Courier New" w:cs="Courier New" w:hint="default"/>
      </w:rPr>
    </w:lvl>
    <w:lvl w:ilvl="5" w:tplc="148A4FCC" w:tentative="1">
      <w:start w:val="1"/>
      <w:numFmt w:val="bullet"/>
      <w:lvlText w:val=""/>
      <w:lvlJc w:val="left"/>
      <w:pPr>
        <w:ind w:left="5550" w:hanging="360"/>
      </w:pPr>
      <w:rPr>
        <w:rFonts w:ascii="Wingdings" w:hAnsi="Wingdings" w:hint="default"/>
      </w:rPr>
    </w:lvl>
    <w:lvl w:ilvl="6" w:tplc="CCA44C88" w:tentative="1">
      <w:start w:val="1"/>
      <w:numFmt w:val="bullet"/>
      <w:lvlText w:val=""/>
      <w:lvlJc w:val="left"/>
      <w:pPr>
        <w:ind w:left="6270" w:hanging="360"/>
      </w:pPr>
      <w:rPr>
        <w:rFonts w:ascii="Symbol" w:hAnsi="Symbol" w:hint="default"/>
      </w:rPr>
    </w:lvl>
    <w:lvl w:ilvl="7" w:tplc="76A06480" w:tentative="1">
      <w:start w:val="1"/>
      <w:numFmt w:val="bullet"/>
      <w:lvlText w:val="o"/>
      <w:lvlJc w:val="left"/>
      <w:pPr>
        <w:ind w:left="6990" w:hanging="360"/>
      </w:pPr>
      <w:rPr>
        <w:rFonts w:ascii="Courier New" w:hAnsi="Courier New" w:cs="Courier New" w:hint="default"/>
      </w:rPr>
    </w:lvl>
    <w:lvl w:ilvl="8" w:tplc="06F402DC" w:tentative="1">
      <w:start w:val="1"/>
      <w:numFmt w:val="bullet"/>
      <w:lvlText w:val=""/>
      <w:lvlJc w:val="left"/>
      <w:pPr>
        <w:ind w:left="7710" w:hanging="360"/>
      </w:pPr>
      <w:rPr>
        <w:rFonts w:ascii="Wingdings" w:hAnsi="Wingdings" w:hint="default"/>
      </w:rPr>
    </w:lvl>
  </w:abstractNum>
  <w:abstractNum w:abstractNumId="20" w15:restartNumberingAfterBreak="0">
    <w:nsid w:val="575D65CB"/>
    <w:multiLevelType w:val="multilevel"/>
    <w:tmpl w:val="359AAF8C"/>
    <w:styleLink w:val="ODXAPPENDIX"/>
    <w:lvl w:ilvl="0">
      <w:start w:val="1"/>
      <w:numFmt w:val="upperLetter"/>
      <w:lvlText w:val="APPENDIX %1 "/>
      <w:lvlJc w:val="left"/>
      <w:pPr>
        <w:ind w:left="360" w:hanging="360"/>
      </w:pPr>
      <w:rPr>
        <w:rFonts w:ascii="Rift Soft" w:hAnsi="Rift Soft" w:hint="default"/>
        <w:color w:val="053572" w:themeColor="text2"/>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4E5C8B"/>
    <w:multiLevelType w:val="multilevel"/>
    <w:tmpl w:val="E6E2F988"/>
    <w:name w:val="Appendix Headings"/>
    <w:lvl w:ilvl="0">
      <w:start w:val="1"/>
      <w:numFmt w:val="upperLetter"/>
      <w:lvlText w:val="APPENDIX %1. "/>
      <w:lvlJc w:val="left"/>
      <w:pPr>
        <w:ind w:left="2268" w:hanging="2268"/>
      </w:pPr>
      <w:rPr>
        <w:rFonts w:ascii="Rift Soft" w:hAnsi="Rift Soft" w:hint="default"/>
        <w:color w:val="053572" w:themeColor="text2"/>
        <w:sz w:val="36"/>
      </w:rPr>
    </w:lvl>
    <w:lvl w:ilvl="1">
      <w:start w:val="1"/>
      <w:numFmt w:val="upperRoman"/>
      <w:lvlText w:val="APPENDIX %1-%2."/>
      <w:lvlJc w:val="left"/>
      <w:pPr>
        <w:ind w:left="2268" w:hanging="2268"/>
      </w:pPr>
      <w:rPr>
        <w:rFonts w:ascii="Rift Soft" w:hAnsi="Rift Soft" w:hint="default"/>
        <w:color w:val="1FA9E1" w:themeColor="accent3"/>
        <w:sz w:val="36"/>
      </w:rPr>
    </w:lvl>
    <w:lvl w:ilvl="2">
      <w:start w:val="1"/>
      <w:numFmt w:val="upperRoman"/>
      <w:lvlText w:val="APPENDIX %1-%2.%3."/>
      <w:lvlJc w:val="left"/>
      <w:pPr>
        <w:ind w:left="2268" w:hanging="2268"/>
      </w:pPr>
      <w:rPr>
        <w:rFonts w:ascii="Rift Soft" w:hAnsi="Rift Soft" w:hint="default"/>
        <w:color w:val="4A4D56" w:themeColor="text1"/>
        <w:sz w:val="32"/>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num w:numId="1" w16cid:durableId="1361206283">
    <w:abstractNumId w:val="0"/>
  </w:num>
  <w:num w:numId="2" w16cid:durableId="545600677">
    <w:abstractNumId w:val="1"/>
  </w:num>
  <w:num w:numId="3" w16cid:durableId="1299147011">
    <w:abstractNumId w:val="2"/>
  </w:num>
  <w:num w:numId="4" w16cid:durableId="1501771948">
    <w:abstractNumId w:val="3"/>
  </w:num>
  <w:num w:numId="5" w16cid:durableId="556820789">
    <w:abstractNumId w:val="4"/>
  </w:num>
  <w:num w:numId="6" w16cid:durableId="2095126736">
    <w:abstractNumId w:val="5"/>
  </w:num>
  <w:num w:numId="7" w16cid:durableId="1435440616">
    <w:abstractNumId w:val="6"/>
  </w:num>
  <w:num w:numId="8" w16cid:durableId="1899240670">
    <w:abstractNumId w:val="7"/>
  </w:num>
  <w:num w:numId="9" w16cid:durableId="1607806446">
    <w:abstractNumId w:val="8"/>
  </w:num>
  <w:num w:numId="10" w16cid:durableId="614562843">
    <w:abstractNumId w:val="9"/>
  </w:num>
  <w:num w:numId="11" w16cid:durableId="1790003988">
    <w:abstractNumId w:val="10"/>
  </w:num>
  <w:num w:numId="12" w16cid:durableId="699361803">
    <w:abstractNumId w:val="11"/>
  </w:num>
  <w:num w:numId="13" w16cid:durableId="1925264602">
    <w:abstractNumId w:val="12"/>
  </w:num>
  <w:num w:numId="14" w16cid:durableId="1804107596">
    <w:abstractNumId w:val="19"/>
  </w:num>
  <w:num w:numId="15" w16cid:durableId="1244608247">
    <w:abstractNumId w:val="20"/>
  </w:num>
  <w:num w:numId="16" w16cid:durableId="1371999592">
    <w:abstractNumId w:val="21"/>
  </w:num>
  <w:num w:numId="17" w16cid:durableId="1067531892">
    <w:abstractNumId w:val="15"/>
  </w:num>
  <w:num w:numId="18" w16cid:durableId="1206716082">
    <w:abstractNumId w:val="14"/>
  </w:num>
  <w:num w:numId="19" w16cid:durableId="299655827">
    <w:abstractNumId w:val="18"/>
  </w:num>
  <w:num w:numId="20" w16cid:durableId="1692299076">
    <w:abstractNumId w:val="13"/>
  </w:num>
  <w:num w:numId="21" w16cid:durableId="1067188755">
    <w:abstractNumId w:val="16"/>
  </w:num>
  <w:num w:numId="22" w16cid:durableId="455762193">
    <w:abstractNumId w:val="13"/>
  </w:num>
  <w:num w:numId="23" w16cid:durableId="40661450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58"/>
    <w:rsid w:val="000010C7"/>
    <w:rsid w:val="00002523"/>
    <w:rsid w:val="000274B9"/>
    <w:rsid w:val="0003118E"/>
    <w:rsid w:val="000317D8"/>
    <w:rsid w:val="00040E0D"/>
    <w:rsid w:val="000413E8"/>
    <w:rsid w:val="00041AA5"/>
    <w:rsid w:val="00045D3A"/>
    <w:rsid w:val="00046703"/>
    <w:rsid w:val="00050F40"/>
    <w:rsid w:val="0006057A"/>
    <w:rsid w:val="0006058A"/>
    <w:rsid w:val="000A0C88"/>
    <w:rsid w:val="000A4B88"/>
    <w:rsid w:val="000B4068"/>
    <w:rsid w:val="000B50E2"/>
    <w:rsid w:val="000C2EF9"/>
    <w:rsid w:val="000E0419"/>
    <w:rsid w:val="000E0ECE"/>
    <w:rsid w:val="000F2C3E"/>
    <w:rsid w:val="000F5311"/>
    <w:rsid w:val="00105940"/>
    <w:rsid w:val="00134ABC"/>
    <w:rsid w:val="0013593F"/>
    <w:rsid w:val="00135D62"/>
    <w:rsid w:val="00144B1E"/>
    <w:rsid w:val="00153DBC"/>
    <w:rsid w:val="00155088"/>
    <w:rsid w:val="00155875"/>
    <w:rsid w:val="00157D54"/>
    <w:rsid w:val="0016138F"/>
    <w:rsid w:val="00171C84"/>
    <w:rsid w:val="00172B87"/>
    <w:rsid w:val="00174D1F"/>
    <w:rsid w:val="00177788"/>
    <w:rsid w:val="00181175"/>
    <w:rsid w:val="00181DA9"/>
    <w:rsid w:val="00191389"/>
    <w:rsid w:val="001914EE"/>
    <w:rsid w:val="00193142"/>
    <w:rsid w:val="00196D76"/>
    <w:rsid w:val="001C32D6"/>
    <w:rsid w:val="001C4ACA"/>
    <w:rsid w:val="001D5B3C"/>
    <w:rsid w:val="001E0E4B"/>
    <w:rsid w:val="001F1009"/>
    <w:rsid w:val="001F322C"/>
    <w:rsid w:val="001F4D82"/>
    <w:rsid w:val="00202EE1"/>
    <w:rsid w:val="002051EB"/>
    <w:rsid w:val="002114D1"/>
    <w:rsid w:val="002139E5"/>
    <w:rsid w:val="0021540D"/>
    <w:rsid w:val="00217A73"/>
    <w:rsid w:val="002258A8"/>
    <w:rsid w:val="00237647"/>
    <w:rsid w:val="00241E2C"/>
    <w:rsid w:val="00267358"/>
    <w:rsid w:val="00272A4F"/>
    <w:rsid w:val="002749C2"/>
    <w:rsid w:val="00294548"/>
    <w:rsid w:val="002A35C7"/>
    <w:rsid w:val="002A7563"/>
    <w:rsid w:val="002B3CAA"/>
    <w:rsid w:val="002B512D"/>
    <w:rsid w:val="002C1FF1"/>
    <w:rsid w:val="002C5245"/>
    <w:rsid w:val="002C68FA"/>
    <w:rsid w:val="002D5CDD"/>
    <w:rsid w:val="002E20E6"/>
    <w:rsid w:val="002E2AB7"/>
    <w:rsid w:val="002E5AA2"/>
    <w:rsid w:val="002E777A"/>
    <w:rsid w:val="00304B97"/>
    <w:rsid w:val="00316B19"/>
    <w:rsid w:val="003308B0"/>
    <w:rsid w:val="003315C4"/>
    <w:rsid w:val="00344C36"/>
    <w:rsid w:val="00351734"/>
    <w:rsid w:val="00363CB8"/>
    <w:rsid w:val="00364EE9"/>
    <w:rsid w:val="00372CD9"/>
    <w:rsid w:val="00376D43"/>
    <w:rsid w:val="003924A0"/>
    <w:rsid w:val="003A3404"/>
    <w:rsid w:val="003A6058"/>
    <w:rsid w:val="003B615C"/>
    <w:rsid w:val="003C4811"/>
    <w:rsid w:val="003D1C9A"/>
    <w:rsid w:val="003F45B2"/>
    <w:rsid w:val="00400758"/>
    <w:rsid w:val="0040139D"/>
    <w:rsid w:val="0040762F"/>
    <w:rsid w:val="00423A84"/>
    <w:rsid w:val="0042448A"/>
    <w:rsid w:val="00434F0D"/>
    <w:rsid w:val="0044544A"/>
    <w:rsid w:val="00445FA3"/>
    <w:rsid w:val="00455E81"/>
    <w:rsid w:val="00456518"/>
    <w:rsid w:val="004573DA"/>
    <w:rsid w:val="00464243"/>
    <w:rsid w:val="0046689E"/>
    <w:rsid w:val="00484152"/>
    <w:rsid w:val="00491255"/>
    <w:rsid w:val="004915EF"/>
    <w:rsid w:val="00494799"/>
    <w:rsid w:val="004A4F72"/>
    <w:rsid w:val="004E232C"/>
    <w:rsid w:val="004E7EA5"/>
    <w:rsid w:val="004F389B"/>
    <w:rsid w:val="004F7FA8"/>
    <w:rsid w:val="00503497"/>
    <w:rsid w:val="00503B5A"/>
    <w:rsid w:val="00513180"/>
    <w:rsid w:val="00513F8B"/>
    <w:rsid w:val="005210B0"/>
    <w:rsid w:val="00526CF2"/>
    <w:rsid w:val="005315C4"/>
    <w:rsid w:val="00531B1A"/>
    <w:rsid w:val="005350F7"/>
    <w:rsid w:val="00537E21"/>
    <w:rsid w:val="00540D33"/>
    <w:rsid w:val="0054466C"/>
    <w:rsid w:val="00556B05"/>
    <w:rsid w:val="00556D7B"/>
    <w:rsid w:val="00562306"/>
    <w:rsid w:val="005623EE"/>
    <w:rsid w:val="00565A3E"/>
    <w:rsid w:val="005676FF"/>
    <w:rsid w:val="005709EF"/>
    <w:rsid w:val="00572CBA"/>
    <w:rsid w:val="00576403"/>
    <w:rsid w:val="00576A86"/>
    <w:rsid w:val="005776D9"/>
    <w:rsid w:val="00582649"/>
    <w:rsid w:val="005877F6"/>
    <w:rsid w:val="005A28F5"/>
    <w:rsid w:val="005C1D06"/>
    <w:rsid w:val="005C754B"/>
    <w:rsid w:val="005D083B"/>
    <w:rsid w:val="005F120F"/>
    <w:rsid w:val="005F6832"/>
    <w:rsid w:val="006069C4"/>
    <w:rsid w:val="00614FF7"/>
    <w:rsid w:val="0062150C"/>
    <w:rsid w:val="0063566D"/>
    <w:rsid w:val="0063604E"/>
    <w:rsid w:val="0063657E"/>
    <w:rsid w:val="0063678D"/>
    <w:rsid w:val="00641AF9"/>
    <w:rsid w:val="00645611"/>
    <w:rsid w:val="00652535"/>
    <w:rsid w:val="00660CEF"/>
    <w:rsid w:val="0067044D"/>
    <w:rsid w:val="0068154D"/>
    <w:rsid w:val="00684AA9"/>
    <w:rsid w:val="006A2679"/>
    <w:rsid w:val="006B2076"/>
    <w:rsid w:val="006B2FA7"/>
    <w:rsid w:val="006B3567"/>
    <w:rsid w:val="006D3C26"/>
    <w:rsid w:val="006D731A"/>
    <w:rsid w:val="006E68B0"/>
    <w:rsid w:val="00725A3A"/>
    <w:rsid w:val="00752054"/>
    <w:rsid w:val="0075331F"/>
    <w:rsid w:val="007535FC"/>
    <w:rsid w:val="00767E6C"/>
    <w:rsid w:val="00772144"/>
    <w:rsid w:val="00786A5A"/>
    <w:rsid w:val="0079451D"/>
    <w:rsid w:val="007B6DF3"/>
    <w:rsid w:val="007C320D"/>
    <w:rsid w:val="007C5AA1"/>
    <w:rsid w:val="007E0065"/>
    <w:rsid w:val="007E1A84"/>
    <w:rsid w:val="007E54AE"/>
    <w:rsid w:val="00800BCD"/>
    <w:rsid w:val="0080549D"/>
    <w:rsid w:val="00806037"/>
    <w:rsid w:val="00815F70"/>
    <w:rsid w:val="00862AE1"/>
    <w:rsid w:val="00862AF0"/>
    <w:rsid w:val="00864075"/>
    <w:rsid w:val="00883750"/>
    <w:rsid w:val="008B2F0D"/>
    <w:rsid w:val="008D37DE"/>
    <w:rsid w:val="008E12F6"/>
    <w:rsid w:val="008F0909"/>
    <w:rsid w:val="008F0A88"/>
    <w:rsid w:val="00900F0B"/>
    <w:rsid w:val="00904EE9"/>
    <w:rsid w:val="00905493"/>
    <w:rsid w:val="00915CD1"/>
    <w:rsid w:val="009236A2"/>
    <w:rsid w:val="00940EC5"/>
    <w:rsid w:val="00954350"/>
    <w:rsid w:val="00962988"/>
    <w:rsid w:val="009803B5"/>
    <w:rsid w:val="00980F9B"/>
    <w:rsid w:val="00985305"/>
    <w:rsid w:val="00985BB4"/>
    <w:rsid w:val="00994030"/>
    <w:rsid w:val="009A24AC"/>
    <w:rsid w:val="009A432C"/>
    <w:rsid w:val="009B076E"/>
    <w:rsid w:val="009E3E9F"/>
    <w:rsid w:val="009E5482"/>
    <w:rsid w:val="009F4BC0"/>
    <w:rsid w:val="009F5AAD"/>
    <w:rsid w:val="00A02BBA"/>
    <w:rsid w:val="00A1487D"/>
    <w:rsid w:val="00A14F20"/>
    <w:rsid w:val="00A15B19"/>
    <w:rsid w:val="00A33424"/>
    <w:rsid w:val="00A4257C"/>
    <w:rsid w:val="00A46573"/>
    <w:rsid w:val="00A53C8F"/>
    <w:rsid w:val="00A5705E"/>
    <w:rsid w:val="00A62569"/>
    <w:rsid w:val="00A63589"/>
    <w:rsid w:val="00A83BC4"/>
    <w:rsid w:val="00A85B8D"/>
    <w:rsid w:val="00A95C32"/>
    <w:rsid w:val="00A96735"/>
    <w:rsid w:val="00AA0F6E"/>
    <w:rsid w:val="00AA5DA7"/>
    <w:rsid w:val="00AB5038"/>
    <w:rsid w:val="00AB6E58"/>
    <w:rsid w:val="00AB79BD"/>
    <w:rsid w:val="00AB7C6D"/>
    <w:rsid w:val="00AC29AB"/>
    <w:rsid w:val="00AC387A"/>
    <w:rsid w:val="00AC5A96"/>
    <w:rsid w:val="00AE2204"/>
    <w:rsid w:val="00AF76DA"/>
    <w:rsid w:val="00B010C4"/>
    <w:rsid w:val="00B02B47"/>
    <w:rsid w:val="00B3263A"/>
    <w:rsid w:val="00B3791D"/>
    <w:rsid w:val="00B42FC3"/>
    <w:rsid w:val="00B51AF9"/>
    <w:rsid w:val="00B803B6"/>
    <w:rsid w:val="00B8261F"/>
    <w:rsid w:val="00B85543"/>
    <w:rsid w:val="00B87A6C"/>
    <w:rsid w:val="00B90C45"/>
    <w:rsid w:val="00BA3F6A"/>
    <w:rsid w:val="00BA6418"/>
    <w:rsid w:val="00BC1802"/>
    <w:rsid w:val="00BC1D79"/>
    <w:rsid w:val="00BC6E39"/>
    <w:rsid w:val="00BD573A"/>
    <w:rsid w:val="00BD7AB1"/>
    <w:rsid w:val="00BE0286"/>
    <w:rsid w:val="00BE0CCC"/>
    <w:rsid w:val="00BE5299"/>
    <w:rsid w:val="00BF335D"/>
    <w:rsid w:val="00BF4B9E"/>
    <w:rsid w:val="00C07C0D"/>
    <w:rsid w:val="00C2344D"/>
    <w:rsid w:val="00C250D2"/>
    <w:rsid w:val="00C2664B"/>
    <w:rsid w:val="00C2694D"/>
    <w:rsid w:val="00C46EE4"/>
    <w:rsid w:val="00C5313F"/>
    <w:rsid w:val="00C54B21"/>
    <w:rsid w:val="00C55B8E"/>
    <w:rsid w:val="00C60549"/>
    <w:rsid w:val="00C8284A"/>
    <w:rsid w:val="00C84A2D"/>
    <w:rsid w:val="00CB54CF"/>
    <w:rsid w:val="00CC1DB2"/>
    <w:rsid w:val="00CC265E"/>
    <w:rsid w:val="00CC48ED"/>
    <w:rsid w:val="00CD79DD"/>
    <w:rsid w:val="00CF586F"/>
    <w:rsid w:val="00D0063A"/>
    <w:rsid w:val="00D03060"/>
    <w:rsid w:val="00D075CA"/>
    <w:rsid w:val="00D11EED"/>
    <w:rsid w:val="00D23D91"/>
    <w:rsid w:val="00D27354"/>
    <w:rsid w:val="00D366FC"/>
    <w:rsid w:val="00D4188F"/>
    <w:rsid w:val="00D441D6"/>
    <w:rsid w:val="00D456E9"/>
    <w:rsid w:val="00D4579E"/>
    <w:rsid w:val="00D46027"/>
    <w:rsid w:val="00D46533"/>
    <w:rsid w:val="00D510A9"/>
    <w:rsid w:val="00D54F6F"/>
    <w:rsid w:val="00D558C2"/>
    <w:rsid w:val="00D55C3C"/>
    <w:rsid w:val="00D63984"/>
    <w:rsid w:val="00D73A81"/>
    <w:rsid w:val="00D85F48"/>
    <w:rsid w:val="00DB79E2"/>
    <w:rsid w:val="00DC0F99"/>
    <w:rsid w:val="00DD2F88"/>
    <w:rsid w:val="00DF40C9"/>
    <w:rsid w:val="00DF7FCC"/>
    <w:rsid w:val="00E04BF6"/>
    <w:rsid w:val="00E21C1F"/>
    <w:rsid w:val="00E358B7"/>
    <w:rsid w:val="00E51FB2"/>
    <w:rsid w:val="00E53385"/>
    <w:rsid w:val="00E5571C"/>
    <w:rsid w:val="00E601DE"/>
    <w:rsid w:val="00E6039A"/>
    <w:rsid w:val="00E65671"/>
    <w:rsid w:val="00E81984"/>
    <w:rsid w:val="00E842FE"/>
    <w:rsid w:val="00E9259E"/>
    <w:rsid w:val="00E96C20"/>
    <w:rsid w:val="00EA21DB"/>
    <w:rsid w:val="00EA421E"/>
    <w:rsid w:val="00EB0E43"/>
    <w:rsid w:val="00EB4CF4"/>
    <w:rsid w:val="00EC3C40"/>
    <w:rsid w:val="00EE071B"/>
    <w:rsid w:val="00EE7CD5"/>
    <w:rsid w:val="00EF011A"/>
    <w:rsid w:val="00EF037D"/>
    <w:rsid w:val="00EF048B"/>
    <w:rsid w:val="00F12E47"/>
    <w:rsid w:val="00F229FC"/>
    <w:rsid w:val="00F23723"/>
    <w:rsid w:val="00F41B77"/>
    <w:rsid w:val="00F51639"/>
    <w:rsid w:val="00F57E07"/>
    <w:rsid w:val="00F606CA"/>
    <w:rsid w:val="00F622D7"/>
    <w:rsid w:val="00F663ED"/>
    <w:rsid w:val="00F724A9"/>
    <w:rsid w:val="00F7299B"/>
    <w:rsid w:val="00FA2E54"/>
    <w:rsid w:val="00FA39DF"/>
    <w:rsid w:val="00FD201E"/>
    <w:rsid w:val="00FD4291"/>
    <w:rsid w:val="00FD42FA"/>
    <w:rsid w:val="00FE3500"/>
    <w:rsid w:val="00FF3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A9107"/>
  <w15:chartTrackingRefBased/>
  <w15:docId w15:val="{E0B43262-3E92-421B-A46D-0C963C45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93"/>
    <w:rPr>
      <w:rFonts w:ascii="Franklin Gothic Book" w:eastAsia="Times New Roman" w:hAnsi="Franklin Gothic Book" w:cs="Times New Roman"/>
      <w:color w:val="4A4D56" w:themeColor="text1"/>
      <w:lang w:val="en-US"/>
    </w:rPr>
  </w:style>
  <w:style w:type="paragraph" w:styleId="Heading1">
    <w:name w:val="heading 1"/>
    <w:next w:val="Normal"/>
    <w:uiPriority w:val="9"/>
    <w:qFormat/>
    <w:rsid w:val="000C295B"/>
    <w:pPr>
      <w:keepNext/>
      <w:keepLines/>
      <w:suppressAutoHyphens/>
      <w:spacing w:before="300" w:after="240" w:line="360" w:lineRule="exact"/>
      <w:outlineLvl w:val="0"/>
    </w:pPr>
    <w:rPr>
      <w:rFonts w:ascii="Rift Soft Medium" w:eastAsia="Times New Roman" w:hAnsi="Rift Soft Medium" w:cs="Times New Roman"/>
      <w:color w:val="053572"/>
      <w:sz w:val="36"/>
      <w:szCs w:val="24"/>
      <w:lang w:val="en-US"/>
    </w:rPr>
  </w:style>
  <w:style w:type="paragraph" w:styleId="Heading2">
    <w:name w:val="heading 2"/>
    <w:basedOn w:val="Heading1"/>
    <w:next w:val="Normal"/>
    <w:uiPriority w:val="9"/>
    <w:qFormat/>
    <w:rsid w:val="00423A84"/>
    <w:pPr>
      <w:numPr>
        <w:ilvl w:val="1"/>
      </w:numPr>
      <w:outlineLvl w:val="1"/>
    </w:pPr>
    <w:rPr>
      <w:color w:val="1FA9E1" w:themeColor="accent3"/>
    </w:rPr>
  </w:style>
  <w:style w:type="paragraph" w:styleId="Heading3">
    <w:name w:val="heading 3"/>
    <w:basedOn w:val="Heading1"/>
    <w:next w:val="Normal"/>
    <w:uiPriority w:val="9"/>
    <w:qFormat/>
    <w:rsid w:val="00D85F48"/>
    <w:pPr>
      <w:numPr>
        <w:ilvl w:val="2"/>
      </w:numPr>
      <w:outlineLvl w:val="2"/>
    </w:pPr>
    <w:rPr>
      <w:color w:val="265EAC" w:themeColor="accent2"/>
    </w:rPr>
  </w:style>
  <w:style w:type="paragraph" w:styleId="Heading4">
    <w:name w:val="heading 4"/>
    <w:basedOn w:val="Normal"/>
    <w:uiPriority w:val="9"/>
    <w:qFormat/>
    <w:rsid w:val="00994030"/>
    <w:pPr>
      <w:spacing w:before="240" w:after="180"/>
      <w:outlineLvl w:val="3"/>
    </w:pPr>
    <w:rPr>
      <w:rFonts w:ascii="Rift Soft Medium" w:hAnsi="Rift Soft Medium" w:cs="Arial"/>
      <w:bCs/>
      <w:color w:val="053572" w:themeColor="text2"/>
      <w:sz w:val="36"/>
      <w:szCs w:val="24"/>
    </w:rPr>
  </w:style>
  <w:style w:type="paragraph" w:styleId="Heading5">
    <w:name w:val="heading 5"/>
    <w:basedOn w:val="Heading4"/>
    <w:uiPriority w:val="9"/>
    <w:qFormat/>
    <w:rsid w:val="00EA21DB"/>
    <w:pPr>
      <w:spacing w:after="160"/>
      <w:outlineLvl w:val="4"/>
    </w:pPr>
    <w:rPr>
      <w:rFonts w:ascii="Rift Soft Demi" w:hAnsi="Rift Soft Demi"/>
      <w:iCs/>
      <w:color w:val="416DCB" w:themeColor="accent1" w:themeTint="99"/>
      <w:sz w:val="32"/>
      <w:szCs w:val="22"/>
    </w:rPr>
  </w:style>
  <w:style w:type="paragraph" w:styleId="Heading6">
    <w:name w:val="heading 6"/>
    <w:uiPriority w:val="9"/>
    <w:rsid w:val="00994030"/>
    <w:pPr>
      <w:spacing w:after="120"/>
      <w:outlineLvl w:val="5"/>
    </w:pPr>
    <w:rPr>
      <w:rFonts w:ascii="Franklin Gothic Book" w:eastAsia="Times New Roman" w:hAnsi="Franklin Gothic Book" w:cs="Arial"/>
      <w:b/>
      <w:bCs/>
      <w:iCs/>
      <w:color w:val="4A4D56" w:themeColor="text1"/>
      <w:sz w:val="28"/>
      <w:szCs w:val="21"/>
      <w:lang w:val="en-US"/>
    </w:rPr>
  </w:style>
  <w:style w:type="paragraph" w:styleId="Heading7">
    <w:name w:val="heading 7"/>
    <w:basedOn w:val="Heading6"/>
    <w:next w:val="Normal"/>
    <w:uiPriority w:val="2"/>
    <w:rsid w:val="004960B4"/>
    <w:pPr>
      <w:outlineLvl w:val="6"/>
    </w:pPr>
    <w:rPr>
      <w:rFonts w:asciiTheme="majorHAnsi" w:hAnsiTheme="majorHAnsi"/>
      <w:b w:val="0"/>
      <w:bCs w:val="0"/>
      <w:color w:val="053572" w:themeColor="text2"/>
      <w:szCs w:val="28"/>
    </w:rPr>
  </w:style>
  <w:style w:type="paragraph" w:styleId="Heading8">
    <w:name w:val="heading 8"/>
    <w:basedOn w:val="Normal"/>
    <w:next w:val="Normal"/>
    <w:uiPriority w:val="2"/>
    <w:rsid w:val="00454842"/>
    <w:pPr>
      <w:outlineLvl w:val="7"/>
    </w:pPr>
    <w:rPr>
      <w:rFonts w:asciiTheme="majorHAnsi" w:hAnsiTheme="majorHAnsi"/>
      <w:color w:val="1FA9E1" w:themeColor="accent3"/>
      <w:sz w:val="24"/>
      <w:szCs w:val="24"/>
    </w:rPr>
  </w:style>
  <w:style w:type="paragraph" w:styleId="Heading9">
    <w:name w:val="heading 9"/>
    <w:basedOn w:val="Heading8"/>
    <w:next w:val="Normal"/>
    <w:uiPriority w:val="2"/>
    <w:rsid w:val="00454842"/>
    <w:pPr>
      <w:outlineLvl w:val="8"/>
    </w:pPr>
    <w:rPr>
      <w:color w:val="6B9BDE" w:themeColor="accent2" w:themeTint="99"/>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next w:val="Normal"/>
    <w:uiPriority w:val="99"/>
    <w:unhideWhenUsed/>
    <w:rsid w:val="003C4811"/>
    <w:pPr>
      <w:tabs>
        <w:tab w:val="right" w:leader="dot" w:pos="10070"/>
      </w:tabs>
      <w:spacing w:before="120" w:after="120"/>
      <w:ind w:right="-4"/>
    </w:pPr>
    <w:rPr>
      <w:rFonts w:ascii="Rift Soft" w:eastAsia="Times New Roman" w:hAnsi="Rift Soft" w:cs="Times New Roman"/>
      <w:color w:val="053572"/>
      <w:sz w:val="48"/>
      <w:szCs w:val="48"/>
      <w:lang w:val="en-US"/>
    </w:rPr>
  </w:style>
  <w:style w:type="character" w:styleId="Strong">
    <w:name w:val="Strong"/>
    <w:uiPriority w:val="22"/>
    <w:qFormat/>
    <w:rsid w:val="00BD573A"/>
    <w:rPr>
      <w:rFonts w:ascii="Franklin Gothic Medium" w:hAnsi="Franklin Gothic Medium"/>
    </w:rPr>
  </w:style>
  <w:style w:type="paragraph" w:styleId="BalloonText">
    <w:name w:val="Balloon Text"/>
    <w:basedOn w:val="Normal"/>
    <w:semiHidden/>
    <w:rsid w:val="00B51ADD"/>
    <w:rPr>
      <w:rFonts w:ascii="Tahoma" w:hAnsi="Tahoma" w:cs="Tahoma"/>
      <w:sz w:val="16"/>
      <w:szCs w:val="16"/>
    </w:rPr>
  </w:style>
  <w:style w:type="paragraph" w:customStyle="1" w:styleId="Bullet1">
    <w:name w:val="Bullet 1"/>
    <w:basedOn w:val="Normal"/>
    <w:next w:val="Normal"/>
    <w:uiPriority w:val="99"/>
    <w:semiHidden/>
    <w:qFormat/>
    <w:rsid w:val="00F54AE8"/>
    <w:pPr>
      <w:numPr>
        <w:numId w:val="1"/>
      </w:numPr>
      <w:tabs>
        <w:tab w:val="num" w:pos="360"/>
      </w:tabs>
      <w:spacing w:after="120"/>
      <w:ind w:left="0" w:firstLine="0"/>
    </w:pPr>
  </w:style>
  <w:style w:type="paragraph" w:customStyle="1" w:styleId="Bullet2">
    <w:name w:val="Bullet 2"/>
    <w:basedOn w:val="Normal"/>
    <w:next w:val="Normal"/>
    <w:uiPriority w:val="99"/>
    <w:semiHidden/>
    <w:qFormat/>
    <w:rsid w:val="00F54AE8"/>
    <w:pPr>
      <w:numPr>
        <w:ilvl w:val="1"/>
        <w:numId w:val="2"/>
      </w:numPr>
      <w:tabs>
        <w:tab w:val="num" w:pos="360"/>
      </w:tabs>
      <w:spacing w:after="120"/>
      <w:ind w:left="0" w:firstLine="0"/>
    </w:pPr>
  </w:style>
  <w:style w:type="paragraph" w:customStyle="1" w:styleId="Bullet3">
    <w:name w:val="Bullet 3"/>
    <w:basedOn w:val="Normal"/>
    <w:next w:val="Normal"/>
    <w:uiPriority w:val="99"/>
    <w:semiHidden/>
    <w:qFormat/>
    <w:rsid w:val="00F54AE8"/>
    <w:pPr>
      <w:numPr>
        <w:ilvl w:val="2"/>
        <w:numId w:val="3"/>
      </w:numPr>
      <w:spacing w:after="120"/>
    </w:pPr>
  </w:style>
  <w:style w:type="paragraph" w:customStyle="1" w:styleId="CaptionFigure">
    <w:name w:val="Caption Figure"/>
    <w:uiPriority w:val="99"/>
    <w:semiHidden/>
    <w:qFormat/>
    <w:locked/>
    <w:rsid w:val="000C2EF9"/>
    <w:pPr>
      <w:keepNext/>
      <w:numPr>
        <w:numId w:val="4"/>
      </w:numPr>
      <w:spacing w:before="200" w:after="80" w:line="240" w:lineRule="auto"/>
      <w:jc w:val="center"/>
    </w:pPr>
    <w:rPr>
      <w:rFonts w:eastAsia="Times New Roman" w:cs="Times New Roman"/>
      <w:bCs/>
      <w:color w:val="4A4D56" w:themeColor="text1"/>
      <w:szCs w:val="20"/>
      <w:lang w:val="en-US"/>
    </w:rPr>
  </w:style>
  <w:style w:type="paragraph" w:customStyle="1" w:styleId="CaptionTable">
    <w:name w:val="Caption Table"/>
    <w:uiPriority w:val="99"/>
    <w:semiHidden/>
    <w:qFormat/>
    <w:locked/>
    <w:rsid w:val="000C2EF9"/>
    <w:pPr>
      <w:keepNext/>
      <w:numPr>
        <w:numId w:val="5"/>
      </w:numPr>
      <w:spacing w:before="200" w:after="80" w:line="240" w:lineRule="auto"/>
      <w:jc w:val="center"/>
    </w:pPr>
    <w:rPr>
      <w:rFonts w:eastAsia="Times New Roman" w:cs="Times New Roman"/>
      <w:bCs/>
      <w:color w:val="4A4D56" w:themeColor="text1"/>
      <w:szCs w:val="20"/>
      <w:lang w:val="en-US"/>
    </w:rPr>
  </w:style>
  <w:style w:type="paragraph" w:customStyle="1" w:styleId="CenterTableText">
    <w:name w:val="Center Table Text"/>
    <w:uiPriority w:val="14"/>
    <w:semiHidden/>
    <w:rsid w:val="00BD0DC6"/>
    <w:pPr>
      <w:spacing w:after="0" w:line="240" w:lineRule="auto"/>
      <w:jc w:val="center"/>
    </w:pPr>
    <w:rPr>
      <w:rFonts w:ascii="Franklin Gothic Book" w:eastAsia="Times New Roman" w:hAnsi="Franklin Gothic Book" w:cs="Times New Roman"/>
      <w:sz w:val="20"/>
      <w:lang w:val="en-US"/>
    </w:rPr>
  </w:style>
  <w:style w:type="paragraph" w:customStyle="1" w:styleId="TOC3Style">
    <w:name w:val="TOC 3 Style"/>
    <w:rsid w:val="001C4ACA"/>
    <w:pPr>
      <w:tabs>
        <w:tab w:val="right" w:leader="dot" w:pos="9360"/>
      </w:tabs>
      <w:spacing w:before="100"/>
      <w:ind w:left="1584" w:right="-4" w:hanging="648"/>
    </w:pPr>
    <w:rPr>
      <w:rFonts w:ascii="Franklin Gothic Book" w:eastAsia="Times New Roman" w:hAnsi="Franklin Gothic Book" w:cs="Times New Roman"/>
      <w:color w:val="4A4D56" w:themeColor="text1"/>
      <w:szCs w:val="20"/>
      <w:lang w:val="en-US"/>
    </w:rPr>
  </w:style>
  <w:style w:type="paragraph" w:styleId="CommentSubject">
    <w:name w:val="annotation subject"/>
    <w:semiHidden/>
    <w:rsid w:val="00B51ADD"/>
    <w:pPr>
      <w:spacing w:before="200" w:line="240" w:lineRule="auto"/>
      <w:jc w:val="both"/>
    </w:pPr>
    <w:rPr>
      <w:rFonts w:ascii="Franklin Gothic Book" w:eastAsia="Times New Roman" w:hAnsi="Franklin Gothic Book" w:cs="Times New Roman"/>
      <w:b/>
      <w:bCs/>
      <w:sz w:val="20"/>
      <w:szCs w:val="20"/>
      <w:lang w:val="en-US"/>
    </w:rPr>
  </w:style>
  <w:style w:type="paragraph" w:styleId="CommentText">
    <w:name w:val="annotation text"/>
    <w:basedOn w:val="Normal"/>
    <w:uiPriority w:val="99"/>
    <w:semiHidden/>
    <w:rsid w:val="00B51ADD"/>
    <w:rPr>
      <w:sz w:val="20"/>
      <w:szCs w:val="20"/>
    </w:rPr>
  </w:style>
  <w:style w:type="character" w:styleId="Emphasis">
    <w:name w:val="Emphasis"/>
    <w:basedOn w:val="DefaultParagraphFont"/>
    <w:uiPriority w:val="4"/>
    <w:qFormat/>
    <w:rsid w:val="00B51ADD"/>
    <w:rPr>
      <w:i/>
      <w:iCs/>
    </w:rPr>
  </w:style>
  <w:style w:type="paragraph" w:customStyle="1" w:styleId="Tablecontents">
    <w:name w:val="Table contents"/>
    <w:basedOn w:val="Normal"/>
    <w:rsid w:val="006E68B0"/>
    <w:pPr>
      <w:spacing w:after="0" w:line="240" w:lineRule="auto"/>
      <w:jc w:val="center"/>
    </w:pPr>
    <w:rPr>
      <w:rFonts w:ascii="Franklin Gothic Medium" w:hAnsi="Franklin Gothic Medium"/>
      <w:sz w:val="18"/>
      <w:szCs w:val="20"/>
    </w:rPr>
  </w:style>
  <w:style w:type="paragraph" w:styleId="EndnoteText">
    <w:name w:val="endnote text"/>
    <w:basedOn w:val="Normal"/>
    <w:uiPriority w:val="69"/>
    <w:rsid w:val="002A6F47"/>
    <w:pPr>
      <w:spacing w:after="0"/>
    </w:pPr>
    <w:rPr>
      <w:sz w:val="18"/>
      <w:szCs w:val="20"/>
    </w:r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character" w:styleId="FollowedHyperlink">
    <w:name w:val="FollowedHyperlink"/>
    <w:basedOn w:val="DefaultParagraphFont"/>
    <w:uiPriority w:val="69"/>
    <w:rsid w:val="001C4ACA"/>
    <w:rPr>
      <w:rFonts w:asciiTheme="minorHAnsi" w:hAnsiTheme="minorHAnsi"/>
      <w:color w:val="5661AC" w:themeColor="accent5"/>
      <w:sz w:val="22"/>
      <w:u w:val="single"/>
    </w:rPr>
  </w:style>
  <w:style w:type="character" w:styleId="FootnoteReference">
    <w:name w:val="footnote reference"/>
    <w:basedOn w:val="DefaultParagraphFont"/>
    <w:uiPriority w:val="69"/>
    <w:rsid w:val="00B51ADD"/>
    <w:rPr>
      <w:vertAlign w:val="superscript"/>
    </w:rPr>
  </w:style>
  <w:style w:type="paragraph" w:styleId="FootnoteText">
    <w:name w:val="footnote text"/>
    <w:basedOn w:val="Normal"/>
    <w:uiPriority w:val="69"/>
    <w:rsid w:val="002A6F47"/>
    <w:pPr>
      <w:spacing w:after="0"/>
    </w:pPr>
    <w:rPr>
      <w:sz w:val="18"/>
      <w:szCs w:val="20"/>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table" w:styleId="GridTable1Light-Accent1">
    <w:name w:val="Grid Table 1 Light Accent 1"/>
    <w:basedOn w:val="TableNormal"/>
    <w:uiPriority w:val="46"/>
    <w:locked/>
    <w:rsid w:val="00D721EA"/>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809EDC" w:themeColor="accent1" w:themeTint="66"/>
        <w:left w:val="single" w:sz="4" w:space="0" w:color="809EDC" w:themeColor="accent1" w:themeTint="66"/>
        <w:bottom w:val="single" w:sz="4" w:space="0" w:color="809EDC" w:themeColor="accent1" w:themeTint="66"/>
        <w:right w:val="single" w:sz="4" w:space="0" w:color="809EDC" w:themeColor="accent1" w:themeTint="66"/>
        <w:insideH w:val="single" w:sz="4" w:space="0" w:color="809EDC" w:themeColor="accent1" w:themeTint="66"/>
        <w:insideV w:val="single" w:sz="4" w:space="0" w:color="809EDC" w:themeColor="accent1" w:themeTint="66"/>
      </w:tblBorders>
    </w:tblPr>
    <w:tblStylePr w:type="firstRow">
      <w:rPr>
        <w:b/>
        <w:bCs/>
      </w:rPr>
      <w:tblPr/>
      <w:tcPr>
        <w:tcBorders>
          <w:bottom w:val="single" w:sz="12" w:space="0" w:color="416DCB" w:themeColor="accent1" w:themeTint="99"/>
        </w:tcBorders>
      </w:tcPr>
    </w:tblStylePr>
    <w:tblStylePr w:type="lastRow">
      <w:rPr>
        <w:b/>
        <w:bCs/>
      </w:rPr>
      <w:tblPr/>
      <w:tcPr>
        <w:tcBorders>
          <w:top w:val="double" w:sz="2" w:space="0" w:color="416DCB" w:themeColor="accent1" w:themeTint="99"/>
        </w:tcBorders>
      </w:tcPr>
    </w:tblStylePr>
    <w:tblStylePr w:type="firstCol">
      <w:rPr>
        <w:b/>
        <w:bCs/>
      </w:rPr>
    </w:tblStylePr>
    <w:tblStylePr w:type="lastCol">
      <w:rPr>
        <w:b/>
        <w:bCs/>
      </w:rPr>
    </w:tblStylePr>
  </w:style>
  <w:style w:type="paragraph" w:customStyle="1" w:styleId="Headernone">
    <w:name w:val="Header_none"/>
    <w:uiPriority w:val="1"/>
    <w:semiHidden/>
    <w:locked/>
    <w:rsid w:val="00B51ADD"/>
    <w:pPr>
      <w:tabs>
        <w:tab w:val="right" w:pos="9360"/>
      </w:tabs>
      <w:spacing w:before="200" w:line="240" w:lineRule="auto"/>
      <w:jc w:val="both"/>
    </w:pPr>
    <w:rPr>
      <w:rFonts w:ascii="Franklin Gothic Book" w:eastAsia="Times New Roman" w:hAnsi="Franklin Gothic Book" w:cs="Times New Roman"/>
      <w:i/>
      <w:noProof/>
      <w:sz w:val="16"/>
      <w:szCs w:val="16"/>
      <w:lang w:val="en-US"/>
    </w:rPr>
  </w:style>
  <w:style w:type="character" w:styleId="Hyperlink">
    <w:name w:val="Hyperlink"/>
    <w:basedOn w:val="DefaultParagraphFont"/>
    <w:uiPriority w:val="99"/>
    <w:rsid w:val="001C4ACA"/>
    <w:rPr>
      <w:rFonts w:asciiTheme="minorHAnsi" w:hAnsiTheme="minorHAnsi"/>
      <w:noProof/>
      <w:color w:val="5661AC" w:themeColor="accent5"/>
      <w:sz w:val="22"/>
      <w:u w:val="single"/>
    </w:rPr>
  </w:style>
  <w:style w:type="paragraph" w:styleId="Index1">
    <w:name w:val="index 1"/>
    <w:basedOn w:val="Normal"/>
    <w:next w:val="Normal"/>
    <w:autoRedefine/>
    <w:semiHidden/>
    <w:rsid w:val="00B51ADD"/>
    <w:pPr>
      <w:ind w:left="240" w:hanging="240"/>
    </w:pPr>
  </w:style>
  <w:style w:type="character" w:styleId="IntenseEmphasis">
    <w:name w:val="Intense Emphasis"/>
    <w:basedOn w:val="DefaultParagraphFont"/>
    <w:uiPriority w:val="4"/>
    <w:rsid w:val="001C4ACA"/>
    <w:rPr>
      <w:rFonts w:ascii="Franklin Gothic Medium" w:hAnsi="Franklin Gothic Medium"/>
      <w:b w:val="0"/>
      <w:i w:val="0"/>
      <w:iCs/>
      <w:color w:val="4A4D56" w:themeColor="text1"/>
      <w:sz w:val="22"/>
    </w:rPr>
  </w:style>
  <w:style w:type="paragraph" w:styleId="ListBullet">
    <w:name w:val="List Bullet"/>
    <w:basedOn w:val="Normal"/>
    <w:uiPriority w:val="9"/>
    <w:qFormat/>
    <w:rsid w:val="002E20E6"/>
    <w:pPr>
      <w:numPr>
        <w:numId w:val="14"/>
      </w:numPr>
      <w:spacing w:before="120" w:after="120"/>
      <w:ind w:left="465" w:hanging="285"/>
    </w:pPr>
  </w:style>
  <w:style w:type="paragraph" w:styleId="ListBullet2">
    <w:name w:val="List Bullet 2"/>
    <w:uiPriority w:val="9"/>
    <w:qFormat/>
    <w:rsid w:val="001C32D6"/>
    <w:pPr>
      <w:numPr>
        <w:ilvl w:val="1"/>
        <w:numId w:val="14"/>
      </w:numPr>
      <w:spacing w:before="120" w:after="120"/>
      <w:ind w:left="735" w:hanging="285"/>
    </w:pPr>
    <w:rPr>
      <w:rFonts w:ascii="Franklin Gothic Book" w:eastAsia="Times New Roman" w:hAnsi="Franklin Gothic Book" w:cs="Times New Roman"/>
      <w:color w:val="4A4D56" w:themeColor="text1"/>
      <w:lang w:val="en-US"/>
    </w:rPr>
  </w:style>
  <w:style w:type="paragraph" w:styleId="ListBullet3">
    <w:name w:val="List Bullet 3"/>
    <w:uiPriority w:val="9"/>
    <w:qFormat/>
    <w:rsid w:val="001C32D6"/>
    <w:pPr>
      <w:numPr>
        <w:ilvl w:val="2"/>
        <w:numId w:val="14"/>
      </w:numPr>
      <w:spacing w:before="120" w:after="120"/>
      <w:ind w:left="1035" w:hanging="285"/>
    </w:pPr>
    <w:rPr>
      <w:rFonts w:ascii="Franklin Gothic Book" w:eastAsia="Times New Roman" w:hAnsi="Franklin Gothic Book" w:cs="Times New Roman"/>
      <w:color w:val="4A4D56" w:themeColor="text1"/>
      <w:lang w:val="en-US"/>
    </w:rPr>
  </w:style>
  <w:style w:type="paragraph" w:styleId="ListNumber">
    <w:name w:val="List Number"/>
    <w:basedOn w:val="Normal"/>
    <w:uiPriority w:val="99"/>
    <w:semiHidden/>
    <w:rsid w:val="00351E32"/>
    <w:pPr>
      <w:numPr>
        <w:numId w:val="7"/>
      </w:numPr>
      <w:spacing w:after="120"/>
    </w:pPr>
  </w:style>
  <w:style w:type="paragraph" w:styleId="ListNumber2">
    <w:name w:val="List Number 2"/>
    <w:basedOn w:val="Normal"/>
    <w:uiPriority w:val="99"/>
    <w:semiHidden/>
    <w:rsid w:val="00351E32"/>
    <w:pPr>
      <w:numPr>
        <w:numId w:val="8"/>
      </w:numPr>
      <w:spacing w:after="120"/>
    </w:pPr>
  </w:style>
  <w:style w:type="paragraph" w:styleId="ListNumber3">
    <w:name w:val="List Number 3"/>
    <w:basedOn w:val="Normal"/>
    <w:uiPriority w:val="99"/>
    <w:semiHidden/>
    <w:rsid w:val="004D778A"/>
    <w:pPr>
      <w:numPr>
        <w:numId w:val="9"/>
      </w:numPr>
      <w:contextualSpacing/>
    </w:pPr>
  </w:style>
  <w:style w:type="paragraph" w:customStyle="1" w:styleId="ListNumber1">
    <w:name w:val="List Number1"/>
    <w:basedOn w:val="Normal"/>
    <w:uiPriority w:val="99"/>
    <w:semiHidden/>
    <w:locked/>
    <w:rsid w:val="00351E32"/>
    <w:pPr>
      <w:tabs>
        <w:tab w:val="num" w:pos="360"/>
      </w:tabs>
      <w:spacing w:after="120"/>
      <w:ind w:left="360" w:hanging="360"/>
    </w:pPr>
  </w:style>
  <w:style w:type="paragraph" w:styleId="ListParagraph">
    <w:name w:val="List Paragraph"/>
    <w:basedOn w:val="Normal"/>
    <w:uiPriority w:val="1"/>
    <w:semiHidden/>
    <w:rsid w:val="00BD0DC6"/>
    <w:pPr>
      <w:ind w:left="720"/>
      <w:contextualSpacing/>
    </w:pPr>
  </w:style>
  <w:style w:type="table" w:styleId="ListTable7Colorful-Accent1">
    <w:name w:val="List Table 7 Colorful Accent 1"/>
    <w:basedOn w:val="TableNormal"/>
    <w:uiPriority w:val="52"/>
    <w:locked/>
    <w:rsid w:val="006B3D7D"/>
    <w:pPr>
      <w:spacing w:after="0" w:line="240" w:lineRule="auto"/>
    </w:pPr>
    <w:rPr>
      <w:rFonts w:ascii="Franklin Gothic Book" w:eastAsia="Franklin Gothic Book" w:hAnsi="Franklin Gothic Book" w:cs="Times New Roman"/>
      <w:color w:val="032755"/>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2B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2B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2B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2B54" w:themeColor="accent1"/>
        </w:tcBorders>
        <w:shd w:val="clear" w:color="auto" w:fill="FFFFFF" w:themeFill="background1"/>
      </w:tcPr>
    </w:tblStylePr>
    <w:tblStylePr w:type="band1Vert">
      <w:tblPr/>
      <w:tcPr>
        <w:shd w:val="clear" w:color="auto" w:fill="BFCEED" w:themeFill="accent1" w:themeFillTint="33"/>
      </w:tcPr>
    </w:tblStylePr>
    <w:tblStylePr w:type="band1Horz">
      <w:tblPr/>
      <w:tcPr>
        <w:shd w:val="clear" w:color="auto" w:fill="BF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List1">
    <w:name w:val="No. List 1"/>
    <w:uiPriority w:val="9"/>
    <w:rsid w:val="00E65671"/>
    <w:pPr>
      <w:numPr>
        <w:numId w:val="10"/>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2">
    <w:name w:val="No. List 2"/>
    <w:uiPriority w:val="9"/>
    <w:rsid w:val="00E65671"/>
    <w:pPr>
      <w:numPr>
        <w:ilvl w:val="1"/>
        <w:numId w:val="11"/>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3">
    <w:name w:val="No. List 3"/>
    <w:uiPriority w:val="9"/>
    <w:rsid w:val="00E65671"/>
    <w:pPr>
      <w:numPr>
        <w:ilvl w:val="2"/>
        <w:numId w:val="12"/>
      </w:numPr>
      <w:spacing w:after="120" w:line="240" w:lineRule="auto"/>
      <w:jc w:val="both"/>
    </w:pPr>
    <w:rPr>
      <w:rFonts w:ascii="Franklin Gothic Book" w:eastAsia="Times New Roman" w:hAnsi="Franklin Gothic Book" w:cs="Times New Roman"/>
      <w:color w:val="4A4D56" w:themeColor="text1"/>
      <w:lang w:val="en-US"/>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ormalCenter">
    <w:name w:val="Normal Center"/>
    <w:basedOn w:val="Normal"/>
    <w:uiPriority w:val="1"/>
    <w:rsid w:val="001E1344"/>
    <w:pPr>
      <w:jc w:val="center"/>
    </w:pPr>
    <w:rPr>
      <w:noProof/>
    </w:rPr>
  </w:style>
  <w:style w:type="numbering" w:customStyle="1" w:styleId="ODBulletList">
    <w:name w:val="OD Bullet List"/>
    <w:uiPriority w:val="99"/>
    <w:rsid w:val="0028728B"/>
  </w:style>
  <w:style w:type="numbering" w:customStyle="1" w:styleId="ODNumberList">
    <w:name w:val="OD Number List"/>
    <w:uiPriority w:val="99"/>
    <w:rsid w:val="00BD0DC6"/>
  </w:style>
  <w:style w:type="table" w:customStyle="1" w:styleId="ODCBasic-1">
    <w:name w:val="ODC_Basic-1"/>
    <w:basedOn w:val="TableNormal"/>
    <w:uiPriority w:val="99"/>
    <w:qFormat/>
    <w:rsid w:val="00E6039A"/>
    <w:pPr>
      <w:spacing w:after="0" w:line="240" w:lineRule="auto"/>
    </w:pPr>
    <w:rPr>
      <w:rFonts w:ascii="Franklin Gothic Book" w:eastAsia="Times New Roman" w:hAnsi="Franklin Gothic Book" w:cs="Times New Roman"/>
      <w:color w:val="FFFFFF" w:themeColor="background1"/>
      <w:sz w:val="18"/>
      <w:szCs w:val="20"/>
      <w:lang w:val="en-US"/>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Franklin Gothic Medium" w:hAnsi="Franklin Gothic Medium"/>
        <w:b w:val="0"/>
        <w:i w:val="0"/>
        <w:iCs/>
        <w:color w:val="1FA9E1" w:themeColor="accent3"/>
        <w:sz w:val="18"/>
      </w:rPr>
      <w:tblPr/>
      <w:tcPr>
        <w:tcBorders>
          <w:bottom w:val="single" w:sz="4" w:space="0" w:color="FFFFFF" w:themeColor="background2"/>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semiHidden/>
    <w:rsid w:val="00B51ADD"/>
  </w:style>
  <w:style w:type="character" w:styleId="PlaceholderText">
    <w:name w:val="Placeholder Text"/>
    <w:basedOn w:val="DefaultParagraphFont"/>
    <w:uiPriority w:val="99"/>
    <w:semiHidden/>
    <w:rsid w:val="002C33BF"/>
    <w:rPr>
      <w:color w:val="808080"/>
    </w:rPr>
  </w:style>
  <w:style w:type="table" w:styleId="PlainTable1">
    <w:name w:val="Plain Table 1"/>
    <w:basedOn w:val="TableNormal"/>
    <w:uiPriority w:val="41"/>
    <w:locked/>
    <w:rsid w:val="006143D1"/>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locked/>
    <w:rsid w:val="00904FB6"/>
    <w:pPr>
      <w:spacing w:before="200" w:after="0" w:line="240" w:lineRule="auto"/>
    </w:pPr>
    <w:rPr>
      <w:rFonts w:ascii="Franklin Gothic Book" w:eastAsia="Times New Roman" w:hAnsi="Franklin Gothic Book" w:cs="Times New Roman"/>
      <w:lang w:val="en-US"/>
    </w:rPr>
    <w:tblPr>
      <w:tblStyleRowBandSize w:val="1"/>
      <w:tblStyleColBandSize w:val="1"/>
    </w:tblPr>
    <w:tblStylePr w:type="firstRow">
      <w:rPr>
        <w:b/>
        <w:bCs/>
        <w:caps/>
      </w:rPr>
      <w:tblPr/>
      <w:tcPr>
        <w:tcBorders>
          <w:bottom w:val="single" w:sz="4" w:space="0" w:color="A0A3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0A3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QuoteStyle">
    <w:name w:val="Quote Style"/>
    <w:basedOn w:val="Normal"/>
    <w:next w:val="Normal"/>
    <w:uiPriority w:val="5"/>
    <w:rsid w:val="00D075CA"/>
    <w:pPr>
      <w:jc w:val="center"/>
    </w:pPr>
    <w:rPr>
      <w:color w:val="6B9BDE" w:themeColor="accent2" w:themeTint="99"/>
      <w:sz w:val="24"/>
    </w:rPr>
  </w:style>
  <w:style w:type="paragraph" w:styleId="Quote">
    <w:name w:val="Quote"/>
    <w:basedOn w:val="Normal"/>
    <w:next w:val="Normal"/>
    <w:uiPriority w:val="99"/>
    <w:semiHidden/>
    <w:qFormat/>
    <w:rsid w:val="00C970BA"/>
    <w:pPr>
      <w:ind w:left="864" w:right="864"/>
      <w:jc w:val="center"/>
    </w:pPr>
    <w:rPr>
      <w:i/>
      <w:iCs/>
    </w:rPr>
  </w:style>
  <w:style w:type="paragraph" w:styleId="Signature">
    <w:name w:val="Signature"/>
    <w:basedOn w:val="Normal"/>
    <w:uiPriority w:val="99"/>
    <w:semiHidden/>
    <w:rsid w:val="00B51ADD"/>
    <w:pPr>
      <w:spacing w:after="0"/>
      <w:ind w:left="4320"/>
    </w:pPr>
  </w:style>
  <w:style w:type="character" w:styleId="SubtleEmphasis">
    <w:name w:val="Subtle Emphasis"/>
    <w:uiPriority w:val="4"/>
    <w:qFormat/>
    <w:rsid w:val="00BD573A"/>
    <w:rPr>
      <w:rFonts w:ascii="Franklin Gothic Medium" w:hAnsi="Franklin Gothic Medium"/>
      <w:b w:val="0"/>
      <w:iCs/>
      <w:color w:val="4A4D56" w:themeColor="text1"/>
    </w:rPr>
  </w:style>
  <w:style w:type="paragraph" w:styleId="TOC1">
    <w:name w:val="toc 1"/>
    <w:basedOn w:val="Normal"/>
    <w:next w:val="Normal"/>
    <w:autoRedefine/>
    <w:uiPriority w:val="39"/>
    <w:qFormat/>
    <w:rsid w:val="00155088"/>
    <w:pPr>
      <w:tabs>
        <w:tab w:val="left" w:pos="1584"/>
        <w:tab w:val="right" w:leader="dot" w:pos="10746"/>
      </w:tabs>
      <w:spacing w:before="120" w:after="120"/>
      <w:ind w:left="360" w:right="-4" w:hanging="360"/>
    </w:pPr>
    <w:rPr>
      <w:noProof/>
    </w:rPr>
  </w:style>
  <w:style w:type="paragraph" w:styleId="TOC2">
    <w:name w:val="toc 2"/>
    <w:basedOn w:val="Normal"/>
    <w:next w:val="Normal"/>
    <w:autoRedefine/>
    <w:uiPriority w:val="39"/>
    <w:rsid w:val="00A14F20"/>
    <w:pPr>
      <w:tabs>
        <w:tab w:val="left" w:leader="dot" w:pos="1152"/>
        <w:tab w:val="right" w:leader="dot" w:pos="10746"/>
      </w:tabs>
      <w:spacing w:before="120" w:after="120"/>
      <w:ind w:left="936" w:right="360" w:hanging="504"/>
    </w:pPr>
    <w:rPr>
      <w:noProof/>
    </w:rPr>
  </w:style>
  <w:style w:type="paragraph" w:styleId="TOC3">
    <w:name w:val="toc 3"/>
    <w:basedOn w:val="Normal"/>
    <w:next w:val="Normal"/>
    <w:autoRedefine/>
    <w:uiPriority w:val="39"/>
    <w:rsid w:val="00046703"/>
    <w:pPr>
      <w:tabs>
        <w:tab w:val="right" w:leader="dot" w:pos="9360"/>
      </w:tabs>
      <w:spacing w:before="100"/>
      <w:ind w:left="1584" w:right="333" w:hanging="648"/>
    </w:pPr>
  </w:style>
  <w:style w:type="paragraph" w:styleId="TOC4">
    <w:name w:val="toc 4"/>
    <w:basedOn w:val="Normal"/>
    <w:next w:val="Normal"/>
    <w:autoRedefine/>
    <w:uiPriority w:val="39"/>
    <w:semiHidden/>
    <w:rsid w:val="00721364"/>
    <w:pPr>
      <w:spacing w:after="0"/>
      <w:ind w:left="660"/>
    </w:pPr>
    <w:rPr>
      <w:sz w:val="20"/>
      <w:szCs w:val="20"/>
    </w:rPr>
  </w:style>
  <w:style w:type="paragraph" w:styleId="TOC5">
    <w:name w:val="toc 5"/>
    <w:basedOn w:val="Normal"/>
    <w:next w:val="Normal"/>
    <w:autoRedefine/>
    <w:uiPriority w:val="39"/>
    <w:semiHidden/>
    <w:rsid w:val="00721364"/>
    <w:pPr>
      <w:spacing w:after="0"/>
      <w:ind w:left="880"/>
    </w:pPr>
    <w:rPr>
      <w:sz w:val="20"/>
      <w:szCs w:val="20"/>
    </w:rPr>
  </w:style>
  <w:style w:type="paragraph" w:styleId="TOC6">
    <w:name w:val="toc 6"/>
    <w:basedOn w:val="Normal"/>
    <w:next w:val="Normal"/>
    <w:autoRedefine/>
    <w:uiPriority w:val="39"/>
    <w:semiHidden/>
    <w:rsid w:val="00721364"/>
    <w:pPr>
      <w:spacing w:after="0"/>
      <w:ind w:left="1100"/>
    </w:pPr>
    <w:rPr>
      <w:sz w:val="20"/>
      <w:szCs w:val="20"/>
    </w:rPr>
  </w:style>
  <w:style w:type="paragraph" w:styleId="TOC9">
    <w:name w:val="toc 9"/>
    <w:basedOn w:val="Normal"/>
    <w:next w:val="Normal"/>
    <w:autoRedefine/>
    <w:uiPriority w:val="99"/>
    <w:semiHidden/>
    <w:rsid w:val="00102DB2"/>
    <w:pPr>
      <w:spacing w:after="100"/>
      <w:ind w:left="1760"/>
    </w:pPr>
  </w:style>
  <w:style w:type="paragraph" w:styleId="TOCHeading">
    <w:name w:val="TOC Heading"/>
    <w:basedOn w:val="Normal"/>
    <w:uiPriority w:val="39"/>
    <w:qFormat/>
    <w:rsid w:val="003B615C"/>
    <w:pPr>
      <w:spacing w:line="500" w:lineRule="exact"/>
    </w:pPr>
    <w:rPr>
      <w:rFonts w:ascii="Rift Soft" w:hAnsi="Rift Soft"/>
      <w:color w:val="053572"/>
      <w:sz w:val="48"/>
      <w:szCs w:val="48"/>
    </w:rPr>
  </w:style>
  <w:style w:type="table" w:styleId="Table3Deffects3">
    <w:name w:val="Table 3D effects 3"/>
    <w:basedOn w:val="TableNormal"/>
    <w:locked/>
    <w:rsid w:val="004B54F7"/>
    <w:pPr>
      <w:spacing w:before="200" w:line="240" w:lineRule="auto"/>
      <w:jc w:val="both"/>
    </w:pPr>
    <w:rPr>
      <w:rFonts w:ascii="Franklin Gothic Book" w:eastAsia="Times New Roman" w:hAnsi="Franklin Gothic Book"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6"/>
    <w:qFormat/>
    <w:rsid w:val="00800410"/>
    <w:pPr>
      <w:numPr>
        <w:numId w:val="13"/>
      </w:numPr>
      <w:spacing w:after="0"/>
      <w:ind w:left="144" w:hanging="144"/>
    </w:pPr>
    <w:rPr>
      <w:sz w:val="20"/>
      <w:szCs w:val="20"/>
    </w:rPr>
  </w:style>
  <w:style w:type="paragraph" w:customStyle="1" w:styleId="TableCenterText">
    <w:name w:val="Table Center Text"/>
    <w:uiPriority w:val="6"/>
    <w:rsid w:val="00D46027"/>
    <w:pPr>
      <w:spacing w:after="0" w:line="240" w:lineRule="auto"/>
      <w:jc w:val="center"/>
    </w:pPr>
    <w:rPr>
      <w:rFonts w:ascii="Franklin Gothic Book" w:eastAsia="Times New Roman" w:hAnsi="Franklin Gothic Book" w:cs="Times New Roman"/>
      <w:color w:val="4A4D56" w:themeColor="text1"/>
      <w:sz w:val="20"/>
      <w:lang w:val="en-US"/>
    </w:rPr>
  </w:style>
  <w:style w:type="table" w:styleId="TableGrid">
    <w:name w:val="Table Grid"/>
    <w:locked/>
    <w:rsid w:val="002B512D"/>
    <w:pPr>
      <w:spacing w:after="0" w:line="240" w:lineRule="auto"/>
    </w:pPr>
    <w:rPr>
      <w:rFonts w:ascii="Franklin Gothic Book" w:eastAsia="Times New Roman" w:hAnsi="Franklin Gothic Book" w:cs="Times New Roman"/>
      <w:color w:val="FFFFFF"/>
      <w:sz w:val="20"/>
      <w:szCs w:val="20"/>
      <w:lang w:val="en-US" w:eastAsia="en-ZA"/>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uiPriority w:val="6"/>
    <w:qFormat/>
    <w:rsid w:val="007C5AA1"/>
    <w:pPr>
      <w:spacing w:after="0" w:line="240" w:lineRule="auto"/>
    </w:pPr>
    <w:rPr>
      <w:rFonts w:ascii="Franklin Gothic Book" w:eastAsia="Times New Roman" w:hAnsi="Franklin Gothic Book" w:cs="Times New Roman"/>
      <w:color w:val="4A4D56" w:themeColor="text1"/>
      <w:sz w:val="20"/>
      <w:lang w:val="en-US"/>
    </w:rPr>
  </w:style>
  <w:style w:type="paragraph" w:customStyle="1" w:styleId="TableRightText">
    <w:name w:val="Table Right Text"/>
    <w:basedOn w:val="Normal"/>
    <w:uiPriority w:val="6"/>
    <w:rsid w:val="00C33039"/>
    <w:pPr>
      <w:spacing w:after="0"/>
      <w:jc w:val="right"/>
    </w:pPr>
    <w:rPr>
      <w:sz w:val="20"/>
    </w:rPr>
  </w:style>
  <w:style w:type="paragraph" w:customStyle="1" w:styleId="TableHeadingCentered">
    <w:name w:val="Table Heading (Centered)"/>
    <w:uiPriority w:val="6"/>
    <w:qFormat/>
    <w:rsid w:val="006E68B0"/>
    <w:pPr>
      <w:spacing w:after="0" w:line="240" w:lineRule="auto"/>
      <w:jc w:val="center"/>
    </w:pPr>
    <w:rPr>
      <w:rFonts w:ascii="Franklin Gothic Medium" w:eastAsia="Times New Roman" w:hAnsi="Franklin Gothic Medium" w:cs="Times New Roman"/>
      <w:color w:val="FFFFFF" w:themeColor="background1"/>
      <w:sz w:val="20"/>
      <w:szCs w:val="20"/>
      <w:lang w:val="en-US"/>
    </w:rPr>
  </w:style>
  <w:style w:type="paragraph" w:customStyle="1" w:styleId="TableWhiteTextBook">
    <w:name w:val="Table White Text (Book)"/>
    <w:uiPriority w:val="6"/>
    <w:rsid w:val="000F7F43"/>
    <w:pPr>
      <w:spacing w:after="0" w:line="240" w:lineRule="auto"/>
    </w:pPr>
    <w:rPr>
      <w:rFonts w:ascii="Franklin Gothic Book" w:eastAsia="Times New Roman" w:hAnsi="Franklin Gothic Book" w:cs="Times New Roman"/>
      <w:color w:val="FFFFFF"/>
      <w:sz w:val="20"/>
      <w:szCs w:val="20"/>
      <w:lang w:val="en-US"/>
    </w:rPr>
  </w:style>
  <w:style w:type="paragraph" w:styleId="TableofFigures">
    <w:name w:val="table of figures"/>
    <w:basedOn w:val="Normal"/>
    <w:next w:val="Normal"/>
    <w:uiPriority w:val="99"/>
    <w:rsid w:val="00173A1F"/>
    <w:pPr>
      <w:tabs>
        <w:tab w:val="right" w:leader="dot" w:pos="10070"/>
      </w:tabs>
      <w:spacing w:before="120" w:after="120"/>
      <w:ind w:right="360"/>
    </w:pPr>
  </w:style>
  <w:style w:type="paragraph" w:customStyle="1" w:styleId="TableFootnote">
    <w:name w:val="Table_Footnote"/>
    <w:uiPriority w:val="6"/>
    <w:rsid w:val="007C5AA1"/>
    <w:pPr>
      <w:spacing w:before="40" w:after="60" w:line="240" w:lineRule="auto"/>
      <w:jc w:val="both"/>
    </w:pPr>
    <w:rPr>
      <w:rFonts w:ascii="Franklin Gothic Book" w:eastAsia="Times New Roman" w:hAnsi="Franklin Gothic Book" w:cs="Times New Roman"/>
      <w:color w:val="4A4D56" w:themeColor="text1"/>
      <w:sz w:val="18"/>
      <w:szCs w:val="19"/>
      <w:lang w:val="en-US"/>
    </w:rPr>
  </w:style>
  <w:style w:type="character" w:styleId="UnresolvedMention">
    <w:name w:val="Unresolved Mention"/>
    <w:basedOn w:val="DefaultParagraphFont"/>
    <w:uiPriority w:val="99"/>
    <w:semiHidden/>
    <w:unhideWhenUsed/>
    <w:rsid w:val="00E71369"/>
    <w:rPr>
      <w:color w:val="605E5C"/>
      <w:shd w:val="clear" w:color="auto" w:fill="E1DFDD"/>
    </w:rPr>
  </w:style>
  <w:style w:type="table" w:customStyle="1" w:styleId="ODExcelPlaceholder">
    <w:name w:val="_OD Excel Placeholder"/>
    <w:basedOn w:val="TableNormal"/>
    <w:uiPriority w:val="99"/>
    <w:rsid w:val="00865C6A"/>
    <w:pPr>
      <w:spacing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zSRnote">
    <w:name w:val="zSR note"/>
    <w:basedOn w:val="Normal"/>
    <w:uiPriority w:val="99"/>
    <w:semiHidden/>
    <w:locked/>
    <w:rsid w:val="000C2EF9"/>
    <w:pPr>
      <w:spacing w:after="0"/>
    </w:pPr>
    <w:rPr>
      <w:color w:val="C00000"/>
    </w:rPr>
  </w:style>
  <w:style w:type="table" w:customStyle="1" w:styleId="ODTable1">
    <w:name w:val="OD Table 1"/>
    <w:basedOn w:val="TableNormal"/>
    <w:uiPriority w:val="99"/>
    <w:rsid w:val="008F0909"/>
    <w:pPr>
      <w:spacing w:after="0" w:line="240" w:lineRule="auto"/>
    </w:pPr>
    <w:tblPr/>
  </w:style>
  <w:style w:type="numbering" w:customStyle="1" w:styleId="ODXAPPENDIX">
    <w:name w:val="ODX APPENDIX"/>
    <w:uiPriority w:val="99"/>
    <w:rsid w:val="008B2F0D"/>
    <w:pPr>
      <w:numPr>
        <w:numId w:val="15"/>
      </w:numPr>
    </w:pPr>
  </w:style>
  <w:style w:type="character" w:styleId="SmartLink">
    <w:name w:val="Smart Link"/>
    <w:basedOn w:val="DefaultParagraphFont"/>
    <w:uiPriority w:val="99"/>
    <w:semiHidden/>
    <w:unhideWhenUsed/>
    <w:rsid w:val="000C2EF9"/>
    <w:rPr>
      <w:rFonts w:asciiTheme="minorHAnsi" w:hAnsiTheme="minorHAnsi"/>
      <w:color w:val="1FA9E1" w:themeColor="accent3"/>
      <w:sz w:val="22"/>
      <w:u w:val="single"/>
      <w:shd w:val="clear" w:color="auto" w:fill="F3F2F1"/>
    </w:rPr>
  </w:style>
  <w:style w:type="paragraph" w:customStyle="1" w:styleId="TableHeadingLeft">
    <w:name w:val="Table Heading (Left)"/>
    <w:qFormat/>
    <w:rsid w:val="007C5AA1"/>
    <w:pPr>
      <w:spacing w:after="0" w:line="240" w:lineRule="auto"/>
    </w:pPr>
    <w:rPr>
      <w:rFonts w:ascii="Franklin Gothic Medium" w:eastAsia="Times New Roman" w:hAnsi="Franklin Gothic Medium" w:cs="Times New Roman"/>
      <w:color w:val="FFFFFF" w:themeColor="background1"/>
      <w:sz w:val="20"/>
      <w:szCs w:val="20"/>
      <w:lang w:val="en-US"/>
    </w:rPr>
  </w:style>
  <w:style w:type="paragraph" w:customStyle="1" w:styleId="AppendicesEntries">
    <w:name w:val="Appendices Entries"/>
    <w:rsid w:val="003C4811"/>
    <w:pPr>
      <w:tabs>
        <w:tab w:val="left" w:pos="1584"/>
        <w:tab w:val="right" w:leader="dot" w:pos="10746"/>
      </w:tabs>
      <w:spacing w:before="120" w:after="120"/>
      <w:ind w:left="360" w:right="-4" w:hanging="360"/>
    </w:pPr>
    <w:rPr>
      <w:rFonts w:ascii="Franklin Gothic Book" w:eastAsia="Times New Roman" w:hAnsi="Franklin Gothic Book" w:cs="Times New Roman"/>
      <w:noProof/>
      <w:color w:val="4A4D56" w:themeColor="text1"/>
      <w:szCs w:val="20"/>
      <w:lang w:val="en-US"/>
    </w:rPr>
  </w:style>
  <w:style w:type="paragraph" w:customStyle="1" w:styleId="TableTextLeftMedium">
    <w:name w:val="Table Text Left (Medium)"/>
    <w:qFormat/>
    <w:rsid w:val="000E0419"/>
    <w:pPr>
      <w:spacing w:after="0" w:line="240" w:lineRule="auto"/>
    </w:pPr>
    <w:rPr>
      <w:rFonts w:ascii="Franklin Gothic Medium" w:eastAsia="Times New Roman" w:hAnsi="Franklin Gothic Medium" w:cs="Times New Roman"/>
      <w:color w:val="4A4D56" w:themeColor="text1"/>
      <w:sz w:val="20"/>
      <w:lang w:val="en-US"/>
    </w:rPr>
  </w:style>
  <w:style w:type="paragraph" w:styleId="Header">
    <w:name w:val="header"/>
    <w:basedOn w:val="Normal"/>
    <w:link w:val="HeaderChar"/>
    <w:uiPriority w:val="99"/>
    <w:unhideWhenUsed/>
    <w:rsid w:val="00A0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BA"/>
    <w:rPr>
      <w:rFonts w:ascii="Franklin Gothic Book" w:eastAsia="Times New Roman" w:hAnsi="Franklin Gothic Book" w:cs="Times New Roman"/>
      <w:color w:val="4A4D56" w:themeColor="text1"/>
      <w:lang w:val="en-US"/>
    </w:rPr>
  </w:style>
  <w:style w:type="paragraph" w:styleId="Footer">
    <w:name w:val="footer"/>
    <w:basedOn w:val="Normal"/>
    <w:link w:val="FooterChar"/>
    <w:uiPriority w:val="99"/>
    <w:unhideWhenUsed/>
    <w:rsid w:val="00A0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BA"/>
    <w:rPr>
      <w:rFonts w:ascii="Franklin Gothic Book" w:eastAsia="Times New Roman" w:hAnsi="Franklin Gothic Book" w:cs="Times New Roman"/>
      <w:color w:val="4A4D56" w:themeColor="text1"/>
      <w:lang w:val="en-US"/>
    </w:rPr>
  </w:style>
  <w:style w:type="paragraph" w:styleId="Revision">
    <w:name w:val="Revision"/>
    <w:hidden/>
    <w:uiPriority w:val="99"/>
    <w:semiHidden/>
    <w:rsid w:val="00BD7AB1"/>
    <w:pPr>
      <w:spacing w:after="0" w:line="240" w:lineRule="auto"/>
    </w:pPr>
    <w:rPr>
      <w:rFonts w:ascii="Franklin Gothic Book" w:eastAsia="Times New Roman" w:hAnsi="Franklin Gothic Book" w:cs="Times New Roman"/>
      <w:color w:val="4A4D56" w:themeColor="text1"/>
      <w:lang w:val="en-US"/>
    </w:rPr>
  </w:style>
  <w:style w:type="character" w:styleId="CommentReference">
    <w:name w:val="annotation reference"/>
    <w:basedOn w:val="DefaultParagraphFont"/>
    <w:uiPriority w:val="99"/>
    <w:semiHidden/>
    <w:unhideWhenUsed/>
    <w:rsid w:val="00AC38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7802">
      <w:bodyDiv w:val="1"/>
      <w:marLeft w:val="0"/>
      <w:marRight w:val="0"/>
      <w:marTop w:val="0"/>
      <w:marBottom w:val="0"/>
      <w:divBdr>
        <w:top w:val="none" w:sz="0" w:space="0" w:color="auto"/>
        <w:left w:val="none" w:sz="0" w:space="0" w:color="auto"/>
        <w:bottom w:val="none" w:sz="0" w:space="0" w:color="auto"/>
        <w:right w:val="none" w:sz="0" w:space="0" w:color="auto"/>
      </w:divBdr>
    </w:div>
    <w:div w:id="1026448712">
      <w:bodyDiv w:val="1"/>
      <w:marLeft w:val="0"/>
      <w:marRight w:val="0"/>
      <w:marTop w:val="0"/>
      <w:marBottom w:val="0"/>
      <w:divBdr>
        <w:top w:val="none" w:sz="0" w:space="0" w:color="auto"/>
        <w:left w:val="none" w:sz="0" w:space="0" w:color="auto"/>
        <w:bottom w:val="none" w:sz="0" w:space="0" w:color="auto"/>
        <w:right w:val="none" w:sz="0" w:space="0" w:color="auto"/>
      </w:divBdr>
    </w:div>
    <w:div w:id="149900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ilsag.info%2Fwp-content%2Fuploads%2FAIC-Midstream-NTG-Deviation-Memo-2023-08-21.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oss\AppData\Local\Temp\f1b69e57-19c9-4531-8e6b-16676a1e7ebf\Opinion%20Dynamics%20-%20Memo%20Document%20(2).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D main theme">
      <a:dk1>
        <a:srgbClr val="4A4D56"/>
      </a:dk1>
      <a:lt1>
        <a:srgbClr val="FFFFFF"/>
      </a:lt1>
      <a:dk2>
        <a:srgbClr val="053572"/>
      </a:dk2>
      <a:lt2>
        <a:srgbClr val="FFFFFF"/>
      </a:lt2>
      <a:accent1>
        <a:srgbClr val="172B54"/>
      </a:accent1>
      <a:accent2>
        <a:srgbClr val="265EAC"/>
      </a:accent2>
      <a:accent3>
        <a:srgbClr val="1FA9E1"/>
      </a:accent3>
      <a:accent4>
        <a:srgbClr val="7E83C0"/>
      </a:accent4>
      <a:accent5>
        <a:srgbClr val="5661AC"/>
      </a:accent5>
      <a:accent6>
        <a:srgbClr val="FFDFB8"/>
      </a:accent6>
      <a:hlink>
        <a:srgbClr val="4087C7"/>
      </a:hlink>
      <a:folHlink>
        <a:srgbClr val="A1CBE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blipFill>
          <a:blip xmlns:r="http://schemas.openxmlformats.org/officeDocument/2006/relationships" r:embed="rId1">
            <a:extLst>
              <a:ext uri="{96DAC541-7B7A-43D3-8B79-37D633B846F1}">
                <asvg:svgBlip xmlns:asvg="http://schemas.microsoft.com/office/drawing/2016/SVG/main" r:embed="rId2"/>
              </a:ext>
            </a:extLst>
          </a:blip>
          <a:stretch>
            <a:fillRect/>
          </a:stretch>
        </a:blipFill>
        <a:ln w="9525">
          <a:noFill/>
          <a:miter lim="800000"/>
          <a:headEnd/>
          <a:tailEnd/>
        </a:ln>
      </a:spPr>
      <a:bodyPr rot="0" vert="horz" wrap="square" lIns="468000" tIns="360000" rIns="468000" bIns="36000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8" ma:contentTypeDescription="Create a new document." ma:contentTypeScope="" ma:versionID="967f1b68f5e3ab80cf840f70ac74ee22">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02d4f5a0ee28515d2762b287c354b752"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Section</b:Tag>
    <b:RefOrder>1</b:RefOrder>
  </b:Source>
</b:Sources>
</file>

<file path=customXml/itemProps1.xml><?xml version="1.0" encoding="utf-8"?>
<ds:datastoreItem xmlns:ds="http://schemas.openxmlformats.org/officeDocument/2006/customXml" ds:itemID="{D3411EA8-740C-41DE-8E07-DBE31723EFC4}">
  <ds:schemaRefs>
    <ds:schemaRef ds:uri="http://schemas.microsoft.com/sharepoint/v3/contenttype/forms"/>
  </ds:schemaRefs>
</ds:datastoreItem>
</file>

<file path=customXml/itemProps2.xml><?xml version="1.0" encoding="utf-8"?>
<ds:datastoreItem xmlns:ds="http://schemas.openxmlformats.org/officeDocument/2006/customXml" ds:itemID="{319A3AA9-9C7E-4A64-8B19-BEC9F74442A8}">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3.xml><?xml version="1.0" encoding="utf-8"?>
<ds:datastoreItem xmlns:ds="http://schemas.openxmlformats.org/officeDocument/2006/customXml" ds:itemID="{E0E22F33-702E-4028-8CF5-E1D0BA4C0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5D383-8288-463E-A8CC-DB995C2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 Dynamics - Memo Document (2)</Template>
  <TotalTime>18</TotalTime>
  <Pages>6</Pages>
  <Words>3541</Words>
  <Characters>20170</Characters>
  <Application>Microsoft Office Word</Application>
  <DocSecurity>0</DocSecurity>
  <Lines>429</Lines>
  <Paragraphs>209</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Zachary Ross</dc:creator>
  <cp:lastModifiedBy>Malena Hernandez</cp:lastModifiedBy>
  <cp:revision>4</cp:revision>
  <dcterms:created xsi:type="dcterms:W3CDTF">2025-04-28T20:35:00Z</dcterms:created>
  <dcterms:modified xsi:type="dcterms:W3CDTF">2025-04-29T17:23:00Z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73564f48-a1c1-4ad1-8cac-555e9f90f817</vt:lpwstr>
  </property>
  <property fmtid="{D5CDD505-2E9C-101B-9397-08002B2CF9AE}" pid="3" name="ContentTypeId">
    <vt:lpwstr>0x01010087588F1E73A3DF4E9DE46ACDFEFCEA5B</vt:lpwstr>
  </property>
</Properties>
</file>