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EE2C6" w14:textId="1F367E04"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bookmarkStart w:id="16" w:name="_GoBack"/>
      <w:bookmarkEnd w:id="16"/>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6A2EBDBF" w:rsidR="00B55FE0" w:rsidRPr="0028614A" w:rsidRDefault="00D1300F" w:rsidP="0028614A">
      <w:pPr>
        <w:spacing w:line="360" w:lineRule="auto"/>
        <w:jc w:val="center"/>
        <w:rPr>
          <w:b/>
          <w:sz w:val="56"/>
        </w:rPr>
      </w:pPr>
      <w:r>
        <w:rPr>
          <w:b/>
          <w:sz w:val="56"/>
        </w:rPr>
        <w:t xml:space="preserve">2019 </w:t>
      </w:r>
      <w:r w:rsidR="00B55FE0" w:rsidRPr="008F033B">
        <w:rPr>
          <w:b/>
          <w:sz w:val="56"/>
        </w:rPr>
        <w:t>Illinois</w:t>
      </w:r>
      <w:r w:rsidR="00B55FE0" w:rsidRPr="0042413F">
        <w:rPr>
          <w:b/>
          <w:sz w:val="56"/>
          <w:szCs w:val="56"/>
        </w:rPr>
        <w:t xml:space="preserve"> Statewide</w:t>
      </w:r>
      <w:bookmarkStart w:id="17" w:name="_Toc311441024"/>
      <w:bookmarkStart w:id="18" w:name="_Toc311441572"/>
      <w:bookmarkStart w:id="19" w:name="_Toc311441786"/>
      <w:bookmarkStart w:id="20" w:name="_Toc311444829"/>
      <w:bookmarkStart w:id="21" w:name="_Toc311461616"/>
      <w:bookmarkStart w:id="22" w:name="_Toc311464130"/>
      <w:bookmarkStart w:id="23" w:name="_Toc311464187"/>
      <w:bookmarkStart w:id="24" w:name="_Toc311464224"/>
      <w:bookmarkStart w:id="25" w:name="_Toc311464255"/>
      <w:bookmarkStart w:id="26" w:name="_Toc311465361"/>
      <w:bookmarkStart w:id="27" w:name="_Toc311469763"/>
      <w:bookmarkStart w:id="28" w:name="_Toc311470069"/>
      <w:bookmarkStart w:id="29" w:name="_Toc311470205"/>
      <w:bookmarkStart w:id="30" w:name="_Toc311470723"/>
      <w:bookmarkStart w:id="31" w:name="_Toc311472369"/>
      <w:bookmarkStart w:id="32" w:name="_Toc311472528"/>
      <w:r w:rsidR="0028614A">
        <w:rPr>
          <w:b/>
          <w:sz w:val="56"/>
        </w:rPr>
        <w:t xml:space="preserve"> </w:t>
      </w:r>
      <w:r w:rsidR="00B55FE0" w:rsidRPr="008F033B">
        <w:rPr>
          <w:b/>
          <w:sz w:val="56"/>
        </w:rPr>
        <w:t>Technical Reference Manual</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28614A">
        <w:rPr>
          <w:b/>
          <w:sz w:val="56"/>
        </w:rPr>
        <w:t xml:space="preserve"> </w:t>
      </w:r>
      <w:r w:rsidR="00B55FE0" w:rsidRPr="0042413F">
        <w:rPr>
          <w:b/>
          <w:sz w:val="56"/>
          <w:szCs w:val="56"/>
        </w:rPr>
        <w:t>for Energy Efficiency</w:t>
      </w:r>
    </w:p>
    <w:p w14:paraId="1267F4C5" w14:textId="5027A0DD" w:rsidR="00B55FE0" w:rsidRDefault="005C34BA" w:rsidP="00B55FE0">
      <w:pPr>
        <w:spacing w:line="360" w:lineRule="auto"/>
        <w:jc w:val="center"/>
        <w:rPr>
          <w:b/>
          <w:sz w:val="56"/>
          <w:szCs w:val="56"/>
        </w:rPr>
      </w:pPr>
      <w:r>
        <w:rPr>
          <w:b/>
          <w:sz w:val="56"/>
          <w:szCs w:val="56"/>
        </w:rPr>
        <w:t xml:space="preserve">Version </w:t>
      </w:r>
      <w:r w:rsidR="00865813">
        <w:rPr>
          <w:b/>
          <w:sz w:val="56"/>
          <w:szCs w:val="56"/>
        </w:rPr>
        <w:t>7</w:t>
      </w:r>
      <w:r w:rsidR="00B55FE0">
        <w:rPr>
          <w:b/>
          <w:sz w:val="56"/>
          <w:szCs w:val="56"/>
        </w:rPr>
        <w:t>.0</w:t>
      </w:r>
    </w:p>
    <w:p w14:paraId="3925E416" w14:textId="77777777" w:rsidR="0028614A" w:rsidRDefault="0028614A" w:rsidP="00B55FE0">
      <w:pPr>
        <w:spacing w:line="360" w:lineRule="auto"/>
        <w:jc w:val="center"/>
        <w:rPr>
          <w:b/>
          <w:sz w:val="56"/>
          <w:szCs w:val="56"/>
        </w:rPr>
      </w:pPr>
    </w:p>
    <w:p w14:paraId="7DABF482" w14:textId="77777777"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1B532B9C" w:rsidR="00B55FE0" w:rsidRDefault="00D0704C" w:rsidP="0028614A">
      <w:pPr>
        <w:jc w:val="center"/>
        <w:rPr>
          <w:b/>
          <w:sz w:val="48"/>
          <w:szCs w:val="48"/>
        </w:rPr>
      </w:pPr>
      <w:r>
        <w:rPr>
          <w:b/>
          <w:sz w:val="48"/>
          <w:szCs w:val="48"/>
        </w:rPr>
        <w:t>FINAL</w:t>
      </w:r>
    </w:p>
    <w:p w14:paraId="221F263D" w14:textId="5AE224A0" w:rsidR="00B55FE0" w:rsidRPr="002F27B8" w:rsidRDefault="00D0704C" w:rsidP="00B55FE0">
      <w:pPr>
        <w:jc w:val="center"/>
        <w:rPr>
          <w:b/>
          <w:sz w:val="48"/>
          <w:szCs w:val="48"/>
        </w:rPr>
      </w:pPr>
      <w:r>
        <w:rPr>
          <w:b/>
          <w:sz w:val="48"/>
          <w:szCs w:val="48"/>
        </w:rPr>
        <w:t>September</w:t>
      </w:r>
      <w:r w:rsidR="00134218">
        <w:rPr>
          <w:b/>
          <w:sz w:val="48"/>
          <w:szCs w:val="48"/>
        </w:rPr>
        <w:t xml:space="preserve"> </w:t>
      </w:r>
      <w:r w:rsidR="00720958">
        <w:rPr>
          <w:b/>
          <w:sz w:val="48"/>
          <w:szCs w:val="48"/>
        </w:rPr>
        <w:t>28</w:t>
      </w:r>
      <w:r w:rsidR="00655CE6">
        <w:rPr>
          <w:b/>
          <w:sz w:val="48"/>
          <w:szCs w:val="48"/>
        </w:rPr>
        <w:t>, 201</w:t>
      </w:r>
      <w:r w:rsidR="00134218">
        <w:rPr>
          <w:b/>
          <w:sz w:val="48"/>
          <w:szCs w:val="48"/>
        </w:rPr>
        <w:t>8</w:t>
      </w:r>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5BC419F7"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1, 201</w:t>
      </w:r>
      <w:r w:rsidR="00865813">
        <w:rPr>
          <w:b/>
          <w:sz w:val="48"/>
          <w:szCs w:val="48"/>
        </w:rPr>
        <w:t>9</w:t>
      </w:r>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33"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5DC359AC" w14:textId="523B5C6B" w:rsidR="00600AA0" w:rsidRDefault="002F4162">
      <w:pPr>
        <w:pStyle w:val="TOC1"/>
        <w:tabs>
          <w:tab w:val="left" w:pos="400"/>
          <w:tab w:val="right" w:leader="dot" w:pos="9350"/>
        </w:tabs>
        <w:rPr>
          <w:rFonts w:asciiTheme="minorHAnsi" w:eastAsiaTheme="minorEastAsia" w:hAnsiTheme="minorHAnsi" w:cstheme="minorBidi"/>
          <w:b w:val="0"/>
          <w:smallCaps w:val="0"/>
          <w:noProof/>
        </w:rPr>
      </w:pPr>
      <w:r>
        <w:rPr>
          <w:rStyle w:val="BookTitle"/>
          <w:caps/>
          <w:sz w:val="24"/>
          <w:szCs w:val="24"/>
        </w:rPr>
        <w:fldChar w:fldCharType="begin"/>
      </w:r>
      <w:r>
        <w:rPr>
          <w:rStyle w:val="BookTitle"/>
          <w:caps/>
          <w:sz w:val="24"/>
          <w:szCs w:val="24"/>
        </w:rPr>
        <w:instrText xml:space="preserve"> TOC \o "1-1" \h \z \t "Heading 2,2,Heading 3,3,Heading 3.1,3" </w:instrText>
      </w:r>
      <w:r>
        <w:rPr>
          <w:rStyle w:val="BookTitle"/>
          <w:caps/>
          <w:sz w:val="24"/>
          <w:szCs w:val="24"/>
        </w:rPr>
        <w:fldChar w:fldCharType="separate"/>
      </w:r>
      <w:hyperlink w:anchor="_Toc524594111" w:history="1">
        <w:r w:rsidR="00600AA0" w:rsidRPr="00AA69F5">
          <w:rPr>
            <w:rStyle w:val="Hyperlink"/>
            <w:rFonts w:eastAsiaTheme="minorEastAsia"/>
            <w:noProof/>
            <w14:scene3d>
              <w14:camera w14:prst="orthographicFront"/>
              <w14:lightRig w14:rig="threePt" w14:dir="t">
                <w14:rot w14:lat="0" w14:lon="0" w14:rev="0"/>
              </w14:lightRig>
            </w14:scene3d>
          </w:rPr>
          <w:t>1</w:t>
        </w:r>
        <w:r w:rsidR="00600AA0">
          <w:rPr>
            <w:rFonts w:asciiTheme="minorHAnsi" w:eastAsiaTheme="minorEastAsia" w:hAnsiTheme="minorHAnsi" w:cstheme="minorBidi"/>
            <w:b w:val="0"/>
            <w:smallCaps w:val="0"/>
            <w:noProof/>
          </w:rPr>
          <w:tab/>
        </w:r>
        <w:r w:rsidR="00600AA0" w:rsidRPr="00AA69F5">
          <w:rPr>
            <w:rStyle w:val="Hyperlink"/>
            <w:rFonts w:eastAsiaTheme="minorEastAsia"/>
            <w:noProof/>
          </w:rPr>
          <w:t>Purpose of the TRM</w:t>
        </w:r>
        <w:r w:rsidR="00600AA0">
          <w:rPr>
            <w:noProof/>
            <w:webHidden/>
          </w:rPr>
          <w:tab/>
        </w:r>
        <w:r w:rsidR="00600AA0">
          <w:rPr>
            <w:noProof/>
            <w:webHidden/>
          </w:rPr>
          <w:fldChar w:fldCharType="begin"/>
        </w:r>
        <w:r w:rsidR="00600AA0">
          <w:rPr>
            <w:noProof/>
            <w:webHidden/>
          </w:rPr>
          <w:instrText xml:space="preserve"> PAGEREF _Toc524594111 \h </w:instrText>
        </w:r>
        <w:r w:rsidR="00600AA0">
          <w:rPr>
            <w:noProof/>
            <w:webHidden/>
          </w:rPr>
        </w:r>
        <w:r w:rsidR="00600AA0">
          <w:rPr>
            <w:noProof/>
            <w:webHidden/>
          </w:rPr>
          <w:fldChar w:fldCharType="separate"/>
        </w:r>
        <w:r w:rsidR="00600AA0">
          <w:rPr>
            <w:noProof/>
            <w:webHidden/>
          </w:rPr>
          <w:t>4</w:t>
        </w:r>
        <w:r w:rsidR="00600AA0">
          <w:rPr>
            <w:noProof/>
            <w:webHidden/>
          </w:rPr>
          <w:fldChar w:fldCharType="end"/>
        </w:r>
      </w:hyperlink>
    </w:p>
    <w:p w14:paraId="2A540CC7" w14:textId="0ECE9C10"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2" w:history="1">
        <w:r w:rsidR="00600AA0" w:rsidRPr="00AA69F5">
          <w:rPr>
            <w:rStyle w:val="Hyperlink"/>
            <w:rFonts w:eastAsiaTheme="minorEastAsia"/>
            <w:noProof/>
            <w14:scene3d>
              <w14:camera w14:prst="orthographicFront"/>
              <w14:lightRig w14:rig="threePt" w14:dir="t">
                <w14:rot w14:lat="0" w14:lon="0" w14:rev="0"/>
              </w14:lightRig>
            </w14:scene3d>
          </w:rPr>
          <w:t>1.1</w:t>
        </w:r>
        <w:r w:rsidR="00600AA0">
          <w:rPr>
            <w:rFonts w:asciiTheme="minorHAnsi" w:eastAsiaTheme="minorEastAsia" w:hAnsiTheme="minorHAnsi" w:cstheme="minorBidi"/>
            <w:noProof/>
            <w:sz w:val="22"/>
          </w:rPr>
          <w:tab/>
        </w:r>
        <w:r w:rsidR="00600AA0" w:rsidRPr="00AA69F5">
          <w:rPr>
            <w:rStyle w:val="Hyperlink"/>
            <w:rFonts w:eastAsiaTheme="minorEastAsia"/>
            <w:noProof/>
          </w:rPr>
          <w:t>Acknowledgments</w:t>
        </w:r>
        <w:r w:rsidR="00600AA0">
          <w:rPr>
            <w:noProof/>
            <w:webHidden/>
          </w:rPr>
          <w:tab/>
        </w:r>
        <w:r w:rsidR="00600AA0">
          <w:rPr>
            <w:noProof/>
            <w:webHidden/>
          </w:rPr>
          <w:fldChar w:fldCharType="begin"/>
        </w:r>
        <w:r w:rsidR="00600AA0">
          <w:rPr>
            <w:noProof/>
            <w:webHidden/>
          </w:rPr>
          <w:instrText xml:space="preserve"> PAGEREF _Toc524594112 \h </w:instrText>
        </w:r>
        <w:r w:rsidR="00600AA0">
          <w:rPr>
            <w:noProof/>
            <w:webHidden/>
          </w:rPr>
        </w:r>
        <w:r w:rsidR="00600AA0">
          <w:rPr>
            <w:noProof/>
            <w:webHidden/>
          </w:rPr>
          <w:fldChar w:fldCharType="separate"/>
        </w:r>
        <w:r w:rsidR="00600AA0">
          <w:rPr>
            <w:noProof/>
            <w:webHidden/>
          </w:rPr>
          <w:t>4</w:t>
        </w:r>
        <w:r w:rsidR="00600AA0">
          <w:rPr>
            <w:noProof/>
            <w:webHidden/>
          </w:rPr>
          <w:fldChar w:fldCharType="end"/>
        </w:r>
      </w:hyperlink>
    </w:p>
    <w:p w14:paraId="757AFA58" w14:textId="379119A7"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3" w:history="1">
        <w:r w:rsidR="00600AA0" w:rsidRPr="00AA69F5">
          <w:rPr>
            <w:rStyle w:val="Hyperlink"/>
            <w:rFonts w:eastAsiaTheme="minorEastAsia"/>
            <w:noProof/>
            <w14:scene3d>
              <w14:camera w14:prst="orthographicFront"/>
              <w14:lightRig w14:rig="threePt" w14:dir="t">
                <w14:rot w14:lat="0" w14:lon="0" w14:rev="0"/>
              </w14:lightRig>
            </w14:scene3d>
          </w:rPr>
          <w:t>1.2</w:t>
        </w:r>
        <w:r w:rsidR="00600AA0">
          <w:rPr>
            <w:rFonts w:asciiTheme="minorHAnsi" w:eastAsiaTheme="minorEastAsia" w:hAnsiTheme="minorHAnsi" w:cstheme="minorBidi"/>
            <w:noProof/>
            <w:sz w:val="22"/>
          </w:rPr>
          <w:tab/>
        </w:r>
        <w:r w:rsidR="00600AA0" w:rsidRPr="00AA69F5">
          <w:rPr>
            <w:rStyle w:val="Hyperlink"/>
            <w:rFonts w:eastAsiaTheme="minorEastAsia"/>
            <w:noProof/>
          </w:rPr>
          <w:t>Summary of Measure Revisions</w:t>
        </w:r>
        <w:r w:rsidR="00600AA0">
          <w:rPr>
            <w:noProof/>
            <w:webHidden/>
          </w:rPr>
          <w:tab/>
        </w:r>
        <w:r w:rsidR="00600AA0">
          <w:rPr>
            <w:noProof/>
            <w:webHidden/>
          </w:rPr>
          <w:fldChar w:fldCharType="begin"/>
        </w:r>
        <w:r w:rsidR="00600AA0">
          <w:rPr>
            <w:noProof/>
            <w:webHidden/>
          </w:rPr>
          <w:instrText xml:space="preserve"> PAGEREF _Toc524594113 \h </w:instrText>
        </w:r>
        <w:r w:rsidR="00600AA0">
          <w:rPr>
            <w:noProof/>
            <w:webHidden/>
          </w:rPr>
        </w:r>
        <w:r w:rsidR="00600AA0">
          <w:rPr>
            <w:noProof/>
            <w:webHidden/>
          </w:rPr>
          <w:fldChar w:fldCharType="separate"/>
        </w:r>
        <w:r w:rsidR="00600AA0">
          <w:rPr>
            <w:noProof/>
            <w:webHidden/>
          </w:rPr>
          <w:t>5</w:t>
        </w:r>
        <w:r w:rsidR="00600AA0">
          <w:rPr>
            <w:noProof/>
            <w:webHidden/>
          </w:rPr>
          <w:fldChar w:fldCharType="end"/>
        </w:r>
      </w:hyperlink>
    </w:p>
    <w:p w14:paraId="09E2E9D3" w14:textId="09C65CE1"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4" w:history="1">
        <w:r w:rsidR="00600AA0" w:rsidRPr="00AA69F5">
          <w:rPr>
            <w:rStyle w:val="Hyperlink"/>
            <w:rFonts w:eastAsiaTheme="minorEastAsia"/>
            <w:noProof/>
            <w14:scene3d>
              <w14:camera w14:prst="orthographicFront"/>
              <w14:lightRig w14:rig="threePt" w14:dir="t">
                <w14:rot w14:lat="0" w14:lon="0" w14:rev="0"/>
              </w14:lightRig>
            </w14:scene3d>
          </w:rPr>
          <w:t>1.3</w:t>
        </w:r>
        <w:r w:rsidR="00600AA0">
          <w:rPr>
            <w:rFonts w:asciiTheme="minorHAnsi" w:eastAsiaTheme="minorEastAsia" w:hAnsiTheme="minorHAnsi" w:cstheme="minorBidi"/>
            <w:noProof/>
            <w:sz w:val="22"/>
          </w:rPr>
          <w:tab/>
        </w:r>
        <w:r w:rsidR="00600AA0" w:rsidRPr="00AA69F5">
          <w:rPr>
            <w:rStyle w:val="Hyperlink"/>
            <w:rFonts w:eastAsiaTheme="minorEastAsia"/>
            <w:noProof/>
          </w:rPr>
          <w:t>Enabling ICC Policy</w:t>
        </w:r>
        <w:r w:rsidR="00600AA0">
          <w:rPr>
            <w:noProof/>
            <w:webHidden/>
          </w:rPr>
          <w:tab/>
        </w:r>
        <w:r w:rsidR="00600AA0">
          <w:rPr>
            <w:noProof/>
            <w:webHidden/>
          </w:rPr>
          <w:fldChar w:fldCharType="begin"/>
        </w:r>
        <w:r w:rsidR="00600AA0">
          <w:rPr>
            <w:noProof/>
            <w:webHidden/>
          </w:rPr>
          <w:instrText xml:space="preserve"> PAGEREF _Toc524594114 \h </w:instrText>
        </w:r>
        <w:r w:rsidR="00600AA0">
          <w:rPr>
            <w:noProof/>
            <w:webHidden/>
          </w:rPr>
        </w:r>
        <w:r w:rsidR="00600AA0">
          <w:rPr>
            <w:noProof/>
            <w:webHidden/>
          </w:rPr>
          <w:fldChar w:fldCharType="separate"/>
        </w:r>
        <w:r w:rsidR="00600AA0">
          <w:rPr>
            <w:noProof/>
            <w:webHidden/>
          </w:rPr>
          <w:t>20</w:t>
        </w:r>
        <w:r w:rsidR="00600AA0">
          <w:rPr>
            <w:noProof/>
            <w:webHidden/>
          </w:rPr>
          <w:fldChar w:fldCharType="end"/>
        </w:r>
      </w:hyperlink>
    </w:p>
    <w:p w14:paraId="6130EDD6" w14:textId="395BD2D5"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5" w:history="1">
        <w:r w:rsidR="00600AA0" w:rsidRPr="00AA69F5">
          <w:rPr>
            <w:rStyle w:val="Hyperlink"/>
            <w:rFonts w:eastAsiaTheme="minorEastAsia"/>
            <w:noProof/>
            <w14:scene3d>
              <w14:camera w14:prst="orthographicFront"/>
              <w14:lightRig w14:rig="threePt" w14:dir="t">
                <w14:rot w14:lat="0" w14:lon="0" w14:rev="0"/>
              </w14:lightRig>
            </w14:scene3d>
          </w:rPr>
          <w:t>1.4</w:t>
        </w:r>
        <w:r w:rsidR="00600AA0">
          <w:rPr>
            <w:rFonts w:asciiTheme="minorHAnsi" w:eastAsiaTheme="minorEastAsia" w:hAnsiTheme="minorHAnsi" w:cstheme="minorBidi"/>
            <w:noProof/>
            <w:sz w:val="22"/>
          </w:rPr>
          <w:tab/>
        </w:r>
        <w:r w:rsidR="00600AA0" w:rsidRPr="00AA69F5">
          <w:rPr>
            <w:rStyle w:val="Hyperlink"/>
            <w:rFonts w:eastAsiaTheme="minorEastAsia"/>
            <w:noProof/>
          </w:rPr>
          <w:t>Development Process</w:t>
        </w:r>
        <w:r w:rsidR="00600AA0">
          <w:rPr>
            <w:noProof/>
            <w:webHidden/>
          </w:rPr>
          <w:tab/>
        </w:r>
        <w:r w:rsidR="00600AA0">
          <w:rPr>
            <w:noProof/>
            <w:webHidden/>
          </w:rPr>
          <w:fldChar w:fldCharType="begin"/>
        </w:r>
        <w:r w:rsidR="00600AA0">
          <w:rPr>
            <w:noProof/>
            <w:webHidden/>
          </w:rPr>
          <w:instrText xml:space="preserve"> PAGEREF _Toc524594115 \h </w:instrText>
        </w:r>
        <w:r w:rsidR="00600AA0">
          <w:rPr>
            <w:noProof/>
            <w:webHidden/>
          </w:rPr>
        </w:r>
        <w:r w:rsidR="00600AA0">
          <w:rPr>
            <w:noProof/>
            <w:webHidden/>
          </w:rPr>
          <w:fldChar w:fldCharType="separate"/>
        </w:r>
        <w:r w:rsidR="00600AA0">
          <w:rPr>
            <w:noProof/>
            <w:webHidden/>
          </w:rPr>
          <w:t>20</w:t>
        </w:r>
        <w:r w:rsidR="00600AA0">
          <w:rPr>
            <w:noProof/>
            <w:webHidden/>
          </w:rPr>
          <w:fldChar w:fldCharType="end"/>
        </w:r>
      </w:hyperlink>
    </w:p>
    <w:p w14:paraId="2D210EB3" w14:textId="20A44F63" w:rsidR="00600AA0" w:rsidRDefault="00DF068F">
      <w:pPr>
        <w:pStyle w:val="TOC3"/>
        <w:tabs>
          <w:tab w:val="left" w:pos="1200"/>
          <w:tab w:val="right" w:leader="dot" w:pos="9350"/>
        </w:tabs>
        <w:rPr>
          <w:rFonts w:asciiTheme="minorHAnsi" w:eastAsiaTheme="minorEastAsia" w:hAnsiTheme="minorHAnsi" w:cstheme="minorBidi"/>
          <w:noProof/>
          <w:sz w:val="22"/>
        </w:rPr>
      </w:pPr>
      <w:hyperlink w:anchor="_Toc524594116" w:history="1">
        <w:r w:rsidR="00600AA0" w:rsidRPr="00AA69F5">
          <w:rPr>
            <w:rStyle w:val="Hyperlink"/>
            <w:rFonts w:eastAsiaTheme="minorEastAsia"/>
            <w:noProof/>
            <w14:scene3d>
              <w14:camera w14:prst="orthographicFront"/>
              <w14:lightRig w14:rig="threePt" w14:dir="t">
                <w14:rot w14:lat="0" w14:lon="0" w14:rev="0"/>
              </w14:lightRig>
            </w14:scene3d>
          </w:rPr>
          <w:t>1.4.1</w:t>
        </w:r>
        <w:r w:rsidR="00600AA0">
          <w:rPr>
            <w:rFonts w:asciiTheme="minorHAnsi" w:eastAsiaTheme="minorEastAsia" w:hAnsiTheme="minorHAnsi" w:cstheme="minorBidi"/>
            <w:noProof/>
            <w:sz w:val="22"/>
          </w:rPr>
          <w:tab/>
        </w:r>
        <w:r w:rsidR="00600AA0" w:rsidRPr="00AA69F5">
          <w:rPr>
            <w:rStyle w:val="Hyperlink"/>
            <w:rFonts w:eastAsiaTheme="minorEastAsia"/>
            <w:noProof/>
          </w:rPr>
          <w:t>Reliability Review</w:t>
        </w:r>
        <w:r w:rsidR="00600AA0">
          <w:rPr>
            <w:noProof/>
            <w:webHidden/>
          </w:rPr>
          <w:tab/>
        </w:r>
        <w:r w:rsidR="00600AA0">
          <w:rPr>
            <w:noProof/>
            <w:webHidden/>
          </w:rPr>
          <w:fldChar w:fldCharType="begin"/>
        </w:r>
        <w:r w:rsidR="00600AA0">
          <w:rPr>
            <w:noProof/>
            <w:webHidden/>
          </w:rPr>
          <w:instrText xml:space="preserve"> PAGEREF _Toc524594116 \h </w:instrText>
        </w:r>
        <w:r w:rsidR="00600AA0">
          <w:rPr>
            <w:noProof/>
            <w:webHidden/>
          </w:rPr>
        </w:r>
        <w:r w:rsidR="00600AA0">
          <w:rPr>
            <w:noProof/>
            <w:webHidden/>
          </w:rPr>
          <w:fldChar w:fldCharType="separate"/>
        </w:r>
        <w:r w:rsidR="00600AA0">
          <w:rPr>
            <w:noProof/>
            <w:webHidden/>
          </w:rPr>
          <w:t>22</w:t>
        </w:r>
        <w:r w:rsidR="00600AA0">
          <w:rPr>
            <w:noProof/>
            <w:webHidden/>
          </w:rPr>
          <w:fldChar w:fldCharType="end"/>
        </w:r>
      </w:hyperlink>
    </w:p>
    <w:p w14:paraId="683DA857" w14:textId="468D5BCB" w:rsidR="00600AA0" w:rsidRDefault="00DF068F">
      <w:pPr>
        <w:pStyle w:val="TOC1"/>
        <w:tabs>
          <w:tab w:val="left" w:pos="400"/>
          <w:tab w:val="right" w:leader="dot" w:pos="9350"/>
        </w:tabs>
        <w:rPr>
          <w:rFonts w:asciiTheme="minorHAnsi" w:eastAsiaTheme="minorEastAsia" w:hAnsiTheme="minorHAnsi" w:cstheme="minorBidi"/>
          <w:b w:val="0"/>
          <w:smallCaps w:val="0"/>
          <w:noProof/>
        </w:rPr>
      </w:pPr>
      <w:hyperlink w:anchor="_Toc524594117" w:history="1">
        <w:r w:rsidR="00600AA0" w:rsidRPr="00AA69F5">
          <w:rPr>
            <w:rStyle w:val="Hyperlink"/>
            <w:rFonts w:eastAsiaTheme="minorEastAsia"/>
            <w:noProof/>
            <w14:scene3d>
              <w14:camera w14:prst="orthographicFront"/>
              <w14:lightRig w14:rig="threePt" w14:dir="t">
                <w14:rot w14:lat="0" w14:lon="0" w14:rev="0"/>
              </w14:lightRig>
            </w14:scene3d>
          </w:rPr>
          <w:t>2</w:t>
        </w:r>
        <w:r w:rsidR="00600AA0">
          <w:rPr>
            <w:rFonts w:asciiTheme="minorHAnsi" w:eastAsiaTheme="minorEastAsia" w:hAnsiTheme="minorHAnsi" w:cstheme="minorBidi"/>
            <w:b w:val="0"/>
            <w:smallCaps w:val="0"/>
            <w:noProof/>
          </w:rPr>
          <w:tab/>
        </w:r>
        <w:r w:rsidR="00600AA0" w:rsidRPr="00AA69F5">
          <w:rPr>
            <w:rStyle w:val="Hyperlink"/>
            <w:rFonts w:eastAsiaTheme="minorEastAsia"/>
            <w:noProof/>
          </w:rPr>
          <w:t>Organizational Structure</w:t>
        </w:r>
        <w:r w:rsidR="00600AA0">
          <w:rPr>
            <w:noProof/>
            <w:webHidden/>
          </w:rPr>
          <w:tab/>
        </w:r>
        <w:r w:rsidR="00600AA0">
          <w:rPr>
            <w:noProof/>
            <w:webHidden/>
          </w:rPr>
          <w:fldChar w:fldCharType="begin"/>
        </w:r>
        <w:r w:rsidR="00600AA0">
          <w:rPr>
            <w:noProof/>
            <w:webHidden/>
          </w:rPr>
          <w:instrText xml:space="preserve"> PAGEREF _Toc524594117 \h </w:instrText>
        </w:r>
        <w:r w:rsidR="00600AA0">
          <w:rPr>
            <w:noProof/>
            <w:webHidden/>
          </w:rPr>
        </w:r>
        <w:r w:rsidR="00600AA0">
          <w:rPr>
            <w:noProof/>
            <w:webHidden/>
          </w:rPr>
          <w:fldChar w:fldCharType="separate"/>
        </w:r>
        <w:r w:rsidR="00600AA0">
          <w:rPr>
            <w:noProof/>
            <w:webHidden/>
          </w:rPr>
          <w:t>23</w:t>
        </w:r>
        <w:r w:rsidR="00600AA0">
          <w:rPr>
            <w:noProof/>
            <w:webHidden/>
          </w:rPr>
          <w:fldChar w:fldCharType="end"/>
        </w:r>
      </w:hyperlink>
    </w:p>
    <w:p w14:paraId="206FFE1B" w14:textId="5CDA85CF"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8" w:history="1">
        <w:r w:rsidR="00600AA0" w:rsidRPr="00AA69F5">
          <w:rPr>
            <w:rStyle w:val="Hyperlink"/>
            <w:rFonts w:eastAsiaTheme="minorEastAsia"/>
            <w:noProof/>
            <w14:scene3d>
              <w14:camera w14:prst="orthographicFront"/>
              <w14:lightRig w14:rig="threePt" w14:dir="t">
                <w14:rot w14:lat="0" w14:lon="0" w14:rev="0"/>
              </w14:lightRig>
            </w14:scene3d>
          </w:rPr>
          <w:t>2.1</w:t>
        </w:r>
        <w:r w:rsidR="00600AA0">
          <w:rPr>
            <w:rFonts w:asciiTheme="minorHAnsi" w:eastAsiaTheme="minorEastAsia" w:hAnsiTheme="minorHAnsi" w:cstheme="minorBidi"/>
            <w:noProof/>
            <w:sz w:val="22"/>
          </w:rPr>
          <w:tab/>
        </w:r>
        <w:r w:rsidR="00600AA0" w:rsidRPr="00AA69F5">
          <w:rPr>
            <w:rStyle w:val="Hyperlink"/>
            <w:rFonts w:eastAsiaTheme="minorEastAsia"/>
            <w:noProof/>
          </w:rPr>
          <w:t>Measure Code Specification</w:t>
        </w:r>
        <w:r w:rsidR="00600AA0">
          <w:rPr>
            <w:noProof/>
            <w:webHidden/>
          </w:rPr>
          <w:tab/>
        </w:r>
        <w:r w:rsidR="00600AA0">
          <w:rPr>
            <w:noProof/>
            <w:webHidden/>
          </w:rPr>
          <w:fldChar w:fldCharType="begin"/>
        </w:r>
        <w:r w:rsidR="00600AA0">
          <w:rPr>
            <w:noProof/>
            <w:webHidden/>
          </w:rPr>
          <w:instrText xml:space="preserve"> PAGEREF _Toc524594118 \h </w:instrText>
        </w:r>
        <w:r w:rsidR="00600AA0">
          <w:rPr>
            <w:noProof/>
            <w:webHidden/>
          </w:rPr>
        </w:r>
        <w:r w:rsidR="00600AA0">
          <w:rPr>
            <w:noProof/>
            <w:webHidden/>
          </w:rPr>
          <w:fldChar w:fldCharType="separate"/>
        </w:r>
        <w:r w:rsidR="00600AA0">
          <w:rPr>
            <w:noProof/>
            <w:webHidden/>
          </w:rPr>
          <w:t>23</w:t>
        </w:r>
        <w:r w:rsidR="00600AA0">
          <w:rPr>
            <w:noProof/>
            <w:webHidden/>
          </w:rPr>
          <w:fldChar w:fldCharType="end"/>
        </w:r>
      </w:hyperlink>
    </w:p>
    <w:p w14:paraId="037405E3" w14:textId="60B799EB"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19" w:history="1">
        <w:r w:rsidR="00600AA0" w:rsidRPr="00AA69F5">
          <w:rPr>
            <w:rStyle w:val="Hyperlink"/>
            <w:rFonts w:eastAsiaTheme="minorEastAsia"/>
            <w:noProof/>
            <w14:scene3d>
              <w14:camera w14:prst="orthographicFront"/>
              <w14:lightRig w14:rig="threePt" w14:dir="t">
                <w14:rot w14:lat="0" w14:lon="0" w14:rev="0"/>
              </w14:lightRig>
            </w14:scene3d>
          </w:rPr>
          <w:t>2.2</w:t>
        </w:r>
        <w:r w:rsidR="00600AA0">
          <w:rPr>
            <w:rFonts w:asciiTheme="minorHAnsi" w:eastAsiaTheme="minorEastAsia" w:hAnsiTheme="minorHAnsi" w:cstheme="minorBidi"/>
            <w:noProof/>
            <w:sz w:val="22"/>
          </w:rPr>
          <w:tab/>
        </w:r>
        <w:r w:rsidR="00600AA0" w:rsidRPr="00AA69F5">
          <w:rPr>
            <w:rStyle w:val="Hyperlink"/>
            <w:rFonts w:eastAsiaTheme="minorEastAsia"/>
            <w:noProof/>
          </w:rPr>
          <w:t>Components of TRM Measure Characterizations</w:t>
        </w:r>
        <w:r w:rsidR="00600AA0">
          <w:rPr>
            <w:noProof/>
            <w:webHidden/>
          </w:rPr>
          <w:tab/>
        </w:r>
        <w:r w:rsidR="00600AA0">
          <w:rPr>
            <w:noProof/>
            <w:webHidden/>
          </w:rPr>
          <w:fldChar w:fldCharType="begin"/>
        </w:r>
        <w:r w:rsidR="00600AA0">
          <w:rPr>
            <w:noProof/>
            <w:webHidden/>
          </w:rPr>
          <w:instrText xml:space="preserve"> PAGEREF _Toc524594119 \h </w:instrText>
        </w:r>
        <w:r w:rsidR="00600AA0">
          <w:rPr>
            <w:noProof/>
            <w:webHidden/>
          </w:rPr>
        </w:r>
        <w:r w:rsidR="00600AA0">
          <w:rPr>
            <w:noProof/>
            <w:webHidden/>
          </w:rPr>
          <w:fldChar w:fldCharType="separate"/>
        </w:r>
        <w:r w:rsidR="00600AA0">
          <w:rPr>
            <w:noProof/>
            <w:webHidden/>
          </w:rPr>
          <w:t>24</w:t>
        </w:r>
        <w:r w:rsidR="00600AA0">
          <w:rPr>
            <w:noProof/>
            <w:webHidden/>
          </w:rPr>
          <w:fldChar w:fldCharType="end"/>
        </w:r>
      </w:hyperlink>
    </w:p>
    <w:p w14:paraId="15129229" w14:textId="1A89D0E8"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20" w:history="1">
        <w:r w:rsidR="00600AA0" w:rsidRPr="00AA69F5">
          <w:rPr>
            <w:rStyle w:val="Hyperlink"/>
            <w:rFonts w:eastAsiaTheme="minorEastAsia"/>
            <w:noProof/>
            <w14:scene3d>
              <w14:camera w14:prst="orthographicFront"/>
              <w14:lightRig w14:rig="threePt" w14:dir="t">
                <w14:rot w14:lat="0" w14:lon="0" w14:rev="0"/>
              </w14:lightRig>
            </w14:scene3d>
          </w:rPr>
          <w:t>2.3</w:t>
        </w:r>
        <w:r w:rsidR="00600AA0">
          <w:rPr>
            <w:rFonts w:asciiTheme="minorHAnsi" w:eastAsiaTheme="minorEastAsia" w:hAnsiTheme="minorHAnsi" w:cstheme="minorBidi"/>
            <w:noProof/>
            <w:sz w:val="22"/>
          </w:rPr>
          <w:tab/>
        </w:r>
        <w:r w:rsidR="00600AA0" w:rsidRPr="00AA69F5">
          <w:rPr>
            <w:rStyle w:val="Hyperlink"/>
            <w:rFonts w:eastAsiaTheme="minorEastAsia"/>
            <w:noProof/>
          </w:rPr>
          <w:t>Variable Input Tables</w:t>
        </w:r>
        <w:r w:rsidR="00600AA0">
          <w:rPr>
            <w:noProof/>
            <w:webHidden/>
          </w:rPr>
          <w:tab/>
        </w:r>
        <w:r w:rsidR="00600AA0">
          <w:rPr>
            <w:noProof/>
            <w:webHidden/>
          </w:rPr>
          <w:fldChar w:fldCharType="begin"/>
        </w:r>
        <w:r w:rsidR="00600AA0">
          <w:rPr>
            <w:noProof/>
            <w:webHidden/>
          </w:rPr>
          <w:instrText xml:space="preserve"> PAGEREF _Toc524594120 \h </w:instrText>
        </w:r>
        <w:r w:rsidR="00600AA0">
          <w:rPr>
            <w:noProof/>
            <w:webHidden/>
          </w:rPr>
        </w:r>
        <w:r w:rsidR="00600AA0">
          <w:rPr>
            <w:noProof/>
            <w:webHidden/>
          </w:rPr>
          <w:fldChar w:fldCharType="separate"/>
        </w:r>
        <w:r w:rsidR="00600AA0">
          <w:rPr>
            <w:noProof/>
            <w:webHidden/>
          </w:rPr>
          <w:t>25</w:t>
        </w:r>
        <w:r w:rsidR="00600AA0">
          <w:rPr>
            <w:noProof/>
            <w:webHidden/>
          </w:rPr>
          <w:fldChar w:fldCharType="end"/>
        </w:r>
      </w:hyperlink>
    </w:p>
    <w:p w14:paraId="047DE752" w14:textId="22CCEBA8" w:rsidR="00600AA0" w:rsidRDefault="00DF068F">
      <w:pPr>
        <w:pStyle w:val="TOC3"/>
        <w:tabs>
          <w:tab w:val="left" w:pos="1200"/>
          <w:tab w:val="right" w:leader="dot" w:pos="9350"/>
        </w:tabs>
        <w:rPr>
          <w:rFonts w:asciiTheme="minorHAnsi" w:eastAsiaTheme="minorEastAsia" w:hAnsiTheme="minorHAnsi" w:cstheme="minorBidi"/>
          <w:noProof/>
          <w:sz w:val="22"/>
        </w:rPr>
      </w:pPr>
      <w:hyperlink w:anchor="_Toc524594121" w:history="1">
        <w:r w:rsidR="00600AA0" w:rsidRPr="00AA69F5">
          <w:rPr>
            <w:rStyle w:val="Hyperlink"/>
            <w:rFonts w:eastAsiaTheme="minorEastAsia"/>
            <w:noProof/>
            <w14:scene3d>
              <w14:camera w14:prst="orthographicFront"/>
              <w14:lightRig w14:rig="threePt" w14:dir="t">
                <w14:rot w14:lat="0" w14:lon="0" w14:rev="0"/>
              </w14:lightRig>
            </w14:scene3d>
          </w:rPr>
          <w:t>2.3.1</w:t>
        </w:r>
        <w:r w:rsidR="00600AA0">
          <w:rPr>
            <w:rFonts w:asciiTheme="minorHAnsi" w:eastAsiaTheme="minorEastAsia" w:hAnsiTheme="minorHAnsi" w:cstheme="minorBidi"/>
            <w:noProof/>
            <w:sz w:val="22"/>
          </w:rPr>
          <w:tab/>
        </w:r>
        <w:r w:rsidR="00600AA0" w:rsidRPr="00AA69F5">
          <w:rPr>
            <w:rStyle w:val="Hyperlink"/>
            <w:rFonts w:eastAsiaTheme="minorEastAsia"/>
            <w:noProof/>
          </w:rPr>
          <w:t>C&amp;I Custom Value Use in Measure Implementation</w:t>
        </w:r>
        <w:r w:rsidR="00600AA0">
          <w:rPr>
            <w:noProof/>
            <w:webHidden/>
          </w:rPr>
          <w:tab/>
        </w:r>
        <w:r w:rsidR="00600AA0">
          <w:rPr>
            <w:noProof/>
            <w:webHidden/>
          </w:rPr>
          <w:fldChar w:fldCharType="begin"/>
        </w:r>
        <w:r w:rsidR="00600AA0">
          <w:rPr>
            <w:noProof/>
            <w:webHidden/>
          </w:rPr>
          <w:instrText xml:space="preserve"> PAGEREF _Toc524594121 \h </w:instrText>
        </w:r>
        <w:r w:rsidR="00600AA0">
          <w:rPr>
            <w:noProof/>
            <w:webHidden/>
          </w:rPr>
        </w:r>
        <w:r w:rsidR="00600AA0">
          <w:rPr>
            <w:noProof/>
            <w:webHidden/>
          </w:rPr>
          <w:fldChar w:fldCharType="separate"/>
        </w:r>
        <w:r w:rsidR="00600AA0">
          <w:rPr>
            <w:noProof/>
            <w:webHidden/>
          </w:rPr>
          <w:t>25</w:t>
        </w:r>
        <w:r w:rsidR="00600AA0">
          <w:rPr>
            <w:noProof/>
            <w:webHidden/>
          </w:rPr>
          <w:fldChar w:fldCharType="end"/>
        </w:r>
      </w:hyperlink>
    </w:p>
    <w:p w14:paraId="6D1FDFA5" w14:textId="0274159A"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22" w:history="1">
        <w:r w:rsidR="00600AA0" w:rsidRPr="00AA69F5">
          <w:rPr>
            <w:rStyle w:val="Hyperlink"/>
            <w:rFonts w:eastAsiaTheme="minorEastAsia"/>
            <w:noProof/>
            <w14:scene3d>
              <w14:camera w14:prst="orthographicFront"/>
              <w14:lightRig w14:rig="threePt" w14:dir="t">
                <w14:rot w14:lat="0" w14:lon="0" w14:rev="0"/>
              </w14:lightRig>
            </w14:scene3d>
          </w:rPr>
          <w:t>2.4</w:t>
        </w:r>
        <w:r w:rsidR="00600AA0">
          <w:rPr>
            <w:rFonts w:asciiTheme="minorHAnsi" w:eastAsiaTheme="minorEastAsia" w:hAnsiTheme="minorHAnsi" w:cstheme="minorBidi"/>
            <w:noProof/>
            <w:sz w:val="22"/>
          </w:rPr>
          <w:tab/>
        </w:r>
        <w:r w:rsidR="00600AA0" w:rsidRPr="00AA69F5">
          <w:rPr>
            <w:rStyle w:val="Hyperlink"/>
            <w:rFonts w:eastAsiaTheme="minorEastAsia"/>
            <w:noProof/>
          </w:rPr>
          <w:t>Program Delivery &amp; Baseline Definitions</w:t>
        </w:r>
        <w:r w:rsidR="00600AA0">
          <w:rPr>
            <w:noProof/>
            <w:webHidden/>
          </w:rPr>
          <w:tab/>
        </w:r>
        <w:r w:rsidR="00600AA0">
          <w:rPr>
            <w:noProof/>
            <w:webHidden/>
          </w:rPr>
          <w:fldChar w:fldCharType="begin"/>
        </w:r>
        <w:r w:rsidR="00600AA0">
          <w:rPr>
            <w:noProof/>
            <w:webHidden/>
          </w:rPr>
          <w:instrText xml:space="preserve"> PAGEREF _Toc524594122 \h </w:instrText>
        </w:r>
        <w:r w:rsidR="00600AA0">
          <w:rPr>
            <w:noProof/>
            <w:webHidden/>
          </w:rPr>
        </w:r>
        <w:r w:rsidR="00600AA0">
          <w:rPr>
            <w:noProof/>
            <w:webHidden/>
          </w:rPr>
          <w:fldChar w:fldCharType="separate"/>
        </w:r>
        <w:r w:rsidR="00600AA0">
          <w:rPr>
            <w:noProof/>
            <w:webHidden/>
          </w:rPr>
          <w:t>26</w:t>
        </w:r>
        <w:r w:rsidR="00600AA0">
          <w:rPr>
            <w:noProof/>
            <w:webHidden/>
          </w:rPr>
          <w:fldChar w:fldCharType="end"/>
        </w:r>
      </w:hyperlink>
    </w:p>
    <w:p w14:paraId="7AD3B93F" w14:textId="2EE41879" w:rsidR="00600AA0" w:rsidRDefault="00DF068F">
      <w:pPr>
        <w:pStyle w:val="TOC1"/>
        <w:tabs>
          <w:tab w:val="left" w:pos="400"/>
          <w:tab w:val="right" w:leader="dot" w:pos="9350"/>
        </w:tabs>
        <w:rPr>
          <w:rFonts w:asciiTheme="minorHAnsi" w:eastAsiaTheme="minorEastAsia" w:hAnsiTheme="minorHAnsi" w:cstheme="minorBidi"/>
          <w:b w:val="0"/>
          <w:smallCaps w:val="0"/>
          <w:noProof/>
        </w:rPr>
      </w:pPr>
      <w:hyperlink w:anchor="_Toc524594123" w:history="1">
        <w:r w:rsidR="00600AA0" w:rsidRPr="00AA69F5">
          <w:rPr>
            <w:rStyle w:val="Hyperlink"/>
            <w:rFonts w:eastAsiaTheme="minorEastAsia"/>
            <w:noProof/>
            <w14:scene3d>
              <w14:camera w14:prst="orthographicFront"/>
              <w14:lightRig w14:rig="threePt" w14:dir="t">
                <w14:rot w14:lat="0" w14:lon="0" w14:rev="0"/>
              </w14:lightRig>
            </w14:scene3d>
          </w:rPr>
          <w:t>3</w:t>
        </w:r>
        <w:r w:rsidR="00600AA0">
          <w:rPr>
            <w:rFonts w:asciiTheme="minorHAnsi" w:eastAsiaTheme="minorEastAsia" w:hAnsiTheme="minorHAnsi" w:cstheme="minorBidi"/>
            <w:b w:val="0"/>
            <w:smallCaps w:val="0"/>
            <w:noProof/>
          </w:rPr>
          <w:tab/>
        </w:r>
        <w:r w:rsidR="00600AA0" w:rsidRPr="00AA69F5">
          <w:rPr>
            <w:rStyle w:val="Hyperlink"/>
            <w:rFonts w:eastAsiaTheme="minorEastAsia"/>
            <w:noProof/>
          </w:rPr>
          <w:t>Assumptions</w:t>
        </w:r>
        <w:r w:rsidR="00600AA0">
          <w:rPr>
            <w:noProof/>
            <w:webHidden/>
          </w:rPr>
          <w:tab/>
        </w:r>
        <w:r w:rsidR="00600AA0">
          <w:rPr>
            <w:noProof/>
            <w:webHidden/>
          </w:rPr>
          <w:fldChar w:fldCharType="begin"/>
        </w:r>
        <w:r w:rsidR="00600AA0">
          <w:rPr>
            <w:noProof/>
            <w:webHidden/>
          </w:rPr>
          <w:instrText xml:space="preserve"> PAGEREF _Toc524594123 \h </w:instrText>
        </w:r>
        <w:r w:rsidR="00600AA0">
          <w:rPr>
            <w:noProof/>
            <w:webHidden/>
          </w:rPr>
        </w:r>
        <w:r w:rsidR="00600AA0">
          <w:rPr>
            <w:noProof/>
            <w:webHidden/>
          </w:rPr>
          <w:fldChar w:fldCharType="separate"/>
        </w:r>
        <w:r w:rsidR="00600AA0">
          <w:rPr>
            <w:noProof/>
            <w:webHidden/>
          </w:rPr>
          <w:t>28</w:t>
        </w:r>
        <w:r w:rsidR="00600AA0">
          <w:rPr>
            <w:noProof/>
            <w:webHidden/>
          </w:rPr>
          <w:fldChar w:fldCharType="end"/>
        </w:r>
      </w:hyperlink>
    </w:p>
    <w:p w14:paraId="27768CEA" w14:textId="1ED4C641"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24" w:history="1">
        <w:r w:rsidR="00600AA0" w:rsidRPr="00AA69F5">
          <w:rPr>
            <w:rStyle w:val="Hyperlink"/>
            <w:rFonts w:eastAsiaTheme="minorEastAsia"/>
            <w:noProof/>
            <w14:scene3d>
              <w14:camera w14:prst="orthographicFront"/>
              <w14:lightRig w14:rig="threePt" w14:dir="t">
                <w14:rot w14:lat="0" w14:lon="0" w14:rev="0"/>
              </w14:lightRig>
            </w14:scene3d>
          </w:rPr>
          <w:t>3.1</w:t>
        </w:r>
        <w:r w:rsidR="00600AA0">
          <w:rPr>
            <w:rFonts w:asciiTheme="minorHAnsi" w:eastAsiaTheme="minorEastAsia" w:hAnsiTheme="minorHAnsi" w:cstheme="minorBidi"/>
            <w:noProof/>
            <w:sz w:val="22"/>
          </w:rPr>
          <w:tab/>
        </w:r>
        <w:r w:rsidR="00600AA0" w:rsidRPr="00AA69F5">
          <w:rPr>
            <w:rStyle w:val="Hyperlink"/>
            <w:rFonts w:eastAsiaTheme="minorEastAsia"/>
            <w:noProof/>
          </w:rPr>
          <w:t>Footnotes &amp; Documentation of Sources</w:t>
        </w:r>
        <w:r w:rsidR="00600AA0">
          <w:rPr>
            <w:noProof/>
            <w:webHidden/>
          </w:rPr>
          <w:tab/>
        </w:r>
        <w:r w:rsidR="00600AA0">
          <w:rPr>
            <w:noProof/>
            <w:webHidden/>
          </w:rPr>
          <w:fldChar w:fldCharType="begin"/>
        </w:r>
        <w:r w:rsidR="00600AA0">
          <w:rPr>
            <w:noProof/>
            <w:webHidden/>
          </w:rPr>
          <w:instrText xml:space="preserve"> PAGEREF _Toc524594124 \h </w:instrText>
        </w:r>
        <w:r w:rsidR="00600AA0">
          <w:rPr>
            <w:noProof/>
            <w:webHidden/>
          </w:rPr>
        </w:r>
        <w:r w:rsidR="00600AA0">
          <w:rPr>
            <w:noProof/>
            <w:webHidden/>
          </w:rPr>
          <w:fldChar w:fldCharType="separate"/>
        </w:r>
        <w:r w:rsidR="00600AA0">
          <w:rPr>
            <w:noProof/>
            <w:webHidden/>
          </w:rPr>
          <w:t>28</w:t>
        </w:r>
        <w:r w:rsidR="00600AA0">
          <w:rPr>
            <w:noProof/>
            <w:webHidden/>
          </w:rPr>
          <w:fldChar w:fldCharType="end"/>
        </w:r>
      </w:hyperlink>
    </w:p>
    <w:p w14:paraId="0A08BD8F" w14:textId="153F21C5"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25" w:history="1">
        <w:r w:rsidR="00600AA0" w:rsidRPr="00AA69F5">
          <w:rPr>
            <w:rStyle w:val="Hyperlink"/>
            <w:rFonts w:eastAsiaTheme="minorEastAsia"/>
            <w:noProof/>
            <w14:scene3d>
              <w14:camera w14:prst="orthographicFront"/>
              <w14:lightRig w14:rig="threePt" w14:dir="t">
                <w14:rot w14:lat="0" w14:lon="0" w14:rev="0"/>
              </w14:lightRig>
            </w14:scene3d>
          </w:rPr>
          <w:t>3.2</w:t>
        </w:r>
        <w:r w:rsidR="00600AA0">
          <w:rPr>
            <w:rFonts w:asciiTheme="minorHAnsi" w:eastAsiaTheme="minorEastAsia" w:hAnsiTheme="minorHAnsi" w:cstheme="minorBidi"/>
            <w:noProof/>
            <w:sz w:val="22"/>
          </w:rPr>
          <w:tab/>
        </w:r>
        <w:r w:rsidR="00600AA0" w:rsidRPr="00AA69F5">
          <w:rPr>
            <w:rStyle w:val="Hyperlink"/>
            <w:rFonts w:eastAsiaTheme="minorEastAsia"/>
            <w:noProof/>
          </w:rPr>
          <w:t>General Savings Assumptions</w:t>
        </w:r>
        <w:r w:rsidR="00600AA0">
          <w:rPr>
            <w:noProof/>
            <w:webHidden/>
          </w:rPr>
          <w:tab/>
        </w:r>
        <w:r w:rsidR="00600AA0">
          <w:rPr>
            <w:noProof/>
            <w:webHidden/>
          </w:rPr>
          <w:fldChar w:fldCharType="begin"/>
        </w:r>
        <w:r w:rsidR="00600AA0">
          <w:rPr>
            <w:noProof/>
            <w:webHidden/>
          </w:rPr>
          <w:instrText xml:space="preserve"> PAGEREF _Toc524594125 \h </w:instrText>
        </w:r>
        <w:r w:rsidR="00600AA0">
          <w:rPr>
            <w:noProof/>
            <w:webHidden/>
          </w:rPr>
        </w:r>
        <w:r w:rsidR="00600AA0">
          <w:rPr>
            <w:noProof/>
            <w:webHidden/>
          </w:rPr>
          <w:fldChar w:fldCharType="separate"/>
        </w:r>
        <w:r w:rsidR="00600AA0">
          <w:rPr>
            <w:noProof/>
            <w:webHidden/>
          </w:rPr>
          <w:t>28</w:t>
        </w:r>
        <w:r w:rsidR="00600AA0">
          <w:rPr>
            <w:noProof/>
            <w:webHidden/>
          </w:rPr>
          <w:fldChar w:fldCharType="end"/>
        </w:r>
      </w:hyperlink>
    </w:p>
    <w:p w14:paraId="0C5CD48B" w14:textId="21899F3D"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26" w:history="1">
        <w:r w:rsidR="00600AA0" w:rsidRPr="00AA69F5">
          <w:rPr>
            <w:rStyle w:val="Hyperlink"/>
            <w:rFonts w:eastAsiaTheme="minorEastAsia"/>
            <w:noProof/>
            <w14:scene3d>
              <w14:camera w14:prst="orthographicFront"/>
              <w14:lightRig w14:rig="threePt" w14:dir="t">
                <w14:rot w14:lat="0" w14:lon="0" w14:rev="0"/>
              </w14:lightRig>
            </w14:scene3d>
          </w:rPr>
          <w:t>3.3</w:t>
        </w:r>
        <w:r w:rsidR="00600AA0">
          <w:rPr>
            <w:rFonts w:asciiTheme="minorHAnsi" w:eastAsiaTheme="minorEastAsia" w:hAnsiTheme="minorHAnsi" w:cstheme="minorBidi"/>
            <w:noProof/>
            <w:sz w:val="22"/>
          </w:rPr>
          <w:tab/>
        </w:r>
        <w:r w:rsidR="00600AA0" w:rsidRPr="00AA69F5">
          <w:rPr>
            <w:rStyle w:val="Hyperlink"/>
            <w:rFonts w:eastAsiaTheme="minorEastAsia"/>
            <w:noProof/>
          </w:rPr>
          <w:t>Shifting Baseline Assumptions</w:t>
        </w:r>
        <w:r w:rsidR="00600AA0">
          <w:rPr>
            <w:noProof/>
            <w:webHidden/>
          </w:rPr>
          <w:tab/>
        </w:r>
        <w:r w:rsidR="00600AA0">
          <w:rPr>
            <w:noProof/>
            <w:webHidden/>
          </w:rPr>
          <w:fldChar w:fldCharType="begin"/>
        </w:r>
        <w:r w:rsidR="00600AA0">
          <w:rPr>
            <w:noProof/>
            <w:webHidden/>
          </w:rPr>
          <w:instrText xml:space="preserve"> PAGEREF _Toc524594126 \h </w:instrText>
        </w:r>
        <w:r w:rsidR="00600AA0">
          <w:rPr>
            <w:noProof/>
            <w:webHidden/>
          </w:rPr>
        </w:r>
        <w:r w:rsidR="00600AA0">
          <w:rPr>
            <w:noProof/>
            <w:webHidden/>
          </w:rPr>
          <w:fldChar w:fldCharType="separate"/>
        </w:r>
        <w:r w:rsidR="00600AA0">
          <w:rPr>
            <w:noProof/>
            <w:webHidden/>
          </w:rPr>
          <w:t>28</w:t>
        </w:r>
        <w:r w:rsidR="00600AA0">
          <w:rPr>
            <w:noProof/>
            <w:webHidden/>
          </w:rPr>
          <w:fldChar w:fldCharType="end"/>
        </w:r>
      </w:hyperlink>
    </w:p>
    <w:p w14:paraId="605297CF" w14:textId="3E5CD73A" w:rsidR="00600AA0" w:rsidRDefault="00DF068F">
      <w:pPr>
        <w:pStyle w:val="TOC3"/>
        <w:tabs>
          <w:tab w:val="left" w:pos="1200"/>
          <w:tab w:val="right" w:leader="dot" w:pos="9350"/>
        </w:tabs>
        <w:rPr>
          <w:rFonts w:asciiTheme="minorHAnsi" w:eastAsiaTheme="minorEastAsia" w:hAnsiTheme="minorHAnsi" w:cstheme="minorBidi"/>
          <w:noProof/>
          <w:sz w:val="22"/>
        </w:rPr>
      </w:pPr>
      <w:hyperlink w:anchor="_Toc524594127" w:history="1">
        <w:r w:rsidR="00600AA0" w:rsidRPr="00AA69F5">
          <w:rPr>
            <w:rStyle w:val="Hyperlink"/>
            <w:rFonts w:eastAsiaTheme="minorEastAsia"/>
            <w:noProof/>
            <w14:scene3d>
              <w14:camera w14:prst="orthographicFront"/>
              <w14:lightRig w14:rig="threePt" w14:dir="t">
                <w14:rot w14:lat="0" w14:lon="0" w14:rev="0"/>
              </w14:lightRig>
            </w14:scene3d>
          </w:rPr>
          <w:t>3.3.1</w:t>
        </w:r>
        <w:r w:rsidR="00600AA0">
          <w:rPr>
            <w:rFonts w:asciiTheme="minorHAnsi" w:eastAsiaTheme="minorEastAsia" w:hAnsiTheme="minorHAnsi" w:cstheme="minorBidi"/>
            <w:noProof/>
            <w:sz w:val="22"/>
          </w:rPr>
          <w:tab/>
        </w:r>
        <w:r w:rsidR="00600AA0" w:rsidRPr="00AA69F5">
          <w:rPr>
            <w:rStyle w:val="Hyperlink"/>
            <w:rFonts w:eastAsiaTheme="minorEastAsia"/>
            <w:noProof/>
          </w:rPr>
          <w:t>CFL and T5/T8 Linear Fluorescents and LED Baseline Assumptions</w:t>
        </w:r>
        <w:r w:rsidR="00600AA0">
          <w:rPr>
            <w:noProof/>
            <w:webHidden/>
          </w:rPr>
          <w:tab/>
        </w:r>
        <w:r w:rsidR="00600AA0">
          <w:rPr>
            <w:noProof/>
            <w:webHidden/>
          </w:rPr>
          <w:fldChar w:fldCharType="begin"/>
        </w:r>
        <w:r w:rsidR="00600AA0">
          <w:rPr>
            <w:noProof/>
            <w:webHidden/>
          </w:rPr>
          <w:instrText xml:space="preserve"> PAGEREF _Toc524594127 \h </w:instrText>
        </w:r>
        <w:r w:rsidR="00600AA0">
          <w:rPr>
            <w:noProof/>
            <w:webHidden/>
          </w:rPr>
        </w:r>
        <w:r w:rsidR="00600AA0">
          <w:rPr>
            <w:noProof/>
            <w:webHidden/>
          </w:rPr>
          <w:fldChar w:fldCharType="separate"/>
        </w:r>
        <w:r w:rsidR="00600AA0">
          <w:rPr>
            <w:noProof/>
            <w:webHidden/>
          </w:rPr>
          <w:t>29</w:t>
        </w:r>
        <w:r w:rsidR="00600AA0">
          <w:rPr>
            <w:noProof/>
            <w:webHidden/>
          </w:rPr>
          <w:fldChar w:fldCharType="end"/>
        </w:r>
      </w:hyperlink>
    </w:p>
    <w:p w14:paraId="5B96CCB2" w14:textId="587C47D7" w:rsidR="00600AA0" w:rsidRDefault="00DF068F">
      <w:pPr>
        <w:pStyle w:val="TOC3"/>
        <w:tabs>
          <w:tab w:val="left" w:pos="1200"/>
          <w:tab w:val="right" w:leader="dot" w:pos="9350"/>
        </w:tabs>
        <w:rPr>
          <w:rFonts w:asciiTheme="minorHAnsi" w:eastAsiaTheme="minorEastAsia" w:hAnsiTheme="minorHAnsi" w:cstheme="minorBidi"/>
          <w:noProof/>
          <w:sz w:val="22"/>
        </w:rPr>
      </w:pPr>
      <w:hyperlink w:anchor="_Toc524594128" w:history="1">
        <w:r w:rsidR="00600AA0" w:rsidRPr="00AA69F5">
          <w:rPr>
            <w:rStyle w:val="Hyperlink"/>
            <w:rFonts w:eastAsiaTheme="minorEastAsia"/>
            <w:noProof/>
            <w14:scene3d>
              <w14:camera w14:prst="orthographicFront"/>
              <w14:lightRig w14:rig="threePt" w14:dir="t">
                <w14:rot w14:lat="0" w14:lon="0" w14:rev="0"/>
              </w14:lightRig>
            </w14:scene3d>
          </w:rPr>
          <w:t>3.3.2</w:t>
        </w:r>
        <w:r w:rsidR="00600AA0">
          <w:rPr>
            <w:rFonts w:asciiTheme="minorHAnsi" w:eastAsiaTheme="minorEastAsia" w:hAnsiTheme="minorHAnsi" w:cstheme="minorBidi"/>
            <w:noProof/>
            <w:sz w:val="22"/>
          </w:rPr>
          <w:tab/>
        </w:r>
        <w:r w:rsidR="00600AA0" w:rsidRPr="00AA69F5">
          <w:rPr>
            <w:rStyle w:val="Hyperlink"/>
            <w:rFonts w:eastAsiaTheme="minorEastAsia"/>
            <w:noProof/>
          </w:rPr>
          <w:t>Early Replacement Baseline Assumptions</w:t>
        </w:r>
        <w:r w:rsidR="00600AA0">
          <w:rPr>
            <w:noProof/>
            <w:webHidden/>
          </w:rPr>
          <w:tab/>
        </w:r>
        <w:r w:rsidR="00600AA0">
          <w:rPr>
            <w:noProof/>
            <w:webHidden/>
          </w:rPr>
          <w:fldChar w:fldCharType="begin"/>
        </w:r>
        <w:r w:rsidR="00600AA0">
          <w:rPr>
            <w:noProof/>
            <w:webHidden/>
          </w:rPr>
          <w:instrText xml:space="preserve"> PAGEREF _Toc524594128 \h </w:instrText>
        </w:r>
        <w:r w:rsidR="00600AA0">
          <w:rPr>
            <w:noProof/>
            <w:webHidden/>
          </w:rPr>
        </w:r>
        <w:r w:rsidR="00600AA0">
          <w:rPr>
            <w:noProof/>
            <w:webHidden/>
          </w:rPr>
          <w:fldChar w:fldCharType="separate"/>
        </w:r>
        <w:r w:rsidR="00600AA0">
          <w:rPr>
            <w:noProof/>
            <w:webHidden/>
          </w:rPr>
          <w:t>29</w:t>
        </w:r>
        <w:r w:rsidR="00600AA0">
          <w:rPr>
            <w:noProof/>
            <w:webHidden/>
          </w:rPr>
          <w:fldChar w:fldCharType="end"/>
        </w:r>
      </w:hyperlink>
    </w:p>
    <w:p w14:paraId="4337A31A" w14:textId="38F78C4D" w:rsidR="00600AA0" w:rsidRDefault="00DF068F">
      <w:pPr>
        <w:pStyle w:val="TOC3"/>
        <w:tabs>
          <w:tab w:val="left" w:pos="1200"/>
          <w:tab w:val="right" w:leader="dot" w:pos="9350"/>
        </w:tabs>
        <w:rPr>
          <w:rFonts w:asciiTheme="minorHAnsi" w:eastAsiaTheme="minorEastAsia" w:hAnsiTheme="minorHAnsi" w:cstheme="minorBidi"/>
          <w:noProof/>
          <w:sz w:val="22"/>
        </w:rPr>
      </w:pPr>
      <w:hyperlink w:anchor="_Toc524594129" w:history="1">
        <w:r w:rsidR="00600AA0" w:rsidRPr="00AA69F5">
          <w:rPr>
            <w:rStyle w:val="Hyperlink"/>
            <w:rFonts w:eastAsiaTheme="minorEastAsia"/>
            <w:noProof/>
            <w14:scene3d>
              <w14:camera w14:prst="orthographicFront"/>
              <w14:lightRig w14:rig="threePt" w14:dir="t">
                <w14:rot w14:lat="0" w14:lon="0" w14:rev="0"/>
              </w14:lightRig>
            </w14:scene3d>
          </w:rPr>
          <w:t>3.3.3</w:t>
        </w:r>
        <w:r w:rsidR="00600AA0">
          <w:rPr>
            <w:rFonts w:asciiTheme="minorHAnsi" w:eastAsiaTheme="minorEastAsia" w:hAnsiTheme="minorHAnsi" w:cstheme="minorBidi"/>
            <w:noProof/>
            <w:sz w:val="22"/>
          </w:rPr>
          <w:tab/>
        </w:r>
        <w:r w:rsidR="00600AA0" w:rsidRPr="00AA69F5">
          <w:rPr>
            <w:rStyle w:val="Hyperlink"/>
            <w:rFonts w:eastAsiaTheme="minorEastAsia"/>
            <w:noProof/>
          </w:rPr>
          <w:t>Furnace Baseline</w:t>
        </w:r>
        <w:r w:rsidR="00600AA0">
          <w:rPr>
            <w:noProof/>
            <w:webHidden/>
          </w:rPr>
          <w:tab/>
        </w:r>
        <w:r w:rsidR="00600AA0">
          <w:rPr>
            <w:noProof/>
            <w:webHidden/>
          </w:rPr>
          <w:fldChar w:fldCharType="begin"/>
        </w:r>
        <w:r w:rsidR="00600AA0">
          <w:rPr>
            <w:noProof/>
            <w:webHidden/>
          </w:rPr>
          <w:instrText xml:space="preserve"> PAGEREF _Toc524594129 \h </w:instrText>
        </w:r>
        <w:r w:rsidR="00600AA0">
          <w:rPr>
            <w:noProof/>
            <w:webHidden/>
          </w:rPr>
        </w:r>
        <w:r w:rsidR="00600AA0">
          <w:rPr>
            <w:noProof/>
            <w:webHidden/>
          </w:rPr>
          <w:fldChar w:fldCharType="separate"/>
        </w:r>
        <w:r w:rsidR="00600AA0">
          <w:rPr>
            <w:noProof/>
            <w:webHidden/>
          </w:rPr>
          <w:t>30</w:t>
        </w:r>
        <w:r w:rsidR="00600AA0">
          <w:rPr>
            <w:noProof/>
            <w:webHidden/>
          </w:rPr>
          <w:fldChar w:fldCharType="end"/>
        </w:r>
      </w:hyperlink>
    </w:p>
    <w:p w14:paraId="4878FF80" w14:textId="38F4E5CF"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0" w:history="1">
        <w:r w:rsidR="00600AA0" w:rsidRPr="00AA69F5">
          <w:rPr>
            <w:rStyle w:val="Hyperlink"/>
            <w:rFonts w:eastAsiaTheme="minorEastAsia"/>
            <w:noProof/>
            <w14:scene3d>
              <w14:camera w14:prst="orthographicFront"/>
              <w14:lightRig w14:rig="threePt" w14:dir="t">
                <w14:rot w14:lat="0" w14:lon="0" w14:rev="0"/>
              </w14:lightRig>
            </w14:scene3d>
          </w:rPr>
          <w:t>3.4</w:t>
        </w:r>
        <w:r w:rsidR="00600AA0">
          <w:rPr>
            <w:rFonts w:asciiTheme="minorHAnsi" w:eastAsiaTheme="minorEastAsia" w:hAnsiTheme="minorHAnsi" w:cstheme="minorBidi"/>
            <w:noProof/>
            <w:sz w:val="22"/>
          </w:rPr>
          <w:tab/>
        </w:r>
        <w:r w:rsidR="00600AA0" w:rsidRPr="00AA69F5">
          <w:rPr>
            <w:rStyle w:val="Hyperlink"/>
            <w:rFonts w:eastAsiaTheme="minorEastAsia"/>
            <w:noProof/>
          </w:rPr>
          <w:t>Glossary</w:t>
        </w:r>
        <w:r w:rsidR="00600AA0">
          <w:rPr>
            <w:noProof/>
            <w:webHidden/>
          </w:rPr>
          <w:tab/>
        </w:r>
        <w:r w:rsidR="00600AA0">
          <w:rPr>
            <w:noProof/>
            <w:webHidden/>
          </w:rPr>
          <w:fldChar w:fldCharType="begin"/>
        </w:r>
        <w:r w:rsidR="00600AA0">
          <w:rPr>
            <w:noProof/>
            <w:webHidden/>
          </w:rPr>
          <w:instrText xml:space="preserve"> PAGEREF _Toc524594130 \h </w:instrText>
        </w:r>
        <w:r w:rsidR="00600AA0">
          <w:rPr>
            <w:noProof/>
            <w:webHidden/>
          </w:rPr>
        </w:r>
        <w:r w:rsidR="00600AA0">
          <w:rPr>
            <w:noProof/>
            <w:webHidden/>
          </w:rPr>
          <w:fldChar w:fldCharType="separate"/>
        </w:r>
        <w:r w:rsidR="00600AA0">
          <w:rPr>
            <w:noProof/>
            <w:webHidden/>
          </w:rPr>
          <w:t>31</w:t>
        </w:r>
        <w:r w:rsidR="00600AA0">
          <w:rPr>
            <w:noProof/>
            <w:webHidden/>
          </w:rPr>
          <w:fldChar w:fldCharType="end"/>
        </w:r>
      </w:hyperlink>
    </w:p>
    <w:p w14:paraId="64EEB048" w14:textId="20B83787"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1" w:history="1">
        <w:r w:rsidR="00600AA0" w:rsidRPr="00AA69F5">
          <w:rPr>
            <w:rStyle w:val="Hyperlink"/>
            <w:rFonts w:eastAsiaTheme="minorEastAsia"/>
            <w:noProof/>
            <w14:scene3d>
              <w14:camera w14:prst="orthographicFront"/>
              <w14:lightRig w14:rig="threePt" w14:dir="t">
                <w14:rot w14:lat="0" w14:lon="0" w14:rev="0"/>
              </w14:lightRig>
            </w14:scene3d>
          </w:rPr>
          <w:t>3.5</w:t>
        </w:r>
        <w:r w:rsidR="00600AA0">
          <w:rPr>
            <w:rFonts w:asciiTheme="minorHAnsi" w:eastAsiaTheme="minorEastAsia" w:hAnsiTheme="minorHAnsi" w:cstheme="minorBidi"/>
            <w:noProof/>
            <w:sz w:val="22"/>
          </w:rPr>
          <w:tab/>
        </w:r>
        <w:r w:rsidR="00600AA0" w:rsidRPr="00AA69F5">
          <w:rPr>
            <w:rStyle w:val="Hyperlink"/>
            <w:rFonts w:eastAsiaTheme="minorEastAsia"/>
            <w:noProof/>
          </w:rPr>
          <w:t>Electrical Loadshapes (kWh)</w:t>
        </w:r>
        <w:r w:rsidR="00600AA0">
          <w:rPr>
            <w:noProof/>
            <w:webHidden/>
          </w:rPr>
          <w:tab/>
        </w:r>
        <w:r w:rsidR="00600AA0">
          <w:rPr>
            <w:noProof/>
            <w:webHidden/>
          </w:rPr>
          <w:fldChar w:fldCharType="begin"/>
        </w:r>
        <w:r w:rsidR="00600AA0">
          <w:rPr>
            <w:noProof/>
            <w:webHidden/>
          </w:rPr>
          <w:instrText xml:space="preserve"> PAGEREF _Toc524594131 \h </w:instrText>
        </w:r>
        <w:r w:rsidR="00600AA0">
          <w:rPr>
            <w:noProof/>
            <w:webHidden/>
          </w:rPr>
        </w:r>
        <w:r w:rsidR="00600AA0">
          <w:rPr>
            <w:noProof/>
            <w:webHidden/>
          </w:rPr>
          <w:fldChar w:fldCharType="separate"/>
        </w:r>
        <w:r w:rsidR="00600AA0">
          <w:rPr>
            <w:noProof/>
            <w:webHidden/>
          </w:rPr>
          <w:t>36</w:t>
        </w:r>
        <w:r w:rsidR="00600AA0">
          <w:rPr>
            <w:noProof/>
            <w:webHidden/>
          </w:rPr>
          <w:fldChar w:fldCharType="end"/>
        </w:r>
      </w:hyperlink>
    </w:p>
    <w:p w14:paraId="33EDB1BE" w14:textId="063D7749"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2" w:history="1">
        <w:r w:rsidR="00600AA0" w:rsidRPr="00AA69F5">
          <w:rPr>
            <w:rStyle w:val="Hyperlink"/>
            <w:rFonts w:eastAsiaTheme="minorEastAsia"/>
            <w:noProof/>
            <w14:scene3d>
              <w14:camera w14:prst="orthographicFront"/>
              <w14:lightRig w14:rig="threePt" w14:dir="t">
                <w14:rot w14:lat="0" w14:lon="0" w14:rev="0"/>
              </w14:lightRig>
            </w14:scene3d>
          </w:rPr>
          <w:t>3.6</w:t>
        </w:r>
        <w:r w:rsidR="00600AA0">
          <w:rPr>
            <w:rFonts w:asciiTheme="minorHAnsi" w:eastAsiaTheme="minorEastAsia" w:hAnsiTheme="minorHAnsi" w:cstheme="minorBidi"/>
            <w:noProof/>
            <w:sz w:val="22"/>
          </w:rPr>
          <w:tab/>
        </w:r>
        <w:r w:rsidR="00600AA0" w:rsidRPr="00AA69F5">
          <w:rPr>
            <w:rStyle w:val="Hyperlink"/>
            <w:rFonts w:eastAsiaTheme="minorEastAsia"/>
            <w:noProof/>
          </w:rPr>
          <w:t>Summer Peak Period Definition (kW)</w:t>
        </w:r>
        <w:r w:rsidR="00600AA0">
          <w:rPr>
            <w:noProof/>
            <w:webHidden/>
          </w:rPr>
          <w:tab/>
        </w:r>
        <w:r w:rsidR="00600AA0">
          <w:rPr>
            <w:noProof/>
            <w:webHidden/>
          </w:rPr>
          <w:fldChar w:fldCharType="begin"/>
        </w:r>
        <w:r w:rsidR="00600AA0">
          <w:rPr>
            <w:noProof/>
            <w:webHidden/>
          </w:rPr>
          <w:instrText xml:space="preserve"> PAGEREF _Toc524594132 \h </w:instrText>
        </w:r>
        <w:r w:rsidR="00600AA0">
          <w:rPr>
            <w:noProof/>
            <w:webHidden/>
          </w:rPr>
        </w:r>
        <w:r w:rsidR="00600AA0">
          <w:rPr>
            <w:noProof/>
            <w:webHidden/>
          </w:rPr>
          <w:fldChar w:fldCharType="separate"/>
        </w:r>
        <w:r w:rsidR="00600AA0">
          <w:rPr>
            <w:noProof/>
            <w:webHidden/>
          </w:rPr>
          <w:t>46</w:t>
        </w:r>
        <w:r w:rsidR="00600AA0">
          <w:rPr>
            <w:noProof/>
            <w:webHidden/>
          </w:rPr>
          <w:fldChar w:fldCharType="end"/>
        </w:r>
      </w:hyperlink>
    </w:p>
    <w:p w14:paraId="40C89BF7" w14:textId="1952D397"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3" w:history="1">
        <w:r w:rsidR="00600AA0" w:rsidRPr="00AA69F5">
          <w:rPr>
            <w:rStyle w:val="Hyperlink"/>
            <w:rFonts w:eastAsiaTheme="minorEastAsia"/>
            <w:noProof/>
            <w14:scene3d>
              <w14:camera w14:prst="orthographicFront"/>
              <w14:lightRig w14:rig="threePt" w14:dir="t">
                <w14:rot w14:lat="0" w14:lon="0" w14:rev="0"/>
              </w14:lightRig>
            </w14:scene3d>
          </w:rPr>
          <w:t>3.7</w:t>
        </w:r>
        <w:r w:rsidR="00600AA0">
          <w:rPr>
            <w:rFonts w:asciiTheme="minorHAnsi" w:eastAsiaTheme="minorEastAsia" w:hAnsiTheme="minorHAnsi" w:cstheme="minorBidi"/>
            <w:noProof/>
            <w:sz w:val="22"/>
          </w:rPr>
          <w:tab/>
        </w:r>
        <w:r w:rsidR="00600AA0" w:rsidRPr="00AA69F5">
          <w:rPr>
            <w:rStyle w:val="Hyperlink"/>
            <w:rFonts w:eastAsiaTheme="minorEastAsia"/>
            <w:noProof/>
          </w:rPr>
          <w:t>Heating and Cooling Degree-Day Data</w:t>
        </w:r>
        <w:r w:rsidR="00600AA0">
          <w:rPr>
            <w:noProof/>
            <w:webHidden/>
          </w:rPr>
          <w:tab/>
        </w:r>
        <w:r w:rsidR="00600AA0">
          <w:rPr>
            <w:noProof/>
            <w:webHidden/>
          </w:rPr>
          <w:fldChar w:fldCharType="begin"/>
        </w:r>
        <w:r w:rsidR="00600AA0">
          <w:rPr>
            <w:noProof/>
            <w:webHidden/>
          </w:rPr>
          <w:instrText xml:space="preserve"> PAGEREF _Toc524594133 \h </w:instrText>
        </w:r>
        <w:r w:rsidR="00600AA0">
          <w:rPr>
            <w:noProof/>
            <w:webHidden/>
          </w:rPr>
        </w:r>
        <w:r w:rsidR="00600AA0">
          <w:rPr>
            <w:noProof/>
            <w:webHidden/>
          </w:rPr>
          <w:fldChar w:fldCharType="separate"/>
        </w:r>
        <w:r w:rsidR="00600AA0">
          <w:rPr>
            <w:noProof/>
            <w:webHidden/>
          </w:rPr>
          <w:t>46</w:t>
        </w:r>
        <w:r w:rsidR="00600AA0">
          <w:rPr>
            <w:noProof/>
            <w:webHidden/>
          </w:rPr>
          <w:fldChar w:fldCharType="end"/>
        </w:r>
      </w:hyperlink>
    </w:p>
    <w:p w14:paraId="6B1439AE" w14:textId="4FAA0758"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4" w:history="1">
        <w:r w:rsidR="00600AA0" w:rsidRPr="00AA69F5">
          <w:rPr>
            <w:rStyle w:val="Hyperlink"/>
            <w:rFonts w:eastAsiaTheme="minorEastAsia"/>
            <w:noProof/>
            <w14:scene3d>
              <w14:camera w14:prst="orthographicFront"/>
              <w14:lightRig w14:rig="threePt" w14:dir="t">
                <w14:rot w14:lat="0" w14:lon="0" w14:rev="0"/>
              </w14:lightRig>
            </w14:scene3d>
          </w:rPr>
          <w:t>3.8</w:t>
        </w:r>
        <w:r w:rsidR="00600AA0">
          <w:rPr>
            <w:rFonts w:asciiTheme="minorHAnsi" w:eastAsiaTheme="minorEastAsia" w:hAnsiTheme="minorHAnsi" w:cstheme="minorBidi"/>
            <w:noProof/>
            <w:sz w:val="22"/>
          </w:rPr>
          <w:tab/>
        </w:r>
        <w:r w:rsidR="00600AA0" w:rsidRPr="00AA69F5">
          <w:rPr>
            <w:rStyle w:val="Hyperlink"/>
            <w:rFonts w:eastAsiaTheme="minorEastAsia"/>
            <w:noProof/>
          </w:rPr>
          <w:t>Measure Incremental Cost Definition</w:t>
        </w:r>
        <w:r w:rsidR="00600AA0">
          <w:rPr>
            <w:noProof/>
            <w:webHidden/>
          </w:rPr>
          <w:tab/>
        </w:r>
        <w:r w:rsidR="00600AA0">
          <w:rPr>
            <w:noProof/>
            <w:webHidden/>
          </w:rPr>
          <w:fldChar w:fldCharType="begin"/>
        </w:r>
        <w:r w:rsidR="00600AA0">
          <w:rPr>
            <w:noProof/>
            <w:webHidden/>
          </w:rPr>
          <w:instrText xml:space="preserve"> PAGEREF _Toc524594134 \h </w:instrText>
        </w:r>
        <w:r w:rsidR="00600AA0">
          <w:rPr>
            <w:noProof/>
            <w:webHidden/>
          </w:rPr>
        </w:r>
        <w:r w:rsidR="00600AA0">
          <w:rPr>
            <w:noProof/>
            <w:webHidden/>
          </w:rPr>
          <w:fldChar w:fldCharType="separate"/>
        </w:r>
        <w:r w:rsidR="00600AA0">
          <w:rPr>
            <w:noProof/>
            <w:webHidden/>
          </w:rPr>
          <w:t>50</w:t>
        </w:r>
        <w:r w:rsidR="00600AA0">
          <w:rPr>
            <w:noProof/>
            <w:webHidden/>
          </w:rPr>
          <w:fldChar w:fldCharType="end"/>
        </w:r>
      </w:hyperlink>
    </w:p>
    <w:p w14:paraId="01F5B815" w14:textId="0D11BF33" w:rsidR="00600AA0" w:rsidRDefault="00DF068F">
      <w:pPr>
        <w:pStyle w:val="TOC2"/>
        <w:tabs>
          <w:tab w:val="left" w:pos="720"/>
          <w:tab w:val="right" w:leader="dot" w:pos="9350"/>
        </w:tabs>
        <w:rPr>
          <w:rFonts w:asciiTheme="minorHAnsi" w:eastAsiaTheme="minorEastAsia" w:hAnsiTheme="minorHAnsi" w:cstheme="minorBidi"/>
          <w:noProof/>
          <w:sz w:val="22"/>
        </w:rPr>
      </w:pPr>
      <w:hyperlink w:anchor="_Toc524594135" w:history="1">
        <w:r w:rsidR="00600AA0" w:rsidRPr="00AA69F5">
          <w:rPr>
            <w:rStyle w:val="Hyperlink"/>
            <w:rFonts w:eastAsiaTheme="minorEastAsia"/>
            <w:noProof/>
            <w14:scene3d>
              <w14:camera w14:prst="orthographicFront"/>
              <w14:lightRig w14:rig="threePt" w14:dir="t">
                <w14:rot w14:lat="0" w14:lon="0" w14:rev="0"/>
              </w14:lightRig>
            </w14:scene3d>
          </w:rPr>
          <w:t>3.9</w:t>
        </w:r>
        <w:r w:rsidR="00600AA0">
          <w:rPr>
            <w:rFonts w:asciiTheme="minorHAnsi" w:eastAsiaTheme="minorEastAsia" w:hAnsiTheme="minorHAnsi" w:cstheme="minorBidi"/>
            <w:noProof/>
            <w:sz w:val="22"/>
          </w:rPr>
          <w:tab/>
        </w:r>
        <w:r w:rsidR="00600AA0" w:rsidRPr="00AA69F5">
          <w:rPr>
            <w:rStyle w:val="Hyperlink"/>
            <w:rFonts w:eastAsiaTheme="minorEastAsia"/>
            <w:noProof/>
          </w:rPr>
          <w:t>Discount Rates, Inflation Rates and O&amp;M Costs</w:t>
        </w:r>
        <w:r w:rsidR="00600AA0">
          <w:rPr>
            <w:noProof/>
            <w:webHidden/>
          </w:rPr>
          <w:tab/>
        </w:r>
        <w:r w:rsidR="00600AA0">
          <w:rPr>
            <w:noProof/>
            <w:webHidden/>
          </w:rPr>
          <w:fldChar w:fldCharType="begin"/>
        </w:r>
        <w:r w:rsidR="00600AA0">
          <w:rPr>
            <w:noProof/>
            <w:webHidden/>
          </w:rPr>
          <w:instrText xml:space="preserve"> PAGEREF _Toc524594135 \h </w:instrText>
        </w:r>
        <w:r w:rsidR="00600AA0">
          <w:rPr>
            <w:noProof/>
            <w:webHidden/>
          </w:rPr>
        </w:r>
        <w:r w:rsidR="00600AA0">
          <w:rPr>
            <w:noProof/>
            <w:webHidden/>
          </w:rPr>
          <w:fldChar w:fldCharType="separate"/>
        </w:r>
        <w:r w:rsidR="00600AA0">
          <w:rPr>
            <w:noProof/>
            <w:webHidden/>
          </w:rPr>
          <w:t>51</w:t>
        </w:r>
        <w:r w:rsidR="00600AA0">
          <w:rPr>
            <w:noProof/>
            <w:webHidden/>
          </w:rPr>
          <w:fldChar w:fldCharType="end"/>
        </w:r>
      </w:hyperlink>
    </w:p>
    <w:p w14:paraId="4AA3B873" w14:textId="0365C3AD" w:rsidR="00600AA0" w:rsidRDefault="00DF068F">
      <w:pPr>
        <w:pStyle w:val="TOC2"/>
        <w:tabs>
          <w:tab w:val="left" w:pos="960"/>
          <w:tab w:val="right" w:leader="dot" w:pos="9350"/>
        </w:tabs>
        <w:rPr>
          <w:rFonts w:asciiTheme="minorHAnsi" w:eastAsiaTheme="minorEastAsia" w:hAnsiTheme="minorHAnsi" w:cstheme="minorBidi"/>
          <w:noProof/>
          <w:sz w:val="22"/>
        </w:rPr>
      </w:pPr>
      <w:hyperlink w:anchor="_Toc524594136" w:history="1">
        <w:r w:rsidR="00600AA0" w:rsidRPr="00AA69F5">
          <w:rPr>
            <w:rStyle w:val="Hyperlink"/>
            <w:rFonts w:eastAsiaTheme="minorEastAsia"/>
            <w:noProof/>
            <w14:scene3d>
              <w14:camera w14:prst="orthographicFront"/>
              <w14:lightRig w14:rig="threePt" w14:dir="t">
                <w14:rot w14:lat="0" w14:lon="0" w14:rev="0"/>
              </w14:lightRig>
            </w14:scene3d>
          </w:rPr>
          <w:t>3.10</w:t>
        </w:r>
        <w:r w:rsidR="00600AA0">
          <w:rPr>
            <w:rFonts w:asciiTheme="minorHAnsi" w:eastAsiaTheme="minorEastAsia" w:hAnsiTheme="minorHAnsi" w:cstheme="minorBidi"/>
            <w:noProof/>
            <w:sz w:val="22"/>
          </w:rPr>
          <w:tab/>
        </w:r>
        <w:r w:rsidR="00600AA0" w:rsidRPr="00AA69F5">
          <w:rPr>
            <w:rStyle w:val="Hyperlink"/>
            <w:rFonts w:eastAsiaTheme="minorEastAsia"/>
            <w:noProof/>
          </w:rPr>
          <w:t>Interactive Effects</w:t>
        </w:r>
        <w:r w:rsidR="00600AA0">
          <w:rPr>
            <w:noProof/>
            <w:webHidden/>
          </w:rPr>
          <w:tab/>
        </w:r>
        <w:r w:rsidR="00600AA0">
          <w:rPr>
            <w:noProof/>
            <w:webHidden/>
          </w:rPr>
          <w:fldChar w:fldCharType="begin"/>
        </w:r>
        <w:r w:rsidR="00600AA0">
          <w:rPr>
            <w:noProof/>
            <w:webHidden/>
          </w:rPr>
          <w:instrText xml:space="preserve"> PAGEREF _Toc524594136 \h </w:instrText>
        </w:r>
        <w:r w:rsidR="00600AA0">
          <w:rPr>
            <w:noProof/>
            <w:webHidden/>
          </w:rPr>
        </w:r>
        <w:r w:rsidR="00600AA0">
          <w:rPr>
            <w:noProof/>
            <w:webHidden/>
          </w:rPr>
          <w:fldChar w:fldCharType="separate"/>
        </w:r>
        <w:r w:rsidR="00600AA0">
          <w:rPr>
            <w:noProof/>
            <w:webHidden/>
          </w:rPr>
          <w:t>51</w:t>
        </w:r>
        <w:r w:rsidR="00600AA0">
          <w:rPr>
            <w:noProof/>
            <w:webHidden/>
          </w:rPr>
          <w:fldChar w:fldCharType="end"/>
        </w:r>
      </w:hyperlink>
    </w:p>
    <w:p w14:paraId="2CC92049" w14:textId="455B61CA"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34" w:name="_Toc315354074"/>
      <w:bookmarkEnd w:id="33"/>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53D8F681" w14:textId="0C7EDD14" w:rsidR="008C394A" w:rsidRDefault="003B60A4" w:rsidP="0028042F">
      <w:pPr>
        <w:ind w:firstLine="720"/>
        <w:rPr>
          <w:rStyle w:val="BookTitle"/>
          <w:rFonts w:asciiTheme="majorHAnsi" w:hAnsiTheme="majorHAnsi"/>
          <w:sz w:val="24"/>
          <w:szCs w:val="24"/>
        </w:rPr>
        <w:sectPr w:rsidR="008C394A" w:rsidSect="00447701">
          <w:pgSz w:w="12240" w:h="15840"/>
          <w:pgMar w:top="1440" w:right="1440" w:bottom="1440" w:left="1440" w:header="720" w:footer="720" w:gutter="0"/>
          <w:pgNumType w:start="2"/>
          <w:cols w:space="720"/>
          <w:docGrid w:linePitch="360"/>
        </w:sect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r w:rsidRPr="00447701">
        <w:rPr>
          <w:rFonts w:asciiTheme="minorHAnsi" w:eastAsiaTheme="minorHAnsi" w:hAnsiTheme="minorHAnsi"/>
        </w:rPr>
        <w:t xml:space="preserve"> </w:t>
      </w:r>
    </w:p>
    <w:p w14:paraId="0038204D" w14:textId="2C1C1E18" w:rsidR="00B55FE0" w:rsidRPr="00447701" w:rsidRDefault="00CD31F7" w:rsidP="00CD31F7">
      <w:pPr>
        <w:jc w:val="center"/>
        <w:rPr>
          <w:b/>
        </w:rPr>
      </w:pPr>
      <w:r w:rsidRPr="00447701">
        <w:rPr>
          <w:b/>
        </w:rPr>
        <w:lastRenderedPageBreak/>
        <w:t>Tables and Figures</w:t>
      </w:r>
    </w:p>
    <w:p w14:paraId="0345DA4C" w14:textId="3352A0E2" w:rsidR="00087188"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23412280" w:history="1">
        <w:r w:rsidR="00087188" w:rsidRPr="00EC27BA">
          <w:rPr>
            <w:rStyle w:val="Hyperlink"/>
            <w:noProof/>
          </w:rPr>
          <w:t>Table 1.1: Document Revision History</w:t>
        </w:r>
        <w:r w:rsidR="00087188">
          <w:rPr>
            <w:noProof/>
            <w:webHidden/>
          </w:rPr>
          <w:tab/>
        </w:r>
        <w:r w:rsidR="00087188">
          <w:rPr>
            <w:noProof/>
            <w:webHidden/>
          </w:rPr>
          <w:fldChar w:fldCharType="begin"/>
        </w:r>
        <w:r w:rsidR="00087188">
          <w:rPr>
            <w:noProof/>
            <w:webHidden/>
          </w:rPr>
          <w:instrText xml:space="preserve"> PAGEREF _Toc523412280 \h </w:instrText>
        </w:r>
        <w:r w:rsidR="00087188">
          <w:rPr>
            <w:noProof/>
            <w:webHidden/>
          </w:rPr>
        </w:r>
        <w:r w:rsidR="00087188">
          <w:rPr>
            <w:noProof/>
            <w:webHidden/>
          </w:rPr>
          <w:fldChar w:fldCharType="separate"/>
        </w:r>
        <w:r w:rsidR="00087188">
          <w:rPr>
            <w:noProof/>
            <w:webHidden/>
          </w:rPr>
          <w:t>5</w:t>
        </w:r>
        <w:r w:rsidR="00087188">
          <w:rPr>
            <w:noProof/>
            <w:webHidden/>
          </w:rPr>
          <w:fldChar w:fldCharType="end"/>
        </w:r>
      </w:hyperlink>
    </w:p>
    <w:p w14:paraId="29D446B0" w14:textId="31B8B958"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1" w:history="1">
        <w:r w:rsidR="00087188" w:rsidRPr="00EC27BA">
          <w:rPr>
            <w:rStyle w:val="Hyperlink"/>
            <w:noProof/>
          </w:rPr>
          <w:t>Table 1.2: Summary of Measure Level Changes</w:t>
        </w:r>
        <w:r w:rsidR="00087188">
          <w:rPr>
            <w:noProof/>
            <w:webHidden/>
          </w:rPr>
          <w:tab/>
        </w:r>
        <w:r w:rsidR="00087188">
          <w:rPr>
            <w:noProof/>
            <w:webHidden/>
          </w:rPr>
          <w:fldChar w:fldCharType="begin"/>
        </w:r>
        <w:r w:rsidR="00087188">
          <w:rPr>
            <w:noProof/>
            <w:webHidden/>
          </w:rPr>
          <w:instrText xml:space="preserve"> PAGEREF _Toc523412281 \h </w:instrText>
        </w:r>
        <w:r w:rsidR="00087188">
          <w:rPr>
            <w:noProof/>
            <w:webHidden/>
          </w:rPr>
        </w:r>
        <w:r w:rsidR="00087188">
          <w:rPr>
            <w:noProof/>
            <w:webHidden/>
          </w:rPr>
          <w:fldChar w:fldCharType="separate"/>
        </w:r>
        <w:r w:rsidR="00087188">
          <w:rPr>
            <w:noProof/>
            <w:webHidden/>
          </w:rPr>
          <w:t>5</w:t>
        </w:r>
        <w:r w:rsidR="00087188">
          <w:rPr>
            <w:noProof/>
            <w:webHidden/>
          </w:rPr>
          <w:fldChar w:fldCharType="end"/>
        </w:r>
      </w:hyperlink>
    </w:p>
    <w:p w14:paraId="4FA8A6CE" w14:textId="1A82F265"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2" w:history="1">
        <w:r w:rsidR="00087188" w:rsidRPr="00EC27BA">
          <w:rPr>
            <w:rStyle w:val="Hyperlink"/>
            <w:noProof/>
          </w:rPr>
          <w:t>Table 1.3: Summary of Measure Revisions</w:t>
        </w:r>
        <w:r w:rsidR="00087188">
          <w:rPr>
            <w:noProof/>
            <w:webHidden/>
          </w:rPr>
          <w:tab/>
        </w:r>
        <w:r w:rsidR="00087188">
          <w:rPr>
            <w:noProof/>
            <w:webHidden/>
          </w:rPr>
          <w:fldChar w:fldCharType="begin"/>
        </w:r>
        <w:r w:rsidR="00087188">
          <w:rPr>
            <w:noProof/>
            <w:webHidden/>
          </w:rPr>
          <w:instrText xml:space="preserve"> PAGEREF _Toc523412282 \h </w:instrText>
        </w:r>
        <w:r w:rsidR="00087188">
          <w:rPr>
            <w:noProof/>
            <w:webHidden/>
          </w:rPr>
        </w:r>
        <w:r w:rsidR="00087188">
          <w:rPr>
            <w:noProof/>
            <w:webHidden/>
          </w:rPr>
          <w:fldChar w:fldCharType="separate"/>
        </w:r>
        <w:r w:rsidR="00087188">
          <w:rPr>
            <w:noProof/>
            <w:webHidden/>
          </w:rPr>
          <w:t>6</w:t>
        </w:r>
        <w:r w:rsidR="00087188">
          <w:rPr>
            <w:noProof/>
            <w:webHidden/>
          </w:rPr>
          <w:fldChar w:fldCharType="end"/>
        </w:r>
      </w:hyperlink>
    </w:p>
    <w:p w14:paraId="141407A7" w14:textId="247E61FE"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3" w:history="1">
        <w:r w:rsidR="00087188" w:rsidRPr="00EC27BA">
          <w:rPr>
            <w:rStyle w:val="Hyperlink"/>
            <w:noProof/>
          </w:rPr>
          <w:t>Table 1.4: Summary of Attachment A: IL-NTG Methods Revisions</w:t>
        </w:r>
        <w:r w:rsidR="00087188">
          <w:rPr>
            <w:noProof/>
            <w:webHidden/>
          </w:rPr>
          <w:tab/>
        </w:r>
        <w:r w:rsidR="00087188">
          <w:rPr>
            <w:noProof/>
            <w:webHidden/>
          </w:rPr>
          <w:fldChar w:fldCharType="begin"/>
        </w:r>
        <w:r w:rsidR="00087188">
          <w:rPr>
            <w:noProof/>
            <w:webHidden/>
          </w:rPr>
          <w:instrText xml:space="preserve"> PAGEREF _Toc523412283 \h </w:instrText>
        </w:r>
        <w:r w:rsidR="00087188">
          <w:rPr>
            <w:noProof/>
            <w:webHidden/>
          </w:rPr>
        </w:r>
        <w:r w:rsidR="00087188">
          <w:rPr>
            <w:noProof/>
            <w:webHidden/>
          </w:rPr>
          <w:fldChar w:fldCharType="separate"/>
        </w:r>
        <w:r w:rsidR="00087188">
          <w:rPr>
            <w:noProof/>
            <w:webHidden/>
          </w:rPr>
          <w:t>19</w:t>
        </w:r>
        <w:r w:rsidR="00087188">
          <w:rPr>
            <w:noProof/>
            <w:webHidden/>
          </w:rPr>
          <w:fldChar w:fldCharType="end"/>
        </w:r>
      </w:hyperlink>
    </w:p>
    <w:p w14:paraId="5F764AD6" w14:textId="266502D2"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4" w:history="1">
        <w:r w:rsidR="00087188" w:rsidRPr="00EC27BA">
          <w:rPr>
            <w:rStyle w:val="Hyperlink"/>
            <w:noProof/>
          </w:rPr>
          <w:t>Table 2.1: End-Use Categories in the TRM</w:t>
        </w:r>
        <w:r w:rsidR="00087188">
          <w:rPr>
            <w:noProof/>
            <w:webHidden/>
          </w:rPr>
          <w:tab/>
        </w:r>
        <w:r w:rsidR="00087188">
          <w:rPr>
            <w:noProof/>
            <w:webHidden/>
          </w:rPr>
          <w:fldChar w:fldCharType="begin"/>
        </w:r>
        <w:r w:rsidR="00087188">
          <w:rPr>
            <w:noProof/>
            <w:webHidden/>
          </w:rPr>
          <w:instrText xml:space="preserve"> PAGEREF _Toc523412284 \h </w:instrText>
        </w:r>
        <w:r w:rsidR="00087188">
          <w:rPr>
            <w:noProof/>
            <w:webHidden/>
          </w:rPr>
        </w:r>
        <w:r w:rsidR="00087188">
          <w:rPr>
            <w:noProof/>
            <w:webHidden/>
          </w:rPr>
          <w:fldChar w:fldCharType="separate"/>
        </w:r>
        <w:r w:rsidR="00087188">
          <w:rPr>
            <w:noProof/>
            <w:webHidden/>
          </w:rPr>
          <w:t>23</w:t>
        </w:r>
        <w:r w:rsidR="00087188">
          <w:rPr>
            <w:noProof/>
            <w:webHidden/>
          </w:rPr>
          <w:fldChar w:fldCharType="end"/>
        </w:r>
      </w:hyperlink>
    </w:p>
    <w:p w14:paraId="5821E449" w14:textId="3D267EE7"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5" w:history="1">
        <w:r w:rsidR="00087188" w:rsidRPr="00EC27BA">
          <w:rPr>
            <w:rStyle w:val="Hyperlink"/>
            <w:noProof/>
          </w:rPr>
          <w:t>Table 2.2: Measure Code Specification Key</w:t>
        </w:r>
        <w:r w:rsidR="00087188">
          <w:rPr>
            <w:noProof/>
            <w:webHidden/>
          </w:rPr>
          <w:tab/>
        </w:r>
        <w:r w:rsidR="00087188">
          <w:rPr>
            <w:noProof/>
            <w:webHidden/>
          </w:rPr>
          <w:fldChar w:fldCharType="begin"/>
        </w:r>
        <w:r w:rsidR="00087188">
          <w:rPr>
            <w:noProof/>
            <w:webHidden/>
          </w:rPr>
          <w:instrText xml:space="preserve"> PAGEREF _Toc523412285 \h </w:instrText>
        </w:r>
        <w:r w:rsidR="00087188">
          <w:rPr>
            <w:noProof/>
            <w:webHidden/>
          </w:rPr>
        </w:r>
        <w:r w:rsidR="00087188">
          <w:rPr>
            <w:noProof/>
            <w:webHidden/>
          </w:rPr>
          <w:fldChar w:fldCharType="separate"/>
        </w:r>
        <w:r w:rsidR="00087188">
          <w:rPr>
            <w:noProof/>
            <w:webHidden/>
          </w:rPr>
          <w:t>24</w:t>
        </w:r>
        <w:r w:rsidR="00087188">
          <w:rPr>
            <w:noProof/>
            <w:webHidden/>
          </w:rPr>
          <w:fldChar w:fldCharType="end"/>
        </w:r>
      </w:hyperlink>
    </w:p>
    <w:p w14:paraId="273F979E" w14:textId="1E116E1A"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6" w:history="1">
        <w:r w:rsidR="00087188" w:rsidRPr="00EC27BA">
          <w:rPr>
            <w:rStyle w:val="Hyperlink"/>
            <w:noProof/>
          </w:rPr>
          <w:t>Table 2.3: Program Delivery Types</w:t>
        </w:r>
        <w:r w:rsidR="00087188">
          <w:rPr>
            <w:noProof/>
            <w:webHidden/>
          </w:rPr>
          <w:tab/>
        </w:r>
        <w:r w:rsidR="00087188">
          <w:rPr>
            <w:noProof/>
            <w:webHidden/>
          </w:rPr>
          <w:fldChar w:fldCharType="begin"/>
        </w:r>
        <w:r w:rsidR="00087188">
          <w:rPr>
            <w:noProof/>
            <w:webHidden/>
          </w:rPr>
          <w:instrText xml:space="preserve"> PAGEREF _Toc523412286 \h </w:instrText>
        </w:r>
        <w:r w:rsidR="00087188">
          <w:rPr>
            <w:noProof/>
            <w:webHidden/>
          </w:rPr>
        </w:r>
        <w:r w:rsidR="00087188">
          <w:rPr>
            <w:noProof/>
            <w:webHidden/>
          </w:rPr>
          <w:fldChar w:fldCharType="separate"/>
        </w:r>
        <w:r w:rsidR="00087188">
          <w:rPr>
            <w:noProof/>
            <w:webHidden/>
          </w:rPr>
          <w:t>26</w:t>
        </w:r>
        <w:r w:rsidR="00087188">
          <w:rPr>
            <w:noProof/>
            <w:webHidden/>
          </w:rPr>
          <w:fldChar w:fldCharType="end"/>
        </w:r>
      </w:hyperlink>
    </w:p>
    <w:p w14:paraId="4DA84CBC" w14:textId="68F7382C"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7" w:history="1">
        <w:r w:rsidR="00087188" w:rsidRPr="00EC27BA">
          <w:rPr>
            <w:rStyle w:val="Hyperlink"/>
            <w:noProof/>
          </w:rPr>
          <w:t>Table 3.1: Degree-Day Zones and Values by Market Sector</w:t>
        </w:r>
        <w:r w:rsidR="00087188">
          <w:rPr>
            <w:noProof/>
            <w:webHidden/>
          </w:rPr>
          <w:tab/>
        </w:r>
        <w:r w:rsidR="00087188">
          <w:rPr>
            <w:noProof/>
            <w:webHidden/>
          </w:rPr>
          <w:fldChar w:fldCharType="begin"/>
        </w:r>
        <w:r w:rsidR="00087188">
          <w:rPr>
            <w:noProof/>
            <w:webHidden/>
          </w:rPr>
          <w:instrText xml:space="preserve"> PAGEREF _Toc523412287 \h </w:instrText>
        </w:r>
        <w:r w:rsidR="00087188">
          <w:rPr>
            <w:noProof/>
            <w:webHidden/>
          </w:rPr>
        </w:r>
        <w:r w:rsidR="00087188">
          <w:rPr>
            <w:noProof/>
            <w:webHidden/>
          </w:rPr>
          <w:fldChar w:fldCharType="separate"/>
        </w:r>
        <w:r w:rsidR="00087188">
          <w:rPr>
            <w:noProof/>
            <w:webHidden/>
          </w:rPr>
          <w:t>35</w:t>
        </w:r>
        <w:r w:rsidR="00087188">
          <w:rPr>
            <w:noProof/>
            <w:webHidden/>
          </w:rPr>
          <w:fldChar w:fldCharType="end"/>
        </w:r>
      </w:hyperlink>
    </w:p>
    <w:p w14:paraId="4C9494F3" w14:textId="46B59563"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8" w:history="1">
        <w:r w:rsidR="00087188" w:rsidRPr="00EC27BA">
          <w:rPr>
            <w:rStyle w:val="Hyperlink"/>
            <w:noProof/>
          </w:rPr>
          <w:t>Table 3.2: On and Off Peak Energy Definitions</w:t>
        </w:r>
        <w:r w:rsidR="00087188">
          <w:rPr>
            <w:noProof/>
            <w:webHidden/>
          </w:rPr>
          <w:tab/>
        </w:r>
        <w:r w:rsidR="00087188">
          <w:rPr>
            <w:noProof/>
            <w:webHidden/>
          </w:rPr>
          <w:fldChar w:fldCharType="begin"/>
        </w:r>
        <w:r w:rsidR="00087188">
          <w:rPr>
            <w:noProof/>
            <w:webHidden/>
          </w:rPr>
          <w:instrText xml:space="preserve"> PAGEREF _Toc523412288 \h </w:instrText>
        </w:r>
        <w:r w:rsidR="00087188">
          <w:rPr>
            <w:noProof/>
            <w:webHidden/>
          </w:rPr>
        </w:r>
        <w:r w:rsidR="00087188">
          <w:rPr>
            <w:noProof/>
            <w:webHidden/>
          </w:rPr>
          <w:fldChar w:fldCharType="separate"/>
        </w:r>
        <w:r w:rsidR="00087188">
          <w:rPr>
            <w:noProof/>
            <w:webHidden/>
          </w:rPr>
          <w:t>35</w:t>
        </w:r>
        <w:r w:rsidR="00087188">
          <w:rPr>
            <w:noProof/>
            <w:webHidden/>
          </w:rPr>
          <w:fldChar w:fldCharType="end"/>
        </w:r>
      </w:hyperlink>
    </w:p>
    <w:p w14:paraId="7B230125" w14:textId="2C627448" w:rsidR="00087188" w:rsidRDefault="00DF068F">
      <w:pPr>
        <w:pStyle w:val="TableofFigures"/>
        <w:tabs>
          <w:tab w:val="right" w:leader="dot" w:pos="9350"/>
        </w:tabs>
        <w:rPr>
          <w:rFonts w:asciiTheme="minorHAnsi" w:eastAsiaTheme="minorEastAsia" w:hAnsiTheme="minorHAnsi" w:cstheme="minorBidi"/>
          <w:noProof/>
          <w:sz w:val="22"/>
        </w:rPr>
      </w:pPr>
      <w:hyperlink w:anchor="_Toc523412289" w:history="1">
        <w:r w:rsidR="00087188" w:rsidRPr="00EC27BA">
          <w:rPr>
            <w:rStyle w:val="Hyperlink"/>
            <w:noProof/>
          </w:rPr>
          <w:t>Table 3.3: Loadshapes by Season</w:t>
        </w:r>
        <w:r w:rsidR="00087188">
          <w:rPr>
            <w:noProof/>
            <w:webHidden/>
          </w:rPr>
          <w:tab/>
        </w:r>
        <w:r w:rsidR="00087188">
          <w:rPr>
            <w:noProof/>
            <w:webHidden/>
          </w:rPr>
          <w:fldChar w:fldCharType="begin"/>
        </w:r>
        <w:r w:rsidR="00087188">
          <w:rPr>
            <w:noProof/>
            <w:webHidden/>
          </w:rPr>
          <w:instrText xml:space="preserve"> PAGEREF _Toc523412289 \h </w:instrText>
        </w:r>
        <w:r w:rsidR="00087188">
          <w:rPr>
            <w:noProof/>
            <w:webHidden/>
          </w:rPr>
        </w:r>
        <w:r w:rsidR="00087188">
          <w:rPr>
            <w:noProof/>
            <w:webHidden/>
          </w:rPr>
          <w:fldChar w:fldCharType="separate"/>
        </w:r>
        <w:r w:rsidR="00087188">
          <w:rPr>
            <w:noProof/>
            <w:webHidden/>
          </w:rPr>
          <w:t>37</w:t>
        </w:r>
        <w:r w:rsidR="00087188">
          <w:rPr>
            <w:noProof/>
            <w:webHidden/>
          </w:rPr>
          <w:fldChar w:fldCharType="end"/>
        </w:r>
      </w:hyperlink>
    </w:p>
    <w:p w14:paraId="08EFE49A" w14:textId="1614ECEA"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0" w:history="1">
        <w:r w:rsidR="00087188" w:rsidRPr="00EC27BA">
          <w:rPr>
            <w:rStyle w:val="Hyperlink"/>
            <w:noProof/>
          </w:rPr>
          <w:t>Table 3.4: Loadshapes by Month and Day of Week</w:t>
        </w:r>
        <w:r w:rsidR="00087188">
          <w:rPr>
            <w:noProof/>
            <w:webHidden/>
          </w:rPr>
          <w:tab/>
        </w:r>
        <w:r w:rsidR="00087188">
          <w:rPr>
            <w:noProof/>
            <w:webHidden/>
          </w:rPr>
          <w:fldChar w:fldCharType="begin"/>
        </w:r>
        <w:r w:rsidR="00087188">
          <w:rPr>
            <w:noProof/>
            <w:webHidden/>
          </w:rPr>
          <w:instrText xml:space="preserve"> PAGEREF _Toc523412290 \h </w:instrText>
        </w:r>
        <w:r w:rsidR="00087188">
          <w:rPr>
            <w:noProof/>
            <w:webHidden/>
          </w:rPr>
        </w:r>
        <w:r w:rsidR="00087188">
          <w:rPr>
            <w:noProof/>
            <w:webHidden/>
          </w:rPr>
          <w:fldChar w:fldCharType="separate"/>
        </w:r>
        <w:r w:rsidR="00087188">
          <w:rPr>
            <w:noProof/>
            <w:webHidden/>
          </w:rPr>
          <w:t>40</w:t>
        </w:r>
        <w:r w:rsidR="00087188">
          <w:rPr>
            <w:noProof/>
            <w:webHidden/>
          </w:rPr>
          <w:fldChar w:fldCharType="end"/>
        </w:r>
      </w:hyperlink>
    </w:p>
    <w:p w14:paraId="76219AAB" w14:textId="3E5855E1"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1" w:history="1">
        <w:r w:rsidR="00087188" w:rsidRPr="00EC27BA">
          <w:rPr>
            <w:rStyle w:val="Hyperlink"/>
            <w:noProof/>
          </w:rPr>
          <w:t>Table 3.5: Degree-Day Zones and Values by Market Sector</w:t>
        </w:r>
        <w:r w:rsidR="00087188">
          <w:rPr>
            <w:noProof/>
            <w:webHidden/>
          </w:rPr>
          <w:tab/>
        </w:r>
        <w:r w:rsidR="00087188">
          <w:rPr>
            <w:noProof/>
            <w:webHidden/>
          </w:rPr>
          <w:fldChar w:fldCharType="begin"/>
        </w:r>
        <w:r w:rsidR="00087188">
          <w:rPr>
            <w:noProof/>
            <w:webHidden/>
          </w:rPr>
          <w:instrText xml:space="preserve"> PAGEREF _Toc523412291 \h </w:instrText>
        </w:r>
        <w:r w:rsidR="00087188">
          <w:rPr>
            <w:noProof/>
            <w:webHidden/>
          </w:rPr>
        </w:r>
        <w:r w:rsidR="00087188">
          <w:rPr>
            <w:noProof/>
            <w:webHidden/>
          </w:rPr>
          <w:fldChar w:fldCharType="separate"/>
        </w:r>
        <w:r w:rsidR="00087188">
          <w:rPr>
            <w:noProof/>
            <w:webHidden/>
          </w:rPr>
          <w:t>46</w:t>
        </w:r>
        <w:r w:rsidR="00087188">
          <w:rPr>
            <w:noProof/>
            <w:webHidden/>
          </w:rPr>
          <w:fldChar w:fldCharType="end"/>
        </w:r>
      </w:hyperlink>
    </w:p>
    <w:p w14:paraId="02379134" w14:textId="496EEB2B"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2" w:history="1">
        <w:r w:rsidR="00087188" w:rsidRPr="00EC27BA">
          <w:rPr>
            <w:rStyle w:val="Hyperlink"/>
            <w:noProof/>
          </w:rPr>
          <w:t>Figure 3.1: Cooling Degree-Day Zones by County</w:t>
        </w:r>
        <w:r w:rsidR="00087188">
          <w:rPr>
            <w:noProof/>
            <w:webHidden/>
          </w:rPr>
          <w:tab/>
        </w:r>
        <w:r w:rsidR="00087188">
          <w:rPr>
            <w:noProof/>
            <w:webHidden/>
          </w:rPr>
          <w:fldChar w:fldCharType="begin"/>
        </w:r>
        <w:r w:rsidR="00087188">
          <w:rPr>
            <w:noProof/>
            <w:webHidden/>
          </w:rPr>
          <w:instrText xml:space="preserve"> PAGEREF _Toc523412292 \h </w:instrText>
        </w:r>
        <w:r w:rsidR="00087188">
          <w:rPr>
            <w:noProof/>
            <w:webHidden/>
          </w:rPr>
        </w:r>
        <w:r w:rsidR="00087188">
          <w:rPr>
            <w:noProof/>
            <w:webHidden/>
          </w:rPr>
          <w:fldChar w:fldCharType="separate"/>
        </w:r>
        <w:r w:rsidR="00087188">
          <w:rPr>
            <w:noProof/>
            <w:webHidden/>
          </w:rPr>
          <w:t>47</w:t>
        </w:r>
        <w:r w:rsidR="00087188">
          <w:rPr>
            <w:noProof/>
            <w:webHidden/>
          </w:rPr>
          <w:fldChar w:fldCharType="end"/>
        </w:r>
      </w:hyperlink>
    </w:p>
    <w:p w14:paraId="28CA2DC4" w14:textId="1F24C08F"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3" w:history="1">
        <w:r w:rsidR="00087188" w:rsidRPr="00EC27BA">
          <w:rPr>
            <w:rStyle w:val="Hyperlink"/>
            <w:noProof/>
          </w:rPr>
          <w:t>Figure 3.2: Heating Degree-Day Zones by County</w:t>
        </w:r>
        <w:r w:rsidR="00087188">
          <w:rPr>
            <w:noProof/>
            <w:webHidden/>
          </w:rPr>
          <w:tab/>
        </w:r>
        <w:r w:rsidR="00087188">
          <w:rPr>
            <w:noProof/>
            <w:webHidden/>
          </w:rPr>
          <w:fldChar w:fldCharType="begin"/>
        </w:r>
        <w:r w:rsidR="00087188">
          <w:rPr>
            <w:noProof/>
            <w:webHidden/>
          </w:rPr>
          <w:instrText xml:space="preserve"> PAGEREF _Toc523412293 \h </w:instrText>
        </w:r>
        <w:r w:rsidR="00087188">
          <w:rPr>
            <w:noProof/>
            <w:webHidden/>
          </w:rPr>
        </w:r>
        <w:r w:rsidR="00087188">
          <w:rPr>
            <w:noProof/>
            <w:webHidden/>
          </w:rPr>
          <w:fldChar w:fldCharType="separate"/>
        </w:r>
        <w:r w:rsidR="00087188">
          <w:rPr>
            <w:noProof/>
            <w:webHidden/>
          </w:rPr>
          <w:t>48</w:t>
        </w:r>
        <w:r w:rsidR="00087188">
          <w:rPr>
            <w:noProof/>
            <w:webHidden/>
          </w:rPr>
          <w:fldChar w:fldCharType="end"/>
        </w:r>
      </w:hyperlink>
    </w:p>
    <w:p w14:paraId="6F4A82AE" w14:textId="3F49D3F3"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4" w:history="1">
        <w:r w:rsidR="00087188" w:rsidRPr="00EC27BA">
          <w:rPr>
            <w:rStyle w:val="Hyperlink"/>
            <w:noProof/>
          </w:rPr>
          <w:t>Table 3.6: Heating Degree-Day Zones by County</w:t>
        </w:r>
        <w:r w:rsidR="00087188">
          <w:rPr>
            <w:noProof/>
            <w:webHidden/>
          </w:rPr>
          <w:tab/>
        </w:r>
        <w:r w:rsidR="00087188">
          <w:rPr>
            <w:noProof/>
            <w:webHidden/>
          </w:rPr>
          <w:fldChar w:fldCharType="begin"/>
        </w:r>
        <w:r w:rsidR="00087188">
          <w:rPr>
            <w:noProof/>
            <w:webHidden/>
          </w:rPr>
          <w:instrText xml:space="preserve"> PAGEREF _Toc523412294 \h </w:instrText>
        </w:r>
        <w:r w:rsidR="00087188">
          <w:rPr>
            <w:noProof/>
            <w:webHidden/>
          </w:rPr>
        </w:r>
        <w:r w:rsidR="00087188">
          <w:rPr>
            <w:noProof/>
            <w:webHidden/>
          </w:rPr>
          <w:fldChar w:fldCharType="separate"/>
        </w:r>
        <w:r w:rsidR="00087188">
          <w:rPr>
            <w:noProof/>
            <w:webHidden/>
          </w:rPr>
          <w:t>48</w:t>
        </w:r>
        <w:r w:rsidR="00087188">
          <w:rPr>
            <w:noProof/>
            <w:webHidden/>
          </w:rPr>
          <w:fldChar w:fldCharType="end"/>
        </w:r>
      </w:hyperlink>
    </w:p>
    <w:p w14:paraId="1884532F" w14:textId="7FE757AF" w:rsidR="00087188" w:rsidRDefault="00DF068F">
      <w:pPr>
        <w:pStyle w:val="TableofFigures"/>
        <w:tabs>
          <w:tab w:val="right" w:leader="dot" w:pos="9350"/>
        </w:tabs>
        <w:rPr>
          <w:rFonts w:asciiTheme="minorHAnsi" w:eastAsiaTheme="minorEastAsia" w:hAnsiTheme="minorHAnsi" w:cstheme="minorBidi"/>
          <w:noProof/>
          <w:sz w:val="22"/>
        </w:rPr>
      </w:pPr>
      <w:hyperlink w:anchor="_Toc523412295" w:history="1">
        <w:r w:rsidR="00087188" w:rsidRPr="00EC27BA">
          <w:rPr>
            <w:rStyle w:val="Hyperlink"/>
            <w:noProof/>
          </w:rPr>
          <w:t>Table 3.7: Cooling Degree-day Zones by County</w:t>
        </w:r>
        <w:r w:rsidR="00087188">
          <w:rPr>
            <w:noProof/>
            <w:webHidden/>
          </w:rPr>
          <w:tab/>
        </w:r>
        <w:r w:rsidR="00087188">
          <w:rPr>
            <w:noProof/>
            <w:webHidden/>
          </w:rPr>
          <w:fldChar w:fldCharType="begin"/>
        </w:r>
        <w:r w:rsidR="00087188">
          <w:rPr>
            <w:noProof/>
            <w:webHidden/>
          </w:rPr>
          <w:instrText xml:space="preserve"> PAGEREF _Toc523412295 \h </w:instrText>
        </w:r>
        <w:r w:rsidR="00087188">
          <w:rPr>
            <w:noProof/>
            <w:webHidden/>
          </w:rPr>
        </w:r>
        <w:r w:rsidR="00087188">
          <w:rPr>
            <w:noProof/>
            <w:webHidden/>
          </w:rPr>
          <w:fldChar w:fldCharType="separate"/>
        </w:r>
        <w:r w:rsidR="00087188">
          <w:rPr>
            <w:noProof/>
            <w:webHidden/>
          </w:rPr>
          <w:t>49</w:t>
        </w:r>
        <w:r w:rsidR="00087188">
          <w:rPr>
            <w:noProof/>
            <w:webHidden/>
          </w:rPr>
          <w:fldChar w:fldCharType="end"/>
        </w:r>
      </w:hyperlink>
    </w:p>
    <w:p w14:paraId="3AE84D70" w14:textId="09830AE6"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35" w:name="_Toc319585387"/>
      <w:bookmarkStart w:id="36" w:name="_Ref326053118"/>
      <w:bookmarkStart w:id="37" w:name="_Toc333218978"/>
      <w:bookmarkStart w:id="38" w:name="_Toc437594083"/>
      <w:bookmarkStart w:id="39" w:name="_Toc437856287"/>
      <w:bookmarkStart w:id="40" w:name="_Toc437957185"/>
      <w:bookmarkStart w:id="41" w:name="_Toc438040348"/>
      <w:bookmarkStart w:id="42" w:name="_Toc524594111"/>
      <w:r w:rsidRPr="00600A72">
        <w:t>Purpose</w:t>
      </w:r>
      <w:bookmarkEnd w:id="35"/>
      <w:r w:rsidRPr="00600A72">
        <w:t xml:space="preserve"> of the TRM</w:t>
      </w:r>
      <w:bookmarkEnd w:id="36"/>
      <w:bookmarkEnd w:id="37"/>
      <w:bookmarkEnd w:id="38"/>
      <w:bookmarkEnd w:id="39"/>
      <w:bookmarkEnd w:id="40"/>
      <w:bookmarkEnd w:id="41"/>
      <w:bookmarkEnd w:id="42"/>
    </w:p>
    <w:p w14:paraId="2BA132FB" w14:textId="1C091166" w:rsidR="008E5EB6" w:rsidRPr="00D552A3" w:rsidRDefault="008E5EB6" w:rsidP="008E5EB6">
      <w:bookmarkStart w:id="43" w:name="_Toc311470075"/>
      <w:r w:rsidRPr="00D552A3">
        <w:t>The purpose of the Illinois Statewide Technical Reference Manual (TRM)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Pr="00D552A3">
        <w:rPr>
          <w:rStyle w:val="FootnoteReference"/>
        </w:rPr>
        <w:footnoteReference w:id="1"/>
      </w:r>
      <w:r w:rsidRPr="00D552A3">
        <w:t xml:space="preserve"> which are administered by the state’s largest electric and gas </w:t>
      </w:r>
      <w:r>
        <w:t>Utilities</w:t>
      </w:r>
      <w:r w:rsidRPr="00D552A3">
        <w:rPr>
          <w:rStyle w:val="FootnoteReference"/>
        </w:rPr>
        <w:footnoteReference w:id="2"/>
      </w:r>
      <w:r w:rsidRPr="00D552A3">
        <w:t xml:space="preserve"> (collectively, Program Administrators</w:t>
      </w:r>
      <w:r w:rsidR="00CD7B1C" w:rsidRPr="00CD7B1C">
        <w:t xml:space="preserve"> </w:t>
      </w:r>
      <w:r w:rsidR="00CD7B1C">
        <w:t>or the Utilities</w:t>
      </w:r>
      <w:r w:rsidRPr="00D552A3">
        <w:t>).</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7777777"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Pr>
          <w:vertAlign w:val="superscript"/>
        </w:rPr>
        <w:t>[</w:t>
      </w:r>
      <w:r w:rsidRPr="00D552A3">
        <w:rPr>
          <w:rStyle w:val="FootnoteReference"/>
          <w:szCs w:val="20"/>
        </w:rPr>
        <w:footnoteReference w:id="3"/>
      </w:r>
      <w:r>
        <w:rPr>
          <w:vertAlign w:val="superscript"/>
        </w:rPr>
        <w:t>]</w:t>
      </w:r>
      <w:r w:rsidRPr="00D552A3">
        <w:rPr>
          <w:sz w:val="16"/>
          <w:szCs w:val="16"/>
        </w:rPr>
        <w:t xml:space="preserve"> </w:t>
      </w:r>
      <w:r w:rsidRPr="00D552A3">
        <w:t>(“TRC”), 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77777777" w:rsidR="008E5EB6" w:rsidRPr="00D552A3" w:rsidRDefault="008E5EB6" w:rsidP="00804791">
      <w:pPr>
        <w:pStyle w:val="ListParagraph"/>
        <w:widowControl/>
        <w:numPr>
          <w:ilvl w:val="0"/>
          <w:numId w:val="3"/>
        </w:numPr>
        <w:spacing w:after="60"/>
        <w:contextualSpacing w:val="0"/>
      </w:pPr>
      <w:r w:rsidRPr="00D552A3">
        <w:t>[</w:t>
      </w:r>
      <w:r>
        <w:t>Provide</w:t>
      </w:r>
      <w:r w:rsidRPr="00D552A3">
        <w:t>] a process for periodically updating and maintaining records, and 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4"/>
      </w:r>
    </w:p>
    <w:p w14:paraId="23FADD6B" w14:textId="497E7DB8" w:rsidR="00B55FE0" w:rsidRPr="00415A53" w:rsidRDefault="001346FC" w:rsidP="00D96C8D">
      <w:pPr>
        <w:pStyle w:val="Heading2"/>
      </w:pPr>
      <w:bookmarkStart w:id="44" w:name="_Toc437856288"/>
      <w:bookmarkStart w:id="45" w:name="_Toc437957186"/>
      <w:bookmarkStart w:id="46" w:name="_Toc438040349"/>
      <w:bookmarkStart w:id="47" w:name="_Toc524594112"/>
      <w:bookmarkEnd w:id="43"/>
      <w:r>
        <w:t>Acknowledg</w:t>
      </w:r>
      <w:r w:rsidR="00B55FE0" w:rsidRPr="00415A53">
        <w:t>ments</w:t>
      </w:r>
      <w:bookmarkEnd w:id="44"/>
      <w:bookmarkEnd w:id="45"/>
      <w:bookmarkEnd w:id="46"/>
      <w:bookmarkEnd w:id="47"/>
    </w:p>
    <w:p w14:paraId="10E65542" w14:textId="090CF69F"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at </w:t>
      </w:r>
      <w:r w:rsidRPr="00FB4240">
        <w:rPr>
          <w:szCs w:val="20"/>
        </w:rPr>
        <w:t>Annette.Beitel@FutEE.biz</w:t>
      </w:r>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A676C" w:rsidRPr="00280744" w14:paraId="61F4E122" w14:textId="77777777" w:rsidTr="00986C87">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089BF439" w14:textId="77777777" w:rsidR="00DA676C" w:rsidRPr="00280744" w:rsidRDefault="00DA676C" w:rsidP="00514253">
            <w:pPr>
              <w:spacing w:after="0"/>
              <w:jc w:val="center"/>
              <w:rPr>
                <w:b/>
                <w:color w:val="FFFFFF" w:themeColor="background1"/>
              </w:rPr>
            </w:pPr>
            <w:r w:rsidRPr="00280744">
              <w:rPr>
                <w:b/>
                <w:color w:val="FFFFFF" w:themeColor="background1"/>
              </w:rPr>
              <w:t>SAG Stakeholders</w:t>
            </w:r>
            <w:r w:rsidRPr="00280744">
              <w:rPr>
                <w:b/>
                <w:color w:val="FFFFFF" w:themeColor="background1"/>
                <w:vertAlign w:val="superscript"/>
              </w:rPr>
              <w:footnoteReference w:id="5"/>
            </w:r>
          </w:p>
        </w:tc>
      </w:tr>
      <w:tr w:rsidR="00DA676C" w:rsidRPr="00280744" w14:paraId="2E4E0C4F" w14:textId="77777777" w:rsidTr="00986C87">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DB88F" w14:textId="77777777" w:rsidR="00DA676C" w:rsidRPr="00280744" w:rsidRDefault="00DA676C" w:rsidP="00514253">
            <w:pPr>
              <w:spacing w:after="0"/>
            </w:pPr>
            <w:r w:rsidRPr="00280744">
              <w:t>Ameren Illinois Company (Ameren)</w:t>
            </w:r>
          </w:p>
        </w:tc>
      </w:tr>
      <w:tr w:rsidR="00DA676C" w:rsidRPr="00280744" w14:paraId="08D618E8"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33AFBAF" w14:textId="77777777" w:rsidR="00DA676C" w:rsidRPr="00280744" w:rsidRDefault="00DA676C" w:rsidP="00514253">
            <w:pPr>
              <w:spacing w:after="0"/>
            </w:pPr>
            <w:r w:rsidRPr="00280744">
              <w:t>Citizen's Utility Board (CUB)</w:t>
            </w:r>
          </w:p>
        </w:tc>
      </w:tr>
      <w:tr w:rsidR="00DA676C" w:rsidRPr="00280744" w14:paraId="6FCBE3AA"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88635D5" w14:textId="77777777" w:rsidR="00DA676C" w:rsidRPr="00280744" w:rsidRDefault="00DA676C" w:rsidP="00514253">
            <w:pPr>
              <w:spacing w:after="0"/>
            </w:pPr>
            <w:r w:rsidRPr="00280744">
              <w:t>City of Chicago</w:t>
            </w:r>
          </w:p>
        </w:tc>
      </w:tr>
      <w:tr w:rsidR="00DA676C" w:rsidRPr="00280744" w14:paraId="56CFA608"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BE9E3A8" w14:textId="77777777" w:rsidR="00DA676C" w:rsidRPr="00280744" w:rsidRDefault="00DA676C" w:rsidP="00514253">
            <w:pPr>
              <w:spacing w:after="0"/>
            </w:pPr>
            <w:r w:rsidRPr="00280744">
              <w:t>Commonwealth Edison Company (ComEd)</w:t>
            </w:r>
          </w:p>
        </w:tc>
      </w:tr>
      <w:tr w:rsidR="00DA676C" w:rsidRPr="00280744" w14:paraId="567D993B"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7216070" w14:textId="77777777" w:rsidR="00DA676C" w:rsidRPr="00280744" w:rsidRDefault="00DA676C" w:rsidP="00514253">
            <w:pPr>
              <w:spacing w:after="0"/>
            </w:pPr>
            <w:r>
              <w:t>Elevate Energy</w:t>
            </w:r>
          </w:p>
        </w:tc>
      </w:tr>
      <w:tr w:rsidR="00DA676C" w:rsidRPr="00280744" w14:paraId="72D3C87B"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B6C3FAE" w14:textId="77777777" w:rsidR="00DA676C" w:rsidRPr="00280744" w:rsidRDefault="00DA676C" w:rsidP="00514253">
            <w:pPr>
              <w:spacing w:after="0"/>
            </w:pPr>
            <w:r w:rsidRPr="00280744">
              <w:t>Energy Resources Center at the University of Illinois, Chicago (ERC)</w:t>
            </w:r>
          </w:p>
        </w:tc>
      </w:tr>
      <w:tr w:rsidR="00DA676C" w:rsidRPr="00280744" w14:paraId="57A7B933"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1BF0175" w14:textId="77777777" w:rsidR="00DA676C" w:rsidRPr="00280744" w:rsidRDefault="00DA676C" w:rsidP="00514253">
            <w:pPr>
              <w:spacing w:after="0"/>
            </w:pPr>
            <w:r w:rsidRPr="00280744">
              <w:t>Environment IL</w:t>
            </w:r>
          </w:p>
        </w:tc>
      </w:tr>
      <w:tr w:rsidR="00DA676C" w:rsidRPr="00280744" w14:paraId="28E7D5EF"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878AF3F" w14:textId="77777777" w:rsidR="00DA676C" w:rsidRPr="00280744" w:rsidRDefault="00DA676C" w:rsidP="00514253">
            <w:pPr>
              <w:spacing w:after="0"/>
            </w:pPr>
            <w:r w:rsidRPr="00280744">
              <w:t>Environmental Law and Policy Center (ELPC)</w:t>
            </w:r>
          </w:p>
        </w:tc>
      </w:tr>
      <w:tr w:rsidR="00DA676C" w:rsidRPr="00280744" w14:paraId="65BEF148"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10707B1" w14:textId="77777777" w:rsidR="00DA676C" w:rsidRPr="00280744" w:rsidRDefault="00DA676C" w:rsidP="00514253">
            <w:pPr>
              <w:spacing w:after="0"/>
            </w:pPr>
            <w:r w:rsidRPr="00280744">
              <w:t>Future Energy Enterprises LLC</w:t>
            </w:r>
          </w:p>
        </w:tc>
      </w:tr>
      <w:tr w:rsidR="00DA676C" w:rsidRPr="00280744" w14:paraId="22BEAB2D"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93B4B25" w14:textId="77777777" w:rsidR="00DA676C" w:rsidRPr="00280744" w:rsidRDefault="00DA676C" w:rsidP="00514253">
            <w:pPr>
              <w:spacing w:after="0"/>
            </w:pPr>
            <w:r w:rsidRPr="00280744">
              <w:t>Illinois Attorney General's Office (AG)</w:t>
            </w:r>
          </w:p>
        </w:tc>
      </w:tr>
      <w:tr w:rsidR="00DA676C" w:rsidRPr="00280744" w14:paraId="77D2BF58"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7B9A3EF" w14:textId="77777777" w:rsidR="00DA676C" w:rsidRPr="00280744" w:rsidRDefault="00DA676C" w:rsidP="00514253">
            <w:pPr>
              <w:spacing w:after="0"/>
            </w:pPr>
            <w:r w:rsidRPr="00280744">
              <w:t>Illinois Commerce Commission Staff (ICC Staff)</w:t>
            </w:r>
          </w:p>
        </w:tc>
      </w:tr>
      <w:tr w:rsidR="00DA676C" w:rsidRPr="00280744" w14:paraId="00DECB6E"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B0383A9" w14:textId="77777777" w:rsidR="00DA676C" w:rsidRPr="00280744" w:rsidRDefault="00DA676C" w:rsidP="00514253">
            <w:pPr>
              <w:spacing w:after="0"/>
            </w:pPr>
            <w:r w:rsidRPr="00280744">
              <w:t>Illinois Department of Commerce and Economic Opportunity (DCEO)</w:t>
            </w:r>
          </w:p>
        </w:tc>
      </w:tr>
      <w:tr w:rsidR="00DA676C" w:rsidRPr="00280744" w14:paraId="6ACB815B"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E2EF720" w14:textId="77777777" w:rsidR="00DA676C" w:rsidRPr="00280744" w:rsidRDefault="00DA676C" w:rsidP="00514253">
            <w:pPr>
              <w:spacing w:after="0"/>
            </w:pPr>
            <w:r w:rsidRPr="00280744">
              <w:t>Independent Evaluators (ADM, Cadmus, Itron, Navigant)</w:t>
            </w:r>
          </w:p>
        </w:tc>
      </w:tr>
      <w:tr w:rsidR="00DA676C" w:rsidRPr="00280744" w14:paraId="5E8DECF4"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D431F8" w14:textId="77777777" w:rsidR="00DA676C" w:rsidRPr="00280744" w:rsidRDefault="00DA676C" w:rsidP="00514253">
            <w:pPr>
              <w:spacing w:after="0"/>
            </w:pPr>
            <w:r w:rsidRPr="00280744">
              <w:t>Metropolitan Mayor's Caucus (MMC)</w:t>
            </w:r>
          </w:p>
        </w:tc>
      </w:tr>
      <w:tr w:rsidR="00DA676C" w:rsidRPr="00280744" w14:paraId="6E9DBEA2"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5C84222" w14:textId="77777777" w:rsidR="00DA676C" w:rsidRPr="00280744" w:rsidRDefault="00DA676C" w:rsidP="00514253">
            <w:pPr>
              <w:spacing w:after="0"/>
            </w:pPr>
            <w:r w:rsidRPr="00280744">
              <w:t>Midwest Energy Efficiency Association (MEEA)</w:t>
            </w:r>
          </w:p>
        </w:tc>
      </w:tr>
      <w:tr w:rsidR="00DA676C" w:rsidRPr="00280744" w14:paraId="0D86AEFA"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4A7341B" w14:textId="77777777" w:rsidR="00DA676C" w:rsidRPr="00280744" w:rsidRDefault="00DA676C" w:rsidP="00514253">
            <w:pPr>
              <w:spacing w:after="0"/>
            </w:pPr>
            <w:r w:rsidRPr="00280744">
              <w:t>Natural Resources Defense Council (NRDC)</w:t>
            </w:r>
          </w:p>
        </w:tc>
      </w:tr>
      <w:tr w:rsidR="00DA676C" w:rsidRPr="00280744" w14:paraId="4E772D22" w14:textId="77777777" w:rsidTr="00986C87">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2F36505" w14:textId="77777777" w:rsidR="00DA676C" w:rsidRPr="00280744" w:rsidRDefault="00DA676C" w:rsidP="00514253">
            <w:pPr>
              <w:spacing w:after="0"/>
            </w:pPr>
            <w:r w:rsidRPr="00280744">
              <w:t>Nicor Gas</w:t>
            </w:r>
          </w:p>
        </w:tc>
      </w:tr>
      <w:tr w:rsidR="00DA676C" w:rsidRPr="00280744" w14:paraId="469550DD" w14:textId="77777777" w:rsidTr="00986C87">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53A9" w14:textId="77777777" w:rsidR="00DA676C" w:rsidRPr="00280744" w:rsidRDefault="00DA676C" w:rsidP="00514253">
            <w:pPr>
              <w:spacing w:after="0"/>
            </w:pPr>
            <w:r w:rsidRPr="00280744">
              <w:t>Peoples Gas and North Shore Gas</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514253">
      <w:pPr>
        <w:pStyle w:val="Captions"/>
      </w:pPr>
      <w:bookmarkStart w:id="48" w:name="_Toc335377222"/>
      <w:bookmarkStart w:id="49" w:name="_Toc411514767"/>
      <w:bookmarkStart w:id="50" w:name="_Toc411515467"/>
      <w:bookmarkStart w:id="51" w:name="_Toc411599453"/>
      <w:bookmarkStart w:id="52" w:name="_Toc523412280"/>
      <w:r w:rsidRPr="00425513">
        <w:t>Table</w:t>
      </w:r>
      <w:r>
        <w:t xml:space="preserve"> </w:t>
      </w:r>
      <w:r>
        <w:rPr>
          <w:noProof/>
        </w:rPr>
        <w:t>1</w:t>
      </w:r>
      <w:r>
        <w:t>.</w:t>
      </w:r>
      <w:r>
        <w:rPr>
          <w:noProof/>
        </w:rPr>
        <w:t>1</w:t>
      </w:r>
      <w:r w:rsidRPr="00425513">
        <w:t xml:space="preserve">: </w:t>
      </w:r>
      <w:r>
        <w:t xml:space="preserve">Document </w:t>
      </w:r>
      <w:r w:rsidRPr="00425513">
        <w:t>Revision History</w:t>
      </w:r>
      <w:bookmarkEnd w:id="48"/>
      <w:bookmarkEnd w:id="49"/>
      <w:bookmarkEnd w:id="50"/>
      <w:bookmarkEnd w:id="51"/>
      <w:bookmarkEnd w:id="52"/>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0026285F">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26285F">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0026285F">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0026285F">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0026285F">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0026285F">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0026285F">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0026285F">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t>1/1/19</w:t>
            </w:r>
          </w:p>
        </w:tc>
      </w:tr>
    </w:tbl>
    <w:p w14:paraId="755250AB" w14:textId="53C445B7" w:rsidR="00B55FE0" w:rsidRPr="009F7EC2" w:rsidRDefault="00B55FE0" w:rsidP="00D96C8D">
      <w:pPr>
        <w:pStyle w:val="Heading2"/>
      </w:pPr>
      <w:bookmarkStart w:id="53" w:name="_Toc437856289"/>
      <w:bookmarkStart w:id="54" w:name="_Toc437957187"/>
      <w:bookmarkStart w:id="55" w:name="_Toc438040350"/>
      <w:bookmarkStart w:id="56" w:name="_Toc524594113"/>
      <w:r w:rsidRPr="009F7EC2">
        <w:t>Summary of Measure Rev</w:t>
      </w:r>
      <w:r>
        <w:t>i</w:t>
      </w:r>
      <w:r w:rsidRPr="009F7EC2">
        <w:t>sions</w:t>
      </w:r>
      <w:bookmarkEnd w:id="53"/>
      <w:bookmarkEnd w:id="54"/>
      <w:bookmarkEnd w:id="55"/>
      <w:bookmarkEnd w:id="56"/>
    </w:p>
    <w:p w14:paraId="4475E124" w14:textId="2F8648D3" w:rsidR="00DA676C" w:rsidRDefault="00DA676C" w:rsidP="00447701">
      <w:r>
        <w:t xml:space="preserve">The following tables summarize the evolution of measures that are new, revised or errata.  This version of the TRM </w:t>
      </w:r>
      <w:r w:rsidRPr="00792852">
        <w:t xml:space="preserve">contains </w:t>
      </w:r>
      <w:r w:rsidR="001C2544">
        <w:t>143</w:t>
      </w:r>
      <w:r w:rsidR="004A57F1" w:rsidRPr="00792852">
        <w:t xml:space="preserve"> </w:t>
      </w:r>
      <w:r w:rsidRPr="00274055">
        <w:t>measure</w:t>
      </w:r>
      <w:r>
        <w:t>-level changes as described in the following table.</w:t>
      </w:r>
    </w:p>
    <w:p w14:paraId="794AF9F7" w14:textId="77777777" w:rsidR="00DA676C" w:rsidRPr="009F7D5F" w:rsidRDefault="00DA676C" w:rsidP="00514253">
      <w:pPr>
        <w:pStyle w:val="Captions"/>
      </w:pPr>
      <w:bookmarkStart w:id="57" w:name="_Toc411599454"/>
      <w:bookmarkStart w:id="58" w:name="_Toc523412281"/>
      <w:r>
        <w:t xml:space="preserve">Table </w:t>
      </w:r>
      <w:r>
        <w:rPr>
          <w:noProof/>
        </w:rPr>
        <w:t>1</w:t>
      </w:r>
      <w:r>
        <w:t>.</w:t>
      </w:r>
      <w:r>
        <w:rPr>
          <w:noProof/>
        </w:rPr>
        <w:t>2</w:t>
      </w:r>
      <w:r>
        <w:t>: Summary of Measure Level Changes</w:t>
      </w:r>
      <w:bookmarkEnd w:id="57"/>
      <w:bookmarkEnd w:id="58"/>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4DA48E49" w:rsidR="00DA676C" w:rsidRPr="009C362B" w:rsidRDefault="001C2544" w:rsidP="000865BC">
            <w:pPr>
              <w:spacing w:after="0"/>
              <w:jc w:val="center"/>
            </w:pPr>
            <w:r>
              <w:t>13</w:t>
            </w:r>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5DBF125F" w:rsidR="00DA676C" w:rsidRPr="009C362B" w:rsidRDefault="0049789E" w:rsidP="000865BC">
            <w:pPr>
              <w:spacing w:after="0"/>
              <w:jc w:val="center"/>
            </w:pPr>
            <w:r>
              <w:t>1</w:t>
            </w:r>
            <w:r w:rsidR="001C2544">
              <w:t>13</w:t>
            </w:r>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0630ACCB" w:rsidR="00DA676C" w:rsidRPr="009C362B" w:rsidRDefault="001C2544" w:rsidP="000865BC">
            <w:pPr>
              <w:spacing w:after="0"/>
              <w:jc w:val="center"/>
            </w:pPr>
            <w:r>
              <w:t>17</w:t>
            </w:r>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146198E7" w:rsidR="00DA676C" w:rsidRPr="009C362B" w:rsidRDefault="001C2544" w:rsidP="000865BC">
            <w:pPr>
              <w:spacing w:after="0"/>
              <w:jc w:val="center"/>
            </w:pPr>
            <w:r>
              <w:t>143</w:t>
            </w:r>
          </w:p>
        </w:tc>
      </w:tr>
    </w:tbl>
    <w:p w14:paraId="2B55DEC7" w14:textId="77777777" w:rsidR="00DA676C" w:rsidRDefault="00DA676C" w:rsidP="00DA676C">
      <w:pPr>
        <w:jc w:val="left"/>
      </w:pPr>
    </w:p>
    <w:p w14:paraId="18503909" w14:textId="17A3A29D"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instances the measure code indicates that a new version of the measure has been published, and that the effective date of the measure dates back to </w:t>
      </w:r>
      <w:r w:rsidR="00E3590F">
        <w:t xml:space="preserve">January </w:t>
      </w:r>
      <w:r>
        <w:t>1</w:t>
      </w:r>
      <w:r w:rsidRPr="00413CD2">
        <w:rPr>
          <w:vertAlign w:val="superscript"/>
        </w:rPr>
        <w:t>st</w:t>
      </w:r>
      <w:r>
        <w:t xml:space="preserve">, </w:t>
      </w:r>
      <w:r w:rsidR="00B835A2">
        <w:t>201</w:t>
      </w:r>
      <w:r w:rsidR="00E3590F">
        <w:t>8</w:t>
      </w:r>
      <w:r w:rsidR="0097689B">
        <w:t xml:space="preserve">. </w:t>
      </w:r>
      <w:r>
        <w:t xml:space="preserve">Measures that are identified as ‘Revised’ were included in the </w:t>
      </w:r>
      <w:r w:rsidR="00E3590F">
        <w:t xml:space="preserve">sixth </w:t>
      </w:r>
      <w:r>
        <w:t>edition of the TRM, and have been update</w:t>
      </w:r>
      <w:r w:rsidR="0097689B">
        <w:t xml:space="preserve">d for this edition of the TRM. </w:t>
      </w:r>
      <w:r>
        <w:t xml:space="preserve">Both ‘Revised’ and ‘New Measure(s)’ have an effective date of </w:t>
      </w:r>
      <w:r w:rsidR="00CD7B1C">
        <w:t xml:space="preserve">January </w:t>
      </w:r>
      <w:r>
        <w:t>1</w:t>
      </w:r>
      <w:r w:rsidRPr="00C8322F">
        <w:rPr>
          <w:vertAlign w:val="superscript"/>
        </w:rPr>
        <w:t>st</w:t>
      </w:r>
      <w:r>
        <w:t xml:space="preserve">, </w:t>
      </w:r>
      <w:r w:rsidR="00B835A2">
        <w:t>201</w:t>
      </w:r>
      <w:r w:rsidR="00E3590F">
        <w:t>9</w:t>
      </w:r>
      <w:r>
        <w:t xml:space="preserve">.  </w:t>
      </w:r>
    </w:p>
    <w:p w14:paraId="0BB056D4" w14:textId="5C008E7B" w:rsidR="00514253" w:rsidRDefault="00DA676C" w:rsidP="00447701">
      <w:r>
        <w:t xml:space="preserve">The following table provides an overview of </w:t>
      </w:r>
      <w:r w:rsidRPr="00792852">
        <w:t xml:space="preserve">the </w:t>
      </w:r>
      <w:r w:rsidR="001C2544">
        <w:t>143</w:t>
      </w:r>
      <w:r w:rsidR="00C8138A" w:rsidRPr="00792852">
        <w:t xml:space="preserve"> </w:t>
      </w:r>
      <w:r w:rsidRPr="00792852">
        <w:t>measure</w:t>
      </w:r>
      <w:r w:rsidRPr="00274055">
        <w:t>-level changes that are included in this version of the TRM.</w:t>
      </w:r>
    </w:p>
    <w:p w14:paraId="06FFB61F" w14:textId="77777777" w:rsidR="00514253" w:rsidRDefault="00514253" w:rsidP="00447701">
      <w:pPr>
        <w:sectPr w:rsidR="00514253">
          <w:headerReference w:type="default" r:id="rId14"/>
          <w:pgSz w:w="12240" w:h="15840"/>
          <w:pgMar w:top="1440" w:right="1440" w:bottom="1440" w:left="1440" w:header="720" w:footer="720" w:gutter="0"/>
          <w:cols w:space="720"/>
          <w:docGrid w:linePitch="360"/>
        </w:sectPr>
      </w:pPr>
    </w:p>
    <w:p w14:paraId="5CC19232" w14:textId="6D62E7A2" w:rsidR="00DA676C" w:rsidRPr="007A2593" w:rsidRDefault="00DA676C" w:rsidP="00514253">
      <w:pPr>
        <w:pStyle w:val="Captions"/>
      </w:pPr>
      <w:bookmarkStart w:id="59" w:name="_Toc411514769"/>
      <w:bookmarkStart w:id="60" w:name="_Toc411515469"/>
      <w:bookmarkStart w:id="61" w:name="_Toc411599455"/>
      <w:bookmarkStart w:id="62" w:name="_Toc523412282"/>
      <w:r w:rsidRPr="007A2593">
        <w:t xml:space="preserve">Table </w:t>
      </w:r>
      <w:r w:rsidRPr="00447701">
        <w:t>1</w:t>
      </w:r>
      <w:r w:rsidRPr="007A2593">
        <w:t>.</w:t>
      </w:r>
      <w:r w:rsidRPr="00447701">
        <w:t xml:space="preserve">3: Summary of Measure </w:t>
      </w:r>
      <w:r w:rsidRPr="007A2593">
        <w:t>Revisions</w:t>
      </w:r>
      <w:bookmarkEnd w:id="59"/>
      <w:bookmarkEnd w:id="60"/>
      <w:bookmarkEnd w:id="61"/>
      <w:bookmarkEnd w:id="62"/>
    </w:p>
    <w:tbl>
      <w:tblPr>
        <w:tblW w:w="12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261"/>
        <w:gridCol w:w="1889"/>
        <w:gridCol w:w="2160"/>
        <w:gridCol w:w="890"/>
        <w:gridCol w:w="4248"/>
        <w:gridCol w:w="1080"/>
      </w:tblGrid>
      <w:tr w:rsidR="00DA676C" w:rsidRPr="00C8138A" w14:paraId="4277554E" w14:textId="77777777" w:rsidTr="00BE718F">
        <w:trPr>
          <w:trHeight w:val="20"/>
          <w:tblHeader/>
          <w:jc w:val="center"/>
        </w:trPr>
        <w:tc>
          <w:tcPr>
            <w:tcW w:w="1157" w:type="dxa"/>
            <w:shd w:val="clear" w:color="auto" w:fill="808080" w:themeFill="background1" w:themeFillShade="80"/>
            <w:noWrap/>
            <w:vAlign w:val="center"/>
            <w:hideMark/>
          </w:tcPr>
          <w:p w14:paraId="23B935D8" w14:textId="2486FBE9" w:rsidR="00DA676C" w:rsidRPr="00C8138A" w:rsidRDefault="008F28EB" w:rsidP="00C850D7">
            <w:pPr>
              <w:spacing w:after="0"/>
              <w:jc w:val="center"/>
              <w:rPr>
                <w:rFonts w:asciiTheme="minorHAnsi" w:hAnsiTheme="minorHAnsi" w:cstheme="minorHAnsi"/>
                <w:b/>
                <w:bCs/>
                <w:color w:val="FFFFFF" w:themeColor="background1"/>
                <w:szCs w:val="20"/>
              </w:rPr>
            </w:pPr>
            <w:r w:rsidRPr="00C8138A">
              <w:rPr>
                <w:rFonts w:asciiTheme="minorHAnsi" w:hAnsiTheme="minorHAnsi" w:cstheme="minorHAnsi"/>
                <w:b/>
                <w:bCs/>
                <w:color w:val="FFFFFF" w:themeColor="background1"/>
                <w:szCs w:val="20"/>
              </w:rPr>
              <w:t>Volume</w:t>
            </w:r>
          </w:p>
        </w:tc>
        <w:tc>
          <w:tcPr>
            <w:tcW w:w="1261" w:type="dxa"/>
            <w:shd w:val="clear" w:color="auto" w:fill="808080" w:themeFill="background1" w:themeFillShade="80"/>
            <w:noWrap/>
            <w:vAlign w:val="center"/>
            <w:hideMark/>
          </w:tcPr>
          <w:p w14:paraId="135368D4" w14:textId="77777777" w:rsidR="00DA676C" w:rsidRPr="00C8138A" w:rsidRDefault="00DA676C" w:rsidP="00C850D7">
            <w:pPr>
              <w:spacing w:after="0"/>
              <w:jc w:val="center"/>
              <w:rPr>
                <w:rFonts w:asciiTheme="minorHAnsi" w:hAnsiTheme="minorHAnsi" w:cstheme="minorHAnsi"/>
                <w:b/>
                <w:bCs/>
                <w:color w:val="FFFFFF" w:themeColor="background1"/>
                <w:szCs w:val="20"/>
              </w:rPr>
            </w:pPr>
            <w:r w:rsidRPr="00C8138A">
              <w:rPr>
                <w:rFonts w:asciiTheme="minorHAnsi" w:hAnsiTheme="minorHAnsi" w:cstheme="minorHAnsi"/>
                <w:b/>
                <w:bCs/>
                <w:color w:val="FFFFFF" w:themeColor="background1"/>
                <w:szCs w:val="20"/>
              </w:rPr>
              <w:t>End Use</w:t>
            </w:r>
          </w:p>
        </w:tc>
        <w:tc>
          <w:tcPr>
            <w:tcW w:w="1889" w:type="dxa"/>
            <w:shd w:val="clear" w:color="auto" w:fill="808080" w:themeFill="background1" w:themeFillShade="80"/>
            <w:noWrap/>
            <w:vAlign w:val="center"/>
            <w:hideMark/>
          </w:tcPr>
          <w:p w14:paraId="01E939D4" w14:textId="77777777" w:rsidR="00DA676C" w:rsidRPr="00C8138A" w:rsidRDefault="00DA676C" w:rsidP="00C850D7">
            <w:pPr>
              <w:spacing w:after="0"/>
              <w:jc w:val="center"/>
              <w:rPr>
                <w:rFonts w:asciiTheme="minorHAnsi" w:hAnsiTheme="minorHAnsi" w:cstheme="minorHAnsi"/>
                <w:b/>
                <w:bCs/>
                <w:color w:val="FFFFFF" w:themeColor="background1"/>
                <w:szCs w:val="20"/>
              </w:rPr>
            </w:pPr>
            <w:r w:rsidRPr="00C8138A">
              <w:rPr>
                <w:rFonts w:asciiTheme="minorHAnsi" w:hAnsiTheme="minorHAnsi" w:cstheme="minorHAnsi"/>
                <w:b/>
                <w:bCs/>
                <w:color w:val="FFFFFF" w:themeColor="background1"/>
                <w:szCs w:val="20"/>
              </w:rPr>
              <w:t>Measure Name</w:t>
            </w:r>
          </w:p>
        </w:tc>
        <w:tc>
          <w:tcPr>
            <w:tcW w:w="2160" w:type="dxa"/>
            <w:shd w:val="clear" w:color="auto" w:fill="808080" w:themeFill="background1" w:themeFillShade="80"/>
            <w:noWrap/>
            <w:vAlign w:val="center"/>
            <w:hideMark/>
          </w:tcPr>
          <w:p w14:paraId="6B5C1EF4" w14:textId="77777777" w:rsidR="00DA676C" w:rsidRPr="00DE3F13" w:rsidRDefault="00DA676C" w:rsidP="00C850D7">
            <w:pPr>
              <w:spacing w:after="0"/>
              <w:jc w:val="center"/>
              <w:rPr>
                <w:rFonts w:asciiTheme="minorHAnsi" w:hAnsiTheme="minorHAnsi" w:cstheme="minorHAnsi"/>
                <w:b/>
                <w:bCs/>
                <w:color w:val="FFFFFF" w:themeColor="background1"/>
                <w:sz w:val="18"/>
                <w:szCs w:val="18"/>
              </w:rPr>
            </w:pPr>
            <w:r w:rsidRPr="00DE3F13">
              <w:rPr>
                <w:rFonts w:asciiTheme="minorHAnsi" w:hAnsiTheme="minorHAnsi" w:cstheme="minorHAnsi"/>
                <w:b/>
                <w:bCs/>
                <w:color w:val="FFFFFF" w:themeColor="background1"/>
                <w:szCs w:val="18"/>
              </w:rPr>
              <w:t>Measure Code</w:t>
            </w:r>
          </w:p>
        </w:tc>
        <w:tc>
          <w:tcPr>
            <w:tcW w:w="890" w:type="dxa"/>
            <w:shd w:val="clear" w:color="auto" w:fill="808080" w:themeFill="background1" w:themeFillShade="80"/>
            <w:vAlign w:val="center"/>
            <w:hideMark/>
          </w:tcPr>
          <w:p w14:paraId="481C6589" w14:textId="77777777" w:rsidR="00DA676C" w:rsidRPr="00C8138A" w:rsidRDefault="00DA676C" w:rsidP="00C850D7">
            <w:pPr>
              <w:spacing w:after="0"/>
              <w:jc w:val="center"/>
              <w:rPr>
                <w:rFonts w:asciiTheme="minorHAnsi" w:hAnsiTheme="minorHAnsi" w:cstheme="minorHAnsi"/>
                <w:b/>
                <w:bCs/>
                <w:color w:val="FFFFFF" w:themeColor="background1"/>
                <w:szCs w:val="20"/>
              </w:rPr>
            </w:pPr>
            <w:r w:rsidRPr="00C8138A">
              <w:rPr>
                <w:rFonts w:asciiTheme="minorHAnsi" w:hAnsiTheme="minorHAnsi" w:cstheme="minorHAnsi"/>
                <w:b/>
                <w:bCs/>
                <w:color w:val="FFFFFF" w:themeColor="background1"/>
                <w:szCs w:val="20"/>
              </w:rPr>
              <w:t>Change Type</w:t>
            </w:r>
          </w:p>
        </w:tc>
        <w:tc>
          <w:tcPr>
            <w:tcW w:w="4248" w:type="dxa"/>
            <w:shd w:val="clear" w:color="auto" w:fill="808080" w:themeFill="background1" w:themeFillShade="80"/>
            <w:vAlign w:val="center"/>
            <w:hideMark/>
          </w:tcPr>
          <w:p w14:paraId="04702319" w14:textId="77777777" w:rsidR="00DA676C" w:rsidRPr="00C8138A" w:rsidRDefault="00DA676C" w:rsidP="00C850D7">
            <w:pPr>
              <w:spacing w:after="0"/>
              <w:jc w:val="center"/>
              <w:rPr>
                <w:rFonts w:asciiTheme="minorHAnsi" w:hAnsiTheme="minorHAnsi" w:cstheme="minorHAnsi"/>
                <w:b/>
                <w:bCs/>
                <w:szCs w:val="20"/>
              </w:rPr>
            </w:pPr>
            <w:r w:rsidRPr="00C8138A">
              <w:rPr>
                <w:rFonts w:asciiTheme="minorHAnsi" w:hAnsiTheme="minorHAnsi" w:cstheme="minorHAnsi"/>
                <w:b/>
                <w:bCs/>
                <w:color w:val="FFFFFF" w:themeColor="background1"/>
                <w:szCs w:val="20"/>
              </w:rPr>
              <w:t>Explanation</w:t>
            </w:r>
          </w:p>
        </w:tc>
        <w:tc>
          <w:tcPr>
            <w:tcW w:w="1080" w:type="dxa"/>
            <w:shd w:val="clear" w:color="auto" w:fill="808080" w:themeFill="background1" w:themeFillShade="80"/>
            <w:vAlign w:val="center"/>
          </w:tcPr>
          <w:p w14:paraId="5CFF1FE4" w14:textId="77777777" w:rsidR="00DA676C" w:rsidRPr="00C8138A" w:rsidRDefault="00DA676C" w:rsidP="00C850D7">
            <w:pPr>
              <w:spacing w:after="0"/>
              <w:jc w:val="center"/>
              <w:rPr>
                <w:rFonts w:asciiTheme="minorHAnsi" w:hAnsiTheme="minorHAnsi" w:cstheme="minorHAnsi"/>
                <w:b/>
                <w:bCs/>
                <w:color w:val="FFFFFF" w:themeColor="background1"/>
                <w:szCs w:val="20"/>
              </w:rPr>
            </w:pPr>
            <w:r w:rsidRPr="00C8138A">
              <w:rPr>
                <w:rFonts w:asciiTheme="minorHAnsi" w:hAnsiTheme="minorHAnsi" w:cstheme="minorHAnsi"/>
                <w:b/>
                <w:bCs/>
                <w:color w:val="FFFFFF" w:themeColor="background1"/>
                <w:szCs w:val="20"/>
              </w:rPr>
              <w:t>Impact on Savings</w:t>
            </w:r>
          </w:p>
        </w:tc>
      </w:tr>
      <w:tr w:rsidR="00EB2AB8" w:rsidRPr="00C8138A" w14:paraId="47799696" w14:textId="77777777" w:rsidTr="00BE718F">
        <w:trPr>
          <w:trHeight w:val="20"/>
          <w:jc w:val="center"/>
        </w:trPr>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3BE82" w14:textId="078A2603" w:rsidR="00EB2AB8" w:rsidRPr="00C8138A" w:rsidRDefault="00EB2AB8" w:rsidP="00C850D7">
            <w:pPr>
              <w:spacing w:after="0"/>
              <w:jc w:val="center"/>
              <w:rPr>
                <w:rFonts w:asciiTheme="minorHAnsi" w:hAnsiTheme="minorHAnsi" w:cstheme="minorHAnsi"/>
                <w:bCs/>
                <w:sz w:val="18"/>
                <w:szCs w:val="18"/>
              </w:rPr>
            </w:pPr>
            <w:r w:rsidRPr="00C8138A">
              <w:rPr>
                <w:rFonts w:asciiTheme="minorHAnsi" w:hAnsiTheme="minorHAnsi" w:cstheme="minorHAnsi"/>
                <w:bCs/>
                <w:sz w:val="18"/>
                <w:szCs w:val="18"/>
              </w:rPr>
              <w:t>Volume 1: Overview</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0384D" w14:textId="5AD791D6" w:rsidR="00EB2AB8" w:rsidRPr="00C8138A" w:rsidRDefault="00EB2AB8" w:rsidP="00C850D7">
            <w:pPr>
              <w:spacing w:after="0"/>
              <w:jc w:val="center"/>
              <w:rPr>
                <w:rFonts w:asciiTheme="minorHAnsi" w:hAnsiTheme="minorHAnsi" w:cstheme="minorHAnsi"/>
                <w:bCs/>
                <w:sz w:val="18"/>
                <w:szCs w:val="18"/>
              </w:rPr>
            </w:pPr>
            <w:r w:rsidRPr="00C8138A">
              <w:rPr>
                <w:rFonts w:asciiTheme="minorHAnsi" w:hAnsiTheme="minorHAnsi" w:cstheme="minorHAnsi"/>
                <w:bCs/>
                <w:sz w:val="18"/>
                <w:szCs w:val="18"/>
              </w:rPr>
              <w:t>N/A</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7CA8DC" w14:textId="1B02AFF6" w:rsidR="00EB2AB8" w:rsidRPr="00C8138A" w:rsidRDefault="00EB2AB8" w:rsidP="00C850D7">
            <w:pPr>
              <w:spacing w:after="0"/>
              <w:jc w:val="left"/>
              <w:rPr>
                <w:rFonts w:asciiTheme="minorHAnsi" w:hAnsiTheme="minorHAnsi" w:cstheme="minorHAnsi"/>
                <w:bCs/>
                <w:sz w:val="18"/>
                <w:szCs w:val="18"/>
              </w:rPr>
            </w:pPr>
            <w:r w:rsidRPr="00C8138A">
              <w:rPr>
                <w:rFonts w:asciiTheme="minorHAnsi" w:hAnsiTheme="minorHAnsi" w:cstheme="minorHAnsi"/>
                <w:bCs/>
                <w:sz w:val="18"/>
                <w:szCs w:val="18"/>
              </w:rPr>
              <w:t>N/A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66B86A" w14:textId="51253573" w:rsidR="00EB2AB8" w:rsidRPr="00DE3F13" w:rsidRDefault="00EB2AB8" w:rsidP="00C850D7">
            <w:pPr>
              <w:spacing w:after="0"/>
              <w:jc w:val="left"/>
              <w:rPr>
                <w:rFonts w:asciiTheme="minorHAnsi" w:hAnsiTheme="minorHAnsi" w:cstheme="minorHAnsi"/>
                <w:bCs/>
                <w:sz w:val="18"/>
                <w:szCs w:val="18"/>
              </w:rPr>
            </w:pPr>
            <w:r w:rsidRPr="00DE3F13">
              <w:rPr>
                <w:rFonts w:asciiTheme="minorHAnsi" w:hAnsiTheme="minorHAnsi" w:cstheme="minorHAnsi"/>
                <w:bCs/>
                <w:sz w:val="18"/>
                <w:szCs w:val="18"/>
              </w:rPr>
              <w:t>N/A</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ABDB910" w14:textId="1B8068C0" w:rsidR="00EB2AB8" w:rsidRPr="003E2421" w:rsidRDefault="00EB2AB8"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040F6A1" w14:textId="77777777"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Edits to 1.4 Development Process – docket information</w:t>
            </w:r>
          </w:p>
          <w:p w14:paraId="3D62DFC2" w14:textId="77777777"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Section 3.4 – Addition of mobile home</w:t>
            </w:r>
          </w:p>
          <w:p w14:paraId="77B8D400" w14:textId="12AE830B"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Section 3.5 – Addition of loadshapes from primary research studies. Edits or additions of the following loadshape values:</w:t>
            </w:r>
          </w:p>
          <w:p w14:paraId="7C845B3D" w14:textId="31D34F03"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Residential Indoor Lighting</w:t>
            </w:r>
          </w:p>
          <w:p w14:paraId="128AE70E" w14:textId="3C459801"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Residential Holiday String Lighting</w:t>
            </w:r>
          </w:p>
          <w:p w14:paraId="54E52E89" w14:textId="5E8B51F4" w:rsidR="00EB2AB8" w:rsidRPr="003E2421" w:rsidRDefault="00EB2AB8" w:rsidP="00C850D7">
            <w:pPr>
              <w:spacing w:after="0"/>
              <w:jc w:val="left"/>
              <w:rPr>
                <w:rFonts w:asciiTheme="minorHAnsi" w:hAnsiTheme="minorHAnsi" w:cstheme="minorHAnsi"/>
                <w:sz w:val="18"/>
                <w:szCs w:val="18"/>
              </w:rPr>
            </w:pPr>
            <w:r w:rsidRPr="003E2421">
              <w:rPr>
                <w:rFonts w:asciiTheme="minorHAnsi" w:hAnsiTheme="minorHAnsi" w:cstheme="minorHAnsi"/>
                <w:sz w:val="18"/>
                <w:szCs w:val="18"/>
              </w:rPr>
              <w:t>Commercial Indoor Lighting</w:t>
            </w:r>
          </w:p>
          <w:p w14:paraId="21D3F3A8" w14:textId="6B1609DB"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Grocery/Conv. Store Indoor Lighting</w:t>
            </w:r>
          </w:p>
          <w:p w14:paraId="47850AB3" w14:textId="348AB0D4"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Health Indoor Lighting</w:t>
            </w:r>
          </w:p>
          <w:p w14:paraId="47AE9454" w14:textId="0A92A4AE"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Office Indoor Lighting</w:t>
            </w:r>
          </w:p>
          <w:p w14:paraId="36C46434" w14:textId="4EEA003F"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Retail Indoor Lighting</w:t>
            </w:r>
          </w:p>
          <w:p w14:paraId="02185B37" w14:textId="7625B406"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Warehouse Indoor Lighting</w:t>
            </w:r>
          </w:p>
          <w:p w14:paraId="1F783734" w14:textId="472B6885"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Education Indoor Lighting</w:t>
            </w:r>
          </w:p>
          <w:p w14:paraId="675598FF" w14:textId="51525CE5"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Commercial Outdoor Lighting</w:t>
            </w:r>
          </w:p>
          <w:p w14:paraId="5FC2A0FF" w14:textId="50AB0D9D" w:rsidR="00EB2AB8" w:rsidRPr="0028042F"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Commercial Clothes Washer</w:t>
            </w:r>
          </w:p>
          <w:p w14:paraId="4D3619B9" w14:textId="2F85B84F" w:rsidR="00EB2AB8" w:rsidRPr="0028042F" w:rsidRDefault="00EB2AB8" w:rsidP="00C850D7">
            <w:pPr>
              <w:spacing w:after="0"/>
              <w:jc w:val="left"/>
              <w:rPr>
                <w:rFonts w:asciiTheme="minorHAnsi" w:hAnsiTheme="minorHAnsi" w:cstheme="minorHAnsi"/>
                <w:sz w:val="18"/>
                <w:szCs w:val="18"/>
              </w:rPr>
            </w:pPr>
          </w:p>
          <w:p w14:paraId="1B716CB6" w14:textId="7A0E71C6" w:rsidR="00EB2AB8" w:rsidRPr="003E2421" w:rsidRDefault="00EB2AB8" w:rsidP="00C850D7">
            <w:pPr>
              <w:spacing w:after="0"/>
              <w:jc w:val="left"/>
              <w:rPr>
                <w:rFonts w:asciiTheme="minorHAnsi" w:hAnsiTheme="minorHAnsi" w:cstheme="minorHAnsi"/>
                <w:sz w:val="18"/>
                <w:szCs w:val="18"/>
              </w:rPr>
            </w:pPr>
            <w:r w:rsidRPr="0028042F">
              <w:rPr>
                <w:rFonts w:asciiTheme="minorHAnsi" w:hAnsiTheme="minorHAnsi" w:cstheme="minorHAnsi"/>
                <w:sz w:val="18"/>
                <w:szCs w:val="18"/>
              </w:rPr>
              <w:t>Reference to new Excel file mapping Illinois zip codes to Heating and Cooling Degree-day zones.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9644A0C" w14:textId="6DC02EFC" w:rsidR="00EB2AB8" w:rsidRPr="003E2421" w:rsidRDefault="00EB2AB8"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68AFB4F6" w14:textId="77777777" w:rsidTr="00BE718F">
        <w:trPr>
          <w:trHeight w:val="20"/>
          <w:jc w:val="center"/>
        </w:trPr>
        <w:tc>
          <w:tcPr>
            <w:tcW w:w="1157" w:type="dxa"/>
            <w:vMerge w:val="restart"/>
            <w:tcBorders>
              <w:top w:val="single" w:sz="4" w:space="0" w:color="auto"/>
              <w:left w:val="single" w:sz="4" w:space="0" w:color="auto"/>
              <w:right w:val="single" w:sz="4" w:space="0" w:color="auto"/>
            </w:tcBorders>
            <w:shd w:val="clear" w:color="auto" w:fill="auto"/>
            <w:noWrap/>
            <w:vAlign w:val="center"/>
          </w:tcPr>
          <w:p w14:paraId="597610D7" w14:textId="5DC5590F" w:rsidR="00E74A9E" w:rsidRPr="00AE61E7" w:rsidRDefault="00E74A9E" w:rsidP="00C850D7">
            <w:pPr>
              <w:spacing w:after="0"/>
              <w:jc w:val="center"/>
              <w:rPr>
                <w:rFonts w:asciiTheme="minorHAnsi" w:hAnsiTheme="minorHAnsi" w:cstheme="minorHAnsi"/>
                <w:bCs/>
                <w:sz w:val="18"/>
                <w:szCs w:val="18"/>
              </w:rPr>
            </w:pPr>
            <w:r w:rsidRPr="00AE61E7">
              <w:rPr>
                <w:rFonts w:asciiTheme="minorHAnsi" w:hAnsiTheme="minorHAnsi" w:cstheme="minorHAnsi"/>
                <w:bCs/>
                <w:sz w:val="18"/>
                <w:szCs w:val="18"/>
              </w:rPr>
              <w:t>Volume 2: C&amp;I</w:t>
            </w: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2170FF18" w14:textId="34F2AF4C" w:rsidR="00E74A9E" w:rsidRPr="00AE61E7" w:rsidRDefault="00E74A9E"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4,1 Agricultural</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F70048" w14:textId="4B142C47"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4.1.1 Engine Block Timer for Agricultural Equipment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CD28559" w14:textId="679DFB56"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CI-AGE-EBLT-V02-190101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3529434" w14:textId="60510FC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E25311B" w14:textId="7777777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Assumptions adjusted from Vermont basis to Illinois climate.</w:t>
            </w:r>
          </w:p>
          <w:p w14:paraId="520C65CF" w14:textId="13D98D1D"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Variables defined.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0AA84A6" w14:textId="43847399"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3230BCB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C9F9B30"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2115435"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DD851F0" w14:textId="5FF37EF3"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4.1.2 High Volume Low Speed Fans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ECC587A" w14:textId="5C0091A6"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CI-AGE-HVSF-V02-190101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06B1691" w14:textId="1C0692D9"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74D6EC5" w14:textId="1C073CC5"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Minor typo fixes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09F8150" w14:textId="4B538069"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0C7C198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745C9EB"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B5FFCE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C755300" w14:textId="1B5A2458"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4.1.3 High Speed Fans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BFE0C3A" w14:textId="2EB7BE29"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CI-AGE-HSF_-V02-190101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C27F633" w14:textId="433C4CC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41CB002" w14:textId="5CB323FC"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Minor typo fixes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B992062" w14:textId="5D720F1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3B757DE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572F66D"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5664AC3B"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F303E5B" w14:textId="6C31054E"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4.1.4 Livestock Waterer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D50A9E" w14:textId="3C4C747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CI-AGE-LSW1-V02-190101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005160F" w14:textId="7B5B104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F787341" w14:textId="5D3BCE93"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Minor typo fixes.</w:t>
            </w:r>
          </w:p>
          <w:p w14:paraId="2E2BFBF1" w14:textId="5A70C0AE"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Additions to measure and coincidence factor description.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6D12C2" w14:textId="7BB9C21D"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35F6200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C8E2F0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5AEBE1C" w14:textId="2BD7A8CC" w:rsidR="00E74A9E" w:rsidRPr="00AE61E7" w:rsidRDefault="00E74A9E"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 xml:space="preserve">4.2 </w:t>
            </w:r>
            <w:r w:rsidRPr="00C8138A">
              <w:rPr>
                <w:rFonts w:asciiTheme="minorHAnsi" w:hAnsiTheme="minorHAnsi" w:cstheme="minorHAnsi"/>
                <w:bCs/>
                <w:sz w:val="18"/>
                <w:szCs w:val="18"/>
              </w:rPr>
              <w:t>Food Service Equipment</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BC03C92" w14:textId="2FA56A29"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4.2.2 Commercial Solid and Glass Door Refrigerators and Freezers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E08562" w14:textId="671AA93C"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CI-FSE-CSDO-V02-190101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869B9FF" w14:textId="0E6BC7E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FE74BE"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Updated based on new ENERGY STAR and Federal Standard</w:t>
            </w:r>
          </w:p>
          <w:p w14:paraId="1B114AB9" w14:textId="4BF006EE"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Updated measure cost.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6C61F2" w14:textId="7E9033D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5AC149D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98CC5F1"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892616D"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2B07940" w14:textId="77E6853A"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4.2.3 Commercial Steam Cooker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728603F" w14:textId="7965B444"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CI-FSE-STMC-V05-190101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3011C1E" w14:textId="57E0AE3A"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CA06C75" w14:textId="35DE4D13"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16DC23C" w14:textId="625C8B9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E74A9E" w:rsidRPr="00C8138A" w14:paraId="21ADF5E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76E48F6"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F1E7D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757570E" w14:textId="6191F635"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4.2.6 ENERGY STAR Dishwasher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B37FE9" w14:textId="307DBA50"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CI-FSE-ESDW-V04-190101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D3F06F3" w14:textId="6188C19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E4A145B"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secondary kWh savings for water supply and waste water treatment</w:t>
            </w:r>
          </w:p>
          <w:p w14:paraId="25FA9B67" w14:textId="53494402"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conversion factor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A289377" w14:textId="0C71719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E74A9E" w:rsidRPr="00C8138A" w14:paraId="2DAB575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66349C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11E4DC"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B857AAD" w14:textId="379F3E13"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4.2.7 ENERGY STAR Fryer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AC025E1" w14:textId="4E017029"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CI-FSE-ESFR-V02-190101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879D2DA" w14:textId="56775B2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098761D" w14:textId="329CC6E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Updated based on new ENERGY STAR spec.</w:t>
            </w:r>
          </w:p>
          <w:p w14:paraId="449AABD1" w14:textId="13F7F58E"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Updated Measure Life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BE5AB9" w14:textId="021DF37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45C7514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DF550A7"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23DF20"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6339AE6" w14:textId="21BC5E26" w:rsidR="00E74A9E" w:rsidRPr="00AE61E7"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4.2.8 ENERGY STAR Griddle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4CA6650" w14:textId="0A872748"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CI-FSE-ESGR-V03-190101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3C3CF2C" w14:textId="176359B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9EFA919" w14:textId="75F2E973"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Coincident factor fix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A36DCF5" w14:textId="3A14112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kW Increase dependent on inputs</w:t>
            </w:r>
          </w:p>
        </w:tc>
      </w:tr>
      <w:tr w:rsidR="00E74A9E" w:rsidRPr="00C8138A" w14:paraId="1511E37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A16CDE3"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7E54671"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1CC5A1B" w14:textId="06B0DED7" w:rsidR="00E74A9E" w:rsidRPr="00AE61E7"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4.2.9 ENERGY STAR Hot Food Holding Cabinets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7A99DCC" w14:textId="5B9F4405"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CI-FSE-ESHH-V03-190101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1174260" w14:textId="5C925B21"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45A173F" w14:textId="75BEEC82"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Coincident factor fix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F3A9278" w14:textId="38842A2B"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kW Increase dependent on inputs</w:t>
            </w:r>
          </w:p>
        </w:tc>
      </w:tr>
      <w:tr w:rsidR="00E74A9E" w:rsidRPr="00C8138A" w14:paraId="4312EB1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0AA1A99"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8CB205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3A3C13B" w14:textId="731D2B2D"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4.2.10 ENERGY STAR Ice Maker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C38D8CC" w14:textId="6E9581C8"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CI-FSE-ESIM-V02-190101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BE202E5" w14:textId="3BF0C1D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93F2D9" w14:textId="7777777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1895DD8A" w14:textId="08D83365"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Federal Standard and ENERGY STAR specifications effective January 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60C283" w14:textId="66586EC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1F360EA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7D1A07B"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0066154"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FD0BAC5" w14:textId="410E5A1B"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4.2.11 High Efficiency Pre-Rinse Spray Valve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599D695" w14:textId="26AAB86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CI-FSE-SPRY-V05-190101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9C9E2C1" w14:textId="1E48D9FA"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10CCAAC" w14:textId="693864E2"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C80A0B" w14:textId="07C43D6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E74A9E" w:rsidRPr="00C8138A" w14:paraId="14CFB8B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0B90674"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15395DD8"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4D1E8CE" w14:textId="69233284" w:rsidR="00E74A9E" w:rsidRPr="00AE61E7"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4.2.19 ENERGY STAR Electric Convection Oven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DD0FAA" w14:textId="62B0080A"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CI-FSE-ECON-V02-190101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2AEA4A8" w14:textId="253B4E7B"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0EF87D7" w14:textId="6F3E8B5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Coincident factor fix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03B0F89" w14:textId="4D746D7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kW Increase dependent on inputs</w:t>
            </w:r>
          </w:p>
        </w:tc>
      </w:tr>
      <w:tr w:rsidR="00C60A57" w:rsidRPr="00C8138A" w14:paraId="5B29EA0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7DD0185"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49037E2" w14:textId="52E2AA1D" w:rsidR="00C60A57" w:rsidRPr="00AE61E7" w:rsidRDefault="00C60A57"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4.3 Hot Water</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BBCE0F2" w14:textId="5EA381EB"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4.3.1 Storage Water Heater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0E89E3" w14:textId="6333278F"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CI-HWE-STWH-V03-190101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0CCD1D5" w14:textId="6BDF1E3D"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F19ED4C" w14:textId="77777777" w:rsidR="00C60A57" w:rsidRDefault="00C60A57"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Standard change to Uniform Energy Factor</w:t>
            </w:r>
            <w:r>
              <w:rPr>
                <w:rFonts w:asciiTheme="minorHAnsi" w:hAnsiTheme="minorHAnsi" w:cstheme="minorHAnsi"/>
                <w:color w:val="000000"/>
                <w:sz w:val="18"/>
                <w:szCs w:val="18"/>
              </w:rPr>
              <w:t>.</w:t>
            </w:r>
          </w:p>
          <w:p w14:paraId="2C9AC8B3" w14:textId="120CBFDD" w:rsidR="00C60A57" w:rsidRPr="0028042F" w:rsidRDefault="00C60A57"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9123938" w14:textId="4F14551C"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17ACBCF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2047385"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FD0B91E"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5A7ADA" w14:textId="41BBF27B"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4.3.2 Low Flow Faucet Aerators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B27FDEC" w14:textId="13FAA56C"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CI-HWE-LFFA-V08-190101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84522F9" w14:textId="699802DE"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8480D60" w14:textId="77777777" w:rsidR="00C60A57" w:rsidRPr="003E2421" w:rsidRDefault="00C60A57"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4F5B74EF" w14:textId="0F35EA54" w:rsidR="00C60A57" w:rsidRPr="003E2421" w:rsidRDefault="00C60A57"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2A1E3CC" w14:textId="7B638E10"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Increases</w:t>
            </w:r>
          </w:p>
        </w:tc>
      </w:tr>
      <w:tr w:rsidR="00C60A57" w:rsidRPr="00C8138A" w14:paraId="5EA4DB2B" w14:textId="77777777" w:rsidTr="00BE718F">
        <w:trPr>
          <w:trHeight w:val="332"/>
          <w:jc w:val="center"/>
        </w:trPr>
        <w:tc>
          <w:tcPr>
            <w:tcW w:w="1157" w:type="dxa"/>
            <w:vMerge/>
            <w:tcBorders>
              <w:left w:val="single" w:sz="4" w:space="0" w:color="auto"/>
              <w:right w:val="single" w:sz="4" w:space="0" w:color="auto"/>
            </w:tcBorders>
            <w:shd w:val="clear" w:color="auto" w:fill="auto"/>
            <w:noWrap/>
            <w:vAlign w:val="center"/>
          </w:tcPr>
          <w:p w14:paraId="58D9F785"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F9851B"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B7423D7" w14:textId="625237EA"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4.3.3 Low Flow Showerheads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8FD070" w14:textId="7FB8683A"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CI-HWE-LFSH-V05-190101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53C30A7" w14:textId="07B2F078"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12359F3" w14:textId="226B52D0" w:rsidR="00C60A57" w:rsidRPr="003E2421" w:rsidRDefault="00C60A57"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43E8C9B" w14:textId="7BE618C9"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Increases</w:t>
            </w:r>
          </w:p>
        </w:tc>
      </w:tr>
      <w:tr w:rsidR="00C60A57" w:rsidRPr="00C8138A" w14:paraId="5866C7D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578D7AF"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F75753"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6DDE3A5" w14:textId="0738070B"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4.3.4 Commercial Pool Covers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972F846" w14:textId="46DC23A9"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CI-HWE-PLCV-V02-190101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AAB6C46" w14:textId="76BFDBB2"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D6580E9" w14:textId="0A54B52E" w:rsidR="00C60A57" w:rsidRPr="003E2421" w:rsidRDefault="00C60A57"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A0F4F6D" w14:textId="23C9E591"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Increases</w:t>
            </w:r>
          </w:p>
        </w:tc>
      </w:tr>
      <w:tr w:rsidR="00C60A57" w:rsidRPr="00C8138A" w14:paraId="66B7887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A0D4244"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9B42FA0"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093EFF5" w14:textId="0B72EE37"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4.3.5 Tankless Water Heater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66953E3" w14:textId="0540AF63"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CI-HWE-TKWH-V04-190101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1C3E2B1" w14:textId="395C2D08"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1FFD60A" w14:textId="77777777" w:rsidR="00C60A57" w:rsidRDefault="00C60A57"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Gas storage baseline definition made consistent with Storage Water Heater</w:t>
            </w:r>
            <w:r>
              <w:rPr>
                <w:rFonts w:asciiTheme="minorHAnsi" w:hAnsiTheme="minorHAnsi" w:cstheme="minorHAnsi"/>
                <w:color w:val="000000"/>
                <w:sz w:val="18"/>
                <w:szCs w:val="18"/>
              </w:rPr>
              <w:t>.</w:t>
            </w:r>
          </w:p>
          <w:p w14:paraId="22DC4EC2" w14:textId="4462AE61" w:rsidR="00C60A57" w:rsidRPr="003E2421" w:rsidRDefault="00C60A57" w:rsidP="00C850D7">
            <w:pPr>
              <w:spacing w:after="0"/>
              <w:jc w:val="left"/>
              <w:rPr>
                <w:rFonts w:asciiTheme="minorHAnsi" w:hAnsiTheme="minorHAnsi" w:cstheme="minorHAnsi"/>
                <w:sz w:val="18"/>
                <w:szCs w:val="18"/>
              </w:rPr>
            </w:pPr>
            <w:r>
              <w:rPr>
                <w:rFonts w:asciiTheme="minorHAnsi" w:hAnsiTheme="minorHAnsi" w:cstheme="minorHAnsi"/>
                <w:color w:val="000000"/>
                <w:sz w:val="18"/>
                <w:szCs w:val="18"/>
              </w:rPr>
              <w:t>Added IECC 2018 new construction code baseline assumptions.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C633A0" w14:textId="308E711E"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Unknown</w:t>
            </w:r>
          </w:p>
        </w:tc>
      </w:tr>
      <w:tr w:rsidR="00C60A57" w:rsidRPr="00C8138A" w14:paraId="22D1133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9FA590E"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437272F"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2E6F949" w14:textId="532976D1" w:rsidR="00C60A57" w:rsidRPr="00AE61E7" w:rsidRDefault="00C60A57"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4.3.6 Ozone Laundry</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F63CBD" w14:textId="6D8B8568" w:rsidR="00C60A57" w:rsidRPr="00DE3F13" w:rsidRDefault="00C60A57"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CI-HWE-OZLD-V02-190101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E84E29E" w14:textId="20385F01"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F6BDF0" w14:textId="0C1EAA04" w:rsidR="00C60A57" w:rsidRPr="003E2421" w:rsidRDefault="00C60A57"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6E1784D" w14:textId="03AFE6FD"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Increases</w:t>
            </w:r>
          </w:p>
        </w:tc>
      </w:tr>
      <w:tr w:rsidR="00C60A57" w:rsidRPr="00C8138A" w14:paraId="1EF36C5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5FDDC55" w14:textId="77777777" w:rsidR="00C60A57" w:rsidRPr="00AE61E7" w:rsidRDefault="00C60A57" w:rsidP="00C850D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36FA924E" w14:textId="77777777" w:rsidR="00C60A57" w:rsidRPr="00AE61E7" w:rsidRDefault="00C60A57"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5CB839E" w14:textId="1EBE51F4" w:rsidR="00C60A57" w:rsidRPr="00AE61E7" w:rsidRDefault="00C60A57"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4.3.7 Multifamily Central Domestic Hot Water Plants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B85109A" w14:textId="0E8BA787" w:rsidR="00C60A57" w:rsidRPr="00DE3F13" w:rsidRDefault="00C60A57" w:rsidP="00C850D7">
            <w:pPr>
              <w:spacing w:after="0"/>
              <w:jc w:val="left"/>
              <w:rPr>
                <w:rFonts w:asciiTheme="minorHAnsi" w:hAnsiTheme="minorHAnsi" w:cstheme="minorHAnsi"/>
                <w:sz w:val="18"/>
                <w:szCs w:val="18"/>
              </w:rPr>
            </w:pPr>
            <w:r w:rsidRPr="00DE3F13">
              <w:rPr>
                <w:rFonts w:asciiTheme="minorHAnsi" w:hAnsiTheme="minorHAnsi" w:cstheme="minorHAnsi"/>
                <w:sz w:val="18"/>
                <w:szCs w:val="18"/>
              </w:rPr>
              <w:t>CI-HWE-MDHW-V03-190101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ADAB35F" w14:textId="77FF8834" w:rsidR="00C60A57" w:rsidRPr="003E2421" w:rsidRDefault="00C60A57"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3200BAB" w14:textId="4BB0FE3E" w:rsidR="00C60A57" w:rsidRPr="003E2421" w:rsidRDefault="00C60A57"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F6C75E4" w14:textId="500368F7" w:rsidR="00C60A57" w:rsidRPr="003E2421" w:rsidRDefault="00C60A57"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N/A</w:t>
            </w:r>
          </w:p>
        </w:tc>
      </w:tr>
      <w:tr w:rsidR="00E74A9E" w:rsidRPr="00C8138A" w14:paraId="5FDA932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CCB94BD"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6915D872" w14:textId="4E0CBEB9" w:rsidR="00E74A9E" w:rsidRPr="00AE61E7" w:rsidRDefault="00E74A9E"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4.4 HVAC</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1D79B0" w14:textId="78C00AA9"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 HVAC End Use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3D21A79" w14:textId="61F456C2"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bCs/>
                <w:sz w:val="18"/>
                <w:szCs w:val="18"/>
              </w:rPr>
              <w:t>N/A</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E4E5D04" w14:textId="2DA16DB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F6D19B9" w14:textId="7777777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heating and cooling EFLH assumptions that have been transitioned and calibrated to OpenStudio by the Modeling Subcommittee.</w:t>
            </w:r>
          </w:p>
          <w:p w14:paraId="3F5319C0" w14:textId="67807F82"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Model Source provided in table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20FB689" w14:textId="71D4570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185958A9"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F4C9397"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C6DFD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3855E92" w14:textId="7A65F452"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 Air Conditioner Tune-Up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E89D45D" w14:textId="382230C8"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CI-HVC-ACTU-V05-180101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8A4DF02" w14:textId="4521FF80"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80C26DF" w14:textId="47A88BF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Correction of error in algorithm for deemed approach.</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3BF600" w14:textId="5EFD4C5A"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E74A9E" w:rsidRPr="00C8138A" w14:paraId="703F3D3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3BFFEB0"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9A5C4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7D24445" w14:textId="1DB40EAE"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4.4.6 Electric Chiller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91BAF1" w14:textId="48D3CB27"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CI-HVC-CHIL-V06-190101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9BDB261" w14:textId="4A23816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7B59B50" w14:textId="639D348D" w:rsidR="00E74A9E"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4D70EC68" w14:textId="16A26EEF" w:rsidR="00A1616E" w:rsidRPr="003E2421" w:rsidRDefault="00A1616E" w:rsidP="00A1616E">
            <w:pPr>
              <w:spacing w:after="0"/>
              <w:jc w:val="left"/>
              <w:rPr>
                <w:rFonts w:asciiTheme="minorHAnsi" w:hAnsiTheme="minorHAnsi" w:cstheme="minorHAnsi"/>
                <w:sz w:val="18"/>
                <w:szCs w:val="18"/>
              </w:rPr>
            </w:pPr>
            <w:r>
              <w:rPr>
                <w:rFonts w:asciiTheme="minorHAnsi" w:hAnsiTheme="minorHAnsi" w:cstheme="minorHAnsi"/>
                <w:color w:val="000000"/>
                <w:sz w:val="18"/>
                <w:szCs w:val="18"/>
              </w:rPr>
              <w:t>Added IECC 2018 new construction code baseline assumptions.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2A4254" w14:textId="0924B049"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lifetime savings</w:t>
            </w:r>
          </w:p>
        </w:tc>
      </w:tr>
      <w:tr w:rsidR="00E74A9E" w:rsidRPr="00C8138A" w14:paraId="0B6B0AF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51D8496"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8744988"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035B47B" w14:textId="1FA3EFCC"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4.4.7 ENERGY STAR and CEE Super-Efficient Room Conditioner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59B6DC" w14:textId="5B0F03C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CI-HVC-ESRA-V02-190101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7C91080" w14:textId="4F28E540"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78B04FE" w14:textId="099331D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Federal Standard and Efficient specifications.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B4B8647" w14:textId="57BB297D"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545C857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4906FE9"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42210BD"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9E90D5C" w14:textId="6F331CA1"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4.4.9 Heat Pump Systems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CB24F13" w14:textId="3872141E"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CI-HVC-HPSY-V06-190101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F905EC6" w14:textId="6EEF99FF"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F068122" w14:textId="77777777" w:rsidR="00E74A9E"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Federal Standard</w:t>
            </w:r>
            <w:r w:rsidR="00A1616E">
              <w:rPr>
                <w:rFonts w:asciiTheme="minorHAnsi" w:hAnsiTheme="minorHAnsi" w:cstheme="minorHAnsi"/>
                <w:color w:val="000000"/>
                <w:sz w:val="18"/>
                <w:szCs w:val="18"/>
              </w:rPr>
              <w:t>.</w:t>
            </w:r>
          </w:p>
          <w:p w14:paraId="0090A7BA" w14:textId="1794E572" w:rsidR="00A1616E" w:rsidRPr="003E2421" w:rsidRDefault="00A1616E" w:rsidP="00C850D7">
            <w:pPr>
              <w:spacing w:after="0"/>
              <w:jc w:val="left"/>
              <w:rPr>
                <w:rFonts w:asciiTheme="minorHAnsi" w:hAnsiTheme="minorHAnsi" w:cstheme="minorHAnsi"/>
                <w:sz w:val="18"/>
                <w:szCs w:val="18"/>
              </w:rPr>
            </w:pPr>
            <w:r>
              <w:rPr>
                <w:rFonts w:asciiTheme="minorHAnsi" w:hAnsiTheme="minorHAnsi" w:cstheme="minorHAnsi"/>
                <w:color w:val="000000"/>
                <w:sz w:val="18"/>
                <w:szCs w:val="18"/>
              </w:rPr>
              <w:t>Added IECC 2018 new construction code baseline assumptions.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7F3D39" w14:textId="713A162F"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650E826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C789EF6"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A772BD1"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D8D2DC" w14:textId="16DE3D2F"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4.4.10 High Efficiency Boiler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1E04E9" w14:textId="0720A24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CI-HVC-BOIL-V06-190101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7AF20F4" w14:textId="78F3ABF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4902755" w14:textId="37C6BD72"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new federal standard notice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9419C1A" w14:textId="083E9C7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42F0BAA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8AED93A"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6D07E67"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8E2AD4" w14:textId="66DDEEBE"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4.4.11 High Efficiency Furnace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40DF90E" w14:textId="4705D718"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CI-HVC-FRNC-V08-190101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7187976" w14:textId="371A1FE4"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9C60EEC" w14:textId="7777777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cooling run hours assumptions that have been transitioned and calibrated to OpenStudio by the Modeling Subcommittee.</w:t>
            </w:r>
          </w:p>
          <w:p w14:paraId="40F86282" w14:textId="7E37537D"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Model Source provided in table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E7E960" w14:textId="3FED79C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633CB2D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986A938"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E16897C"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1A5201B" w14:textId="4B9D2916"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4.4.13 Package Terminal Air Conditioner (PTAC) and Package Terminal Heat Pump (PTHP)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6CD7F48" w14:textId="0C77179F"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CI-HVC-PTAC-V09-190101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498ADF8" w14:textId="2343BC4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AEDA9BC" w14:textId="77777777"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6056E180" w14:textId="5A95375C"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Federal Standard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15E69D" w14:textId="7496DFB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E74A9E" w:rsidRPr="00C8138A" w14:paraId="32DF975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AA660A4"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D635F7"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3E11C05" w14:textId="673DFCE4"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4.4.14 Pipe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FCDD1C" w14:textId="193EF524"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CI-HVC-PINS-V05-190101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8BB473A" w14:textId="789AB8B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3A83D90" w14:textId="2979A8C1"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Assumptions for larger pipe sizes added.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84E6759" w14:textId="1BB5ABEA"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0362B37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6BE1F40"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6C1C600"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2D5A91E" w14:textId="501BB71B"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4.4.15 Single-Package and Split System Unitary Air Conditioners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C5C9CC" w14:textId="4A5A2722"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CI-HVC-SPUA-V06-190101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3DB9882" w14:textId="62AC892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B4BAFE8" w14:textId="27F9BC66" w:rsidR="00E74A9E"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Federal Standard.</w:t>
            </w:r>
          </w:p>
          <w:p w14:paraId="32BD64A2" w14:textId="26CA6196" w:rsidR="00A1616E" w:rsidRPr="003E2421" w:rsidRDefault="00A1616E" w:rsidP="0028042F">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Added IECC 2018 new construction code baseline assumptions.</w:t>
            </w:r>
          </w:p>
          <w:p w14:paraId="7A76A7A9" w14:textId="61A82F2C"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Clarification of use of EER for older units.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50B08F0" w14:textId="3BBD62B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3380499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C8C5CC8"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FD06276"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85E21CE" w14:textId="524C5F73"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4.4.17 Variable Speed Drives for HVAC Pumps and Cooling Tower Fans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E43CCF9" w14:textId="377FE5AB"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CI-HVC-VSDHP-V05-190101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A1B774E" w14:textId="1015E2F4"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4B97D3A" w14:textId="09FD4824" w:rsidR="00E74A9E"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660640CD" w14:textId="77777777" w:rsidR="00A1616E" w:rsidRDefault="00A1616E" w:rsidP="0028042F">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p w14:paraId="0C26874D" w14:textId="0B7D6E89"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heating and cooling run hours assumptions that have been transitioned and calibrated to OpenStudio by the Modeling Subcommittee.</w:t>
            </w:r>
          </w:p>
          <w:p w14:paraId="5ABC8EC7" w14:textId="3D21400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Model Source provided in table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BE3EEA" w14:textId="1FFA4D9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E74A9E" w:rsidRPr="00C8138A" w14:paraId="22AC121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D1FC1C2"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659196D"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3313E71" w14:textId="29082BD8" w:rsidR="00E74A9E" w:rsidRPr="00AE61E7"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4.4.18 Small Commercial Programmable Thermostats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3558B4" w14:textId="533EEFEF"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CI-HVC-PROG-V02-190101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098E18E" w14:textId="7933F88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41201A4" w14:textId="4D0D1685"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1D5D07D" w14:textId="0F883EC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E74A9E" w:rsidRPr="00C8138A" w14:paraId="555656B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B93CA4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FC39D8B"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E7FCD97" w14:textId="438750C7"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4.4.19 Demand Controlled Ventilation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FEE982" w14:textId="45FBBE2C"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CI-HVC-DCV-V05-190101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950D6EC" w14:textId="32B058F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488C84B"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assumptions for adding DCV controls to exhaust fans in enclosed parking garages.</w:t>
            </w:r>
          </w:p>
          <w:p w14:paraId="2D520C81" w14:textId="457D52E7"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Adjustments to analysis resulting in new savings factors.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B67293" w14:textId="181C1D4F"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33AC434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C492768"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D79AFD3" w14:textId="77777777" w:rsidR="00E74A9E" w:rsidRPr="00AE61E7" w:rsidRDefault="00E74A9E" w:rsidP="00C850D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505B12FC" w14:textId="4C9A5EF5"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4.4.25 Small Commercial Programmable Thermostat Adjustments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F42583" w14:textId="16E400EA"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CI-HVC-PRGA-V02-180101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14FF5DF" w14:textId="5AC630B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p w14:paraId="54D8A93E" w14:textId="77777777" w:rsidR="00E74A9E" w:rsidRPr="003E2421" w:rsidRDefault="00E74A9E" w:rsidP="00C850D7">
            <w:pPr>
              <w:spacing w:after="0"/>
              <w:jc w:val="center"/>
              <w:rPr>
                <w:rFonts w:asciiTheme="minorHAnsi" w:hAnsiTheme="minorHAnsi" w:cstheme="minorHAnsi"/>
                <w:sz w:val="18"/>
                <w:szCs w:val="18"/>
              </w:rPr>
            </w:pP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3983957" w14:textId="75720269"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Correction of error in the Natural Gas Climate Zone Coefficients for Assembly building type.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1DC8376" w14:textId="531FE21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24F1584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D447D70"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8D004A" w14:textId="77777777" w:rsidR="00E74A9E" w:rsidRPr="00AE61E7" w:rsidRDefault="00E74A9E" w:rsidP="00C850D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3750DF1D" w14:textId="77777777" w:rsidR="00E74A9E" w:rsidRPr="00AE61E7" w:rsidRDefault="00E74A9E" w:rsidP="00C850D7">
            <w:pPr>
              <w:spacing w:after="0"/>
              <w:jc w:val="left"/>
              <w:rPr>
                <w:rFonts w:asciiTheme="minorHAnsi" w:hAnsiTheme="minorHAnsi" w:cstheme="minorHAnsi"/>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48C3945" w14:textId="7F23E8DA"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CI-HVC-PRGA-V03-190101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27DEED3" w14:textId="0EB2EEA1"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43FD790" w14:textId="20D68B91"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3D9106" w14:textId="0EE4B500"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7442AEE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29E972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9194CCB"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AA3E661" w14:textId="5939CB99"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4.4.26 Variable Speed Drives for HVAC Supply and Return Fans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CCA00E3" w14:textId="408511DE"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CI-HVC-VSDF-V03-190101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C90E2A6" w14:textId="6D320DF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B74A24E" w14:textId="415A2933" w:rsidR="00E74A9E"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cost update.</w:t>
            </w:r>
          </w:p>
          <w:p w14:paraId="3AEB5D4C" w14:textId="7267094B" w:rsidR="00A1616E" w:rsidRPr="003E2421" w:rsidRDefault="00A1616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p w14:paraId="1483424F"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fan run hours assumptions that have been transitioned and calibrated to OpenStudio by the Modeling Subcommittee.</w:t>
            </w:r>
          </w:p>
          <w:p w14:paraId="3D53E082" w14:textId="0A939E7A"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Model Source provided in table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5D8ABC6" w14:textId="7C6E02F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2525BF2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DA5C050" w14:textId="77777777" w:rsidR="0059673C" w:rsidRPr="00AE61E7" w:rsidRDefault="0059673C"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CF9BED" w14:textId="77777777" w:rsidR="0059673C" w:rsidRPr="00AE61E7" w:rsidRDefault="0059673C"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99D84ED" w14:textId="3FEAE0CA" w:rsidR="0059673C" w:rsidRPr="00AE61E7" w:rsidRDefault="0059673C"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4.4.27 Energy Recovery Ventilator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B0149EC" w14:textId="4541956D" w:rsidR="0059673C" w:rsidRPr="00DE3F13" w:rsidRDefault="0059673C" w:rsidP="00C850D7">
            <w:pPr>
              <w:spacing w:after="0"/>
              <w:jc w:val="left"/>
              <w:rPr>
                <w:rFonts w:asciiTheme="minorHAnsi" w:hAnsiTheme="minorHAnsi" w:cstheme="minorHAnsi"/>
                <w:sz w:val="18"/>
                <w:szCs w:val="18"/>
              </w:rPr>
            </w:pPr>
            <w:r w:rsidRPr="00DE3F13">
              <w:rPr>
                <w:rFonts w:asciiTheme="minorHAnsi" w:hAnsiTheme="minorHAnsi" w:cstheme="minorHAnsi"/>
                <w:sz w:val="18"/>
                <w:szCs w:val="18"/>
              </w:rPr>
              <w:t>CI-HVC-ERVE-V03-190101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B7DA3B3" w14:textId="1A1E9801" w:rsidR="0059673C" w:rsidRPr="003E2421" w:rsidRDefault="0059673C"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E24CBAD" w14:textId="77777777" w:rsidR="0059673C" w:rsidRDefault="0059673C"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Addition of cooling savings.</w:t>
            </w:r>
          </w:p>
          <w:p w14:paraId="3DFDD003" w14:textId="54994BE4" w:rsidR="0059673C" w:rsidRPr="003E2421"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D21CF97" w14:textId="7782D9FC" w:rsidR="0059673C" w:rsidRPr="003E2421" w:rsidRDefault="0059673C"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Increase</w:t>
            </w:r>
          </w:p>
        </w:tc>
      </w:tr>
      <w:tr w:rsidR="00E74A9E" w:rsidRPr="00C8138A" w14:paraId="0D6E39A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1D5DB62"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44E1957"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32EF72D" w14:textId="19448A52"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4.4.30 Notched V Belts for HVAC Systems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CD2149" w14:textId="4C3FCE53"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CI-HVC-NVBE-V04-190101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782C03E" w14:textId="344EE43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CD35F3" w14:textId="57F52A2A" w:rsidR="00E74A9E" w:rsidRPr="003E2421" w:rsidRDefault="00E74A9E" w:rsidP="0028042F">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fan run hours assumptions that have been transitioned and calibrated to OpenStudio by the Modeling Subcommittee.</w:t>
            </w:r>
          </w:p>
          <w:p w14:paraId="7E15E961" w14:textId="1D9B7A2E"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Model Source provided in table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9A72CCB" w14:textId="76F0644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58FB2BD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8A636DF"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B93F13C"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9A7E09" w14:textId="757B282E"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4.4.32 Combined Heat and Power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2E20732" w14:textId="77BDBF46"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CI-HVC-CHAP-V03-190101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43AE09A" w14:textId="51952AC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1C7732D" w14:textId="2FE34A52"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Heat Rate base on eGrid 2016</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B9A494F" w14:textId="287A750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576BE3" w:rsidRPr="00C8138A" w14:paraId="7C94A22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5CBBF2B" w14:textId="77777777" w:rsidR="00576BE3" w:rsidRPr="00AE61E7" w:rsidRDefault="00576BE3"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4719F06" w14:textId="77777777" w:rsidR="00576BE3" w:rsidRPr="00AE61E7" w:rsidRDefault="00576BE3"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EE912D" w14:textId="0E93CDB1" w:rsidR="00576BE3" w:rsidRDefault="00576BE3"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4.4.33 Industrial air Curtain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44700B" w14:textId="768E4C02" w:rsidR="00576BE3" w:rsidRPr="00DE3F13" w:rsidRDefault="00576BE3" w:rsidP="00C850D7">
            <w:pPr>
              <w:spacing w:after="0"/>
              <w:jc w:val="left"/>
              <w:rPr>
                <w:rFonts w:asciiTheme="minorHAnsi" w:hAnsiTheme="minorHAnsi" w:cstheme="minorHAnsi"/>
                <w:sz w:val="18"/>
                <w:szCs w:val="18"/>
              </w:rPr>
            </w:pPr>
            <w:r w:rsidRPr="00576BE3">
              <w:rPr>
                <w:sz w:val="18"/>
              </w:rPr>
              <w:t>CI-HVC</w:t>
            </w:r>
            <w:r w:rsidRPr="0028042F">
              <w:rPr>
                <w:sz w:val="18"/>
              </w:rPr>
              <w:t>-AIRC-V0</w:t>
            </w:r>
            <w:r w:rsidRPr="00576BE3">
              <w:rPr>
                <w:sz w:val="18"/>
              </w:rPr>
              <w:t>2</w:t>
            </w:r>
            <w:r w:rsidRPr="0028042F">
              <w:rPr>
                <w:sz w:val="18"/>
              </w:rPr>
              <w:t>-</w:t>
            </w:r>
            <w:r w:rsidRPr="00576BE3">
              <w:rPr>
                <w:sz w:val="18"/>
              </w:rPr>
              <w:t>19</w:t>
            </w:r>
            <w:r w:rsidRPr="0028042F">
              <w:rPr>
                <w:sz w:val="18"/>
              </w:rPr>
              <w:t>0601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88B4A36" w14:textId="15F532A8" w:rsidR="00576BE3" w:rsidRPr="003E2421" w:rsidRDefault="00576BE3"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2AAC8E5" w14:textId="54452BD3" w:rsidR="00576BE3" w:rsidRPr="003E2421" w:rsidRDefault="00576BE3" w:rsidP="00576BE3">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CE9B36A" w14:textId="0DA6D4FA" w:rsidR="00576BE3" w:rsidRPr="003E2421" w:rsidRDefault="00576BE3"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N/A</w:t>
            </w:r>
          </w:p>
        </w:tc>
      </w:tr>
      <w:tr w:rsidR="00E74A9E" w:rsidRPr="00C8138A" w14:paraId="70CDE16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8FDEAD2"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0266536"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C05AA2D" w14:textId="28BF23F8" w:rsidR="00E74A9E" w:rsidRPr="00AE61E7"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4.4.34 Destratification Fan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5E4701" w14:textId="605EC195"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CI-HVC-DSFN-V03-190101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BD6D637" w14:textId="282464DD"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BE4E88E" w14:textId="1C136FF6"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Change to assumptions in thermal resistance through roof</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7BA4AA1" w14:textId="0BCA19A4"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E74A9E" w:rsidRPr="00C8138A" w14:paraId="655E144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6CEF17D"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131C55"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432AD23" w14:textId="10C155FD"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4.4.35 Economizer Repair and Optimization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2903C2" w14:textId="0947451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bCs/>
                <w:sz w:val="18"/>
                <w:szCs w:val="18"/>
              </w:rPr>
              <w:t>CI-HVC-ECRP-V03-180101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B8226D5" w14:textId="69A2961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B188ECC" w14:textId="3932B95C"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Correction of error in Integrated Economizer Operation (EL) variable and example calculation.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82B04A6" w14:textId="5C006E60"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5C8128C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53D5FBB"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E8E64A4"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7B7F45F" w14:textId="640C8654"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4.4.36 Multi-Family Space Heating Steam Boiler Averaging Controls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269FAE" w14:textId="29894CD6"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CI-HVC-SBAC-V02-190101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FC88E69" w14:textId="7AC9386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7AA5009"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Change to qualification criteria.</w:t>
            </w:r>
          </w:p>
          <w:p w14:paraId="6BCD4D39"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cost update.</w:t>
            </w:r>
          </w:p>
          <w:p w14:paraId="1C0C0E77" w14:textId="3E186963"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Change to Savings Factor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93A72D" w14:textId="79ABAD8B"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E74A9E" w:rsidRPr="00C8138A" w14:paraId="482661E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1F77BC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E54075D"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AB499D" w14:textId="00F7B805"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4.4.40 Gas High Efficiency Single Package Vertical Air Conditioner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33C2CF" w14:textId="6F7F81BF"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 -SPVA-V01-190101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2C55093" w14:textId="795779E0"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6B0D4EB" w14:textId="2AF29665"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8E51A15" w14:textId="3606D6E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6D32AAF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385F52B"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51B32D6"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F7A08C5" w14:textId="3A5B4107"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4.4.41 Advanced Rooftop Controls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7AF3CEA" w14:textId="000F31E2"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CI-HVC-ARTC-V01-190101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8C0C48F" w14:textId="2B14B7A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6417CD7" w14:textId="37805943"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5F043F" w14:textId="5808E70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16EB0D0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BD4D962"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FA46BEE"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1CD4F72" w14:textId="59DA7FA3"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4.4.42 Advanced Thermostats for Small Commercial</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6D94EA" w14:textId="6708A59E"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CI-HVC-ADTH-V01-190101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2F6C04D" w14:textId="24074CDA"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F3C4E5E" w14:textId="51ED3E7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7976ADA" w14:textId="6893FFD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2E70BBF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BF298E9"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4E1021B"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71A8905" w14:textId="2E5F6A35"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4.4.43 Packaged RTU Sealing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0075C09" w14:textId="718B65F9"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CI-HVC-PRTU-V01-190101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562893C" w14:textId="1915D705"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0376C9C" w14:textId="15838234"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94E5DC9" w14:textId="10CA9E1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2398D2C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994307D"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514FAAF"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0E1EC29" w14:textId="4161D534" w:rsidR="00E74A9E" w:rsidRPr="00AE61E7" w:rsidRDefault="00E74A9E" w:rsidP="00C850D7">
            <w:pPr>
              <w:spacing w:after="0"/>
              <w:jc w:val="left"/>
              <w:rPr>
                <w:rFonts w:asciiTheme="minorHAnsi" w:hAnsiTheme="minorHAnsi" w:cstheme="minorHAnsi"/>
                <w:bCs/>
                <w:sz w:val="18"/>
                <w:szCs w:val="18"/>
              </w:rPr>
            </w:pPr>
            <w:r>
              <w:rPr>
                <w:rFonts w:asciiTheme="minorHAnsi" w:hAnsiTheme="minorHAnsi" w:cstheme="minorHAnsi"/>
                <w:color w:val="000000"/>
                <w:sz w:val="18"/>
                <w:szCs w:val="18"/>
              </w:rPr>
              <w:t>4.4.44</w:t>
            </w:r>
            <w:r w:rsidRPr="00AE61E7">
              <w:rPr>
                <w:rFonts w:asciiTheme="minorHAnsi" w:hAnsiTheme="minorHAnsi" w:cstheme="minorHAnsi"/>
                <w:color w:val="000000"/>
                <w:sz w:val="18"/>
                <w:szCs w:val="18"/>
              </w:rPr>
              <w:t xml:space="preserve"> Commercial Ground Source Heat Pump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62D998A" w14:textId="13683613"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CI-HVC-GSHP-V01-190101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E682943" w14:textId="2971DEF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D03C489" w14:textId="778F87E4"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4978366" w14:textId="481FC108"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594170D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9E1C70A"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459DA8AB"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C5C8063" w14:textId="655496AE" w:rsidR="00E74A9E" w:rsidRDefault="00E74A9E" w:rsidP="00C850D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4.4.45 Adsorbant Air Cleaning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B62EC2" w14:textId="0324E085" w:rsidR="00E74A9E" w:rsidRPr="00DE3F13" w:rsidRDefault="00E74A9E" w:rsidP="00C850D7">
            <w:pPr>
              <w:spacing w:after="0"/>
              <w:jc w:val="left"/>
              <w:rPr>
                <w:rFonts w:asciiTheme="minorHAnsi" w:hAnsiTheme="minorHAnsi" w:cstheme="minorHAnsi"/>
                <w:sz w:val="18"/>
                <w:szCs w:val="18"/>
              </w:rPr>
            </w:pPr>
            <w:r w:rsidRPr="00DE3F13">
              <w:rPr>
                <w:rFonts w:asciiTheme="minorHAnsi" w:hAnsiTheme="minorHAnsi" w:cstheme="minorHAnsi"/>
                <w:sz w:val="18"/>
                <w:szCs w:val="18"/>
              </w:rPr>
              <w:t>CI-HVC-ADAC-V01-190101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F2C8551" w14:textId="1083ABB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A036125" w14:textId="51141105"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New Measures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EB2B7C8" w14:textId="053D203C"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2207EA5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8DAACEE"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828E660" w14:textId="414F7F59" w:rsidR="00E74A9E" w:rsidRPr="00AE61E7" w:rsidRDefault="00E74A9E" w:rsidP="00C850D7">
            <w:pPr>
              <w:spacing w:after="0"/>
              <w:jc w:val="center"/>
              <w:rPr>
                <w:rFonts w:asciiTheme="minorHAnsi" w:hAnsiTheme="minorHAnsi" w:cstheme="minorHAnsi"/>
                <w:bCs/>
                <w:sz w:val="18"/>
                <w:szCs w:val="18"/>
              </w:rPr>
            </w:pPr>
            <w:r>
              <w:rPr>
                <w:rFonts w:asciiTheme="minorHAnsi" w:hAnsiTheme="minorHAnsi" w:cstheme="minorHAnsi"/>
                <w:bCs/>
                <w:sz w:val="18"/>
                <w:szCs w:val="18"/>
              </w:rPr>
              <w:t>4.5 Lighting</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41AC865" w14:textId="6107DE47"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 Lighting End Use Table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2868429" w14:textId="77EE6232"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bCs/>
                <w:sz w:val="18"/>
                <w:szCs w:val="18"/>
              </w:rPr>
              <w:t>N/A</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D88FEF2" w14:textId="5D3B68E3"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85D3A86"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select building type assumptions that have been transitioned and calibrated to OpenStudio by the Modeling Subcommittee.</w:t>
            </w:r>
          </w:p>
          <w:p w14:paraId="0B9B1AE6"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Change to Exterior dusk to dawn hours assumption.</w:t>
            </w:r>
          </w:p>
          <w:p w14:paraId="6BA972E3" w14:textId="58639277"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Change to Refrigerator and Freezer Coincidence Factor.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EA95AA9" w14:textId="07CA560F"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6EEC831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4B53F5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84B56CD"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D4DD5C8" w14:textId="05E73505"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4.5.1 Commercial Compact Fluorescent Lamp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0F354C" w14:textId="0D831281"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CI-LTG-CCFL-V08-190101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87C5DB4" w14:textId="4B33A34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623ABF7" w14:textId="7EF6BFC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188FA06" w14:textId="54DFC5E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2884363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26E953A"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75F93A1"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8AF8538" w14:textId="11E9B186"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4.5.3 High Performance and Reduced Wattage T8 Fixtures and Lamps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0969E3E" w14:textId="49F65C4B"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CI-LTG-T8FX-V07-190101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D4195C1" w14:textId="170CD52F"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F5D602A"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1C3F1B34" w14:textId="17AC6ACA" w:rsidR="00E74A9E"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C&amp;I v RES split and ISR.</w:t>
            </w:r>
          </w:p>
          <w:p w14:paraId="281ACFCD" w14:textId="49F30F07" w:rsidR="00E74A9E" w:rsidRPr="003E2421" w:rsidRDefault="003B60A4" w:rsidP="003B60A4">
            <w:pPr>
              <w:spacing w:after="0"/>
              <w:jc w:val="left"/>
              <w:rPr>
                <w:rFonts w:asciiTheme="minorHAnsi" w:hAnsiTheme="minorHAnsi" w:cstheme="minorHAnsi"/>
                <w:sz w:val="18"/>
                <w:szCs w:val="18"/>
              </w:rPr>
            </w:pPr>
            <w:bookmarkStart w:id="63" w:name="_Hlk524058729"/>
            <w:r>
              <w:rPr>
                <w:rFonts w:asciiTheme="minorHAnsi" w:hAnsiTheme="minorHAnsi" w:cstheme="minorHAnsi"/>
                <w:color w:val="000000"/>
                <w:sz w:val="18"/>
                <w:szCs w:val="18"/>
              </w:rPr>
              <w:t>Additional year of T12 as viable retrofit baseline.</w:t>
            </w:r>
            <w:bookmarkEnd w:id="63"/>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8B7D5F" w14:textId="667EEB13" w:rsidR="00E74A9E" w:rsidRPr="003E2421" w:rsidRDefault="003B60A4" w:rsidP="00C850D7">
            <w:pPr>
              <w:spacing w:after="0"/>
              <w:jc w:val="center"/>
              <w:rPr>
                <w:rFonts w:asciiTheme="minorHAnsi" w:hAnsiTheme="minorHAnsi" w:cstheme="minorHAnsi"/>
                <w:sz w:val="18"/>
                <w:szCs w:val="18"/>
              </w:rPr>
            </w:pPr>
            <w:r>
              <w:rPr>
                <w:rFonts w:asciiTheme="minorHAnsi" w:hAnsiTheme="minorHAnsi" w:cstheme="minorHAnsi"/>
                <w:bCs/>
                <w:sz w:val="18"/>
                <w:szCs w:val="18"/>
              </w:rPr>
              <w:t>Decrease</w:t>
            </w:r>
          </w:p>
        </w:tc>
      </w:tr>
      <w:tr w:rsidR="00E74A9E" w:rsidRPr="00C8138A" w14:paraId="2597B7D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3218FB5"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99312E1" w14:textId="77777777" w:rsidR="00E74A9E" w:rsidRPr="00AE61E7" w:rsidRDefault="00E74A9E" w:rsidP="00C850D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4A4832F4" w14:textId="4D4C17B4"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4.5.4 LED Bulbs and Fixtures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ED7A616" w14:textId="22A74A57"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CI-LTG-LEDB-V07-180101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20B85F7" w14:textId="231A95E6"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C035B9A"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Correction of year that the mid-life adjustment applies to account for T12 replacement, from 2018 to 2019.</w:t>
            </w:r>
          </w:p>
          <w:p w14:paraId="4F1F24C1" w14:textId="67DE083F"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mid-life adjustment assumptions for omnidirectional screw based lamps.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D1D9A6" w14:textId="1656A24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E74A9E" w:rsidRPr="00C8138A" w14:paraId="752AC8D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8742A0A"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B7D9C4C" w14:textId="77777777" w:rsidR="00E74A9E" w:rsidRPr="00AE61E7" w:rsidRDefault="00E74A9E" w:rsidP="00C850D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0CE1E136" w14:textId="0AEADC1A" w:rsidR="00E74A9E" w:rsidRPr="00AE61E7" w:rsidRDefault="00E74A9E" w:rsidP="00C850D7">
            <w:pPr>
              <w:spacing w:after="0"/>
              <w:jc w:val="left"/>
              <w:rPr>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8980AD" w14:textId="4EFD2858"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CI-LTG-LEDB-V08-190101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61A3F32" w14:textId="58C34627"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5CCB4F6"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Lamp lumen bins.</w:t>
            </w:r>
          </w:p>
          <w:p w14:paraId="0947228E" w14:textId="1B70865A"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Decorative and Directional Lamp EISA backstop adjustments ad</w:t>
            </w:r>
            <w:r w:rsidR="00255936" w:rsidRPr="003E2421">
              <w:rPr>
                <w:rFonts w:asciiTheme="minorHAnsi" w:hAnsiTheme="minorHAnsi" w:cstheme="minorHAnsi"/>
                <w:color w:val="000000"/>
                <w:sz w:val="18"/>
                <w:szCs w:val="18"/>
              </w:rPr>
              <w:t>ded.</w:t>
            </w:r>
          </w:p>
          <w:p w14:paraId="09054541" w14:textId="77777777"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C&amp;I v RES split and ISR.</w:t>
            </w:r>
          </w:p>
          <w:p w14:paraId="77F72C8A" w14:textId="46DEEBBC"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Clarification on calculation of 3-way lamps.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0749FFE" w14:textId="65F5ECFB"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74A9E" w:rsidRPr="00C8138A" w14:paraId="57FC57B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219BF60" w14:textId="77777777" w:rsidR="00E74A9E" w:rsidRPr="00AE61E7" w:rsidRDefault="00E74A9E" w:rsidP="00C850D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CFC1F4" w14:textId="77777777" w:rsidR="00E74A9E" w:rsidRPr="00AE61E7" w:rsidRDefault="00E74A9E" w:rsidP="00C850D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D50A60E" w14:textId="3D9B5021" w:rsidR="00E74A9E" w:rsidRPr="00AE61E7" w:rsidRDefault="00E74A9E" w:rsidP="00C850D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4.5.5 Commercial LED Exit Signs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9FF1697" w14:textId="7EB11B1D" w:rsidR="00E74A9E" w:rsidRPr="00DE3F13" w:rsidRDefault="00E74A9E" w:rsidP="00C850D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CI-LTG-LEDE-V03-190101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A127ED8" w14:textId="4EEF385E"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DB7DF82" w14:textId="16A39DA3"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lifetime.</w:t>
            </w:r>
          </w:p>
          <w:p w14:paraId="1DE32AD1" w14:textId="5C9393C8" w:rsidR="00E74A9E" w:rsidRPr="003E2421" w:rsidRDefault="00E74A9E" w:rsidP="00C850D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cost.</w:t>
            </w:r>
          </w:p>
          <w:p w14:paraId="0298CBBC" w14:textId="52064A21" w:rsidR="00E74A9E" w:rsidRPr="003E2421" w:rsidRDefault="00E74A9E" w:rsidP="00C850D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WattsBase and WattsEE assumptions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ACCA5AB" w14:textId="0C1238D2" w:rsidR="00E74A9E" w:rsidRPr="003E2421" w:rsidRDefault="00E74A9E" w:rsidP="00C850D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59673C" w:rsidRPr="00C8138A" w14:paraId="4591F1B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52EAE0C"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AD7B1A4"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FC6ABA7" w14:textId="1D426E38" w:rsidR="0059673C" w:rsidRPr="00AE61E7"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4.5.7 Lighting Power Density</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3B42606" w14:textId="188B23ED" w:rsidR="0059673C" w:rsidRPr="00DE3F13" w:rsidRDefault="0059673C" w:rsidP="0059673C">
            <w:pPr>
              <w:spacing w:after="0"/>
              <w:jc w:val="left"/>
              <w:rPr>
                <w:rFonts w:asciiTheme="minorHAnsi" w:hAnsiTheme="minorHAnsi" w:cstheme="minorHAnsi"/>
                <w:sz w:val="18"/>
                <w:szCs w:val="18"/>
              </w:rPr>
            </w:pPr>
            <w:r w:rsidRPr="00DE3F13">
              <w:rPr>
                <w:rFonts w:asciiTheme="minorHAnsi" w:hAnsiTheme="minorHAnsi" w:cstheme="minorHAnsi"/>
                <w:sz w:val="18"/>
                <w:szCs w:val="18"/>
              </w:rPr>
              <w:t>CI-LTG-LPDE-V04-190101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1236D80" w14:textId="7CB6FC84"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72C9F9E" w14:textId="67AB2F0F" w:rsidR="0059673C" w:rsidRPr="003E2421"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Added IECC 2018 new construction code baseline assumptions.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5F43B40" w14:textId="6763E395"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59673C" w:rsidRPr="00C8138A" w14:paraId="4619467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6BD8948"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048506C"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141FABA" w14:textId="499DB9C8" w:rsidR="0059673C" w:rsidRPr="00AE61E7" w:rsidRDefault="0059673C"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4.5.8 Miscellaneous Commercial/ Industrial Lighting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3C93F4" w14:textId="158E1EB9" w:rsidR="0059673C" w:rsidRPr="00DE3F13" w:rsidRDefault="0059673C"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CI-LTG-MSCI-V03-190101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E04BE13" w14:textId="1C170FDC"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6FCAEDA" w14:textId="5656ADE7" w:rsidR="0059673C" w:rsidRPr="003E2421" w:rsidRDefault="0059673C"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6CCB3C5" w14:textId="1EEE0CDB"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2C18DCA9"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32AE45D"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F87ACE8"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3013A69" w14:textId="08794F4B" w:rsidR="0059673C" w:rsidRPr="00AE61E7"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4.5.9 Multi-Level Lighting Switch</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12AD133" w14:textId="50D5FF15" w:rsidR="0059673C" w:rsidRPr="00DE3F13" w:rsidRDefault="0059673C" w:rsidP="0059673C">
            <w:pPr>
              <w:spacing w:after="0"/>
              <w:jc w:val="left"/>
              <w:rPr>
                <w:rFonts w:asciiTheme="minorHAnsi" w:hAnsiTheme="minorHAnsi" w:cstheme="minorHAnsi"/>
                <w:sz w:val="18"/>
                <w:szCs w:val="18"/>
              </w:rPr>
            </w:pPr>
            <w:r w:rsidRPr="00DE3F13">
              <w:rPr>
                <w:rFonts w:asciiTheme="minorHAnsi" w:hAnsiTheme="minorHAnsi" w:cstheme="minorHAnsi"/>
                <w:sz w:val="18"/>
                <w:szCs w:val="18"/>
              </w:rPr>
              <w:t>CI-LTG-MLLC-V04-190101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2A8392A" w14:textId="2F8C8307"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AA5DD77" w14:textId="13203CC1" w:rsidR="0059673C" w:rsidRPr="003E2421"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2E1CEF" w14:textId="222CD438"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1A0065E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2B1EC8C"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ECC871C"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7680540" w14:textId="0AA159EF" w:rsidR="0059673C" w:rsidRPr="00AE61E7" w:rsidRDefault="0059673C"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4.5.10 Lighting Controls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C9E5E69" w14:textId="6AA2A395" w:rsidR="0059673C" w:rsidRPr="00DE3F13" w:rsidRDefault="0059673C"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CI-LTG-OSLC-V05-190101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298CD24" w14:textId="0C55806D"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65A4F8F" w14:textId="77777777" w:rsidR="0059673C" w:rsidRPr="003E2421" w:rsidRDefault="0059673C" w:rsidP="0059673C">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Combining occupancy, daylighting and integrated controls in to one measure.</w:t>
            </w:r>
          </w:p>
          <w:p w14:paraId="61AAF637" w14:textId="77777777" w:rsidR="0059673C" w:rsidRPr="003E2421" w:rsidRDefault="0059673C" w:rsidP="0059673C">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Updating watts controlled and % savings factors.</w:t>
            </w:r>
          </w:p>
          <w:p w14:paraId="6B02C69A" w14:textId="76B490F1" w:rsidR="0059673C" w:rsidRPr="003E2421" w:rsidRDefault="0059673C"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Updated costs.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489EAC5" w14:textId="4790D4F1"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59673C" w:rsidRPr="00C8138A" w14:paraId="4565A2B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C521CB2"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23A0F9"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2E32ECD" w14:textId="6A600E8B" w:rsidR="0059673C" w:rsidRPr="00AE61E7" w:rsidRDefault="0059673C"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4.5.12 T5 Fixtures and Lamps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08726BF" w14:textId="2F03024A" w:rsidR="0059673C" w:rsidRPr="00DE3F13" w:rsidRDefault="0059673C"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CI-LTG-T5FX-V06-190101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BE630AC" w14:textId="58DF3DEC"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8295C26" w14:textId="0BA8C867" w:rsidR="0059673C" w:rsidRDefault="0059673C" w:rsidP="0059673C">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58E614AB" w14:textId="50CBAF1E" w:rsidR="0059673C" w:rsidRPr="003E2421" w:rsidRDefault="003B60A4" w:rsidP="003B60A4">
            <w:pPr>
              <w:spacing w:after="0"/>
              <w:jc w:val="left"/>
              <w:rPr>
                <w:rFonts w:asciiTheme="minorHAnsi" w:hAnsiTheme="minorHAnsi" w:cstheme="minorHAnsi"/>
                <w:sz w:val="18"/>
                <w:szCs w:val="18"/>
              </w:rPr>
            </w:pPr>
            <w:r>
              <w:rPr>
                <w:rFonts w:asciiTheme="minorHAnsi" w:hAnsiTheme="minorHAnsi" w:cstheme="minorHAnsi"/>
                <w:color w:val="000000"/>
                <w:sz w:val="18"/>
                <w:szCs w:val="18"/>
              </w:rPr>
              <w:t>Additional year of T12 as viable retrofit baseline.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DB3CA54" w14:textId="7E3E89C8"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37FFDCD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DDCBE60"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8805C44"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F606C0E" w14:textId="78788B89" w:rsidR="0059673C" w:rsidRPr="00AE61E7" w:rsidRDefault="0059673C" w:rsidP="0059673C">
            <w:pPr>
              <w:spacing w:after="0"/>
              <w:jc w:val="left"/>
              <w:rPr>
                <w:rFonts w:asciiTheme="minorHAnsi" w:hAnsiTheme="minorHAnsi" w:cstheme="minorHAnsi"/>
                <w:color w:val="000000"/>
                <w:sz w:val="18"/>
                <w:szCs w:val="18"/>
              </w:rPr>
            </w:pPr>
            <w:r w:rsidRPr="0028042F">
              <w:rPr>
                <w:rFonts w:asciiTheme="minorHAnsi" w:hAnsiTheme="minorHAnsi" w:cstheme="minorHAnsi"/>
                <w:color w:val="000000"/>
                <w:sz w:val="18"/>
                <w:szCs w:val="18"/>
              </w:rPr>
              <w:t>4.5.13 Occupancy Controlled Bi-Level Lighting Fixtures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1E1647" w14:textId="6DC9295B" w:rsidR="0059673C" w:rsidRPr="00DE3F13" w:rsidRDefault="0059673C" w:rsidP="0059673C">
            <w:pPr>
              <w:spacing w:after="0"/>
              <w:jc w:val="left"/>
              <w:rPr>
                <w:rFonts w:asciiTheme="minorHAnsi" w:hAnsiTheme="minorHAnsi" w:cstheme="minorHAnsi"/>
                <w:sz w:val="18"/>
                <w:szCs w:val="18"/>
              </w:rPr>
            </w:pPr>
            <w:r w:rsidRPr="00DE3F13">
              <w:rPr>
                <w:rFonts w:asciiTheme="minorHAnsi" w:hAnsiTheme="minorHAnsi" w:cstheme="minorHAnsi"/>
                <w:sz w:val="18"/>
                <w:szCs w:val="18"/>
              </w:rPr>
              <w:t>CI-LTG-OCBL-V03-190101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A495651" w14:textId="2DF25393"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A8147ED" w14:textId="447D0C5D" w:rsidR="0059673C" w:rsidRPr="003E2421" w:rsidRDefault="0059673C" w:rsidP="0059673C">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B1470E" w14:textId="0C501D16"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1C68F03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71F90FB"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109D2DD"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0EB2E6B" w14:textId="3D4EF985" w:rsidR="0059673C" w:rsidRPr="00AE61E7" w:rsidRDefault="0059673C"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4.5.14 Commercial Specialty Compact Fluorescent Lamp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960994F" w14:textId="67AD0D46" w:rsidR="0059673C" w:rsidRPr="00DE3F13" w:rsidRDefault="0059673C"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CI-LTG-SCFL-V04-190101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9E64EC2" w14:textId="092C141B"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36820E6" w14:textId="41BF021A" w:rsidR="0059673C" w:rsidRPr="003E2421" w:rsidRDefault="0059673C"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CC2E8C7" w14:textId="5562873F"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59673C" w:rsidRPr="00C8138A" w14:paraId="1590A869"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0D514C1" w14:textId="77777777" w:rsidR="0059673C" w:rsidRPr="00AE61E7" w:rsidRDefault="0059673C" w:rsidP="0059673C">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0989D342" w14:textId="77777777" w:rsidR="0059673C" w:rsidRPr="00AE61E7" w:rsidRDefault="0059673C"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77A45BA" w14:textId="6BE9579A" w:rsidR="0059673C" w:rsidRPr="00AE61E7" w:rsidRDefault="0059673C"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4.5.16 LED Streetlighting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D198C4" w14:textId="7F90010D" w:rsidR="0059673C" w:rsidRPr="00DE3F13" w:rsidRDefault="0059673C"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CI-LTG-STRT-V01-190101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BDE957F" w14:textId="433F7D16" w:rsidR="0059673C" w:rsidRPr="003E2421" w:rsidRDefault="00576BE3" w:rsidP="0059673C">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519F5CA" w14:textId="57C088B8" w:rsidR="0059673C" w:rsidRPr="003E2421" w:rsidRDefault="0059673C"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F71942" w14:textId="7F4B58B0" w:rsidR="0059673C" w:rsidRPr="003E2421" w:rsidRDefault="0059673C"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C47802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99976CB" w14:textId="77777777" w:rsidR="00C60A57" w:rsidRPr="00AE61E7" w:rsidRDefault="00C60A57" w:rsidP="0059673C">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F6F41DB" w14:textId="65B8FC5C" w:rsidR="00C60A57" w:rsidRPr="00AE61E7" w:rsidRDefault="00C60A57" w:rsidP="0059673C">
            <w:pPr>
              <w:spacing w:after="0"/>
              <w:jc w:val="center"/>
              <w:rPr>
                <w:rFonts w:asciiTheme="minorHAnsi" w:hAnsiTheme="minorHAnsi" w:cstheme="minorHAnsi"/>
                <w:bCs/>
                <w:sz w:val="18"/>
                <w:szCs w:val="18"/>
              </w:rPr>
            </w:pPr>
            <w:r>
              <w:rPr>
                <w:rFonts w:asciiTheme="minorHAnsi" w:hAnsiTheme="minorHAnsi" w:cstheme="minorHAnsi"/>
                <w:bCs/>
                <w:sz w:val="18"/>
                <w:szCs w:val="18"/>
              </w:rPr>
              <w:t>4.6 Refrigeration</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A3E4EEB" w14:textId="6BEEF848" w:rsidR="00C60A57" w:rsidRPr="00AE61E7" w:rsidRDefault="00C60A57"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4.6.1 Automatic Door Closer for Walk-In Coolers and Freezers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366577A" w14:textId="34A0F708" w:rsidR="00C60A57" w:rsidRPr="00DE3F13" w:rsidRDefault="00C60A57" w:rsidP="0028042F">
            <w:pPr>
              <w:pStyle w:val="Heading6"/>
              <w:spacing w:after="0"/>
              <w:rPr>
                <w:rFonts w:asciiTheme="minorHAnsi" w:hAnsiTheme="minorHAnsi" w:cstheme="minorHAnsi"/>
                <w:bCs/>
                <w:sz w:val="18"/>
                <w:szCs w:val="18"/>
              </w:rPr>
            </w:pPr>
            <w:r w:rsidRPr="00DE3F13">
              <w:rPr>
                <w:rFonts w:asciiTheme="minorHAnsi" w:hAnsiTheme="minorHAnsi" w:cstheme="minorHAnsi"/>
                <w:b w:val="0"/>
                <w:sz w:val="18"/>
                <w:szCs w:val="18"/>
              </w:rPr>
              <w:t>CI-RFG-ATDC-V02-190101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836AF72" w14:textId="2D03C5B9"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4F5973B" w14:textId="1049DC8E" w:rsidR="00C60A57" w:rsidRPr="003E2421" w:rsidRDefault="00C60A57"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Reference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CB7A526" w14:textId="08966674"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0C1AA45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7F0EE08" w14:textId="77777777" w:rsidR="00C60A57" w:rsidRPr="00AE61E7" w:rsidRDefault="00C60A57"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0E876D5" w14:textId="77777777" w:rsidR="00C60A57" w:rsidRPr="00AE61E7" w:rsidRDefault="00C60A57"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1239F9F" w14:textId="021E6CF4" w:rsidR="00C60A57" w:rsidRPr="00AE61E7" w:rsidRDefault="00C60A57"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4.6.3 Door Heater Controls for Cooler or Freezer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AF733A" w14:textId="278C1BE0" w:rsidR="00C60A57" w:rsidRPr="00DE3F13" w:rsidRDefault="00C60A57"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CI-RFG-DHCT-V02-190101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BE43118" w14:textId="00BC046C"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C3C21F7" w14:textId="76442BCB" w:rsidR="00C60A57" w:rsidRPr="003E2421" w:rsidRDefault="00C60A57"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9EFB5B4" w14:textId="08904BC1"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1DAA91E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DC9C7E7" w14:textId="77777777" w:rsidR="00C60A57" w:rsidRPr="00AE61E7" w:rsidRDefault="00C60A57"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106AFBA" w14:textId="77777777" w:rsidR="00C60A57" w:rsidRPr="00AE61E7" w:rsidRDefault="00C60A57"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8903EFF" w14:textId="0D419BF1" w:rsidR="00C60A57" w:rsidRPr="00AE61E7" w:rsidRDefault="00C60A57"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4.6.6 Evaporator Fan Control for Electrically Commutated Motors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0CDA0F8" w14:textId="242CCB01" w:rsidR="00C60A57" w:rsidRPr="00DE3F13" w:rsidRDefault="00C60A57"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CI-RFG-EVPF-V04-190101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BA505E2" w14:textId="3A062417"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4DFAD5C" w14:textId="2E8B7022" w:rsidR="00C60A57" w:rsidRPr="003E2421" w:rsidRDefault="00C60A57"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40A63FD" w14:textId="2BB404DF"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7997D6B9"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3AC8FE8" w14:textId="77777777" w:rsidR="00C60A57" w:rsidRPr="00AE61E7" w:rsidRDefault="00C60A57"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E197F35" w14:textId="77777777" w:rsidR="00C60A57" w:rsidRPr="00AE61E7" w:rsidRDefault="00C60A57"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33222D8" w14:textId="50579CB2" w:rsidR="00C60A57" w:rsidRPr="00AE61E7" w:rsidRDefault="00C60A57"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4.6.10 High Speed Roll Up Doors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56F856C" w14:textId="32BCD2F3" w:rsidR="00C60A57" w:rsidRPr="00DE3F13" w:rsidRDefault="00C60A57" w:rsidP="0059673C">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CI-RFG-HSRD-V02-190101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25E489E" w14:textId="7DD98A95"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6149AB5" w14:textId="365983D8" w:rsidR="00C60A57" w:rsidRPr="003E2421" w:rsidRDefault="00C60A57"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F7FEC44" w14:textId="2A3A8167"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C60A57" w:rsidRPr="00C8138A" w14:paraId="55E24E7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115783C" w14:textId="77777777" w:rsidR="00C60A57" w:rsidRPr="00AE61E7" w:rsidRDefault="00C60A57" w:rsidP="0059673C">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FB2678B" w14:textId="77777777" w:rsidR="00C60A57" w:rsidRPr="00AE61E7" w:rsidRDefault="00C60A57" w:rsidP="0059673C">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A3B1FDB" w14:textId="165B6986" w:rsidR="00C60A57" w:rsidRPr="00AE61E7" w:rsidRDefault="00C60A57" w:rsidP="0059673C">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4.6.11 Q-Sync Motors for Reach-in Coolers/Freezers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941DEAB" w14:textId="107F0194" w:rsidR="00C60A57" w:rsidRPr="00DE3F13" w:rsidRDefault="00D0469A" w:rsidP="0059673C">
            <w:pPr>
              <w:spacing w:after="0"/>
              <w:jc w:val="left"/>
              <w:rPr>
                <w:rFonts w:asciiTheme="minorHAnsi" w:hAnsiTheme="minorHAnsi" w:cstheme="minorHAnsi"/>
                <w:bCs/>
                <w:sz w:val="18"/>
                <w:szCs w:val="18"/>
              </w:rPr>
            </w:pPr>
            <w:r>
              <w:rPr>
                <w:rFonts w:asciiTheme="minorHAnsi" w:hAnsiTheme="minorHAnsi" w:cstheme="minorHAnsi"/>
                <w:sz w:val="18"/>
                <w:szCs w:val="18"/>
              </w:rPr>
              <w:t>CI-RFG-QMF-V01</w:t>
            </w:r>
            <w:r w:rsidR="00C60A57" w:rsidRPr="00DE3F13">
              <w:rPr>
                <w:rFonts w:asciiTheme="minorHAnsi" w:hAnsiTheme="minorHAnsi" w:cstheme="minorHAnsi"/>
                <w:sz w:val="18"/>
                <w:szCs w:val="18"/>
              </w:rPr>
              <w:t>-190101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F07EBE3" w14:textId="0559AE65" w:rsidR="00C60A57" w:rsidRPr="003E2421" w:rsidRDefault="00C60A57" w:rsidP="0059673C">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DF12BEC" w14:textId="2323D7DA" w:rsidR="00C60A57" w:rsidRPr="003E2421" w:rsidRDefault="00C60A57" w:rsidP="0059673C">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82EC904" w14:textId="53DB9348" w:rsidR="00C60A57" w:rsidRPr="003E2421" w:rsidRDefault="00C60A57" w:rsidP="0059673C">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5674185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67B5446"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445CA805"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1A69033" w14:textId="51235E9C" w:rsidR="00C60A57" w:rsidRPr="00AE61E7" w:rsidRDefault="00C60A57" w:rsidP="00C60A5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4.6.12 Variable Frequency Drive for Condenser Fans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F6B9D6" w14:textId="54F175B7" w:rsidR="00C60A57" w:rsidRPr="00DE3F13" w:rsidRDefault="00C60A57" w:rsidP="00C60A57">
            <w:pPr>
              <w:spacing w:after="0"/>
              <w:jc w:val="left"/>
              <w:rPr>
                <w:rFonts w:asciiTheme="minorHAnsi" w:hAnsiTheme="minorHAnsi" w:cstheme="minorHAnsi"/>
                <w:sz w:val="18"/>
                <w:szCs w:val="18"/>
              </w:rPr>
            </w:pPr>
            <w:r w:rsidRPr="0028042F">
              <w:rPr>
                <w:rFonts w:asciiTheme="minorHAnsi" w:hAnsiTheme="minorHAnsi" w:cstheme="minorHAnsi"/>
                <w:sz w:val="18"/>
                <w:szCs w:val="18"/>
              </w:rPr>
              <w:t>CI-RFG-VSC-V01-190101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D442141" w14:textId="67A01F8A" w:rsidR="00C60A57" w:rsidRPr="003E2421"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9BCA4A4" w14:textId="6F8B14AB"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04DBE0" w14:textId="45A4E419"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56DA209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5E9AF14"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50EE8FC5" w14:textId="76D714F5" w:rsidR="00C60A57" w:rsidRPr="00AE61E7"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4.7 Compressed Air</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0E5BEB" w14:textId="625B0AD1"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4.7.1 VSD Air Compressor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E94108" w14:textId="30F1B29C"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CI-CPA-VSDA-V02-190101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F7090B8" w14:textId="732913A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11C8CA1"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on measure eligibility.</w:t>
            </w:r>
          </w:p>
          <w:p w14:paraId="2F4BCC70"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Additional baseline characterized.</w:t>
            </w:r>
          </w:p>
          <w:p w14:paraId="09EEB743"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CF for varying shift lengths.</w:t>
            </w:r>
          </w:p>
          <w:p w14:paraId="0C6CC142" w14:textId="0358336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33EAF5B" w14:textId="164BD44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B1BD85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921BF64"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EB81413"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6E71850" w14:textId="3607A563"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4.7.2 Compressed Air Low Pressure Drop Filters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A9C6ED6" w14:textId="5A038BF6"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CI-CPA-LPDF-V02-190101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E54BCF1" w14:textId="3CFFE54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0B0892"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03E1420C" w14:textId="2100B384" w:rsidR="00C60A57" w:rsidRPr="0028042F"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CF and hours for varying shift lengths.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AF6753" w14:textId="296E70A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59C06D4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64808FA"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48D4A90"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727E28" w14:textId="7C6A9143"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4.7.3 Compressed Air No-Loss Condensate Drains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25EAA83" w14:textId="248B0547" w:rsidR="00C60A57" w:rsidRPr="00DE3F13" w:rsidRDefault="00C60A57" w:rsidP="0028042F">
            <w:pPr>
              <w:pStyle w:val="Heading6"/>
              <w:spacing w:after="0"/>
              <w:rPr>
                <w:rFonts w:asciiTheme="minorHAnsi" w:hAnsiTheme="minorHAnsi" w:cstheme="minorHAnsi"/>
                <w:bCs/>
                <w:sz w:val="18"/>
                <w:szCs w:val="18"/>
              </w:rPr>
            </w:pPr>
            <w:r w:rsidRPr="00DE3F13">
              <w:rPr>
                <w:rFonts w:asciiTheme="minorHAnsi" w:hAnsiTheme="minorHAnsi" w:cstheme="minorHAnsi"/>
                <w:b w:val="0"/>
                <w:sz w:val="18"/>
                <w:szCs w:val="18"/>
              </w:rPr>
              <w:t>CI-CPA-NCLD-V02-190101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4C01F4F" w14:textId="67ACD8B9"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97DEA9E" w14:textId="37044C89" w:rsidR="00C60A57" w:rsidRPr="0028042F"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Added CF assumption.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E9EB631" w14:textId="0C12E7A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1AE418E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09A16AB"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264769D"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3272C5F" w14:textId="78466EDE"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4.7.4 Efficient Compressed Air Nozzles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0DDE8FE" w14:textId="29D2D276"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CI-CPA-CNOZ-V02-190101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C401FC2" w14:textId="58BEF89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30F2AE5" w14:textId="797745C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CF for varying shift lengths.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7ED6FBA" w14:textId="10264A3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2E0A12C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B9CF438"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0F51E40F"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3A6D383" w14:textId="4BF332A6"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4.7.5 Efficient Refrigerated Compressed Air Dryer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20D2E0B" w14:textId="6E3F837B"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CI-CPA-CADR-V02-190101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EAC3397" w14:textId="1038EED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51CDBB0"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4F24C1F5"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CF for varying shift lengths.</w:t>
            </w:r>
          </w:p>
          <w:p w14:paraId="7F43E84A" w14:textId="5031B7BC"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Removal of default 50% CFM factor.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B33672D" w14:textId="222E017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Increases</w:t>
            </w:r>
          </w:p>
        </w:tc>
      </w:tr>
      <w:tr w:rsidR="00C60A57" w:rsidRPr="00C8138A" w14:paraId="5741A88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37EFF49"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4A1466B1" w14:textId="28DDEFB1" w:rsidR="00C60A57" w:rsidRPr="00AE61E7"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4.8 Miscellaneous</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BB45F9B" w14:textId="088264C4"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4.8.1 Pump Optimization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1C485D7" w14:textId="4EC198C9"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CI-MSC-PMPO-V02-190101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B4F5C5B" w14:textId="491BB2A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E96BAF7" w14:textId="1E62781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78F8080" w14:textId="3DDD96F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757469A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533A0F4"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8B29F89"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79F1E04" w14:textId="566F87BC" w:rsidR="00C60A57" w:rsidRPr="00AE61E7" w:rsidRDefault="00C60A57" w:rsidP="00C60A5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4.8.2 Roof Insulation for C&amp;I Facilities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4F51BA" w14:textId="0E064E0A" w:rsidR="00C60A57" w:rsidRPr="00DE3F13" w:rsidRDefault="00C60A57" w:rsidP="00C60A57">
            <w:pPr>
              <w:spacing w:after="0"/>
              <w:jc w:val="left"/>
              <w:rPr>
                <w:rFonts w:asciiTheme="minorHAnsi" w:hAnsiTheme="minorHAnsi" w:cstheme="minorHAnsi"/>
                <w:sz w:val="18"/>
                <w:szCs w:val="18"/>
              </w:rPr>
            </w:pPr>
            <w:r w:rsidRPr="00DE3F13">
              <w:rPr>
                <w:rFonts w:asciiTheme="minorHAnsi" w:hAnsiTheme="minorHAnsi" w:cstheme="minorHAnsi"/>
                <w:sz w:val="18"/>
                <w:szCs w:val="18"/>
              </w:rPr>
              <w:t>CI-MSC-RINS-V03-190101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3FF10FC" w14:textId="4AB4F8D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B3B40CE" w14:textId="1BBB9D30" w:rsidR="00C60A57" w:rsidRPr="003E2421" w:rsidRDefault="00C60A57" w:rsidP="00C60A5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Reference to upcoming IECC 2018 code for New Construction.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B31ED95" w14:textId="0789F3B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3FA3952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CEC4BBF" w14:textId="77777777" w:rsidR="00C60A57" w:rsidRPr="00AE61E7"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229109" w14:textId="77777777" w:rsidR="00C60A57" w:rsidRPr="00AE61E7"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922FE62" w14:textId="67EB2F7C" w:rsidR="00C60A57" w:rsidRPr="00AE61E7"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4.8.7 Advanced Power Strip – Tier 1 Commercial</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E85AF99" w14:textId="39446183"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CI-MSC-APSC-V02-190101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9AE4AB0" w14:textId="6EBDDFC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E740E11" w14:textId="4301D6B6"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Algorithm typo fixed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54C6AA1" w14:textId="2E0DCE4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5435230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19CE96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BB218A2"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67FC5B" w14:textId="053F55B4" w:rsidR="00C60A57" w:rsidRPr="00C8138A" w:rsidRDefault="00C60A57" w:rsidP="00C60A57">
            <w:pPr>
              <w:spacing w:after="0"/>
              <w:jc w:val="left"/>
              <w:rPr>
                <w:rFonts w:asciiTheme="minorHAnsi" w:hAnsiTheme="minorHAnsi" w:cstheme="minorHAnsi"/>
                <w:bCs/>
                <w:sz w:val="18"/>
                <w:szCs w:val="18"/>
              </w:rPr>
            </w:pPr>
            <w:r w:rsidRPr="00AE61E7">
              <w:rPr>
                <w:rFonts w:asciiTheme="minorHAnsi" w:hAnsiTheme="minorHAnsi" w:cstheme="minorHAnsi"/>
                <w:color w:val="000000"/>
                <w:sz w:val="18"/>
                <w:szCs w:val="18"/>
              </w:rPr>
              <w:t>4.8.10 Commercial Clothes Dryer Moisture Sensor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2491E08" w14:textId="7D188603"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CI-MSC-CDMS-V01-190101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A11CCD5" w14:textId="4BD5656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7EBDC80" w14:textId="71F125D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E76F22B" w14:textId="4964877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4FEC204F" w14:textId="77777777" w:rsidTr="00BE718F">
        <w:trPr>
          <w:trHeight w:val="20"/>
          <w:jc w:val="center"/>
        </w:trPr>
        <w:tc>
          <w:tcPr>
            <w:tcW w:w="1157" w:type="dxa"/>
            <w:vMerge/>
            <w:tcBorders>
              <w:left w:val="single" w:sz="4" w:space="0" w:color="auto"/>
              <w:bottom w:val="single" w:sz="4" w:space="0" w:color="auto"/>
              <w:right w:val="single" w:sz="4" w:space="0" w:color="auto"/>
            </w:tcBorders>
            <w:shd w:val="clear" w:color="auto" w:fill="auto"/>
            <w:noWrap/>
            <w:vAlign w:val="center"/>
          </w:tcPr>
          <w:p w14:paraId="158DA15B"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7573E36B"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9E86505" w14:textId="176D2BC1" w:rsidR="00C60A57" w:rsidRPr="00C8138A" w:rsidRDefault="00C60A57" w:rsidP="00C60A57">
            <w:pPr>
              <w:spacing w:after="0"/>
              <w:jc w:val="left"/>
              <w:rPr>
                <w:rFonts w:asciiTheme="minorHAnsi" w:hAnsiTheme="minorHAnsi" w:cstheme="minorHAnsi"/>
                <w:bCs/>
                <w:sz w:val="18"/>
                <w:szCs w:val="18"/>
              </w:rPr>
            </w:pPr>
            <w:r>
              <w:rPr>
                <w:rFonts w:asciiTheme="minorHAnsi" w:hAnsiTheme="minorHAnsi" w:cstheme="minorHAnsi"/>
                <w:color w:val="000000"/>
                <w:sz w:val="18"/>
                <w:szCs w:val="18"/>
              </w:rPr>
              <w:t>4.8.11</w:t>
            </w:r>
            <w:r w:rsidRPr="00AE61E7">
              <w:rPr>
                <w:rFonts w:asciiTheme="minorHAnsi" w:hAnsiTheme="minorHAnsi" w:cstheme="minorHAnsi"/>
                <w:color w:val="000000"/>
                <w:sz w:val="18"/>
                <w:szCs w:val="18"/>
              </w:rPr>
              <w:t xml:space="preserve"> Efficient Thermal Oxidizers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3787969" w14:textId="4360673D" w:rsidR="00C60A57" w:rsidRPr="00DE3F13" w:rsidRDefault="00C60A57" w:rsidP="00C60A57">
            <w:pPr>
              <w:spacing w:after="0"/>
              <w:jc w:val="left"/>
              <w:rPr>
                <w:rFonts w:asciiTheme="minorHAnsi" w:hAnsiTheme="minorHAnsi" w:cstheme="minorHAnsi"/>
                <w:bCs/>
                <w:sz w:val="18"/>
                <w:szCs w:val="18"/>
              </w:rPr>
            </w:pPr>
            <w:r w:rsidRPr="00DE3F13">
              <w:rPr>
                <w:rFonts w:asciiTheme="minorHAnsi" w:hAnsiTheme="minorHAnsi" w:cstheme="minorHAnsi"/>
                <w:sz w:val="18"/>
                <w:szCs w:val="18"/>
              </w:rPr>
              <w:t>CI-MSC-ETOX-V01-190101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FD69015" w14:textId="41B439C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5622E6E" w14:textId="3A1A49E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29BD94D" w14:textId="1D93353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4176E163" w14:textId="77777777" w:rsidTr="0028042F">
        <w:trPr>
          <w:trHeight w:val="20"/>
          <w:jc w:val="center"/>
        </w:trPr>
        <w:tc>
          <w:tcPr>
            <w:tcW w:w="12685" w:type="dxa"/>
            <w:gridSpan w:val="7"/>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14:paraId="24D6047C" w14:textId="77777777" w:rsidR="00C60A57" w:rsidRPr="00DE3F13" w:rsidRDefault="00C60A57" w:rsidP="00C60A57">
            <w:pPr>
              <w:spacing w:after="0"/>
              <w:jc w:val="left"/>
              <w:rPr>
                <w:rFonts w:asciiTheme="minorHAnsi" w:hAnsiTheme="minorHAnsi" w:cstheme="minorHAnsi"/>
                <w:bCs/>
                <w:sz w:val="18"/>
                <w:szCs w:val="18"/>
              </w:rPr>
            </w:pPr>
          </w:p>
        </w:tc>
      </w:tr>
      <w:tr w:rsidR="00C60A57" w:rsidRPr="00C8138A" w14:paraId="3C77BCE2" w14:textId="77777777" w:rsidTr="00BE718F">
        <w:trPr>
          <w:trHeight w:val="20"/>
          <w:jc w:val="center"/>
        </w:trPr>
        <w:tc>
          <w:tcPr>
            <w:tcW w:w="1157" w:type="dxa"/>
            <w:vMerge w:val="restart"/>
            <w:tcBorders>
              <w:top w:val="single" w:sz="4" w:space="0" w:color="auto"/>
              <w:left w:val="single" w:sz="4" w:space="0" w:color="auto"/>
              <w:right w:val="single" w:sz="4" w:space="0" w:color="auto"/>
            </w:tcBorders>
            <w:shd w:val="clear" w:color="auto" w:fill="auto"/>
            <w:noWrap/>
            <w:vAlign w:val="center"/>
          </w:tcPr>
          <w:p w14:paraId="08B172BA" w14:textId="71CE1974"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Volume 3: Residential</w:t>
            </w: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1A8B024B" w14:textId="408A41F3"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5.1 Appliances</w:t>
            </w:r>
          </w:p>
        </w:tc>
        <w:tc>
          <w:tcPr>
            <w:tcW w:w="1889" w:type="dxa"/>
            <w:vMerge w:val="restart"/>
            <w:tcBorders>
              <w:top w:val="single" w:sz="4" w:space="0" w:color="auto"/>
              <w:left w:val="single" w:sz="4" w:space="0" w:color="auto"/>
              <w:right w:val="single" w:sz="4" w:space="0" w:color="auto"/>
            </w:tcBorders>
            <w:shd w:val="clear" w:color="auto" w:fill="auto"/>
            <w:vAlign w:val="center"/>
          </w:tcPr>
          <w:p w14:paraId="61E3BDFA" w14:textId="6FCA758A"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5.1.2 ENERGY STAR Clothes Washer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FC0BA4" w14:textId="25275B72"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RS-APL-ESCL-V05-180101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8577B06" w14:textId="435E890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F179D79" w14:textId="4BC7E1E6"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Federal Standard.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8011461" w14:textId="7976B1F9"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C60A57" w:rsidRPr="00C8138A" w14:paraId="48F6F41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29AB3D7"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3F1F342"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40DEEA4"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588BDE0" w14:textId="09E03C37"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RS-APL-ESCL-V06-190101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9E93256" w14:textId="6F412D6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F8ECB1C" w14:textId="07D97BDA"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CEE Tier 3.</w:t>
            </w:r>
          </w:p>
          <w:p w14:paraId="3D711A1C" w14:textId="03C2541B"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cost update.</w:t>
            </w:r>
          </w:p>
          <w:p w14:paraId="5412D1AE"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assumptions based on current available product and updated RECS information.</w:t>
            </w:r>
          </w:p>
          <w:p w14:paraId="223CDFBE" w14:textId="7102D840"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4602EFA" w14:textId="178296A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521A39D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C175911"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6C087FC"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532DD232" w14:textId="450C1B2E"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5.1.3 ENERGY STAR Dehumidifier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FE5A78D" w14:textId="5C3F126B"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RS-APL-ESDH-V04-180101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8598877" w14:textId="37442C65"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DD51892" w14:textId="69FDDACE" w:rsidR="00C60A57" w:rsidRPr="0028042F"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ENERGY STAR specification.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31C5C9F" w14:textId="29493A7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C60A57" w:rsidRPr="00C8138A" w14:paraId="4615C600"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770843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28C747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615CCE33"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05F539F" w14:textId="141EC88B"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RS-APL-ESDH-V05-190101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417C41E" w14:textId="679868D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F1FF079" w14:textId="14607276"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Notes for upcoming Federal Standard change.</w:t>
            </w:r>
          </w:p>
          <w:p w14:paraId="3ECB8612" w14:textId="77591C0F"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cost.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0E32BD8" w14:textId="32B93B6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0EA2CB5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329030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76535C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0CCC2CC" w14:textId="7C7B8AD9"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5.1.4 ENERGY STAR Dishwasher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A59EC18" w14:textId="7172B5A4"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RS-APL-ESDI-V04-190101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6C32259" w14:textId="6C8F03E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9ACAC01" w14:textId="24B6AC4E"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cost.</w:t>
            </w:r>
          </w:p>
          <w:p w14:paraId="0EFCFADD" w14:textId="53D9B296"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004F78C3"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operating hours assumption.</w:t>
            </w:r>
          </w:p>
          <w:p w14:paraId="27096AB4" w14:textId="03D86E8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A3A2072" w14:textId="77777777" w:rsidR="00507F82" w:rsidRDefault="00507F82"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Increase in kWh.</w:t>
            </w:r>
          </w:p>
          <w:p w14:paraId="2F4F41F9" w14:textId="67595C6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28DB42E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65FB94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15479A4"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0CB6B09" w14:textId="2A8AB08D"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5.1.5 ENERGY STAR Freezer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6D605D2" w14:textId="7B92E61C"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RS-APL-ESFR-V03-190101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BAA230D" w14:textId="459489B5"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90F9ACA" w14:textId="4342249C"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6B214F7" w14:textId="494F0DB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C60A57" w:rsidRPr="00C8138A" w14:paraId="48380B2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EA2D628"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FEC3DA"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3AC5DD6" w14:textId="25A3E5AB"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5.1.6 ENERGY STAR and CEE Tier 2 Refrigerator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69893D6" w14:textId="4A0A51B2"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RS-APL-ESRE-V06-190101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66C6251" w14:textId="6E73BCC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70494A4" w14:textId="5826F09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C741E8" w14:textId="5AC3D85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C60A57" w:rsidRPr="00C8138A" w14:paraId="0E5F701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91138B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4B92131"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D3B1970" w14:textId="1BAE9FCC"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5.1.7 ENERGY STAR Room Air Conditioner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4B9FD8" w14:textId="3E40177D"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RS-APL-ESRA-V07-190101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3403096" w14:textId="691EA1F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0949B93" w14:textId="733CBCB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Removal of Connected Allowance from ENERGY STAR specification.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2108E9" w14:textId="36CEB4D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w:t>
            </w:r>
          </w:p>
        </w:tc>
      </w:tr>
      <w:tr w:rsidR="00C60A57" w:rsidRPr="00C8138A" w14:paraId="054EF469"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E5C0AF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C1D30BA"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6E325CF" w14:textId="15352450"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5.1.8 Refrigerator and Freezer Recycling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32E7907" w14:textId="49696C85"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RS-APL-RFRC-V07-190101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8E5BAB7" w14:textId="57397CF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E32CBC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Removal of NTG discussion and reference to section 4.2.</w:t>
            </w:r>
          </w:p>
          <w:p w14:paraId="1038C8AA" w14:textId="0DC1604D"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76E57E" w14:textId="6EB3E46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52B4130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1030755"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C3D21A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04081A5" w14:textId="32BEC451"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5.1.9 Room Air Conditioner Recycling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5BA7475" w14:textId="6CB3D534"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RS-APL-RARC-V02-190101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D1253FD" w14:textId="537CEF7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32D068D" w14:textId="7B08FAB6"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assumption of retired unit efficiency.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1610972" w14:textId="752182B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w:t>
            </w:r>
          </w:p>
        </w:tc>
      </w:tr>
      <w:tr w:rsidR="00C60A57" w:rsidRPr="00C8138A" w14:paraId="4C94464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14C0C93"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D8B535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5093F0C" w14:textId="5B7E1431"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5.1.10 ENERGY STAR Clothes Dryer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EC46E4C" w14:textId="39DECBFF"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RS-APL-ESDR-V02-190101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0C849A2" w14:textId="7AFAB3B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EBD6E3F" w14:textId="354F416E"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43B28AC" w14:textId="6A8F571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C60A57" w:rsidRPr="00C8138A" w14:paraId="250D3C8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DFFDE39"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3BFD185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79B56BB" w14:textId="0ED9818F"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5.1.12 Ozone Laundry</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5B4CAE" w14:textId="7E74CA86"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RS-APL-OZNE-V01-190101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29975B8" w14:textId="78825B53" w:rsidR="00C60A57" w:rsidRPr="003E2421" w:rsidRDefault="00D0469A"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445EAC2" w14:textId="2D690B7B"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94C094A" w14:textId="797ED92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2A6726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7D8601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12EBF42E" w14:textId="4D4E5B36"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5.2 Consumer Electronics</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10352AB" w14:textId="494BF1B0"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5.2.1 Advanced Power Strip – Tier 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87284F" w14:textId="7B463B98"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RS-CEL-SSTR-V04-190101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72255C4" w14:textId="2843D01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B40F0FC" w14:textId="02931F3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Clarification of ISR definitions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569B08A" w14:textId="5828E13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42F9332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680A6B3"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3087F87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53EC75" w14:textId="0183C342"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5.2.2 Advanced Power Strip – Residential Audio Visual</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DA32EAE" w14:textId="48A668B1"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RS-CEL-APS2-V03-190101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8428B86" w14:textId="4C94079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BEF6401" w14:textId="4AC00F9D"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Clarification of ERP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9DC4969" w14:textId="0DABBFD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4E9ADC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D2D7D7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0532636C" w14:textId="59DD2494"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5.3 HVAC</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91CD403" w14:textId="36E6780B"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 Air Source Heat Pump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1FE769E" w14:textId="1321C8F7"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RS-HVC-ASHP-V08-190101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A196B3A" w14:textId="65F4B70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38F155F"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Note added that it is not appropriate to claim additional ECM savings.</w:t>
            </w:r>
          </w:p>
          <w:p w14:paraId="2333903E"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Quality Install assumptions.</w:t>
            </w:r>
          </w:p>
          <w:p w14:paraId="0C314CE1"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3C339C7D" w14:textId="5A5F099C"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Updates to existing and in-situ efficient ratings.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72A2C" w14:textId="34ED4B4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5280265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0E5567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9323E1E"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85AB2F" w14:textId="26D5CC48" w:rsidR="00C60A57" w:rsidRPr="00D0469A" w:rsidRDefault="00C60A57" w:rsidP="00C60A57">
            <w:pPr>
              <w:spacing w:after="0"/>
              <w:jc w:val="left"/>
              <w:rPr>
                <w:color w:val="000000"/>
                <w:sz w:val="18"/>
                <w:szCs w:val="18"/>
              </w:rPr>
            </w:pPr>
            <w:r w:rsidRPr="00D0469A">
              <w:rPr>
                <w:color w:val="000000"/>
                <w:sz w:val="18"/>
                <w:szCs w:val="18"/>
              </w:rPr>
              <w:t>5.3.2 Boiler Pipe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052350" w14:textId="69C4A91E"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RS-HVC-PINS-V03-190101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628637D" w14:textId="5E33100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67DB1CB" w14:textId="3F675D82"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F1A6422" w14:textId="26CA1D75"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69F1556E"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3BBA1C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03B0367"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2FE364B" w14:textId="42981943"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5.3.3 Central Air Conditioning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75DE13" w14:textId="3DAB1EF0"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RS-HVC-CAC1-V08-190101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DD5464F" w14:textId="781F3D3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B227190"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Note added that it is not appropriate to claim additional ECM savings.</w:t>
            </w:r>
          </w:p>
          <w:p w14:paraId="636B5B74"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Quality Install assumptions.</w:t>
            </w:r>
          </w:p>
          <w:p w14:paraId="28A06F8C"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efficient condition specifications.</w:t>
            </w:r>
          </w:p>
          <w:p w14:paraId="09F72283" w14:textId="2DE411B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Updates to existing and in-situ efficient ratings.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F3BEF3" w14:textId="3B92E56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38A9AB6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EA63FAE"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E5BB99"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5A97B2" w14:textId="068E4AC0" w:rsidR="00C60A57" w:rsidRPr="00D0469A" w:rsidRDefault="00C60A57" w:rsidP="00C60A57">
            <w:pPr>
              <w:spacing w:after="0"/>
              <w:jc w:val="left"/>
              <w:rPr>
                <w:color w:val="000000"/>
                <w:sz w:val="18"/>
                <w:szCs w:val="18"/>
              </w:rPr>
            </w:pPr>
            <w:r w:rsidRPr="00D0469A">
              <w:rPr>
                <w:color w:val="000000"/>
                <w:sz w:val="18"/>
                <w:szCs w:val="18"/>
              </w:rPr>
              <w:t>5.3.4 Duct Insulation and Sealing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07A93EF" w14:textId="0C2B953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RS-HVC-DINS-V07-190101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989EC7F" w14:textId="5AB4B25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B42B894" w14:textId="1F00DAA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AFCF20" w14:textId="7ED1047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6A8D3CC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A673F0A"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EA59EC"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A886CCD" w14:textId="600DE76B"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5.3.5 Furnace Blower Motor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EC2EBE9" w14:textId="2397762E"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RS-HVC-FBMT-V04-190101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6E111A6" w14:textId="617C82D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C9B6B78"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description.</w:t>
            </w:r>
          </w:p>
          <w:p w14:paraId="2176C19F"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Change to savings methodology based on Opinion Dynamics and Cadmus metering study.</w:t>
            </w:r>
          </w:p>
          <w:p w14:paraId="136EFC80" w14:textId="63EEC14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Measure Life Update.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D98342" w14:textId="2022CD3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764B262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4760F11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D0EAB11"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6C59A98" w14:textId="1073EA09"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5.3.6 Gas High Efficiency Boiler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5C896F4" w14:textId="3737632E"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RS-HVC-GHEB-V07-190101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B53F166" w14:textId="00B3F80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E6098F8" w14:textId="24235AAC"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Change to ‘EFLH * Capacity’ methodology.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D91D6F" w14:textId="72269F9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6FDD7F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C02B51A"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EEA7CB0"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4BE4867" w14:textId="49E61FE7"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5.3.7 Gas High Efficiency Furnace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2EC5070" w14:textId="70348D23" w:rsidR="00C60A57" w:rsidRPr="00D0469A" w:rsidRDefault="00C60A57" w:rsidP="0028042F">
            <w:pPr>
              <w:pStyle w:val="Heading6"/>
              <w:spacing w:after="0"/>
              <w:rPr>
                <w:rFonts w:asciiTheme="minorHAnsi" w:hAnsiTheme="minorHAnsi" w:cstheme="minorHAnsi"/>
                <w:bCs/>
                <w:sz w:val="18"/>
                <w:szCs w:val="18"/>
              </w:rPr>
            </w:pPr>
            <w:r w:rsidRPr="00D0469A">
              <w:rPr>
                <w:rFonts w:asciiTheme="minorHAnsi" w:hAnsiTheme="minorHAnsi" w:cstheme="minorHAnsi"/>
                <w:b w:val="0"/>
                <w:sz w:val="18"/>
                <w:szCs w:val="18"/>
              </w:rPr>
              <w:t>RS-HVC-GHEF-V08-190101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ED6BB4C" w14:textId="133EE56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EDC0796" w14:textId="4EB9BE01"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Change to ‘EFLH * Capacity’ methodology.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A1BC914" w14:textId="4EC69A4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4D15AD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E21E2E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0A110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E3C2F55" w14:textId="1C62C972"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5.3.8 Ground Source Heat Pump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757107" w14:textId="3CF78ABC" w:rsidR="00C60A57" w:rsidRPr="00D0469A" w:rsidRDefault="00C60A57" w:rsidP="00C60A57">
            <w:pPr>
              <w:spacing w:after="0"/>
              <w:jc w:val="left"/>
              <w:rPr>
                <w:rFonts w:asciiTheme="minorHAnsi" w:hAnsiTheme="minorHAnsi" w:cstheme="minorHAnsi"/>
                <w:sz w:val="18"/>
                <w:szCs w:val="18"/>
              </w:rPr>
            </w:pPr>
            <w:r w:rsidRPr="00D0469A">
              <w:rPr>
                <w:rFonts w:asciiTheme="minorHAnsi" w:hAnsiTheme="minorHAnsi" w:cstheme="minorHAnsi"/>
                <w:sz w:val="18"/>
                <w:szCs w:val="18"/>
              </w:rPr>
              <w:t>RS-HVC-GSHP-V08-190101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A05680A" w14:textId="6EF4925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8D75212"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gas water heater Federal standard.</w:t>
            </w:r>
          </w:p>
          <w:p w14:paraId="3774588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GSHP as an existing option for early replacement.</w:t>
            </w:r>
          </w:p>
          <w:p w14:paraId="0575F52A"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existing efficient ratings.</w:t>
            </w:r>
          </w:p>
          <w:p w14:paraId="5C750825" w14:textId="194AFADE"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Heat Rate base on eGrid 2016.</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C65C58" w14:textId="3F655DC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14805C6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E96866F"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FAFF6C3"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C9A77A5" w14:textId="14D6DCCE"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5.3.9 High Efficiency Bathroom Exhaust Fan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CECE8DB" w14:textId="1423EBCC"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RS-HVC-BAFA-V02-190101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7ADF353" w14:textId="379EEFB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769C923"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include both standard and continuous usage.</w:t>
            </w:r>
          </w:p>
          <w:p w14:paraId="075C81DC" w14:textId="0055F79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ENERGY STAR specifications.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2EE8C13" w14:textId="644FDE4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1AB9687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757313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0735F0"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AD0BCE" w14:textId="78F7286B" w:rsidR="00C60A57" w:rsidRPr="00D0469A" w:rsidRDefault="00C60A57" w:rsidP="00C60A57">
            <w:pPr>
              <w:spacing w:after="0"/>
              <w:jc w:val="left"/>
              <w:rPr>
                <w:color w:val="000000"/>
                <w:sz w:val="18"/>
                <w:szCs w:val="18"/>
              </w:rPr>
            </w:pPr>
            <w:r w:rsidRPr="00D0469A">
              <w:rPr>
                <w:color w:val="000000"/>
                <w:sz w:val="18"/>
                <w:szCs w:val="18"/>
              </w:rPr>
              <w:t>5.3.10 HVAC Tune Up (Central Air Conditioning or Air Source Heat Pump)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BAAD2F3" w14:textId="7506090C" w:rsidR="00C60A57" w:rsidRPr="00D0469A" w:rsidRDefault="00C60A57" w:rsidP="00C60A57">
            <w:pPr>
              <w:spacing w:after="0"/>
              <w:jc w:val="left"/>
              <w:rPr>
                <w:rFonts w:asciiTheme="minorHAnsi" w:hAnsiTheme="minorHAnsi" w:cstheme="minorHAnsi"/>
                <w:sz w:val="18"/>
                <w:szCs w:val="18"/>
              </w:rPr>
            </w:pPr>
            <w:r w:rsidRPr="00D0469A">
              <w:rPr>
                <w:rFonts w:asciiTheme="minorHAnsi" w:hAnsiTheme="minorHAnsi" w:cstheme="minorHAnsi"/>
                <w:sz w:val="18"/>
                <w:szCs w:val="18"/>
              </w:rPr>
              <w:t>RS-HVC-TUNE-V04-190101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36B8A85" w14:textId="6AC7F0A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FADECC8" w14:textId="56ACED28"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of multifamily definitions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E616DAE" w14:textId="0C65919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01B35AF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B65379B"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130689"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5EE655A" w14:textId="11E17BC4"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5.3.11 Programmable Thermostats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5B2EE48" w14:textId="6790928D"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RS-HVC-PROG-V05-190101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C6C3006" w14:textId="675FAC2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922A439"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0D7B375D" w14:textId="02EA9403"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mobile home and unknown household factors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B07B4E4" w14:textId="1DD4BAF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Increase in lifetime savings</w:t>
            </w:r>
          </w:p>
        </w:tc>
      </w:tr>
      <w:tr w:rsidR="00C60A57" w:rsidRPr="00C8138A" w14:paraId="526F915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8B53175"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A374826"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D7A0D5" w14:textId="1255D922"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5.3.12 Ductless Heat Pumps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421312" w14:textId="101B382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RS-HVC-DHP-V06-190101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DE297F2" w14:textId="5C5D32F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19682E8"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6628E3BB"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incremental cost from baseline DMSHP.</w:t>
            </w:r>
          </w:p>
          <w:p w14:paraId="49B57AE3"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existing efficient ratings.</w:t>
            </w:r>
          </w:p>
          <w:p w14:paraId="38EBE2E0" w14:textId="52383D4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Heat Rate base on eGrid 2016.</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6B7B8C" w14:textId="6164FAF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592163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D27642A"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B3A638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A08AB00" w14:textId="0277B968"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5.3.13 Residential Furnace Tune-Up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994F5FF" w14:textId="78326AE8"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RS-HVC-FTUN-V04-190101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2ADE6B2" w14:textId="7E79B1F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EFC0BE6"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of measure life.</w:t>
            </w:r>
          </w:p>
          <w:p w14:paraId="3661647A"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Methodology added to use HVAC SAVE outputs directly.</w:t>
            </w:r>
          </w:p>
          <w:p w14:paraId="6477F0D6" w14:textId="515861B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Change to ‘EFLH * Capacity’ methodology.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5F2818" w14:textId="7EFBDA1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501220B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0B4C66B"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22CB30A"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7DD5B00" w14:textId="2F43B71F" w:rsidR="00C60A57" w:rsidRPr="00D0469A" w:rsidRDefault="00C60A57" w:rsidP="00C60A57">
            <w:pPr>
              <w:spacing w:after="0"/>
              <w:jc w:val="left"/>
              <w:rPr>
                <w:color w:val="000000"/>
                <w:sz w:val="18"/>
                <w:szCs w:val="18"/>
              </w:rPr>
            </w:pPr>
            <w:r w:rsidRPr="00D0469A">
              <w:rPr>
                <w:color w:val="000000"/>
                <w:sz w:val="18"/>
                <w:szCs w:val="18"/>
              </w:rPr>
              <w:t>5.3.14 Boiler Reset Controls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F90893" w14:textId="7CE49F47"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RS-HVC-BREC-V02-190101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9CAAB1F" w14:textId="7C28B5C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F13952F" w14:textId="7C151103"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D4F2383" w14:textId="4F3AA4D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55ACC19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06AC1E6"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A9D7BCE"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6A3735E" w14:textId="46108C45"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5.3.16 Advanced Thermostats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78D9559" w14:textId="0FA83AE7"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RS-HVC-ADTH-V03-190101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DA733A7" w14:textId="1DACD7A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131996F"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78031059" w14:textId="4053A255"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mobile home and unknown household factors and capacities.</w:t>
            </w:r>
          </w:p>
          <w:p w14:paraId="26D81B81" w14:textId="3B138C88"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existing efficient ratings.</w:t>
            </w:r>
          </w:p>
          <w:p w14:paraId="4BA3F815"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assumptions based on Navigant program participant evaluation</w:t>
            </w:r>
          </w:p>
          <w:p w14:paraId="0275499D" w14:textId="6C711DC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cooling % reduction assumption.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95CB7F" w14:textId="09D4EEE0"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B4179D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F8AE73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6ED5E9E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F7AF51F" w14:textId="03E20379"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5.3.17 Gas High Efficiency Combination Boiler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1A74B6" w14:textId="2D6485A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RS-HVC-COMB-V01-190101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0FC4AC6" w14:textId="5E3E7CAA" w:rsidR="00C60A57" w:rsidRPr="003E2421" w:rsidRDefault="00D0469A"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9CD73E7" w14:textId="6ACB06F9"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9E46D49" w14:textId="353EA85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09D92CA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9EBEB4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AAE934F" w14:textId="3B3846CB"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5.4 Hot Water</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656093A" w14:textId="4523E0C3"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5.4.1 Domestic Hot Water Pipe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DACD382" w14:textId="2E450ED0"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RS-HWE-PINS-V03-190101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A3AE91C" w14:textId="3DAADE8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10DAA91" w14:textId="26D8F379"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circumference factor pre- and post-insulation.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4555CE1" w14:textId="2D0013F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22670B7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9AB0A46"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1B6069B"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F2846B8" w14:textId="2BBA511B"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5.4.2 Gas Water Heater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2DD596" w14:textId="20B4B082"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RS-HWE-GWHT-V08-190101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467C60A" w14:textId="5F284FF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9FE6F44"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Uniform Energy Factor.</w:t>
            </w:r>
          </w:p>
          <w:p w14:paraId="7C2552B5" w14:textId="20FF54B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gas water heater Federal standard.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EE2EB3B" w14:textId="2FCF7F8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11B39D64"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6302760"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6388D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5852FFD" w14:textId="25C63F05"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5.4.3 Heat Pump Water Heaters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8EEA3B" w14:textId="15A966E1"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RS-HWE-HPWH-V07-</w:t>
            </w:r>
            <w:bookmarkStart w:id="64" w:name="_Hlk514074254"/>
            <w:r w:rsidRPr="00D0469A">
              <w:rPr>
                <w:rFonts w:asciiTheme="minorHAnsi" w:hAnsiTheme="minorHAnsi" w:cstheme="minorHAnsi"/>
                <w:sz w:val="18"/>
                <w:szCs w:val="18"/>
              </w:rPr>
              <w:t>190101</w:t>
            </w:r>
            <w:bookmarkEnd w:id="64"/>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2BCB3CD" w14:textId="2891806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4A2AF77" w14:textId="648817A3"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Uniform Energy Factor</w:t>
            </w:r>
          </w:p>
          <w:p w14:paraId="40323495"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electric water heater Federal Standard.</w:t>
            </w:r>
          </w:p>
          <w:p w14:paraId="6118157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costs.</w:t>
            </w:r>
          </w:p>
          <w:p w14:paraId="73FD42AF"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COP of cooling estimate.</w:t>
            </w:r>
          </w:p>
          <w:p w14:paraId="5D392B51"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3C4A7532" w14:textId="753FBBF5"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7EE213" w14:textId="41A7CE9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4F98678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2A9B86E"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415292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AD8AB2A" w14:textId="416C5DDC"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5.4.4 Low Flow Faucet Aerators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52B369C" w14:textId="290AF1D3"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RS-HWE-LFFA-V07-190101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5DADC08" w14:textId="70F844B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E8CE51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Update.</w:t>
            </w:r>
          </w:p>
          <w:p w14:paraId="2E3E68D8"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eligibility and existing GPM assumptions.</w:t>
            </w:r>
          </w:p>
          <w:p w14:paraId="2B49021C" w14:textId="0746B45A"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ISR assumptions.</w:t>
            </w:r>
          </w:p>
          <w:p w14:paraId="7A6AA597" w14:textId="688667BD"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unknown household type size.</w:t>
            </w:r>
          </w:p>
          <w:p w14:paraId="2AE2A545"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secondary kWh savings for water supply and waste water treatment.</w:t>
            </w:r>
          </w:p>
          <w:p w14:paraId="6838052E" w14:textId="53EB0B47"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Gallons per Hour calculation.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82BB3AA" w14:textId="427DB2B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064521A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4C9BAE2"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A133316"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D9BBBAA" w14:textId="75599FDA"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5.4.5 Low Flow Showerheads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A7B5F71" w14:textId="2A78887F"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RS-HWE-LFSH-V06-190101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A096777" w14:textId="7F71E58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1D36607"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eligibility and existing GPM assumptions.</w:t>
            </w:r>
          </w:p>
          <w:p w14:paraId="05FE034C" w14:textId="38E94846"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ISR assumptions.</w:t>
            </w:r>
          </w:p>
          <w:p w14:paraId="1E15BEC7" w14:textId="434493DC"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unknown household type size.</w:t>
            </w:r>
          </w:p>
          <w:p w14:paraId="7CD12B89"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secondary kWh savings for water supply and waste water treatment.</w:t>
            </w:r>
          </w:p>
          <w:p w14:paraId="65D30BE8" w14:textId="7F80180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Gallons per Hour calculation.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C7CAEA7" w14:textId="7CFEDF4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1AB7BD0E"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E843729"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1451FCC"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3E1B159" w14:textId="5C3BB5DD" w:rsidR="00C60A57" w:rsidRPr="00D0469A" w:rsidRDefault="00C60A57" w:rsidP="00C60A57">
            <w:pPr>
              <w:spacing w:after="0"/>
              <w:jc w:val="left"/>
              <w:rPr>
                <w:color w:val="000000"/>
                <w:sz w:val="18"/>
                <w:szCs w:val="18"/>
              </w:rPr>
            </w:pPr>
            <w:r w:rsidRPr="00D0469A">
              <w:rPr>
                <w:color w:val="000000"/>
                <w:sz w:val="18"/>
                <w:szCs w:val="18"/>
              </w:rPr>
              <w:t>5.4.6 Water Heater temperature Setback</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5D6DD0" w14:textId="0F217E88"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RS-HWE-TMPS-V06-190101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F4A8D2B" w14:textId="06D7E085"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A1684D5" w14:textId="285FB075"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of multifamily definitions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F2D3E4" w14:textId="7A01341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9BF5C0E"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52997A1"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AAD4A7"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FACEA59" w14:textId="0A5673B9"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5.4.8 Thermostatic Restrictor Shower Valve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A756D0" w14:textId="6C60C8C9"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RS-HWE-TRVA-V04-190101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9BA346A" w14:textId="4F7EF7A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E2CBC2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unknown household type size.</w:t>
            </w:r>
          </w:p>
          <w:p w14:paraId="5779B1F4" w14:textId="701BCFF0"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2ACC99C" w14:textId="4041D84C" w:rsidR="00C60A57" w:rsidRPr="003E2421" w:rsidRDefault="00507F82"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Increase</w:t>
            </w:r>
          </w:p>
        </w:tc>
      </w:tr>
      <w:tr w:rsidR="00C60A57" w:rsidRPr="00C8138A" w14:paraId="1181C4A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D3B84F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1F69BA13"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6142E90" w14:textId="31A227B2"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5.4.9 Shower Timer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F4B24FA" w14:textId="1FABB392"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RS-DHW-SHTM-V02-190101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0D65C6B" w14:textId="54EFC7D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755D17C" w14:textId="77777777" w:rsidR="00507F82" w:rsidRPr="003E2421" w:rsidRDefault="00507F82" w:rsidP="00507F82">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unknown household type size.</w:t>
            </w:r>
          </w:p>
          <w:p w14:paraId="7AA4474A" w14:textId="455AC051"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secondary kWh savings for water supply and waste water treatment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B4FDA99" w14:textId="4C0A0F1D" w:rsidR="00C60A57" w:rsidRPr="003E2421" w:rsidRDefault="00507F82"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Increase</w:t>
            </w:r>
          </w:p>
        </w:tc>
      </w:tr>
      <w:tr w:rsidR="00C60A57" w:rsidRPr="00C8138A" w14:paraId="42DCA37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A62D0F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BF6EBA4" w14:textId="44D60BD2"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5.5 Lighting</w:t>
            </w:r>
          </w:p>
        </w:tc>
        <w:tc>
          <w:tcPr>
            <w:tcW w:w="1889" w:type="dxa"/>
            <w:vMerge w:val="restart"/>
            <w:tcBorders>
              <w:top w:val="single" w:sz="4" w:space="0" w:color="auto"/>
              <w:left w:val="single" w:sz="4" w:space="0" w:color="auto"/>
              <w:right w:val="single" w:sz="4" w:space="0" w:color="auto"/>
            </w:tcBorders>
            <w:shd w:val="clear" w:color="auto" w:fill="auto"/>
            <w:vAlign w:val="center"/>
          </w:tcPr>
          <w:p w14:paraId="4ABAEBF6" w14:textId="34D9A6F0"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5.5.1 Compact Fluorescent Lamp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FB2018" w14:textId="000D5483"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RS-LTG-ESCF-V07-180101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00B2FDA" w14:textId="6555E25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837B735" w14:textId="5A8C0476"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7C2D23" w14:textId="1079E44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44585F06"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D5B1E47"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A54297"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DF8688F"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CFF749" w14:textId="45AAC345"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RS-LTG-ESCF-V08-190101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E4E9459" w14:textId="44FE87A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79DD23A" w14:textId="626876C4"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96E83D" w14:textId="03B050A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36C72C2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577903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6E3E66A"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200B744F" w14:textId="1CE625C6"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5.5.2 Specialty Compact Fluorescent Lamp</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279C1A7" w14:textId="6FB36126"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RS-LTG-ESCC-V06-180101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4072465" w14:textId="5840EB3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10C12ED" w14:textId="1C16DD3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3EFEF1" w14:textId="7F7972F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5D8809E0"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BEDC5E8"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CE4A1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43FD5B60"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A757DA" w14:textId="6E4CB47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RS-LTG-ESCC-V07-190101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3E22833" w14:textId="343276C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62D1CD9" w14:textId="0F048A2A"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BB86F06" w14:textId="713C52A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3CF1BB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D752AB0"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2F3630C"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2E2BBDA5" w14:textId="4443D593"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5.5.3 ENERGY STAR Torchiere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F172733" w14:textId="3352549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RS-LTG-ESTO-V05-180101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647BB94" w14:textId="6780593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8F3CD65" w14:textId="2B410118"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1B711D" w14:textId="130144E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6E5CB7D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F9A96F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89F3BC1"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6FC43EC4"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6A8D55F" w14:textId="01550B6D"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RS-LTG-ESTO-V06-190101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60E7435" w14:textId="77D3B63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38CCECD" w14:textId="1002DE56"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BE65522" w14:textId="32BCD6A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C7F580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1B66D51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30A4B4B"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4CF757F5" w14:textId="79654E87"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5.5.4 Exterior Hardwired Compact Fluorescent Lamp Fixture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7F6386E" w14:textId="1676C8D2"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RS-LRG-EFOX-V07-180101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BDFB96A" w14:textId="1F2B052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0D8EF19" w14:textId="08F89CD1"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D5978E1" w14:textId="7CB309E3"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3D042DE0"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38EC55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36225B"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32D0BEEC"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D39309D" w14:textId="663FAE80"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RS-LRG-EFOX-V08-190101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60AB872" w14:textId="44A4A56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452DD35" w14:textId="7B6AA2C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9FD1465" w14:textId="7B8F3EB9"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BACA58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C61145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355CA3B"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6D3C330A" w14:textId="3E8280FC"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5.5.5 Interior Hardwired Compact Fluorescent Lamp Fixture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97EFF45" w14:textId="2AF0107E"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RS-LTG-IFIX-V07-180101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813BEA0" w14:textId="1D86478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884E1AF" w14:textId="2940100F"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CD2BD14" w14:textId="37F1BB9F"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14ABC0A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AAD4D19"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5736F2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287C186A"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C16DE7" w14:textId="7147FEBB"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RS-LTG-IFIX-V08-190101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6A21721" w14:textId="19B4DF0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35E0929" w14:textId="4ADCBF46"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language that measure is effective until 12/31/2018.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9217E7" w14:textId="4FB78D8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326BB5E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957BA4F"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93496F"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4E74EDE8" w14:textId="2F9B2BC6"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5.5.6 LED Specialty Lamps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6D7BB2A" w14:textId="195A8749"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RS-LTG-LEDD-V08-180101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D342AF3" w14:textId="2934741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5608D4F" w14:textId="57EB953A"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419F228" w14:textId="3F390FC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25967028"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6EEFF9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9CFD0D1"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348ACC06"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C1E3D0" w14:textId="40A23210"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RS-LTG-LEDD-V09-190101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84D7009" w14:textId="5C57363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E8A4A45" w14:textId="0B3F2AB1"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Res v C&amp;I split, ISR, leakage, CF and HOU.</w:t>
            </w:r>
          </w:p>
          <w:p w14:paraId="5952A74F"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Decorative and Directional Lamp EISA backstop adjustments added.</w:t>
            </w:r>
          </w:p>
          <w:p w14:paraId="0A500E7D"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Format of watts tables updated.</w:t>
            </w:r>
          </w:p>
          <w:p w14:paraId="7DD0026D" w14:textId="3C488795"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on deferred install methodology.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FFA04C9" w14:textId="5582854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Savings</w:t>
            </w:r>
          </w:p>
        </w:tc>
      </w:tr>
      <w:tr w:rsidR="00C60A57" w:rsidRPr="00C8138A" w14:paraId="579D079A"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692F5DA6"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928A29D"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F33DCD" w14:textId="6EEB17CE"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5.5.7 LED Exit Signs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C969001" w14:textId="2CF338BF"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RS-LTG-LEDE-V03-190101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71F487B" w14:textId="69D4EF8B"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D3D7355"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Clarity of application within multifamily  unit.</w:t>
            </w:r>
          </w:p>
          <w:p w14:paraId="497E6A4E"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made RF only.</w:t>
            </w:r>
          </w:p>
          <w:p w14:paraId="11C117CB"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life adjusted accordingly.</w:t>
            </w:r>
          </w:p>
          <w:p w14:paraId="37BA77FA"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Measure cost updated.</w:t>
            </w:r>
          </w:p>
          <w:p w14:paraId="062C99E3" w14:textId="07997243"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Base and Efficient wattage adjusted.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184F09" w14:textId="1F9D706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6DEFB582"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E39782F"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DC489BA"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37E47891" w14:textId="4BFD219C"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5.5.8 LED Screw Based Omnidirectional Bulbs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2F21DE7" w14:textId="7CA4DB6F" w:rsidR="00C60A57" w:rsidRPr="00D0469A" w:rsidRDefault="00576BE3"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RS-LTG-LEDA-V06-180101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D720ED8" w14:textId="054184C5"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Errata</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BB04BD7" w14:textId="2257C0A2"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leakage assumption to kW and waste heat algorithms.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5A22A5" w14:textId="0B984C8D"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kW savings</w:t>
            </w:r>
          </w:p>
        </w:tc>
      </w:tr>
      <w:tr w:rsidR="00C60A57" w:rsidRPr="00C8138A" w14:paraId="271662D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58BFF89"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6D6D999" w14:textId="77777777" w:rsidR="00C60A57" w:rsidRPr="00C8138A" w:rsidRDefault="00C60A57" w:rsidP="00C60A57">
            <w:pPr>
              <w:spacing w:after="0"/>
              <w:jc w:val="center"/>
              <w:rPr>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5B66B093" w14:textId="77777777" w:rsidR="00C60A57" w:rsidRPr="00D0469A" w:rsidRDefault="00C60A57" w:rsidP="00C60A57">
            <w:pPr>
              <w:spacing w:after="0"/>
              <w:jc w:val="left"/>
              <w:rPr>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D90EA1F" w14:textId="69A39EE9"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RS-LTG-LEDA-V07-190101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B725E43" w14:textId="490E657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24004C6"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Updates to Res v C&amp;I split, ISR, leakage, CF and HOU.</w:t>
            </w:r>
          </w:p>
          <w:p w14:paraId="3D96F041" w14:textId="5D03FCC4"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Clarification on deferred install methodology.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28BC521" w14:textId="616FCB4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67A6AD30"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0132474"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96A4318"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C9CB81A" w14:textId="48FF4D8A"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5.5.9 LED Fixtures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34F82C1" w14:textId="715BCA70"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RS-LTG-LDFX-V01-190101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C5800A0" w14:textId="1FC96CB7"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71CE426" w14:textId="65EEA507"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A696077" w14:textId="571CB58C"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4F92A085"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004F033A"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23B740D"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DE00876" w14:textId="0C7273CE"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5.5.10 Holiday String Lighting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6B19B1E" w14:textId="41137430"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RS-LTG-LEDH-V01-190101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698984E" w14:textId="13E5086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717A9F9" w14:textId="0F3DEE50"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1E093CA" w14:textId="4615C2D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072394E7"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2F618A87"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4C0C1FE1"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2FD57B" w14:textId="30CD7596"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5.5.11 LED Nightlights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1D81E3" w14:textId="41D35C20"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RS-LTG-NITL-V01-190101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D0CAFC4" w14:textId="614E3421"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ABFC4ED" w14:textId="55EC34B3"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F27FF5" w14:textId="4BE068B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N/A</w:t>
            </w:r>
          </w:p>
        </w:tc>
      </w:tr>
      <w:tr w:rsidR="00C60A57" w:rsidRPr="00C8138A" w14:paraId="6B7664C3"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B140C8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4B3264A0" w14:textId="6B58C0A0"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5.6 Shell</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4B1B13" w14:textId="5524C4C5"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5.6.1 Airsealing</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75A96A5" w14:textId="2DB7DAD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RS-SHL-AIRS-V07-190101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952239C" w14:textId="06206DB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1AE955C" w14:textId="729E4A72"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3D9AE45C" w14:textId="7A377B74"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p w14:paraId="5F2D188C" w14:textId="01A4DE91"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cooling, heating fan and gas heating adjustment factors, with distinction made between measures combined with attic insulation or not.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0139CE2" w14:textId="53E9F29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5CAE96EB"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80484CD"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0677EF9"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D7EC969" w14:textId="1DD16CF2"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5.6.2 Basement Sidewall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018867" w14:textId="5EC5E87D"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RS-SHL-BINS-V09-190101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9DAA74C" w14:textId="251CEF7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AE86E3E"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2450B3DA" w14:textId="46BAAFD1" w:rsidR="00C60A57" w:rsidRPr="0028042F"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710703C" w14:textId="1E82181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48F1B8B1"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30E0AF81"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6B9C48D"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FB62327" w14:textId="01E163C8"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5.6.3  Floor Insulation Above Crawlspace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96F3F0C" w14:textId="697A3A9B"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RS-SHL-FINS-V09-190101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BD28BD3" w14:textId="621BDC6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764CCC23"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774AD6AB" w14:textId="7E73149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D1A6718" w14:textId="743A1EAA"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2EAB61BC"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C47483F"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5AB92F2"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23123B5" w14:textId="3EBD9173"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5.6.4 Wall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233AFC5" w14:textId="7E6506BA"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RS-SHL-WINS-V08-190101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33EAEA50" w14:textId="61E4623E"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4946B96"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Separation of Wall and Ceiling/Attic Insulation measures</w:t>
            </w:r>
          </w:p>
          <w:p w14:paraId="4CF00510" w14:textId="1FE977F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562BDF6B" w14:textId="2B54BFE4"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Addition of midlife adjustment to account for HVAC replacement during lifetime of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C26FC56" w14:textId="58DD6EF8"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Decrease in lifetime savings</w:t>
            </w:r>
          </w:p>
        </w:tc>
      </w:tr>
      <w:tr w:rsidR="00C60A57" w:rsidRPr="00C8138A" w14:paraId="20EA4BEF"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7FD131C0"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6E8565"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0023E0" w14:textId="064D41DB"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5.6.5 Ceiling/Attic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E6CF3FC" w14:textId="7A164604"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RS-SHL-AINS-V01-190101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4D8D972" w14:textId="1199CF2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AE5302B"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Separation of Wall and Ceiling/Attic Insulation measures</w:t>
            </w:r>
          </w:p>
          <w:p w14:paraId="15759EFE" w14:textId="6D52577B"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measure life.</w:t>
            </w:r>
          </w:p>
          <w:p w14:paraId="263CD8E7"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midlife adjustment to account for HVAC replacement during lifetime of measure</w:t>
            </w:r>
          </w:p>
          <w:p w14:paraId="4E1ACE85" w14:textId="5C6120AE"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Updates to cooling, gas heating adjustment factors plus addition of heating fan adjustment factor, with distinction made between measures combined with airsealing measure or not.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719191" w14:textId="3B7D3062"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C60A57" w:rsidRPr="00C8138A" w14:paraId="62BA4F8D" w14:textId="77777777" w:rsidTr="00BE718F">
        <w:trPr>
          <w:trHeight w:val="20"/>
          <w:jc w:val="center"/>
        </w:trPr>
        <w:tc>
          <w:tcPr>
            <w:tcW w:w="1157" w:type="dxa"/>
            <w:vMerge/>
            <w:tcBorders>
              <w:left w:val="single" w:sz="4" w:space="0" w:color="auto"/>
              <w:right w:val="single" w:sz="4" w:space="0" w:color="auto"/>
            </w:tcBorders>
            <w:shd w:val="clear" w:color="auto" w:fill="auto"/>
            <w:noWrap/>
            <w:vAlign w:val="center"/>
          </w:tcPr>
          <w:p w14:paraId="576FC4CC" w14:textId="77777777" w:rsidR="00C60A57" w:rsidRPr="00C8138A" w:rsidRDefault="00C60A57" w:rsidP="00C60A57">
            <w:pPr>
              <w:spacing w:after="0"/>
              <w:jc w:val="center"/>
              <w:rPr>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75DDB00E" w14:textId="77777777" w:rsidR="00C60A57" w:rsidRPr="00C8138A" w:rsidRDefault="00C60A57" w:rsidP="00C60A57">
            <w:pPr>
              <w:spacing w:after="0"/>
              <w:jc w:val="center"/>
              <w:rPr>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4B80325" w14:textId="5CE41C0A"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5.6.6 Rim/Band Joist Insulation</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25D783C" w14:textId="4C0CD41E" w:rsidR="00C60A57" w:rsidRPr="00D0469A" w:rsidRDefault="00C60A57" w:rsidP="00C60A57">
            <w:pPr>
              <w:spacing w:after="0"/>
              <w:jc w:val="left"/>
              <w:rPr>
                <w:rFonts w:asciiTheme="minorHAnsi" w:hAnsiTheme="minorHAnsi" w:cstheme="minorHAnsi"/>
                <w:bCs/>
                <w:sz w:val="18"/>
                <w:szCs w:val="18"/>
              </w:rPr>
            </w:pPr>
            <w:r w:rsidRPr="00D0469A">
              <w:rPr>
                <w:rFonts w:asciiTheme="minorHAnsi" w:hAnsiTheme="minorHAnsi" w:cstheme="minorHAnsi"/>
                <w:sz w:val="18"/>
                <w:szCs w:val="18"/>
              </w:rPr>
              <w:t>RS-SHL-RINS-V01-190101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6DA6ED0" w14:textId="37817E14"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4D9F34F" w14:textId="152FAC13"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New Measure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57FE0E" w14:textId="77777777" w:rsidR="00C60A57" w:rsidRPr="003E2421" w:rsidRDefault="00C60A57" w:rsidP="00C60A57">
            <w:pPr>
              <w:spacing w:after="0"/>
              <w:jc w:val="center"/>
              <w:rPr>
                <w:rFonts w:asciiTheme="minorHAnsi" w:hAnsiTheme="minorHAnsi" w:cstheme="minorHAnsi"/>
                <w:bCs/>
                <w:sz w:val="18"/>
                <w:szCs w:val="18"/>
              </w:rPr>
            </w:pPr>
          </w:p>
        </w:tc>
      </w:tr>
      <w:tr w:rsidR="00C60A57" w:rsidRPr="00C8138A" w14:paraId="2B3C4D58" w14:textId="77777777" w:rsidTr="0028042F">
        <w:trPr>
          <w:trHeight w:val="20"/>
          <w:jc w:val="center"/>
        </w:trPr>
        <w:tc>
          <w:tcPr>
            <w:tcW w:w="1157" w:type="dxa"/>
            <w:vMerge/>
            <w:tcBorders>
              <w:left w:val="single" w:sz="4" w:space="0" w:color="auto"/>
              <w:right w:val="single" w:sz="4" w:space="0" w:color="auto"/>
            </w:tcBorders>
            <w:shd w:val="clear" w:color="auto" w:fill="auto"/>
            <w:noWrap/>
            <w:vAlign w:val="center"/>
          </w:tcPr>
          <w:p w14:paraId="208AC6CA" w14:textId="77777777" w:rsidR="00C60A57" w:rsidRPr="00C8138A" w:rsidRDefault="00C60A57" w:rsidP="00C60A57">
            <w:pPr>
              <w:spacing w:after="0"/>
              <w:jc w:val="center"/>
              <w:rPr>
                <w:rFonts w:asciiTheme="minorHAnsi" w:hAnsiTheme="minorHAnsi" w:cstheme="minorHAnsi"/>
                <w:bCs/>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902D0" w14:textId="16C6ED5B" w:rsidR="00C60A57" w:rsidRPr="00C8138A" w:rsidRDefault="00C60A5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5.7 Miscellaneous</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9ED875C" w14:textId="3D7283B5" w:rsidR="00C60A57" w:rsidRPr="00D0469A" w:rsidRDefault="00C60A57" w:rsidP="00C60A57">
            <w:pPr>
              <w:spacing w:after="0"/>
              <w:jc w:val="left"/>
              <w:rPr>
                <w:rFonts w:asciiTheme="minorHAnsi" w:hAnsiTheme="minorHAnsi" w:cstheme="minorHAnsi"/>
                <w:bCs/>
                <w:sz w:val="18"/>
                <w:szCs w:val="18"/>
              </w:rPr>
            </w:pPr>
            <w:r w:rsidRPr="00D0469A">
              <w:rPr>
                <w:color w:val="000000"/>
                <w:sz w:val="18"/>
                <w:szCs w:val="18"/>
              </w:rPr>
              <w:t>5.7.1 High Efficiency Pool Pumps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86E84D3" w14:textId="6DB04539" w:rsidR="00C60A57" w:rsidRPr="00D0469A" w:rsidRDefault="00C60A57" w:rsidP="00C60A57">
            <w:pPr>
              <w:spacing w:after="0"/>
              <w:jc w:val="left"/>
              <w:rPr>
                <w:rFonts w:asciiTheme="minorHAnsi" w:hAnsiTheme="minorHAnsi" w:cstheme="minorHAnsi"/>
                <w:bCs/>
                <w:sz w:val="18"/>
                <w:szCs w:val="18"/>
              </w:rPr>
            </w:pPr>
            <w:r w:rsidRPr="00D0469A">
              <w:rPr>
                <w:rFonts w:asciiTheme="minorHAnsi" w:eastAsiaTheme="majorEastAsia" w:hAnsiTheme="minorHAnsi" w:cstheme="minorHAnsi"/>
                <w:iCs/>
                <w:smallCaps/>
                <w:sz w:val="18"/>
                <w:szCs w:val="18"/>
              </w:rPr>
              <w:t>RS-MSC-RPLP-V02-190101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2EA7987" w14:textId="7F155466"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0E907DA"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Update to ENERGY STAR specifications.</w:t>
            </w:r>
          </w:p>
          <w:p w14:paraId="66DF23D0" w14:textId="77777777" w:rsidR="00C60A57" w:rsidRPr="003E2421" w:rsidRDefault="00C60A57" w:rsidP="00C60A57">
            <w:pPr>
              <w:spacing w:after="0"/>
              <w:jc w:val="left"/>
              <w:rPr>
                <w:rFonts w:asciiTheme="minorHAnsi" w:hAnsiTheme="minorHAnsi" w:cstheme="minorHAnsi"/>
                <w:color w:val="000000"/>
                <w:sz w:val="18"/>
                <w:szCs w:val="18"/>
              </w:rPr>
            </w:pPr>
            <w:r w:rsidRPr="003E2421">
              <w:rPr>
                <w:rFonts w:asciiTheme="minorHAnsi" w:hAnsiTheme="minorHAnsi" w:cstheme="minorHAnsi"/>
                <w:color w:val="000000"/>
                <w:sz w:val="18"/>
                <w:szCs w:val="18"/>
              </w:rPr>
              <w:t>Addition of above ground pools.</w:t>
            </w:r>
          </w:p>
          <w:p w14:paraId="084518F2" w14:textId="196DD8CD" w:rsidR="00C60A57" w:rsidRPr="003E2421" w:rsidRDefault="00C60A57" w:rsidP="00C60A57">
            <w:pPr>
              <w:spacing w:after="0"/>
              <w:jc w:val="left"/>
              <w:rPr>
                <w:rFonts w:asciiTheme="minorHAnsi" w:hAnsiTheme="minorHAnsi" w:cstheme="minorHAnsi"/>
                <w:sz w:val="18"/>
                <w:szCs w:val="18"/>
              </w:rPr>
            </w:pPr>
            <w:r w:rsidRPr="003E2421">
              <w:rPr>
                <w:rFonts w:asciiTheme="minorHAnsi" w:hAnsiTheme="minorHAnsi" w:cstheme="minorHAnsi"/>
                <w:color w:val="000000"/>
                <w:sz w:val="18"/>
                <w:szCs w:val="18"/>
              </w:rPr>
              <w:t>Update to measure cost.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DDABAC7" w14:textId="26A5D2B9" w:rsidR="00C60A57" w:rsidRPr="003E2421" w:rsidRDefault="00C60A57" w:rsidP="00C60A57">
            <w:pPr>
              <w:spacing w:after="0"/>
              <w:jc w:val="center"/>
              <w:rPr>
                <w:rFonts w:asciiTheme="minorHAnsi" w:hAnsiTheme="minorHAnsi" w:cstheme="minorHAnsi"/>
                <w:bCs/>
                <w:sz w:val="18"/>
                <w:szCs w:val="18"/>
              </w:rPr>
            </w:pPr>
            <w:r w:rsidRPr="003E2421">
              <w:rPr>
                <w:rFonts w:asciiTheme="minorHAnsi" w:hAnsiTheme="minorHAnsi" w:cstheme="minorHAnsi"/>
                <w:bCs/>
                <w:sz w:val="18"/>
                <w:szCs w:val="18"/>
              </w:rPr>
              <w:t>Dependent on Inputs</w:t>
            </w:r>
          </w:p>
        </w:tc>
      </w:tr>
      <w:tr w:rsidR="00E36959" w:rsidRPr="00C8138A" w14:paraId="55BCBC20" w14:textId="77777777" w:rsidTr="0028042F">
        <w:trPr>
          <w:trHeight w:val="20"/>
          <w:jc w:val="center"/>
        </w:trPr>
        <w:tc>
          <w:tcPr>
            <w:tcW w:w="12685" w:type="dxa"/>
            <w:gridSpan w:val="7"/>
            <w:tcBorders>
              <w:left w:val="single" w:sz="4" w:space="0" w:color="auto"/>
              <w:right w:val="single" w:sz="4" w:space="0" w:color="auto"/>
            </w:tcBorders>
            <w:shd w:val="clear" w:color="auto" w:fill="7F7F7F" w:themeFill="text1" w:themeFillTint="80"/>
            <w:noWrap/>
            <w:vAlign w:val="center"/>
          </w:tcPr>
          <w:p w14:paraId="0D60CD9D" w14:textId="77777777" w:rsidR="00E36959" w:rsidRPr="003E2421" w:rsidRDefault="00E36959" w:rsidP="00C60A57">
            <w:pPr>
              <w:spacing w:after="0"/>
              <w:jc w:val="center"/>
              <w:rPr>
                <w:rFonts w:asciiTheme="minorHAnsi" w:hAnsiTheme="minorHAnsi" w:cstheme="minorHAnsi"/>
                <w:bCs/>
                <w:sz w:val="18"/>
                <w:szCs w:val="18"/>
              </w:rPr>
            </w:pPr>
          </w:p>
        </w:tc>
      </w:tr>
      <w:tr w:rsidR="00BE718F" w:rsidRPr="00C8138A" w14:paraId="2699E7EB" w14:textId="77777777" w:rsidTr="00BE718F">
        <w:trPr>
          <w:trHeight w:val="20"/>
          <w:jc w:val="center"/>
        </w:trPr>
        <w:tc>
          <w:tcPr>
            <w:tcW w:w="1157" w:type="dxa"/>
            <w:vMerge w:val="restart"/>
            <w:tcBorders>
              <w:left w:val="single" w:sz="4" w:space="0" w:color="auto"/>
              <w:right w:val="single" w:sz="4" w:space="0" w:color="auto"/>
            </w:tcBorders>
            <w:shd w:val="clear" w:color="auto" w:fill="auto"/>
            <w:noWrap/>
            <w:vAlign w:val="center"/>
          </w:tcPr>
          <w:p w14:paraId="2BA217B7" w14:textId="11257BA7" w:rsidR="00BE718F" w:rsidRPr="00C8138A" w:rsidRDefault="00BE718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Volume 4: Cross Cutting Measures and Attachments</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481A1" w14:textId="0EA186F4" w:rsidR="00BE718F" w:rsidRDefault="00BE718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6.1 Behavior</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49DAF2B" w14:textId="30313797" w:rsidR="00BE718F" w:rsidRPr="00D0469A" w:rsidRDefault="00C47D7F" w:rsidP="00C60A57">
            <w:pPr>
              <w:spacing w:after="0"/>
              <w:jc w:val="left"/>
              <w:rPr>
                <w:color w:val="000000"/>
                <w:sz w:val="18"/>
                <w:szCs w:val="18"/>
              </w:rPr>
            </w:pPr>
            <w:bookmarkStart w:id="65" w:name="_Toc520462882"/>
            <w:bookmarkStart w:id="66" w:name="_Toc473108026"/>
            <w:bookmarkStart w:id="67" w:name="_Toc520824137"/>
            <w:bookmarkStart w:id="68" w:name="_Toc523151031"/>
            <w:r>
              <w:rPr>
                <w:color w:val="000000"/>
                <w:sz w:val="18"/>
                <w:szCs w:val="18"/>
              </w:rPr>
              <w:t xml:space="preserve">6.1.1 </w:t>
            </w:r>
            <w:r w:rsidRPr="00C47D7F">
              <w:rPr>
                <w:color w:val="000000"/>
                <w:sz w:val="18"/>
                <w:szCs w:val="18"/>
              </w:rPr>
              <w:t>Adjustments to Behavior Savings to Account for Persistence</w:t>
            </w:r>
            <w:bookmarkEnd w:id="65"/>
            <w:bookmarkEnd w:id="66"/>
            <w:bookmarkEnd w:id="67"/>
            <w:bookmarkEnd w:id="68"/>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055C882" w14:textId="790BC4D0" w:rsidR="00BE718F" w:rsidRPr="00D0469A" w:rsidRDefault="00C47D7F" w:rsidP="00C60A57">
            <w:pPr>
              <w:spacing w:after="0"/>
              <w:jc w:val="left"/>
              <w:rPr>
                <w:rFonts w:asciiTheme="minorHAnsi" w:eastAsiaTheme="majorEastAsia" w:hAnsiTheme="minorHAnsi" w:cstheme="minorHAnsi"/>
                <w:iCs/>
                <w:smallCaps/>
                <w:sz w:val="18"/>
                <w:szCs w:val="18"/>
              </w:rPr>
            </w:pPr>
            <w:r>
              <w:rPr>
                <w:rFonts w:asciiTheme="minorHAnsi" w:eastAsiaTheme="majorEastAsia" w:hAnsiTheme="minorHAnsi" w:cstheme="minorHAnsi"/>
                <w:iCs/>
                <w:smallCaps/>
                <w:sz w:val="18"/>
                <w:szCs w:val="18"/>
              </w:rPr>
              <w:t>CC-BEH-BEHP-V03</w:t>
            </w:r>
            <w:r w:rsidRPr="00C47D7F">
              <w:rPr>
                <w:rFonts w:asciiTheme="minorHAnsi" w:eastAsiaTheme="majorEastAsia" w:hAnsiTheme="minorHAnsi" w:cstheme="minorHAnsi"/>
                <w:iCs/>
                <w:smallCaps/>
                <w:sz w:val="18"/>
                <w:szCs w:val="18"/>
              </w:rPr>
              <w:t>-1</w:t>
            </w:r>
            <w:r>
              <w:rPr>
                <w:rFonts w:asciiTheme="minorHAnsi" w:eastAsiaTheme="majorEastAsia" w:hAnsiTheme="minorHAnsi" w:cstheme="minorHAnsi"/>
                <w:iCs/>
                <w:smallCaps/>
                <w:sz w:val="18"/>
                <w:szCs w:val="18"/>
              </w:rPr>
              <w:t>901</w:t>
            </w:r>
            <w:r w:rsidRPr="00C47D7F">
              <w:rPr>
                <w:rFonts w:asciiTheme="minorHAnsi" w:eastAsiaTheme="majorEastAsia" w:hAnsiTheme="minorHAnsi" w:cstheme="minorHAnsi"/>
                <w:iCs/>
                <w:smallCaps/>
                <w:sz w:val="18"/>
                <w:szCs w:val="18"/>
              </w:rPr>
              <w:t>01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5F9EC6E" w14:textId="794BF55B" w:rsidR="00BE718F" w:rsidRPr="003E2421" w:rsidRDefault="004817E7"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Revision</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FF0238F" w14:textId="783A9614" w:rsidR="00BE718F" w:rsidRPr="003E2421" w:rsidRDefault="00C47D7F" w:rsidP="00C60A5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 xml:space="preserve">Footnote added to Retention Rate variable to acknowledge uncertainty related to the current assumption, and a recommendation to update should better evaluation information become available.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90F87E" w14:textId="5E2D4578" w:rsidR="00BE718F" w:rsidRPr="003E2421" w:rsidRDefault="00C47D7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N/A</w:t>
            </w:r>
          </w:p>
        </w:tc>
      </w:tr>
      <w:tr w:rsidR="00BE718F" w:rsidRPr="00C8138A" w14:paraId="4587A40A" w14:textId="77777777" w:rsidTr="00BE718F">
        <w:trPr>
          <w:trHeight w:val="20"/>
          <w:jc w:val="center"/>
        </w:trPr>
        <w:tc>
          <w:tcPr>
            <w:tcW w:w="1157" w:type="dxa"/>
            <w:vMerge/>
            <w:tcBorders>
              <w:left w:val="single" w:sz="4" w:space="0" w:color="auto"/>
              <w:bottom w:val="single" w:sz="4" w:space="0" w:color="auto"/>
              <w:right w:val="single" w:sz="4" w:space="0" w:color="auto"/>
            </w:tcBorders>
            <w:shd w:val="clear" w:color="auto" w:fill="auto"/>
            <w:noWrap/>
            <w:vAlign w:val="center"/>
          </w:tcPr>
          <w:p w14:paraId="743F3BF9" w14:textId="77777777" w:rsidR="00BE718F" w:rsidRDefault="00BE718F" w:rsidP="00C60A57">
            <w:pPr>
              <w:spacing w:after="0"/>
              <w:jc w:val="center"/>
              <w:rPr>
                <w:rFonts w:asciiTheme="minorHAnsi" w:hAnsiTheme="minorHAnsi" w:cstheme="minorHAnsi"/>
                <w:bCs/>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CAA75" w14:textId="3E7A54F0" w:rsidR="00BE718F" w:rsidRDefault="00BE718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Attachment B: Effective Useful Life for Custom Measure Guidelines</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A540CAA" w14:textId="21C8F255" w:rsidR="00BE718F" w:rsidRPr="00D0469A" w:rsidRDefault="00BE718F" w:rsidP="00C60A57">
            <w:pPr>
              <w:spacing w:after="0"/>
              <w:jc w:val="left"/>
              <w:rPr>
                <w:color w:val="000000"/>
                <w:sz w:val="18"/>
                <w:szCs w:val="18"/>
              </w:rPr>
            </w:pPr>
            <w:r>
              <w:rPr>
                <w:color w:val="000000"/>
                <w:sz w:val="18"/>
                <w:szCs w:val="18"/>
              </w:rPr>
              <w:t>N/A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576BE82" w14:textId="7793EF91" w:rsidR="00BE718F" w:rsidRPr="00D0469A" w:rsidRDefault="00BE718F" w:rsidP="00C60A57">
            <w:pPr>
              <w:spacing w:after="0"/>
              <w:jc w:val="left"/>
              <w:rPr>
                <w:rFonts w:asciiTheme="minorHAnsi" w:eastAsiaTheme="majorEastAsia" w:hAnsiTheme="minorHAnsi" w:cstheme="minorHAnsi"/>
                <w:iCs/>
                <w:smallCaps/>
                <w:sz w:val="18"/>
                <w:szCs w:val="18"/>
              </w:rPr>
            </w:pPr>
            <w:r>
              <w:rPr>
                <w:rFonts w:asciiTheme="minorHAnsi" w:eastAsiaTheme="majorEastAsia" w:hAnsiTheme="minorHAnsi" w:cstheme="minorHAnsi"/>
                <w:iCs/>
                <w:smallCaps/>
                <w:sz w:val="18"/>
                <w:szCs w:val="18"/>
              </w:rPr>
              <w:t>N/A</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7775885" w14:textId="00CE1A1E" w:rsidR="00BE718F" w:rsidRPr="003E2421" w:rsidRDefault="00BE718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New</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288BB13F" w14:textId="75A26BC7" w:rsidR="00BE718F" w:rsidRPr="003E2421" w:rsidRDefault="00BE718F" w:rsidP="00C60A57">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New section providing guidelines and default assumptions for custom measure effective useful lives.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1B89F1" w14:textId="2EBAE2B0" w:rsidR="00BE718F" w:rsidRPr="003E2421" w:rsidRDefault="00BE718F" w:rsidP="00C60A57">
            <w:pPr>
              <w:spacing w:after="0"/>
              <w:jc w:val="center"/>
              <w:rPr>
                <w:rFonts w:asciiTheme="minorHAnsi" w:hAnsiTheme="minorHAnsi" w:cstheme="minorHAnsi"/>
                <w:bCs/>
                <w:sz w:val="18"/>
                <w:szCs w:val="18"/>
              </w:rPr>
            </w:pPr>
            <w:r>
              <w:rPr>
                <w:rFonts w:asciiTheme="minorHAnsi" w:hAnsiTheme="minorHAnsi" w:cstheme="minorHAnsi"/>
                <w:bCs/>
                <w:sz w:val="18"/>
                <w:szCs w:val="18"/>
              </w:rPr>
              <w:t>N/A</w:t>
            </w:r>
          </w:p>
        </w:tc>
      </w:tr>
    </w:tbl>
    <w:p w14:paraId="115C6240" w14:textId="77777777" w:rsidR="00E36959" w:rsidRPr="00DE3F13" w:rsidRDefault="00E36959" w:rsidP="00E36959">
      <w:pPr>
        <w:spacing w:after="0"/>
        <w:jc w:val="left"/>
        <w:rPr>
          <w:rFonts w:asciiTheme="minorHAnsi" w:hAnsiTheme="minorHAnsi" w:cstheme="minorHAnsi"/>
          <w:bCs/>
          <w:sz w:val="18"/>
          <w:szCs w:val="18"/>
        </w:rPr>
      </w:pPr>
    </w:p>
    <w:p w14:paraId="025EEA7E" w14:textId="77777777" w:rsidR="00415A53" w:rsidRDefault="00415A53" w:rsidP="00514253">
      <w:pPr>
        <w:spacing w:after="0"/>
        <w:jc w:val="left"/>
      </w:pPr>
    </w:p>
    <w:p w14:paraId="0E5684F8" w14:textId="6F208564" w:rsidR="00514253" w:rsidRDefault="00514253" w:rsidP="00B55FE0">
      <w:pPr>
        <w:jc w:val="left"/>
      </w:pPr>
      <w:r>
        <w:br w:type="page"/>
      </w:r>
    </w:p>
    <w:p w14:paraId="0E34304E" w14:textId="77777777" w:rsidR="005F5E9C" w:rsidRPr="00CE54F0" w:rsidRDefault="005F5E9C" w:rsidP="00514253">
      <w:pPr>
        <w:pStyle w:val="Captions"/>
      </w:pPr>
      <w:bookmarkStart w:id="69" w:name="_Toc523412283"/>
      <w:r w:rsidRPr="00CE54F0">
        <w:t xml:space="preserve">Table </w:t>
      </w:r>
      <w:r w:rsidRPr="00447701">
        <w:t xml:space="preserve">1.4: Summary of Attachment A: IL-NTG Methods </w:t>
      </w:r>
      <w:r w:rsidRPr="00CE54F0">
        <w:t>Revisions</w:t>
      </w:r>
      <w:bookmarkEnd w:id="69"/>
    </w:p>
    <w:tbl>
      <w:tblPr>
        <w:tblW w:w="5000" w:type="pct"/>
        <w:jc w:val="center"/>
        <w:tblLayout w:type="fixed"/>
        <w:tblCellMar>
          <w:left w:w="0" w:type="dxa"/>
          <w:right w:w="0" w:type="dxa"/>
        </w:tblCellMar>
        <w:tblLook w:val="04A0" w:firstRow="1" w:lastRow="0" w:firstColumn="1" w:lastColumn="0" w:noHBand="0" w:noVBand="1"/>
      </w:tblPr>
      <w:tblGrid>
        <w:gridCol w:w="890"/>
        <w:gridCol w:w="1530"/>
        <w:gridCol w:w="3421"/>
        <w:gridCol w:w="1170"/>
        <w:gridCol w:w="5929"/>
      </w:tblGrid>
      <w:tr w:rsidR="00B5416E" w:rsidRPr="004E3748" w14:paraId="0FBCE109" w14:textId="77777777" w:rsidTr="00600AA0">
        <w:trPr>
          <w:trHeight w:val="20"/>
          <w:tblHeader/>
          <w:jc w:val="center"/>
        </w:trPr>
        <w:tc>
          <w:tcPr>
            <w:tcW w:w="344" w:type="pct"/>
            <w:tcBorders>
              <w:top w:val="single" w:sz="8" w:space="0" w:color="auto"/>
              <w:left w:val="single" w:sz="8" w:space="0" w:color="auto"/>
              <w:bottom w:val="single" w:sz="4" w:space="0" w:color="auto"/>
              <w:right w:val="single" w:sz="8" w:space="0" w:color="auto"/>
            </w:tcBorders>
            <w:shd w:val="clear" w:color="auto" w:fill="808080"/>
            <w:noWrap/>
            <w:tcMar>
              <w:top w:w="0" w:type="dxa"/>
              <w:left w:w="108" w:type="dxa"/>
              <w:bottom w:w="0" w:type="dxa"/>
              <w:right w:w="108" w:type="dxa"/>
            </w:tcMar>
            <w:vAlign w:val="center"/>
            <w:hideMark/>
          </w:tcPr>
          <w:p w14:paraId="49C7C26C" w14:textId="77777777" w:rsidR="00B5416E" w:rsidRPr="004E3748" w:rsidRDefault="00B5416E" w:rsidP="00600AA0">
            <w:pPr>
              <w:keepNext/>
              <w:spacing w:after="0"/>
              <w:jc w:val="center"/>
              <w:rPr>
                <w:b/>
                <w:bCs/>
                <w:color w:val="FFFFFF"/>
              </w:rPr>
            </w:pPr>
            <w:r w:rsidRPr="004E3748">
              <w:rPr>
                <w:b/>
                <w:bCs/>
                <w:color w:val="FFFFFF"/>
              </w:rPr>
              <w:t>IL-TRM Volume</w:t>
            </w:r>
          </w:p>
        </w:tc>
        <w:tc>
          <w:tcPr>
            <w:tcW w:w="591" w:type="pct"/>
            <w:tcBorders>
              <w:top w:val="single" w:sz="8" w:space="0" w:color="auto"/>
              <w:left w:val="nil"/>
              <w:bottom w:val="single" w:sz="4" w:space="0" w:color="auto"/>
              <w:right w:val="single" w:sz="8" w:space="0" w:color="auto"/>
            </w:tcBorders>
            <w:shd w:val="clear" w:color="auto" w:fill="808080"/>
            <w:noWrap/>
            <w:tcMar>
              <w:top w:w="0" w:type="dxa"/>
              <w:left w:w="108" w:type="dxa"/>
              <w:bottom w:w="0" w:type="dxa"/>
              <w:right w:w="108" w:type="dxa"/>
            </w:tcMar>
            <w:vAlign w:val="center"/>
            <w:hideMark/>
          </w:tcPr>
          <w:p w14:paraId="0F7A7298" w14:textId="77777777" w:rsidR="00B5416E" w:rsidRPr="004E3748" w:rsidRDefault="00B5416E" w:rsidP="00600AA0">
            <w:pPr>
              <w:keepNext/>
              <w:spacing w:after="0"/>
              <w:jc w:val="center"/>
              <w:rPr>
                <w:b/>
                <w:bCs/>
                <w:color w:val="FFFFFF"/>
              </w:rPr>
            </w:pPr>
            <w:r w:rsidRPr="004E3748">
              <w:rPr>
                <w:b/>
                <w:bCs/>
                <w:color w:val="FFFFFF"/>
              </w:rPr>
              <w:t>Sectors</w:t>
            </w:r>
          </w:p>
        </w:tc>
        <w:tc>
          <w:tcPr>
            <w:tcW w:w="1322" w:type="pct"/>
            <w:tcBorders>
              <w:top w:val="single" w:sz="8" w:space="0" w:color="auto"/>
              <w:left w:val="nil"/>
              <w:bottom w:val="single" w:sz="4" w:space="0" w:color="auto"/>
              <w:right w:val="single" w:sz="8" w:space="0" w:color="auto"/>
            </w:tcBorders>
            <w:shd w:val="clear" w:color="auto" w:fill="808080"/>
            <w:noWrap/>
            <w:tcMar>
              <w:top w:w="0" w:type="dxa"/>
              <w:left w:w="108" w:type="dxa"/>
              <w:bottom w:w="0" w:type="dxa"/>
              <w:right w:w="108" w:type="dxa"/>
            </w:tcMar>
            <w:vAlign w:val="center"/>
            <w:hideMark/>
          </w:tcPr>
          <w:p w14:paraId="678ADE06" w14:textId="77777777" w:rsidR="00B5416E" w:rsidRPr="004E3748" w:rsidRDefault="00B5416E" w:rsidP="00600AA0">
            <w:pPr>
              <w:keepNext/>
              <w:spacing w:after="0"/>
              <w:jc w:val="center"/>
              <w:rPr>
                <w:b/>
                <w:bCs/>
                <w:color w:val="FFFFFF"/>
              </w:rPr>
            </w:pPr>
            <w:r w:rsidRPr="004E3748">
              <w:rPr>
                <w:b/>
                <w:bCs/>
                <w:color w:val="FFFFFF"/>
              </w:rPr>
              <w:t>Protocol Name</w:t>
            </w:r>
          </w:p>
        </w:tc>
        <w:tc>
          <w:tcPr>
            <w:tcW w:w="452" w:type="pct"/>
            <w:tcBorders>
              <w:top w:val="single" w:sz="8" w:space="0" w:color="auto"/>
              <w:left w:val="nil"/>
              <w:bottom w:val="single" w:sz="4" w:space="0" w:color="auto"/>
              <w:right w:val="single" w:sz="8" w:space="0" w:color="auto"/>
            </w:tcBorders>
            <w:shd w:val="clear" w:color="auto" w:fill="808080"/>
            <w:tcMar>
              <w:top w:w="0" w:type="dxa"/>
              <w:left w:w="108" w:type="dxa"/>
              <w:bottom w:w="0" w:type="dxa"/>
              <w:right w:w="108" w:type="dxa"/>
            </w:tcMar>
            <w:vAlign w:val="center"/>
            <w:hideMark/>
          </w:tcPr>
          <w:p w14:paraId="55747DD8" w14:textId="77777777" w:rsidR="00B5416E" w:rsidRPr="004E3748" w:rsidRDefault="00B5416E" w:rsidP="00600AA0">
            <w:pPr>
              <w:keepNext/>
              <w:spacing w:after="0"/>
              <w:jc w:val="center"/>
              <w:rPr>
                <w:b/>
                <w:bCs/>
                <w:color w:val="FFFFFF"/>
              </w:rPr>
            </w:pPr>
            <w:r w:rsidRPr="004E3748">
              <w:rPr>
                <w:b/>
                <w:bCs/>
                <w:color w:val="FFFFFF"/>
              </w:rPr>
              <w:t>Change Type</w:t>
            </w:r>
          </w:p>
        </w:tc>
        <w:tc>
          <w:tcPr>
            <w:tcW w:w="2291" w:type="pct"/>
            <w:tcBorders>
              <w:top w:val="single" w:sz="8" w:space="0" w:color="auto"/>
              <w:left w:val="nil"/>
              <w:bottom w:val="single" w:sz="4" w:space="0" w:color="auto"/>
              <w:right w:val="single" w:sz="8" w:space="0" w:color="auto"/>
            </w:tcBorders>
            <w:shd w:val="clear" w:color="auto" w:fill="808080"/>
            <w:tcMar>
              <w:top w:w="0" w:type="dxa"/>
              <w:left w:w="108" w:type="dxa"/>
              <w:bottom w:w="0" w:type="dxa"/>
              <w:right w:w="108" w:type="dxa"/>
            </w:tcMar>
            <w:vAlign w:val="center"/>
            <w:hideMark/>
          </w:tcPr>
          <w:p w14:paraId="710CB65C" w14:textId="77777777" w:rsidR="00B5416E" w:rsidRPr="004E3748" w:rsidRDefault="00B5416E" w:rsidP="00600AA0">
            <w:pPr>
              <w:keepNext/>
              <w:spacing w:after="0"/>
              <w:jc w:val="center"/>
              <w:rPr>
                <w:b/>
                <w:bCs/>
                <w:color w:val="FFFFFF"/>
              </w:rPr>
            </w:pPr>
            <w:r w:rsidRPr="004E3748">
              <w:rPr>
                <w:b/>
                <w:bCs/>
                <w:color w:val="FFFFFF"/>
              </w:rPr>
              <w:t>Explanation</w:t>
            </w:r>
          </w:p>
        </w:tc>
      </w:tr>
      <w:tr w:rsidR="00507F82" w:rsidRPr="004E3748" w14:paraId="6C68C39E"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C11C240" w14:textId="2C6CA5C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05602FE" w14:textId="5F213B0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All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4E88A7" w14:textId="18E18289"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Programs Currently Covered in this Document</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DD6578" w14:textId="1E598E33"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8A72F4" w14:textId="6CB0F87E"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language to allow SAG-approved updates to go into effect before the effective date of the updated TRM.</w:t>
            </w:r>
          </w:p>
        </w:tc>
      </w:tr>
      <w:tr w:rsidR="00507F82" w:rsidRPr="004E3748" w14:paraId="08B9A5D8"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4819A17" w14:textId="5C39DBEE"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B0162FC" w14:textId="32B7118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All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F3F367C" w14:textId="342745C0"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Spillover Specific Issues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1A2430" w14:textId="61AB9FF4"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EB2A10" w14:textId="10243F3E"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language and table for estimating spillover from trade allies for all sectors (not only for residential).</w:t>
            </w:r>
          </w:p>
        </w:tc>
      </w:tr>
      <w:tr w:rsidR="00507F82" w:rsidRPr="004E3748" w14:paraId="14F01DD6"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FE71F7" w14:textId="599ADAB4"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671B45" w14:textId="24C5198A"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All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98E20B9" w14:textId="3871770F"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Commercial, Industrial and Public Sector Programs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8A4062" w14:textId="73F14F9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D4CE04" w14:textId="0B8654B5"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Updated table with 2018-21 programs.</w:t>
            </w:r>
          </w:p>
        </w:tc>
      </w:tr>
      <w:tr w:rsidR="00507F82" w:rsidRPr="004E3748" w14:paraId="479B2088"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FCDA6DA" w14:textId="3B6C4DF0"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F86F80D" w14:textId="44F6D424"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All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7E6D221" w14:textId="4C354EC1"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Core Free Ridership Scoring Algorithm: Algorithm 1 and Algorithm 2</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1819CD" w14:textId="341B2E9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A290D6" w14:textId="11D7F11D"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language to aid evaluators in selecting the appropriate algorithm to use.</w:t>
            </w:r>
          </w:p>
        </w:tc>
      </w:tr>
      <w:tr w:rsidR="00507F82" w:rsidRPr="004E3748" w14:paraId="77EEC3A8"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A90B1C7" w14:textId="2449A23B"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C01062B" w14:textId="37E169DB"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E568885" w14:textId="5DA6C7C8"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Residential and Low Income Programs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C03B8C" w14:textId="624B1999"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21E988" w14:textId="77777777" w:rsidR="00507F82" w:rsidRPr="0028042F" w:rsidRDefault="00507F82" w:rsidP="00600AA0">
            <w:pPr>
              <w:pStyle w:val="ListParagraph"/>
              <w:spacing w:after="0"/>
              <w:ind w:left="0"/>
              <w:contextualSpacing w:val="0"/>
              <w:jc w:val="left"/>
              <w:rPr>
                <w:rFonts w:asciiTheme="minorHAnsi" w:hAnsiTheme="minorHAnsi" w:cstheme="minorHAnsi"/>
                <w:szCs w:val="20"/>
              </w:rPr>
            </w:pPr>
            <w:r w:rsidRPr="0028042F">
              <w:rPr>
                <w:rFonts w:asciiTheme="minorHAnsi" w:hAnsiTheme="minorHAnsi" w:cstheme="minorHAnsi"/>
                <w:szCs w:val="20"/>
              </w:rPr>
              <w:t>Updated table with 2018-21 programs.</w:t>
            </w:r>
          </w:p>
          <w:p w14:paraId="41B92C8C" w14:textId="0E08F647"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footnote regarding NTG value for Income Eligible programs.</w:t>
            </w:r>
          </w:p>
        </w:tc>
      </w:tr>
      <w:tr w:rsidR="00507F82" w:rsidRPr="004E3748" w14:paraId="714E5104"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49B3ED9" w14:textId="08DCBC9E"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2C70078" w14:textId="173C9D1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769DC2E" w14:textId="0B625A57"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Residential and Low Income Programs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30895C" w14:textId="573061D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124E2F" w14:textId="76258130"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 xml:space="preserve">Changed language from program influence on </w:t>
            </w:r>
            <w:r w:rsidRPr="0028042F">
              <w:rPr>
                <w:rFonts w:asciiTheme="minorHAnsi" w:hAnsiTheme="minorHAnsi" w:cstheme="minorHAnsi"/>
                <w:i/>
                <w:szCs w:val="20"/>
              </w:rPr>
              <w:t>decision</w:t>
            </w:r>
            <w:r w:rsidRPr="0028042F">
              <w:rPr>
                <w:rFonts w:asciiTheme="minorHAnsi" w:hAnsiTheme="minorHAnsi" w:cstheme="minorHAnsi"/>
                <w:szCs w:val="20"/>
              </w:rPr>
              <w:t xml:space="preserve"> to program influence on </w:t>
            </w:r>
            <w:r w:rsidRPr="0028042F">
              <w:rPr>
                <w:rFonts w:asciiTheme="minorHAnsi" w:hAnsiTheme="minorHAnsi" w:cstheme="minorHAnsi"/>
                <w:i/>
                <w:szCs w:val="20"/>
              </w:rPr>
              <w:t>making</w:t>
            </w:r>
            <w:r w:rsidRPr="0028042F">
              <w:rPr>
                <w:rFonts w:asciiTheme="minorHAnsi" w:hAnsiTheme="minorHAnsi" w:cstheme="minorHAnsi"/>
                <w:szCs w:val="20"/>
              </w:rPr>
              <w:t xml:space="preserve"> energy efficiency improvements.</w:t>
            </w:r>
          </w:p>
        </w:tc>
      </w:tr>
      <w:tr w:rsidR="00507F82" w:rsidRPr="004E3748" w14:paraId="4E236C22"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679AD37" w14:textId="17DA0EB8"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4F6EF66" w14:textId="23735B1F"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All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04ADC6B" w14:textId="1B7B8988"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Non-Participant Spillover Measured Through Trade Allies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F6CFD6" w14:textId="6D57F501"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900BD9" w14:textId="625F15F5"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Moved and revised language from section 4.1.3 to section 5.1 to allow for combining trade ally free ridership with customer free ridership for all sectors.</w:t>
            </w:r>
          </w:p>
        </w:tc>
      </w:tr>
      <w:tr w:rsidR="00507F82" w:rsidRPr="004E3748" w14:paraId="6152EF97"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E63CBDB" w14:textId="74DA35B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5904EAD" w14:textId="724C766A"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C270C94" w14:textId="7A67A9EE"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Appliance Recycling</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1A5969" w14:textId="75EEFF2D"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E51492" w14:textId="6CC05AF4"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Deleted language in section 4.2 regarding Induced Replacement to reflect current industry practiced described in the latest version of the Uniform Methods Protocol.</w:t>
            </w:r>
          </w:p>
        </w:tc>
      </w:tr>
      <w:tr w:rsidR="00507F82" w:rsidRPr="004E3748" w14:paraId="67588025"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E609CB6" w14:textId="2A6E3B5A"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B68B88D" w14:textId="61E7B725"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B7CC92C" w14:textId="116A0346"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Nonparticipant Spillover Measured Through Trade Allies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3E6F8F" w14:textId="2B0C5F6F"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4A7ADE" w14:textId="14B5F859"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Deleted section 4.1.3 to allow estimating nonparticipant spillover through trade allies for all sectors.</w:t>
            </w:r>
          </w:p>
        </w:tc>
      </w:tr>
      <w:tr w:rsidR="00507F82" w:rsidRPr="004E3748" w14:paraId="4E622FE0"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7BD74BC" w14:textId="24052BB3"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A342797" w14:textId="756A42C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DDF96C9" w14:textId="089184F9"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Multifamily Protocol</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A86912" w14:textId="51A6F77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D3BF63" w14:textId="0D711E47"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language clarifying CFL, non-CFL, LED and non-LED measures.</w:t>
            </w:r>
          </w:p>
        </w:tc>
      </w:tr>
      <w:tr w:rsidR="00507F82" w:rsidRPr="004E3748" w14:paraId="60EC3439"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B277A4A" w14:textId="47A32F2F"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48B6078" w14:textId="5A55EA0D"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Residential and Low Income</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200B189" w14:textId="2D00D59B"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Builder Nonparticipant Spillover</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A7BBB8" w14:textId="140F6FD5"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D971B6" w14:textId="2F41EDA9"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Updated Table 4-6 to IECC 2015 Building Energy Code.</w:t>
            </w:r>
          </w:p>
        </w:tc>
      </w:tr>
      <w:tr w:rsidR="00507F82" w:rsidRPr="004E3748" w14:paraId="56724189"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1904B27" w14:textId="0F47377A"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79FFE0B" w14:textId="3A27F6F2"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Cross-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FE1D4E6" w14:textId="2A398186"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Combining Participant and Trade-Ally Free Ridership Scores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B13A6C" w14:textId="7B2AC2D3"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1B03EB" w14:textId="32810DFE"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section 5.1 for combining trade ally free ridership with customer free ridership for all sectors.</w:t>
            </w:r>
          </w:p>
        </w:tc>
      </w:tr>
      <w:tr w:rsidR="00507F82" w:rsidRPr="004E3748" w14:paraId="152EF3B3"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37ECCA3" w14:textId="1C028E23"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27D3401" w14:textId="2913856C"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Cross- 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840B2FA" w14:textId="6CF23641"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Combining Participant and Trade-Ally Free Ridership Scores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1EE589" w14:textId="23185A65"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58728B" w14:textId="7850950D"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section 5.2 for estimating spillover through trade allies for all sectors.</w:t>
            </w:r>
          </w:p>
        </w:tc>
      </w:tr>
      <w:tr w:rsidR="00507F82" w:rsidRPr="004E3748" w14:paraId="643706A7"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183A729" w14:textId="4673150D"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2B07702" w14:textId="47FB5AFB"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Cross-Sectors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6D25A86" w14:textId="10DE1F0F"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Consumption Data Analysis Protocol</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E7A102" w14:textId="345A4E0E"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188F1C" w14:textId="07712D21"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Revised to address when consumption data analysis yields net savings, gross savings, or something in between.</w:t>
            </w:r>
          </w:p>
        </w:tc>
      </w:tr>
      <w:tr w:rsidR="00507F82" w:rsidRPr="004E3748" w14:paraId="05F6494D" w14:textId="77777777" w:rsidTr="0028042F">
        <w:trPr>
          <w:trHeight w:val="20"/>
          <w:jc w:val="center"/>
        </w:trPr>
        <w:tc>
          <w:tcPr>
            <w:tcW w:w="3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F37EF4C" w14:textId="1BDD0DC0"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Vol. 4</w:t>
            </w:r>
          </w:p>
        </w:tc>
        <w:tc>
          <w:tcPr>
            <w:tcW w:w="59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FE3EBE1" w14:textId="0A655286"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Cross-Sectors</w:t>
            </w:r>
          </w:p>
        </w:tc>
        <w:tc>
          <w:tcPr>
            <w:tcW w:w="132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5DD1C90" w14:textId="6C1B9500"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Survey-Based Approaches</w:t>
            </w:r>
          </w:p>
        </w:tc>
        <w:tc>
          <w:tcPr>
            <w:tcW w:w="4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9D83AC" w14:textId="79301549" w:rsidR="00507F82" w:rsidRPr="0028042F" w:rsidRDefault="00507F82" w:rsidP="00600AA0">
            <w:pPr>
              <w:spacing w:after="0"/>
              <w:jc w:val="center"/>
              <w:rPr>
                <w:rFonts w:asciiTheme="minorHAnsi" w:hAnsiTheme="minorHAnsi" w:cstheme="minorHAnsi"/>
                <w:szCs w:val="20"/>
              </w:rPr>
            </w:pPr>
            <w:r w:rsidRPr="0028042F">
              <w:rPr>
                <w:rFonts w:asciiTheme="minorHAnsi" w:hAnsiTheme="minorHAnsi" w:cstheme="minorHAnsi"/>
                <w:szCs w:val="20"/>
              </w:rPr>
              <w:t>Revision</w:t>
            </w:r>
          </w:p>
        </w:tc>
        <w:tc>
          <w:tcPr>
            <w:tcW w:w="22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D142A3" w14:textId="44AD8E20" w:rsidR="00507F82" w:rsidRPr="0028042F" w:rsidRDefault="00507F82" w:rsidP="00600AA0">
            <w:pPr>
              <w:spacing w:after="0"/>
              <w:jc w:val="left"/>
              <w:rPr>
                <w:rFonts w:asciiTheme="minorHAnsi" w:hAnsiTheme="minorHAnsi" w:cstheme="minorHAnsi"/>
                <w:szCs w:val="20"/>
              </w:rPr>
            </w:pPr>
            <w:r w:rsidRPr="0028042F">
              <w:rPr>
                <w:rFonts w:asciiTheme="minorHAnsi" w:hAnsiTheme="minorHAnsi" w:cstheme="minorHAnsi"/>
                <w:szCs w:val="20"/>
              </w:rPr>
              <w:t>Added language to consider survey mode effects, especially online vs. telephone.</w:t>
            </w:r>
          </w:p>
        </w:tc>
      </w:tr>
    </w:tbl>
    <w:p w14:paraId="6F7144C8" w14:textId="77777777" w:rsidR="002E498E" w:rsidRDefault="002E498E" w:rsidP="00B55FE0">
      <w:pPr>
        <w:jc w:val="left"/>
      </w:pPr>
    </w:p>
    <w:p w14:paraId="6768A776" w14:textId="77777777" w:rsidR="002E498E" w:rsidRDefault="002E498E" w:rsidP="00B55FE0">
      <w:pPr>
        <w:jc w:val="left"/>
        <w:sectPr w:rsidR="002E498E"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D96C8D">
      <w:pPr>
        <w:pStyle w:val="Heading2"/>
      </w:pPr>
      <w:bookmarkStart w:id="70" w:name="_Toc437856290"/>
      <w:bookmarkStart w:id="71" w:name="_Toc437957188"/>
      <w:bookmarkStart w:id="72" w:name="_Toc438040351"/>
      <w:bookmarkStart w:id="73" w:name="_Toc524594114"/>
      <w:bookmarkStart w:id="74" w:name="_Toc315354077"/>
      <w:bookmarkStart w:id="75" w:name="_Toc319585390"/>
      <w:bookmarkStart w:id="76" w:name="_Toc315447626"/>
      <w:bookmarkEnd w:id="34"/>
      <w:r w:rsidRPr="00280744">
        <w:t>Enabling ICC Policy</w:t>
      </w:r>
      <w:bookmarkEnd w:id="70"/>
      <w:bookmarkEnd w:id="71"/>
      <w:bookmarkEnd w:id="72"/>
      <w:bookmarkEnd w:id="73"/>
    </w:p>
    <w:p w14:paraId="4C7E36AC" w14:textId="0E3E53D6"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Pr="00280744">
        <w:rPr>
          <w:rFonts w:ascii="Arial" w:hAnsi="Arial"/>
          <w:vertAlign w:val="superscript"/>
        </w:rPr>
        <w:footnoteReference w:id="6"/>
      </w:r>
      <w:r w:rsidRPr="00280744">
        <w:t xml:space="preserve"> Energy Efficiency Plan dockets.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280744">
        <w:rPr>
          <w:i/>
        </w:rPr>
        <w:t xml:space="preserve">See, e.g., </w:t>
      </w:r>
      <w:r w:rsidRPr="00280744">
        <w:t xml:space="preserve">ComEd’s Final Order </w:t>
      </w:r>
      <w:r w:rsidRPr="00280744">
        <w:rPr>
          <w:i/>
        </w:rPr>
        <w:t>(Docket No. 10-0570, Final Order</w:t>
      </w:r>
      <w:r w:rsidRPr="00280744">
        <w:rPr>
          <w:rFonts w:ascii="Arial" w:hAnsi="Arial"/>
          <w:i/>
          <w:vertAlign w:val="superscript"/>
        </w:rPr>
        <w:footnoteReference w:id="7"/>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8"/>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9"/>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0"/>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rsidRPr="00280744">
        <w:t xml:space="preserve">the </w:t>
      </w:r>
      <w:r>
        <w:t>Utilities</w:t>
      </w:r>
      <w:r w:rsidRPr="00280744">
        <w:t xml:space="preserve"> (ComEd, Ameren IL, Nicor Gas, Peoples Gas/North Shore Gas), </w:t>
      </w:r>
    </w:p>
    <w:p w14:paraId="27F96663" w14:textId="325C61E1" w:rsidR="00DA676C" w:rsidRPr="00280744" w:rsidRDefault="00DA676C" w:rsidP="00986C87">
      <w:pPr>
        <w:numPr>
          <w:ilvl w:val="0"/>
          <w:numId w:val="9"/>
        </w:numPr>
        <w:spacing w:after="60"/>
      </w:pPr>
      <w:r w:rsidRPr="00280744">
        <w:t>Implementation contractors (CLEAResult, Conservation Services Group, Elevate Energy, Franklin Energy, GDS Associates, PECI, 360 Energy Group),</w:t>
      </w:r>
    </w:p>
    <w:p w14:paraId="25D9BD22" w14:textId="77777777" w:rsidR="00DA676C" w:rsidRPr="00280744" w:rsidRDefault="00DA676C" w:rsidP="00986C87">
      <w:pPr>
        <w:numPr>
          <w:ilvl w:val="0"/>
          <w:numId w:val="9"/>
        </w:numPr>
        <w:spacing w:after="60"/>
      </w:pPr>
      <w:r w:rsidRPr="00280744">
        <w:t xml:space="preserve">Illinois Department of Commerce and Economic Opportunity (DCEO), </w:t>
      </w:r>
    </w:p>
    <w:p w14:paraId="2D397AAC" w14:textId="77777777" w:rsidR="00DA676C" w:rsidRPr="00280744" w:rsidRDefault="00DA676C" w:rsidP="00986C87">
      <w:pPr>
        <w:numPr>
          <w:ilvl w:val="0"/>
          <w:numId w:val="9"/>
        </w:numPr>
        <w:spacing w:after="60"/>
      </w:pPr>
      <w:r w:rsidRPr="00280744">
        <w:t>the independent evaluators (ADM Associates, The Cadmus Group, Itron, Navigant Consulting, Michael’s Engineering, Opinion Dynamics Corporation),</w:t>
      </w:r>
    </w:p>
    <w:p w14:paraId="1123F09A" w14:textId="77777777" w:rsidR="00DA676C" w:rsidRPr="00280744" w:rsidRDefault="00DA676C" w:rsidP="00986C87">
      <w:pPr>
        <w:numPr>
          <w:ilvl w:val="0"/>
          <w:numId w:val="9"/>
        </w:numPr>
        <w:spacing w:after="60"/>
      </w:pPr>
      <w:r w:rsidRPr="00280744">
        <w:t xml:space="preserve">ICC Staff,  </w:t>
      </w:r>
    </w:p>
    <w:p w14:paraId="2AD20ECD" w14:textId="77777777" w:rsidR="00DA676C" w:rsidRPr="00280744" w:rsidRDefault="00DA676C" w:rsidP="00986C87">
      <w:pPr>
        <w:numPr>
          <w:ilvl w:val="0"/>
          <w:numId w:val="9"/>
        </w:numPr>
        <w:spacing w:after="60"/>
      </w:pPr>
      <w:r w:rsidRPr="00280744">
        <w:t xml:space="preserve">the Illinois Attorney General’s Office (AG), </w:t>
      </w:r>
    </w:p>
    <w:p w14:paraId="578E938E" w14:textId="77777777" w:rsidR="00DA676C" w:rsidRPr="00280744" w:rsidRDefault="00DA676C" w:rsidP="00986C87">
      <w:pPr>
        <w:numPr>
          <w:ilvl w:val="0"/>
          <w:numId w:val="9"/>
        </w:numPr>
        <w:spacing w:after="60"/>
      </w:pPr>
      <w:r w:rsidRPr="00280744">
        <w:t xml:space="preserve">Natural Resources Defense Council (NRDC), </w:t>
      </w:r>
    </w:p>
    <w:p w14:paraId="13BF9A90" w14:textId="77777777" w:rsidR="00DA676C" w:rsidRPr="00280744" w:rsidRDefault="00DA676C" w:rsidP="00986C87">
      <w:pPr>
        <w:numPr>
          <w:ilvl w:val="0"/>
          <w:numId w:val="9"/>
        </w:numPr>
        <w:spacing w:after="60"/>
      </w:pPr>
      <w:r w:rsidRPr="00280744">
        <w:t xml:space="preserve">the Environmental Law and Policy Center (ELPC), </w:t>
      </w:r>
    </w:p>
    <w:p w14:paraId="38992FF9" w14:textId="77777777" w:rsidR="00DA676C" w:rsidRPr="00280744" w:rsidRDefault="00DA676C" w:rsidP="00986C87">
      <w:pPr>
        <w:numPr>
          <w:ilvl w:val="0"/>
          <w:numId w:val="9"/>
        </w:numPr>
        <w:spacing w:after="60"/>
      </w:pPr>
      <w:r w:rsidRPr="00280744">
        <w:t xml:space="preserve">the Citizen’s Utility Board (CUB), </w:t>
      </w:r>
    </w:p>
    <w:p w14:paraId="67D23CFF" w14:textId="77777777" w:rsidR="00DA676C" w:rsidRPr="00280744" w:rsidRDefault="00DA676C" w:rsidP="00986C87">
      <w:pPr>
        <w:numPr>
          <w:ilvl w:val="0"/>
          <w:numId w:val="9"/>
        </w:numPr>
        <w:spacing w:after="60"/>
      </w:pPr>
      <w:r w:rsidRPr="00280744">
        <w:t xml:space="preserve">The University of Illinois at Chicago, </w:t>
      </w:r>
    </w:p>
    <w:p w14:paraId="077ADECD" w14:textId="77777777" w:rsidR="00DA676C" w:rsidRPr="00280744" w:rsidRDefault="00DA676C" w:rsidP="00986C87">
      <w:pPr>
        <w:numPr>
          <w:ilvl w:val="0"/>
          <w:numId w:val="9"/>
        </w:numPr>
        <w:spacing w:after="60"/>
      </w:pPr>
      <w:r w:rsidRPr="00280744">
        <w:t>Future Energy Enterprises,</w:t>
      </w:r>
    </w:p>
    <w:p w14:paraId="7A2C7595" w14:textId="7D9FA4A3" w:rsidR="00035F88" w:rsidRDefault="003C5949" w:rsidP="00D96C8D">
      <w:pPr>
        <w:numPr>
          <w:ilvl w:val="0"/>
          <w:numId w:val="9"/>
        </w:numPr>
        <w:spacing w:after="240"/>
      </w:pPr>
      <w:r>
        <w:t xml:space="preserve">Issue-specific invited </w:t>
      </w:r>
      <w:r w:rsidR="00DA676C">
        <w:t xml:space="preserve">participants including; </w:t>
      </w:r>
      <w:r w:rsidR="00DA676C" w:rsidRPr="00280744">
        <w:t>Geothermal Alliance of Illinois,</w:t>
      </w:r>
      <w:r w:rsidR="00DA676C">
        <w:t xml:space="preserve"> t</w:t>
      </w:r>
      <w:r w:rsidR="00DA676C" w:rsidRPr="00280744">
        <w:t>he Geothermal Exchange Organization</w:t>
      </w:r>
      <w:r w:rsidR="00DA676C">
        <w:t>, Embertec</w:t>
      </w:r>
      <w:r>
        <w:t>,</w:t>
      </w:r>
      <w:r w:rsidR="00DA676C">
        <w:t xml:space="preserve"> TrickleStar</w:t>
      </w:r>
      <w:r w:rsidR="00D0704C">
        <w:t>, Google Nest, Ecobee</w:t>
      </w:r>
      <w:r w:rsidR="00A03A7A">
        <w:t>, and US EPA ENERGY STAR</w:t>
      </w:r>
      <w:r w:rsidR="00DA676C">
        <w:t>.</w:t>
      </w:r>
    </w:p>
    <w:p w14:paraId="1D51C40D" w14:textId="77777777" w:rsidR="00B55FE0" w:rsidRPr="00D96C8D" w:rsidRDefault="00B55FE0" w:rsidP="00D96C8D">
      <w:pPr>
        <w:pStyle w:val="Heading2"/>
      </w:pPr>
      <w:bookmarkStart w:id="77" w:name="_Toc442974675"/>
      <w:bookmarkStart w:id="78" w:name="_Toc442974790"/>
      <w:bookmarkStart w:id="79" w:name="_Toc333218980"/>
      <w:bookmarkStart w:id="80" w:name="_Toc437856291"/>
      <w:bookmarkStart w:id="81" w:name="_Toc437957189"/>
      <w:bookmarkStart w:id="82" w:name="_Toc438040352"/>
      <w:bookmarkStart w:id="83" w:name="_Toc524594115"/>
      <w:bookmarkEnd w:id="77"/>
      <w:bookmarkEnd w:id="78"/>
      <w:r w:rsidRPr="00D96C8D">
        <w:t>Development Process</w:t>
      </w:r>
      <w:bookmarkEnd w:id="79"/>
      <w:bookmarkEnd w:id="80"/>
      <w:bookmarkEnd w:id="81"/>
      <w:bookmarkEnd w:id="82"/>
      <w:bookmarkEnd w:id="83"/>
    </w:p>
    <w:p w14:paraId="7623A4A1" w14:textId="58285A9A" w:rsidR="004E016D" w:rsidRDefault="00DA676C" w:rsidP="004E016D">
      <w:pPr>
        <w:widowControl/>
        <w:spacing w:after="0"/>
        <w:jc w:val="left"/>
        <w:rPr>
          <w:rFonts w:ascii="Times New Roman" w:eastAsiaTheme="minorHAnsi" w:hAnsi="Times New Roman"/>
          <w:sz w:val="24"/>
          <w:szCs w:val="24"/>
        </w:rPr>
      </w:pPr>
      <w:r w:rsidRPr="00280744">
        <w:rPr>
          <w:szCs w:val="20"/>
        </w:rPr>
        <w:t>The first edition of the IL-TRM was approved by the Commission in ICC Docket No. 12-0528</w:t>
      </w:r>
      <w:r w:rsidRPr="00280744">
        <w:rPr>
          <w:rFonts w:ascii="Arial" w:hAnsi="Arial"/>
          <w:szCs w:val="20"/>
          <w:vertAlign w:val="superscript"/>
        </w:rPr>
        <w:footnoteReference w:id="11"/>
      </w:r>
      <w:r w:rsidRPr="00280744">
        <w:rPr>
          <w:szCs w:val="20"/>
        </w:rPr>
        <w:t>.  The second edition of the IL-TRM was approved by the Commission in ICC Docket No. 13-0437</w:t>
      </w:r>
      <w:r w:rsidRPr="00280744">
        <w:rPr>
          <w:rFonts w:ascii="Arial" w:hAnsi="Arial"/>
          <w:szCs w:val="20"/>
          <w:vertAlign w:val="superscript"/>
        </w:rPr>
        <w:footnoteReference w:id="12"/>
      </w:r>
      <w:r w:rsidRPr="00280744">
        <w:rPr>
          <w:szCs w:val="20"/>
        </w:rPr>
        <w:t>.  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Pr="00280744">
        <w:rPr>
          <w:rFonts w:ascii="Arial" w:hAnsi="Arial"/>
          <w:szCs w:val="20"/>
          <w:vertAlign w:val="superscript"/>
        </w:rPr>
        <w:footnoteReference w:id="13"/>
      </w:r>
      <w:r w:rsidR="004E016D">
        <w:rPr>
          <w:szCs w:val="20"/>
        </w:rPr>
        <w:t>, and most recently in ICC Docket No. 17-0270</w:t>
      </w:r>
      <w:r w:rsidR="004E016D">
        <w:rPr>
          <w:rStyle w:val="FootnoteReference"/>
          <w:szCs w:val="20"/>
        </w:rPr>
        <w:footnoteReference w:id="14"/>
      </w:r>
      <w:r w:rsidR="004E016D">
        <w:rPr>
          <w:szCs w:val="20"/>
        </w:rPr>
        <w:t xml:space="preserve">. </w:t>
      </w:r>
      <w:r w:rsidRPr="00280744">
        <w:rPr>
          <w:szCs w:val="20"/>
        </w:rPr>
        <w:t>The third edition of the IL-TRM was approved by the Commission in ICC Docket No. 14-0189</w:t>
      </w:r>
      <w:r w:rsidRPr="00280744">
        <w:rPr>
          <w:rFonts w:ascii="Arial" w:hAnsi="Arial"/>
          <w:szCs w:val="20"/>
          <w:vertAlign w:val="superscript"/>
        </w:rPr>
        <w:footnoteReference w:id="15"/>
      </w:r>
      <w:r w:rsidRPr="00280744">
        <w:rPr>
          <w:szCs w:val="20"/>
        </w:rPr>
        <w:t xml:space="preserve">.  The </w:t>
      </w:r>
      <w:r>
        <w:rPr>
          <w:szCs w:val="20"/>
        </w:rPr>
        <w:t>fourth</w:t>
      </w:r>
      <w:r w:rsidRPr="00280744">
        <w:rPr>
          <w:szCs w:val="20"/>
        </w:rPr>
        <w:t xml:space="preserve"> edition of the IL-TRM was approved by the Commission in ICC Docket No. 1</w:t>
      </w:r>
      <w:r>
        <w:rPr>
          <w:szCs w:val="20"/>
        </w:rPr>
        <w:t>5-0187</w:t>
      </w:r>
      <w:r>
        <w:rPr>
          <w:rStyle w:val="FootnoteReference"/>
          <w:szCs w:val="20"/>
        </w:rPr>
        <w:footnoteReference w:id="16"/>
      </w:r>
      <w:r>
        <w:rPr>
          <w:szCs w:val="20"/>
        </w:rPr>
        <w:t xml:space="preserve">. </w:t>
      </w:r>
      <w:r w:rsidR="00780281" w:rsidRPr="00280744">
        <w:rPr>
          <w:szCs w:val="20"/>
        </w:rPr>
        <w:t xml:space="preserve">The </w:t>
      </w:r>
      <w:r w:rsidR="00780281">
        <w:rPr>
          <w:szCs w:val="20"/>
        </w:rPr>
        <w:t>fifth</w:t>
      </w:r>
      <w:r w:rsidR="00780281" w:rsidRPr="00280744">
        <w:rPr>
          <w:szCs w:val="20"/>
        </w:rPr>
        <w:t xml:space="preserve"> edition of the IL-TRM was approved by the Commission in ICC Docket No. 1</w:t>
      </w:r>
      <w:r w:rsidR="00780281">
        <w:rPr>
          <w:szCs w:val="20"/>
        </w:rPr>
        <w:t>6-0171</w:t>
      </w:r>
      <w:r w:rsidR="00780281">
        <w:rPr>
          <w:rStyle w:val="FootnoteReference"/>
          <w:szCs w:val="20"/>
        </w:rPr>
        <w:footnoteReference w:id="17"/>
      </w:r>
      <w:r w:rsidR="00780281">
        <w:rPr>
          <w:szCs w:val="20"/>
        </w:rPr>
        <w:t xml:space="preserve">. </w:t>
      </w:r>
      <w:r w:rsidR="004E016D">
        <w:rPr>
          <w:szCs w:val="20"/>
        </w:rPr>
        <w:t>The sixth edition of the IL-TRM was approved by the Commission in ICC Docket No. 17-0106</w:t>
      </w:r>
      <w:r w:rsidR="004E016D">
        <w:rPr>
          <w:rStyle w:val="FootnoteReference"/>
          <w:szCs w:val="20"/>
        </w:rPr>
        <w:footnoteReference w:id="18"/>
      </w:r>
      <w:r w:rsidR="004E016D">
        <w:rPr>
          <w:szCs w:val="20"/>
        </w:rPr>
        <w:t xml:space="preserve">. </w:t>
      </w:r>
    </w:p>
    <w:p w14:paraId="64DAF4F2" w14:textId="6B4746B8" w:rsidR="00DA676C" w:rsidRPr="00280744" w:rsidRDefault="00DA676C" w:rsidP="0028042F">
      <w:pPr>
        <w:widowControl/>
        <w:spacing w:after="0"/>
        <w:jc w:val="left"/>
        <w:rPr>
          <w:rFonts w:cs="Calibri"/>
          <w:szCs w:val="20"/>
        </w:rPr>
      </w:pPr>
      <w:r w:rsidRPr="00280744">
        <w:rPr>
          <w:szCs w:val="20"/>
        </w:rPr>
        <w:t xml:space="preserve">This document represents the </w:t>
      </w:r>
      <w:r w:rsidR="004E016D">
        <w:rPr>
          <w:szCs w:val="20"/>
        </w:rPr>
        <w:t>seventh</w:t>
      </w:r>
      <w:r w:rsidR="00780281" w:rsidRPr="00280744">
        <w:rPr>
          <w:szCs w:val="20"/>
        </w:rPr>
        <w:t xml:space="preserve"> </w:t>
      </w:r>
      <w:r w:rsidRPr="00280744">
        <w:rPr>
          <w:szCs w:val="20"/>
        </w:rPr>
        <w:t>edition 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9"/>
      </w:r>
      <w:r w:rsidRPr="00280744">
        <w:rPr>
          <w:szCs w:val="20"/>
        </w:rPr>
        <w:t xml:space="preserve"> and updates to existing measures that were already present in the first</w:t>
      </w:r>
      <w:r>
        <w:rPr>
          <w:szCs w:val="20"/>
        </w:rPr>
        <w:t xml:space="preserve"> </w:t>
      </w:r>
      <w:r w:rsidR="004E016D">
        <w:rPr>
          <w:szCs w:val="20"/>
        </w:rPr>
        <w:t>six</w:t>
      </w:r>
      <w:r w:rsidR="004E016D" w:rsidRPr="00280744">
        <w:rPr>
          <w:szCs w:val="20"/>
        </w:rPr>
        <w:t xml:space="preserve"> </w:t>
      </w:r>
      <w:r w:rsidRPr="00280744">
        <w:rPr>
          <w:szCs w:val="20"/>
        </w:rPr>
        <w:t xml:space="preserve">editions.  </w:t>
      </w:r>
      <w:r w:rsidRPr="00280744">
        <w:t xml:space="preserve">Like the previous editions,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447701">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77777777" w:rsidR="00DA676C" w:rsidRPr="00280744" w:rsidRDefault="00DA676C" w:rsidP="00447701">
      <w:pPr>
        <w:widowControl/>
        <w:rPr>
          <w:rFonts w:cs="Calibri"/>
          <w:szCs w:val="20"/>
        </w:rPr>
      </w:pPr>
      <w:r w:rsidRPr="00280744">
        <w:rPr>
          <w:rFonts w:cs="Calibri"/>
          <w:szCs w:val="20"/>
        </w:rPr>
        <w:t xml:space="preserve"> These rankings are used to align budget and schedule constraints with desired updates from the TRM.</w:t>
      </w:r>
    </w:p>
    <w:p w14:paraId="5D64F17A" w14:textId="287100C0" w:rsidR="00DA676C" w:rsidRPr="00280744" w:rsidRDefault="00DA676C" w:rsidP="00447701">
      <w:pPr>
        <w:widowControl/>
        <w:rPr>
          <w:rFonts w:cs="Calibri"/>
          <w:szCs w:val="20"/>
        </w:rPr>
      </w:pPr>
      <w:r w:rsidRPr="00280744">
        <w:rPr>
          <w:rFonts w:cs="Calibri"/>
          <w:szCs w:val="20"/>
        </w:rPr>
        <w:t xml:space="preserve">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to‐date are available through the TAC SharePoint web site, </w:t>
      </w:r>
      <w:r w:rsidRPr="00280744">
        <w:rPr>
          <w:rFonts w:ascii="Times New Roman" w:hAnsi="Times New Roman" w:cs="Calibri"/>
          <w:color w:val="0000FF"/>
          <w:szCs w:val="20"/>
          <w:u w:val="single"/>
        </w:rPr>
        <w:t>https://portal.veic.org</w:t>
      </w:r>
      <w:r w:rsidRPr="00280744">
        <w:rPr>
          <w:rFonts w:cs="Calibr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20"/>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rsidRPr="00280744">
        <w:t>Gross annual electric energy savings (kWh)</w:t>
      </w:r>
    </w:p>
    <w:p w14:paraId="4781CAEF" w14:textId="77777777" w:rsidR="00DA676C" w:rsidRPr="00280744" w:rsidRDefault="00DA676C" w:rsidP="00986C87">
      <w:pPr>
        <w:widowControl/>
        <w:numPr>
          <w:ilvl w:val="0"/>
          <w:numId w:val="11"/>
        </w:numPr>
        <w:spacing w:after="60"/>
      </w:pPr>
      <w:r w:rsidRPr="00280744">
        <w:t>Gross annual natural gas energy savings (therms)</w:t>
      </w:r>
    </w:p>
    <w:p w14:paraId="59530F5C" w14:textId="77777777" w:rsidR="00DA676C" w:rsidRPr="00280744" w:rsidRDefault="00DA676C" w:rsidP="002E498E">
      <w:pPr>
        <w:widowControl/>
        <w:numPr>
          <w:ilvl w:val="0"/>
          <w:numId w:val="11"/>
        </w:numPr>
      </w:pPr>
      <w:r w:rsidRPr="00280744">
        <w:t>Gross electric summer coincident peak demand savings (kW)</w:t>
      </w:r>
    </w:p>
    <w:p w14:paraId="628122C6" w14:textId="77777777" w:rsidR="00DA676C" w:rsidRPr="00280744" w:rsidRDefault="00DA676C" w:rsidP="002E498E">
      <w:r w:rsidRPr="00280744">
        <w:t>To support cost-effectiveness calculations, parameter values are also included for:</w:t>
      </w:r>
    </w:p>
    <w:p w14:paraId="0F1FE46B" w14:textId="77777777" w:rsidR="00DA676C" w:rsidRPr="00280744" w:rsidRDefault="00DA676C" w:rsidP="00986C87">
      <w:pPr>
        <w:widowControl/>
        <w:numPr>
          <w:ilvl w:val="0"/>
          <w:numId w:val="4"/>
        </w:numPr>
        <w:spacing w:after="60"/>
      </w:pPr>
      <w:r w:rsidRPr="00280744">
        <w:t>Incremental costs ($)</w:t>
      </w:r>
    </w:p>
    <w:p w14:paraId="558A9238" w14:textId="77777777" w:rsidR="00DA676C" w:rsidRPr="00280744" w:rsidRDefault="00DA676C" w:rsidP="00986C87">
      <w:pPr>
        <w:widowControl/>
        <w:numPr>
          <w:ilvl w:val="0"/>
          <w:numId w:val="11"/>
        </w:numPr>
        <w:spacing w:after="60"/>
      </w:pPr>
      <w:r w:rsidRPr="00280744">
        <w:t>Measure life (years)</w:t>
      </w:r>
    </w:p>
    <w:p w14:paraId="401854C5" w14:textId="77777777" w:rsidR="00DA676C" w:rsidRPr="00280744" w:rsidRDefault="00DA676C" w:rsidP="00986C87">
      <w:pPr>
        <w:widowControl/>
        <w:numPr>
          <w:ilvl w:val="0"/>
          <w:numId w:val="11"/>
        </w:numPr>
        <w:spacing w:after="60"/>
      </w:pPr>
      <w:r w:rsidRPr="00280744">
        <w:t>Operation and maintenance costs ($)</w:t>
      </w:r>
    </w:p>
    <w:p w14:paraId="3A766A69" w14:textId="02D82E5B" w:rsidR="00DA676C" w:rsidRDefault="00DA676C" w:rsidP="00D96C8D">
      <w:pPr>
        <w:widowControl/>
        <w:numPr>
          <w:ilvl w:val="0"/>
          <w:numId w:val="11"/>
        </w:numPr>
        <w:spacing w:after="240"/>
      </w:pPr>
      <w:r w:rsidRPr="00280744">
        <w:t>Water (gal) and other resource savings where appropriate.</w:t>
      </w:r>
    </w:p>
    <w:p w14:paraId="1F5B300D" w14:textId="04199BFB" w:rsidR="001247D2" w:rsidRPr="00D96C8D" w:rsidRDefault="001247D2" w:rsidP="00D96C8D">
      <w:pPr>
        <w:pStyle w:val="Heading3"/>
      </w:pPr>
      <w:bookmarkStart w:id="84" w:name="_Toc524594116"/>
      <w:bookmarkStart w:id="85" w:name="_Toc319585391"/>
      <w:bookmarkStart w:id="86" w:name="_Toc315354078"/>
      <w:bookmarkStart w:id="87" w:name="_Toc333218982"/>
      <w:bookmarkStart w:id="88" w:name="_Toc333218990"/>
      <w:bookmarkStart w:id="89" w:name="_Ref350149078"/>
      <w:bookmarkStart w:id="90" w:name="_Ref350149084"/>
      <w:bookmarkStart w:id="91" w:name="_Ref350149466"/>
      <w:bookmarkStart w:id="92" w:name="_Ref350149704"/>
      <w:bookmarkStart w:id="93" w:name="_Toc319585409"/>
      <w:bookmarkStart w:id="94" w:name="_Toc318118096"/>
      <w:bookmarkStart w:id="95" w:name="_Toc315354085"/>
      <w:bookmarkEnd w:id="74"/>
      <w:bookmarkEnd w:id="75"/>
      <w:r w:rsidRPr="00D96C8D">
        <w:t>Reliability Review</w:t>
      </w:r>
      <w:bookmarkEnd w:id="84"/>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0CA9843C" w14:textId="69925BDC" w:rsidR="001247D2"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/1/201</w:t>
      </w:r>
      <w:r w:rsidR="00CD7B1C">
        <w:t>9</w:t>
      </w:r>
      <w:r w:rsidR="00780281">
        <w:t xml:space="preserve"> means that the measure will be reviewed no later than the annual IL-TRM update process that </w:t>
      </w:r>
      <w:r w:rsidR="00CD7B1C">
        <w:t>occurs in</w:t>
      </w:r>
      <w:r w:rsidR="00780281">
        <w:t xml:space="preserve"> 201</w:t>
      </w:r>
      <w:r w:rsidR="00CD7B1C">
        <w:t>8,</w:t>
      </w:r>
      <w:r w:rsidR="00780281">
        <w:t xml:space="preserve"> in advance of the </w:t>
      </w:r>
      <w:r w:rsidR="00CD7B1C">
        <w:t>1</w:t>
      </w:r>
      <w:r w:rsidR="00780281">
        <w:t>/1/201</w:t>
      </w:r>
      <w:r w:rsidR="00CD7B1C">
        <w:t>9</w:t>
      </w:r>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15"/>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96" w:name="_Ref409689599"/>
      <w:bookmarkStart w:id="97" w:name="_Ref409689600"/>
      <w:bookmarkStart w:id="98" w:name="_Ref409689628"/>
      <w:bookmarkStart w:id="99" w:name="_Toc437594084"/>
      <w:bookmarkStart w:id="100" w:name="_Toc437856292"/>
      <w:bookmarkStart w:id="101" w:name="_Toc437957190"/>
      <w:bookmarkStart w:id="102" w:name="_Toc438040353"/>
      <w:bookmarkStart w:id="103" w:name="_Toc524594117"/>
      <w:r w:rsidRPr="00F432E6">
        <w:t>Organizational Structure</w:t>
      </w:r>
      <w:bookmarkEnd w:id="85"/>
      <w:bookmarkEnd w:id="86"/>
      <w:bookmarkEnd w:id="87"/>
      <w:bookmarkEnd w:id="96"/>
      <w:bookmarkEnd w:id="97"/>
      <w:bookmarkEnd w:id="98"/>
      <w:bookmarkEnd w:id="99"/>
      <w:bookmarkEnd w:id="100"/>
      <w:bookmarkEnd w:id="101"/>
      <w:bookmarkEnd w:id="102"/>
      <w:bookmarkEnd w:id="103"/>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21"/>
      </w:r>
      <w:r w:rsidRPr="00280744">
        <w:rPr>
          <w:b/>
        </w:rPr>
        <w:t xml:space="preserve"> </w:t>
      </w:r>
    </w:p>
    <w:p w14:paraId="3DF1DCBD" w14:textId="4FB6254C" w:rsidR="00616983" w:rsidRPr="00280744" w:rsidRDefault="00616983" w:rsidP="00986C87">
      <w:pPr>
        <w:widowControl/>
        <w:numPr>
          <w:ilvl w:val="1"/>
          <w:numId w:val="12"/>
        </w:numPr>
        <w:spacing w:after="60"/>
      </w:pPr>
      <w:r w:rsidRPr="00280744">
        <w:t>This level of organization specifies the type of customer the measure</w:t>
      </w:r>
      <w:r w:rsidR="008F28EB">
        <w:t>s</w:t>
      </w:r>
      <w:r w:rsidRPr="00280744">
        <w:t xml:space="preserve"> </w:t>
      </w:r>
      <w:r w:rsidR="008F28EB" w:rsidRPr="00280744">
        <w:t>appl</w:t>
      </w:r>
      <w:r w:rsidR="008F28EB">
        <w:t>y</w:t>
      </w:r>
      <w:r w:rsidR="008F28EB" w:rsidRPr="00280744">
        <w:t xml:space="preserve"> </w:t>
      </w:r>
      <w:r w:rsidRPr="00280744">
        <w:t>to, either Commercial and Industrial</w:t>
      </w:r>
      <w:r w:rsidR="008F28EB">
        <w:t xml:space="preserve"> (provided in Volume 2),</w:t>
      </w:r>
      <w:r w:rsidRPr="00280744">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methodologies)</w:t>
      </w:r>
      <w:r w:rsidRPr="00280744">
        <w:t>.</w:t>
      </w:r>
    </w:p>
    <w:p w14:paraId="02AE16A1" w14:textId="77777777" w:rsidR="00616983" w:rsidRPr="00280744" w:rsidRDefault="00616983" w:rsidP="00514253">
      <w:pPr>
        <w:widowControl/>
        <w:numPr>
          <w:ilvl w:val="1"/>
          <w:numId w:val="12"/>
        </w:numPr>
      </w:pPr>
      <w:r w:rsidRPr="00280744">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rsidRPr="00280744">
        <w:t>This level of organization represents most of the major end-use categories for which an</w:t>
      </w:r>
      <w:r w:rsidR="0077028A">
        <w:t xml:space="preserve"> efficient alternative exists. </w:t>
      </w:r>
      <w:r w:rsidRPr="00280744">
        <w:t>The following table lists all of the end-use categories in this version of the TRM.</w:t>
      </w:r>
    </w:p>
    <w:p w14:paraId="45C3F81C" w14:textId="77777777" w:rsidR="00616983" w:rsidRPr="00280744" w:rsidRDefault="00616983" w:rsidP="00514253">
      <w:pPr>
        <w:widowControl/>
        <w:numPr>
          <w:ilvl w:val="1"/>
          <w:numId w:val="12"/>
        </w:numPr>
      </w:pPr>
      <w:r w:rsidRPr="00280744">
        <w:t>Answers the question, “To what end-use category does the measure apply?”</w:t>
      </w:r>
    </w:p>
    <w:p w14:paraId="0A121F38" w14:textId="77777777" w:rsidR="00616983" w:rsidRPr="009C362B" w:rsidRDefault="00616983" w:rsidP="00514253">
      <w:pPr>
        <w:pStyle w:val="Captions"/>
      </w:pPr>
      <w:bookmarkStart w:id="104" w:name="_Toc411599456"/>
      <w:bookmarkStart w:id="105" w:name="_Toc523412284"/>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22"/>
      </w:r>
      <w:bookmarkEnd w:id="104"/>
      <w:bookmarkEnd w:id="105"/>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5AD6BA35" w:rsidR="00780281" w:rsidRPr="00AD487C" w:rsidRDefault="00780281" w:rsidP="00514253">
            <w:pPr>
              <w:spacing w:after="0"/>
              <w:jc w:val="left"/>
            </w:pP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rsidRPr="00280744">
        <w:t>Answers the question, “What technology defines the measure?”</w:t>
      </w:r>
    </w:p>
    <w:p w14:paraId="401F5843" w14:textId="51192765" w:rsidR="00415A53" w:rsidRDefault="00616983" w:rsidP="00514253">
      <w:pPr>
        <w:jc w:val="left"/>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00B55FE0" w:rsidRPr="00280744">
        <w:t>.</w:t>
      </w:r>
      <w:bookmarkStart w:id="106" w:name="_Toc319585392"/>
    </w:p>
    <w:p w14:paraId="0D89D716" w14:textId="410F0B15" w:rsidR="00B55FE0" w:rsidRPr="00280744" w:rsidRDefault="00B55FE0" w:rsidP="00D96C8D">
      <w:pPr>
        <w:pStyle w:val="Heading2"/>
      </w:pPr>
      <w:bookmarkStart w:id="107" w:name="_Toc333218983"/>
      <w:bookmarkStart w:id="108" w:name="_Toc437856293"/>
      <w:bookmarkStart w:id="109" w:name="_Toc437957191"/>
      <w:bookmarkStart w:id="110" w:name="_Toc438040354"/>
      <w:bookmarkStart w:id="111" w:name="_Toc524594118"/>
      <w:r w:rsidRPr="00280744">
        <w:t>Measure Code Specification</w:t>
      </w:r>
      <w:bookmarkEnd w:id="106"/>
      <w:bookmarkEnd w:id="107"/>
      <w:bookmarkEnd w:id="108"/>
      <w:bookmarkEnd w:id="109"/>
      <w:bookmarkEnd w:id="110"/>
      <w:bookmarkEnd w:id="111"/>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77777777" w:rsidR="00616983" w:rsidRPr="00280744" w:rsidRDefault="00616983" w:rsidP="00514253">
      <w:pPr>
        <w:jc w:val="center"/>
        <w:rPr>
          <w:b/>
        </w:rPr>
      </w:pPr>
      <w:r w:rsidRPr="00280744">
        <w:rPr>
          <w:b/>
        </w:rPr>
        <w:t>Code Structure = Market + End-use Category + Measure + Version # + Effective Date</w:t>
      </w:r>
    </w:p>
    <w:p w14:paraId="00E95C8A" w14:textId="77777777" w:rsidR="00616983" w:rsidRPr="00280744" w:rsidRDefault="00616983" w:rsidP="00514253">
      <w:r w:rsidRPr="00280744">
        <w:t>For example, the commercial boiler measure is coded: “CI-HVC-BLR_-V01-120601”</w:t>
      </w:r>
    </w:p>
    <w:p w14:paraId="138FBC9A" w14:textId="77777777" w:rsidR="00616983" w:rsidRPr="009C362B" w:rsidRDefault="00616983" w:rsidP="00514253">
      <w:pPr>
        <w:pStyle w:val="Captions"/>
      </w:pPr>
      <w:bookmarkStart w:id="112" w:name="_Toc335377224"/>
      <w:bookmarkStart w:id="113" w:name="_Toc411514770"/>
      <w:bookmarkStart w:id="114" w:name="_Toc411515470"/>
      <w:bookmarkStart w:id="115" w:name="_Toc411599457"/>
      <w:bookmarkStart w:id="116" w:name="_Toc523412285"/>
      <w:r w:rsidRPr="00BB7B08">
        <w:t xml:space="preserve">Table </w:t>
      </w:r>
      <w:r>
        <w:rPr>
          <w:noProof/>
        </w:rPr>
        <w:t>2</w:t>
      </w:r>
      <w:r>
        <w:t>.</w:t>
      </w:r>
      <w:r>
        <w:rPr>
          <w:noProof/>
        </w:rPr>
        <w:t>2</w:t>
      </w:r>
      <w:r w:rsidRPr="009C362B">
        <w:t>: Measure Code Specification Key</w:t>
      </w:r>
      <w:bookmarkEnd w:id="112"/>
      <w:bookmarkEnd w:id="113"/>
      <w:bookmarkEnd w:id="114"/>
      <w:bookmarkEnd w:id="115"/>
      <w:bookmarkEnd w:id="116"/>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bl>
    <w:p w14:paraId="1BB711A4" w14:textId="77777777" w:rsidR="00D0704C" w:rsidRPr="00600AA0" w:rsidRDefault="00D0704C" w:rsidP="0028042F">
      <w:bookmarkStart w:id="117" w:name="_Toc442974678"/>
      <w:bookmarkStart w:id="118" w:name="_Toc442974794"/>
      <w:bookmarkStart w:id="119" w:name="_Toc324539920"/>
      <w:bookmarkStart w:id="120" w:name="_Toc333218984"/>
      <w:bookmarkStart w:id="121" w:name="_Toc437856294"/>
      <w:bookmarkStart w:id="122" w:name="_Toc437957192"/>
      <w:bookmarkStart w:id="123" w:name="_Toc438040355"/>
      <w:bookmarkEnd w:id="117"/>
      <w:bookmarkEnd w:id="118"/>
    </w:p>
    <w:p w14:paraId="23812AA4" w14:textId="354463D7" w:rsidR="00B55FE0" w:rsidRPr="00447701" w:rsidRDefault="00B55FE0" w:rsidP="00D96C8D">
      <w:pPr>
        <w:pStyle w:val="Heading2"/>
      </w:pPr>
      <w:bookmarkStart w:id="124" w:name="_Toc524594119"/>
      <w:r w:rsidRPr="00447701">
        <w:t>Components of TRM Measure Characterizations</w:t>
      </w:r>
      <w:bookmarkEnd w:id="119"/>
      <w:bookmarkEnd w:id="120"/>
      <w:bookmarkEnd w:id="121"/>
      <w:bookmarkEnd w:id="122"/>
      <w:bookmarkEnd w:id="123"/>
      <w:bookmarkEnd w:id="124"/>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7C436FDB" w14:textId="77777777" w:rsidR="00272BF2" w:rsidRPr="00280744" w:rsidRDefault="00272BF2" w:rsidP="00272BF2">
      <w:r w:rsidRPr="00280744">
        <w:t>The expected duration in years (or hours) of the savings. If</w:t>
      </w:r>
      <w:r>
        <w:t xml:space="preserve"> an early replacement measure, </w:t>
      </w:r>
      <w:r w:rsidRPr="00280744">
        <w:t xml:space="preserve">the assumed life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77777777"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77777777" w:rsidR="00272BF2" w:rsidRDefault="00272BF2" w:rsidP="00272BF2">
      <w:r w:rsidRPr="00280744">
        <w:t>Only required if the operation and maintenance cost for the efficient case is different to the baseline</w:t>
      </w:r>
      <w:r>
        <w:t>.</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D96C8D">
      <w:pPr>
        <w:pStyle w:val="Heading2"/>
      </w:pPr>
      <w:bookmarkStart w:id="125" w:name="_Toc442974796"/>
      <w:bookmarkStart w:id="126" w:name="_Toc333218985"/>
      <w:bookmarkStart w:id="127" w:name="_Toc319585394"/>
      <w:bookmarkStart w:id="128" w:name="_Toc437856295"/>
      <w:bookmarkStart w:id="129" w:name="_Toc437957193"/>
      <w:bookmarkStart w:id="130" w:name="_Toc438040356"/>
      <w:bookmarkStart w:id="131" w:name="_Toc524594120"/>
      <w:bookmarkEnd w:id="125"/>
      <w:r w:rsidRPr="00280744">
        <w:t>Variable Input Tables</w:t>
      </w:r>
      <w:bookmarkEnd w:id="126"/>
      <w:bookmarkEnd w:id="127"/>
      <w:bookmarkEnd w:id="128"/>
      <w:bookmarkEnd w:id="129"/>
      <w:bookmarkEnd w:id="130"/>
      <w:bookmarkEnd w:id="131"/>
    </w:p>
    <w:p w14:paraId="4CE4E49C" w14:textId="77777777" w:rsidR="00272BF2" w:rsidRPr="00280744" w:rsidRDefault="00272BF2" w:rsidP="00514253">
      <w:bookmarkStart w:id="132" w:name="_Toc333218986"/>
      <w:bookmarkStart w:id="133" w:name="_Ref329779213"/>
      <w:bookmarkStart w:id="134" w:name="_Ref329779212"/>
      <w:bookmarkStart w:id="135" w:name="_Toc437856296"/>
      <w:bookmarkStart w:id="136"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D96C8D">
      <w:pPr>
        <w:pStyle w:val="Heading3"/>
      </w:pPr>
      <w:bookmarkStart w:id="137" w:name="_Toc438040357"/>
      <w:bookmarkStart w:id="138" w:name="_Toc524594121"/>
      <w:r w:rsidRPr="00280744">
        <w:t>C&amp;I Custom Value Use in Measure Implementation</w:t>
      </w:r>
      <w:bookmarkEnd w:id="132"/>
      <w:bookmarkEnd w:id="133"/>
      <w:bookmarkEnd w:id="134"/>
      <w:bookmarkEnd w:id="135"/>
      <w:bookmarkEnd w:id="136"/>
      <w:bookmarkEnd w:id="137"/>
      <w:bookmarkEnd w:id="138"/>
    </w:p>
    <w:p w14:paraId="12E8504C" w14:textId="7891540D"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number or the </w:t>
      </w:r>
      <w:r w:rsidR="0016646F">
        <w:t xml:space="preserve">value is measured at the site. </w:t>
      </w:r>
      <w:r w:rsidRPr="00280744">
        <w:t xml:space="preserve"> Custom values can also be supplied from product data of t</w:t>
      </w:r>
      <w:r w:rsidR="0016646F">
        <w:t xml:space="preserve">he measure installed. </w:t>
      </w:r>
      <w:r w:rsidRPr="00280744">
        <w:t>In certain cases the custom data can be provided from a documented study or report that is applicable to the measure.  Custom variables and potential sources are clearly defined in the specific measures where “Actual”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D96C8D">
      <w:pPr>
        <w:pStyle w:val="Heading2"/>
      </w:pPr>
      <w:bookmarkStart w:id="139" w:name="_Toc442974798"/>
      <w:bookmarkStart w:id="140" w:name="_Toc333218988"/>
      <w:bookmarkStart w:id="141" w:name="_Toc437856297"/>
      <w:bookmarkStart w:id="142" w:name="_Toc437957195"/>
      <w:bookmarkStart w:id="143" w:name="_Toc438040358"/>
      <w:bookmarkStart w:id="144" w:name="_Toc524594122"/>
      <w:bookmarkEnd w:id="139"/>
      <w:r w:rsidRPr="00280744">
        <w:t>Program Delivery &amp; Baseline Definitions</w:t>
      </w:r>
      <w:bookmarkEnd w:id="140"/>
      <w:bookmarkEnd w:id="141"/>
      <w:bookmarkEnd w:id="142"/>
      <w:bookmarkEnd w:id="143"/>
      <w:bookmarkEnd w:id="144"/>
    </w:p>
    <w:p w14:paraId="4AFB3AE2" w14:textId="77777777" w:rsidR="00A24242" w:rsidRPr="00280744" w:rsidRDefault="00A24242" w:rsidP="00514253">
      <w:bookmarkStart w:id="145" w:name="_Toc437856298"/>
      <w:bookmarkStart w:id="146" w:name="_Toc437957196"/>
      <w:bookmarkStart w:id="147" w:name="_Ref350150594"/>
      <w:bookmarkStart w:id="148"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5F3A65E1" w:rsidR="00A24242" w:rsidRPr="00280744"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table. </w:t>
      </w:r>
      <w:r w:rsidRPr="00280744">
        <w:t>These are the definitions used in the measure descriptions, and, when necessary, individual measure descriptions may further refine and clarify these definitions of program delivery type.</w:t>
      </w:r>
    </w:p>
    <w:p w14:paraId="0C6E114F" w14:textId="77777777" w:rsidR="00A24242" w:rsidRPr="009C362B" w:rsidRDefault="00A24242" w:rsidP="00514253">
      <w:pPr>
        <w:pStyle w:val="Captions"/>
      </w:pPr>
      <w:bookmarkStart w:id="149" w:name="_Toc335377226"/>
      <w:bookmarkStart w:id="150" w:name="_Toc411599458"/>
      <w:bookmarkStart w:id="151" w:name="_Toc523412286"/>
      <w:r>
        <w:t xml:space="preserve">Table </w:t>
      </w:r>
      <w:r>
        <w:rPr>
          <w:noProof/>
        </w:rPr>
        <w:t>2</w:t>
      </w:r>
      <w:r>
        <w:t>.</w:t>
      </w:r>
      <w:r>
        <w:rPr>
          <w:noProof/>
        </w:rPr>
        <w:t>3</w:t>
      </w:r>
      <w:r w:rsidRPr="009C362B">
        <w:t>: Program Delivery Types</w:t>
      </w:r>
      <w:bookmarkEnd w:id="149"/>
      <w:bookmarkEnd w:id="150"/>
      <w:bookmarkEnd w:id="151"/>
    </w:p>
    <w:tbl>
      <w:tblPr>
        <w:tblW w:w="9436" w:type="dxa"/>
        <w:jc w:val="center"/>
        <w:tblLook w:val="04A0" w:firstRow="1" w:lastRow="0" w:firstColumn="1" w:lastColumn="0" w:noHBand="0" w:noVBand="1"/>
      </w:tblPr>
      <w:tblGrid>
        <w:gridCol w:w="1485"/>
        <w:gridCol w:w="7951"/>
      </w:tblGrid>
      <w:tr w:rsidR="00A24242" w:rsidRPr="00AD487C" w14:paraId="7EEA493A" w14:textId="77777777" w:rsidTr="00514253">
        <w:trPr>
          <w:trHeight w:val="20"/>
          <w:tblHeader/>
          <w:jc w:val="center"/>
        </w:trPr>
        <w:tc>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59AB693" w14:textId="77777777" w:rsidR="00A24242" w:rsidRPr="00AD487C" w:rsidRDefault="00A24242">
            <w:pPr>
              <w:spacing w:after="0"/>
              <w:jc w:val="center"/>
              <w:rPr>
                <w:b/>
                <w:color w:val="FFFFFF" w:themeColor="background1"/>
              </w:rPr>
            </w:pPr>
            <w:r w:rsidRPr="00AD487C">
              <w:rPr>
                <w:b/>
                <w:color w:val="FFFFFF" w:themeColor="background1"/>
              </w:rPr>
              <w:t>Program</w:t>
            </w:r>
          </w:p>
        </w:tc>
        <w:tc>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4B5B0C0E" w14:textId="77777777" w:rsidR="00A24242" w:rsidRPr="00AD487C" w:rsidRDefault="00A24242">
            <w:pPr>
              <w:spacing w:after="0"/>
              <w:jc w:val="center"/>
              <w:rPr>
                <w:b/>
                <w:color w:val="FFFFFF" w:themeColor="background1"/>
              </w:rPr>
            </w:pPr>
            <w:r w:rsidRPr="00AD487C">
              <w:rPr>
                <w:b/>
                <w:color w:val="FFFFFF" w:themeColor="background1"/>
              </w:rPr>
              <w:t>Attributes</w:t>
            </w:r>
          </w:p>
        </w:tc>
      </w:tr>
      <w:tr w:rsidR="00A24242" w:rsidRPr="00AD487C" w14:paraId="545B40AB"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7D083598" w14:textId="77777777" w:rsidR="00A24242" w:rsidRPr="00AD487C" w:rsidRDefault="00A24242">
            <w:pPr>
              <w:spacing w:after="0"/>
              <w:jc w:val="left"/>
            </w:pPr>
            <w:r w:rsidRPr="00AD487C">
              <w:t>Time of Sale (TOS)</w:t>
            </w:r>
          </w:p>
        </w:tc>
        <w:tc>
          <w:tcPr>
            <w:tcW w:w="7951" w:type="dxa"/>
            <w:tcBorders>
              <w:top w:val="nil"/>
              <w:left w:val="single" w:sz="4" w:space="0" w:color="auto"/>
              <w:bottom w:val="single" w:sz="4" w:space="0" w:color="auto"/>
              <w:right w:val="single" w:sz="4" w:space="0" w:color="auto"/>
            </w:tcBorders>
            <w:noWrap/>
            <w:vAlign w:val="center"/>
            <w:hideMark/>
          </w:tcPr>
          <w:p w14:paraId="3EFD0E6A" w14:textId="77777777" w:rsidR="00A24242" w:rsidRPr="00AD487C" w:rsidRDefault="00A24242" w:rsidP="00A24242">
            <w:pPr>
              <w:spacing w:after="0"/>
            </w:pPr>
            <w:r w:rsidRPr="00AD487C">
              <w:t>Definition: A program in which the customer is incented to purchase or install higher efficiency equipment than if the program had not existed. This may include retail rebate (coupon) programs, upstream buydown programs, online store programs or contractor based programs as examples.</w:t>
            </w:r>
          </w:p>
          <w:p w14:paraId="0D1EDEA3" w14:textId="77777777" w:rsidR="00A24242" w:rsidRPr="00AD487C" w:rsidRDefault="00A24242" w:rsidP="00A24242">
            <w:pPr>
              <w:spacing w:after="0"/>
            </w:pPr>
            <w:r w:rsidRPr="00AD487C">
              <w:t>Baseline = New equipment.</w:t>
            </w:r>
          </w:p>
          <w:p w14:paraId="744FDCCB" w14:textId="77777777" w:rsidR="00A24242" w:rsidRPr="00AD487C" w:rsidRDefault="00A24242" w:rsidP="00A24242">
            <w:pPr>
              <w:spacing w:after="0"/>
            </w:pPr>
            <w:r w:rsidRPr="00AD487C">
              <w:t xml:space="preserve">Efficient Case = New, premium efficiency equipment above federal and state codes and standard industry practice. </w:t>
            </w:r>
          </w:p>
          <w:p w14:paraId="36D63FD3" w14:textId="77777777" w:rsidR="00A24242" w:rsidRPr="00AD487C" w:rsidRDefault="00A24242" w:rsidP="00A24242">
            <w:pPr>
              <w:spacing w:after="0"/>
            </w:pPr>
            <w:r w:rsidRPr="00AD487C">
              <w:t>Example: CFL rebate</w:t>
            </w:r>
          </w:p>
        </w:tc>
      </w:tr>
      <w:tr w:rsidR="00A24242" w:rsidRPr="00AD487C" w14:paraId="7486A040"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4BCCB0BE" w14:textId="77777777" w:rsidR="00A24242" w:rsidRPr="00AD487C" w:rsidRDefault="00A24242">
            <w:pPr>
              <w:spacing w:after="0"/>
              <w:jc w:val="left"/>
            </w:pPr>
            <w:r w:rsidRPr="00AD487C">
              <w:t>New Construction (NC)</w:t>
            </w:r>
          </w:p>
        </w:tc>
        <w:tc>
          <w:tcPr>
            <w:tcW w:w="7951" w:type="dxa"/>
            <w:tcBorders>
              <w:top w:val="nil"/>
              <w:left w:val="single" w:sz="4" w:space="0" w:color="auto"/>
              <w:bottom w:val="single" w:sz="4" w:space="0" w:color="auto"/>
              <w:right w:val="single" w:sz="4" w:space="0" w:color="auto"/>
            </w:tcBorders>
            <w:noWrap/>
            <w:vAlign w:val="center"/>
            <w:hideMark/>
          </w:tcPr>
          <w:p w14:paraId="06A553F3" w14:textId="77777777" w:rsidR="00A24242" w:rsidRPr="00AD487C" w:rsidRDefault="00A24242" w:rsidP="00A24242">
            <w:pPr>
              <w:spacing w:after="0"/>
            </w:pPr>
            <w:r w:rsidRPr="00AD487C">
              <w:t>Definition: A program that intervenes during building design to support the use of more-efficient equipment and construction practices.</w:t>
            </w:r>
          </w:p>
          <w:p w14:paraId="0F924C79" w14:textId="77777777" w:rsidR="00A24242" w:rsidRPr="00AD487C" w:rsidRDefault="00A24242" w:rsidP="00A24242">
            <w:pPr>
              <w:spacing w:after="0"/>
            </w:pPr>
            <w:r w:rsidRPr="00AD487C">
              <w:t>Baseline = Building code or federal standards.</w:t>
            </w:r>
          </w:p>
          <w:p w14:paraId="7A8C8476" w14:textId="77777777" w:rsidR="00A24242" w:rsidRPr="00AD487C" w:rsidRDefault="00A24242" w:rsidP="00A24242">
            <w:pPr>
              <w:spacing w:after="0"/>
            </w:pPr>
            <w:r w:rsidRPr="00AD487C">
              <w:t>Efficient Case = The program’s level of building specification</w:t>
            </w:r>
          </w:p>
          <w:p w14:paraId="7BC2A025" w14:textId="77777777" w:rsidR="00A24242" w:rsidRPr="00AD487C" w:rsidRDefault="00A24242" w:rsidP="00A24242">
            <w:pPr>
              <w:spacing w:after="0"/>
            </w:pPr>
            <w:r w:rsidRPr="00AD487C">
              <w:t>Example: Building shell and mechanical measures</w:t>
            </w:r>
          </w:p>
        </w:tc>
      </w:tr>
      <w:tr w:rsidR="00A24242" w:rsidRPr="00AD487C" w14:paraId="5F2A39DC"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6BBEBE58" w14:textId="77777777" w:rsidR="00A24242" w:rsidRPr="00AD487C" w:rsidRDefault="00A24242">
            <w:pPr>
              <w:spacing w:after="0"/>
              <w:jc w:val="left"/>
            </w:pPr>
            <w:r w:rsidRPr="00AD487C">
              <w:t>Retrofit (RF)</w:t>
            </w:r>
          </w:p>
        </w:tc>
        <w:tc>
          <w:tcPr>
            <w:tcW w:w="7951" w:type="dxa"/>
            <w:tcBorders>
              <w:top w:val="nil"/>
              <w:left w:val="single" w:sz="4" w:space="0" w:color="auto"/>
              <w:bottom w:val="nil"/>
              <w:right w:val="single" w:sz="4" w:space="0" w:color="auto"/>
            </w:tcBorders>
            <w:noWrap/>
            <w:vAlign w:val="center"/>
            <w:hideMark/>
          </w:tcPr>
          <w:p w14:paraId="0F9922FE" w14:textId="77777777" w:rsidR="00A24242" w:rsidRPr="00AD487C" w:rsidRDefault="00A24242" w:rsidP="00A24242">
            <w:pPr>
              <w:spacing w:after="0"/>
            </w:pPr>
            <w:r w:rsidRPr="00AD487C">
              <w:t>Definition: A program that upgrades existing equipment before the end of its useful life.</w:t>
            </w:r>
          </w:p>
          <w:p w14:paraId="00E028D8" w14:textId="77777777" w:rsidR="00A24242" w:rsidRPr="00AD487C" w:rsidRDefault="00A24242" w:rsidP="00A24242">
            <w:pPr>
              <w:spacing w:after="0"/>
            </w:pPr>
            <w:r w:rsidRPr="00AD487C">
              <w:t>Baseline = Existing equipment or the existing condition of the building or equipment.  A single baseline applies over the measure’s life.</w:t>
            </w:r>
          </w:p>
          <w:p w14:paraId="328B8D48" w14:textId="77777777" w:rsidR="00A24242" w:rsidRPr="00AD487C" w:rsidRDefault="00A24242" w:rsidP="00A24242">
            <w:pPr>
              <w:spacing w:after="0"/>
            </w:pPr>
            <w:r w:rsidRPr="00AD487C">
              <w:t>Efficient Case = New, premium efficiency equipment above federal and state codes and standard industry practice.</w:t>
            </w:r>
          </w:p>
          <w:p w14:paraId="2EB7E072" w14:textId="77777777" w:rsidR="00A24242" w:rsidRPr="00AD487C" w:rsidRDefault="00A24242" w:rsidP="00A24242">
            <w:pPr>
              <w:spacing w:after="0"/>
            </w:pPr>
            <w:r w:rsidRPr="00AD487C">
              <w:t>Example: Air sealing and insulation</w:t>
            </w:r>
          </w:p>
        </w:tc>
      </w:tr>
      <w:tr w:rsidR="00A24242" w:rsidRPr="00AD487C" w14:paraId="0FCAB52F"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tcPr>
          <w:p w14:paraId="71FA9734" w14:textId="77777777" w:rsidR="00A24242" w:rsidRPr="00AD487C" w:rsidRDefault="00A24242">
            <w:pPr>
              <w:spacing w:after="0"/>
              <w:jc w:val="left"/>
            </w:pPr>
            <w:r w:rsidRPr="00AD487C">
              <w:t>Early Replacement (EREP)</w:t>
            </w:r>
          </w:p>
        </w:tc>
        <w:tc>
          <w:tcPr>
            <w:tcW w:w="7951" w:type="dxa"/>
            <w:tcBorders>
              <w:top w:val="single" w:sz="4" w:space="0" w:color="auto"/>
              <w:left w:val="single" w:sz="4" w:space="0" w:color="auto"/>
              <w:bottom w:val="single" w:sz="4" w:space="0" w:color="auto"/>
              <w:right w:val="single" w:sz="4" w:space="0" w:color="auto"/>
            </w:tcBorders>
            <w:noWrap/>
            <w:vAlign w:val="center"/>
          </w:tcPr>
          <w:p w14:paraId="3587AC2A" w14:textId="77777777" w:rsidR="00A24242" w:rsidRPr="00AD487C" w:rsidRDefault="00A24242" w:rsidP="00A24242">
            <w:pPr>
              <w:spacing w:after="0"/>
            </w:pPr>
            <w:r w:rsidRPr="00AD487C">
              <w:t>Definition: A program that replaces existing equipment before the end of its expected life.</w:t>
            </w:r>
          </w:p>
          <w:p w14:paraId="30E48DEB" w14:textId="77777777" w:rsidR="00A24242" w:rsidRPr="00AD487C" w:rsidRDefault="00A24242" w:rsidP="00A24242">
            <w:pPr>
              <w:spacing w:after="0"/>
            </w:pPr>
            <w:r w:rsidRPr="00AD487C">
              <w:t xml:space="preserve">Baseline = Dual; it begins as the existing equipment and shifts to new baseline equipment after the expected life of the existing equipment is over.   </w:t>
            </w:r>
          </w:p>
          <w:p w14:paraId="4B252EDC" w14:textId="77777777" w:rsidR="00A24242" w:rsidRPr="00AD487C" w:rsidRDefault="00A24242" w:rsidP="00A24242">
            <w:pPr>
              <w:spacing w:after="0"/>
            </w:pPr>
            <w:r w:rsidRPr="00AD487C">
              <w:t>Efficient Case = New, premium efficiency equipment above federal and state codes and standard industry practice.</w:t>
            </w:r>
          </w:p>
          <w:p w14:paraId="6C839A7E" w14:textId="77777777" w:rsidR="00A24242" w:rsidRPr="00AD487C" w:rsidRDefault="00A24242" w:rsidP="00A24242">
            <w:pPr>
              <w:spacing w:after="0"/>
            </w:pPr>
            <w:r w:rsidRPr="00AD487C">
              <w:t>Example: Refrigerators, freezers</w:t>
            </w:r>
          </w:p>
        </w:tc>
      </w:tr>
      <w:tr w:rsidR="00A24242" w:rsidRPr="00AD487C" w14:paraId="364D667A"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6E9584A4" w14:textId="77777777" w:rsidR="00A24242" w:rsidRPr="00AD487C" w:rsidRDefault="00A24242">
            <w:pPr>
              <w:spacing w:after="0"/>
              <w:jc w:val="left"/>
            </w:pPr>
            <w:r w:rsidRPr="00AD487C">
              <w:t>Early Retirement (ERET)</w:t>
            </w:r>
          </w:p>
        </w:tc>
        <w:tc>
          <w:tcPr>
            <w:tcW w:w="7951" w:type="dxa"/>
            <w:tcBorders>
              <w:top w:val="nil"/>
              <w:left w:val="single" w:sz="4" w:space="0" w:color="auto"/>
              <w:bottom w:val="single" w:sz="4" w:space="0" w:color="auto"/>
              <w:right w:val="single" w:sz="4" w:space="0" w:color="auto"/>
            </w:tcBorders>
            <w:noWrap/>
            <w:vAlign w:val="center"/>
            <w:hideMark/>
          </w:tcPr>
          <w:p w14:paraId="790E8D19" w14:textId="77777777" w:rsidR="00A24242" w:rsidRPr="00AD487C" w:rsidRDefault="00A24242" w:rsidP="00A24242">
            <w:pPr>
              <w:spacing w:after="0"/>
            </w:pPr>
            <w:r w:rsidRPr="00AD487C">
              <w:t>Definition: A program that retires duplicative equipment before its expected life is over.</w:t>
            </w:r>
          </w:p>
          <w:p w14:paraId="3E47EC4C" w14:textId="77777777" w:rsidR="00A24242" w:rsidRPr="00AD487C" w:rsidRDefault="00A24242" w:rsidP="00A24242">
            <w:pPr>
              <w:spacing w:after="0"/>
            </w:pPr>
            <w:r w:rsidRPr="00AD487C">
              <w:t>Baseline = The existing equipment, which is retired and not replaced.</w:t>
            </w:r>
          </w:p>
          <w:p w14:paraId="6840EEF5" w14:textId="77777777" w:rsidR="00A24242" w:rsidRPr="00AD487C" w:rsidRDefault="00A24242" w:rsidP="00A24242">
            <w:pPr>
              <w:spacing w:after="0"/>
            </w:pPr>
            <w:r w:rsidRPr="00AD487C">
              <w:t>Efficient Case = Zero because the unit is retired.</w:t>
            </w:r>
          </w:p>
          <w:p w14:paraId="1E1C148F" w14:textId="77777777" w:rsidR="00A24242" w:rsidRPr="00AD487C" w:rsidRDefault="00A24242" w:rsidP="00A24242">
            <w:pPr>
              <w:spacing w:after="0"/>
            </w:pPr>
            <w:r w:rsidRPr="00AD487C">
              <w:t>Example: Appliance recycling</w:t>
            </w:r>
          </w:p>
        </w:tc>
      </w:tr>
      <w:tr w:rsidR="00A24242" w:rsidRPr="00AD487C" w14:paraId="011AD5D7"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52611675" w14:textId="77777777" w:rsidR="00A24242" w:rsidRPr="00AD487C" w:rsidRDefault="00A24242">
            <w:pPr>
              <w:spacing w:after="0"/>
              <w:jc w:val="left"/>
            </w:pPr>
            <w:r w:rsidRPr="00AD487C">
              <w:t>Direct Install (DI)</w:t>
            </w:r>
          </w:p>
        </w:tc>
        <w:tc>
          <w:tcPr>
            <w:tcW w:w="7951" w:type="dxa"/>
            <w:tcBorders>
              <w:top w:val="nil"/>
              <w:left w:val="single" w:sz="4" w:space="0" w:color="auto"/>
              <w:bottom w:val="single" w:sz="4" w:space="0" w:color="auto"/>
              <w:right w:val="single" w:sz="4" w:space="0" w:color="auto"/>
            </w:tcBorders>
            <w:noWrap/>
            <w:vAlign w:val="center"/>
            <w:hideMark/>
          </w:tcPr>
          <w:p w14:paraId="71A772EC" w14:textId="77777777" w:rsidR="00A24242" w:rsidRPr="00AD487C" w:rsidRDefault="00A24242" w:rsidP="00A24242">
            <w:pPr>
              <w:spacing w:after="0"/>
            </w:pPr>
            <w:r w:rsidRPr="00AD487C">
              <w:t>Definition: A program where measures are installed during a site visit.</w:t>
            </w:r>
          </w:p>
          <w:p w14:paraId="3FF0C191" w14:textId="77777777" w:rsidR="00A24242" w:rsidRPr="00AD487C" w:rsidRDefault="00A24242" w:rsidP="00A24242">
            <w:pPr>
              <w:spacing w:after="0"/>
            </w:pPr>
            <w:r w:rsidRPr="00AD487C">
              <w:t>Baseline = Existing equipment.</w:t>
            </w:r>
          </w:p>
          <w:p w14:paraId="123EBF01" w14:textId="77777777" w:rsidR="00A24242" w:rsidRPr="00AD487C" w:rsidRDefault="00A24242" w:rsidP="00A24242">
            <w:pPr>
              <w:spacing w:after="0"/>
            </w:pPr>
            <w:r w:rsidRPr="00AD487C">
              <w:t>Efficient Case = New, premium efficiency equipment above federal and state codes and standard industry practice.</w:t>
            </w:r>
          </w:p>
          <w:p w14:paraId="0C324F5A" w14:textId="77777777" w:rsidR="00A24242" w:rsidRPr="00AD487C" w:rsidRDefault="00A24242" w:rsidP="00A24242">
            <w:pPr>
              <w:spacing w:after="0"/>
            </w:pPr>
            <w:r w:rsidRPr="00AD487C">
              <w:t>Example: Lighting and low-flow hot water measures</w:t>
            </w:r>
          </w:p>
        </w:tc>
      </w:tr>
      <w:tr w:rsidR="00A24242" w:rsidRPr="00AD487C" w14:paraId="20A9EB7B" w14:textId="77777777" w:rsidTr="00514253">
        <w:trPr>
          <w:trHeight w:val="20"/>
          <w:jc w:val="center"/>
        </w:trPr>
        <w:tc>
          <w:tcPr>
            <w:tcW w:w="1485" w:type="dxa"/>
            <w:tcBorders>
              <w:top w:val="nil"/>
              <w:left w:val="single" w:sz="4" w:space="0" w:color="auto"/>
              <w:bottom w:val="single" w:sz="4" w:space="0" w:color="auto"/>
              <w:right w:val="single" w:sz="4" w:space="0" w:color="auto"/>
            </w:tcBorders>
            <w:noWrap/>
            <w:vAlign w:val="center"/>
            <w:hideMark/>
          </w:tcPr>
          <w:p w14:paraId="7D8A37AC" w14:textId="77777777" w:rsidR="00A24242" w:rsidRPr="00AD487C" w:rsidRDefault="00A24242">
            <w:pPr>
              <w:spacing w:after="0"/>
              <w:jc w:val="left"/>
            </w:pPr>
            <w:r w:rsidRPr="00AD487C">
              <w:t>Efficiency Kits (KITS)</w:t>
            </w:r>
          </w:p>
        </w:tc>
        <w:tc>
          <w:tcPr>
            <w:tcW w:w="7951" w:type="dxa"/>
            <w:tcBorders>
              <w:top w:val="nil"/>
              <w:left w:val="single" w:sz="4" w:space="0" w:color="auto"/>
              <w:bottom w:val="single" w:sz="4" w:space="0" w:color="auto"/>
              <w:right w:val="single" w:sz="4" w:space="0" w:color="auto"/>
            </w:tcBorders>
            <w:noWrap/>
            <w:vAlign w:val="center"/>
            <w:hideMark/>
          </w:tcPr>
          <w:p w14:paraId="3A86C5E2" w14:textId="77777777" w:rsidR="00A24242" w:rsidRPr="00AD487C" w:rsidRDefault="00A24242" w:rsidP="00A24242">
            <w:pPr>
              <w:spacing w:after="0"/>
            </w:pPr>
            <w:r w:rsidRPr="00AD487C">
              <w:t>Definition: A program where measures are provided free of charge to a customer in an Efficiency Kit.</w:t>
            </w:r>
          </w:p>
          <w:p w14:paraId="5F6252FB" w14:textId="77777777" w:rsidR="00A24242" w:rsidRPr="00AD487C" w:rsidRDefault="00A24242" w:rsidP="00A24242">
            <w:pPr>
              <w:spacing w:after="0"/>
            </w:pPr>
            <w:r w:rsidRPr="00AD487C">
              <w:t>Baseline = Existing equipment.</w:t>
            </w:r>
          </w:p>
          <w:p w14:paraId="5A1645E4" w14:textId="77777777" w:rsidR="00A24242" w:rsidRPr="00AD487C" w:rsidRDefault="00A24242" w:rsidP="00A24242">
            <w:pPr>
              <w:spacing w:after="0"/>
            </w:pPr>
            <w:r w:rsidRPr="00AD487C">
              <w:t>Efficient Case = New, premium efficiency equipment above federal and state codes and standard industry practice.</w:t>
            </w:r>
          </w:p>
          <w:p w14:paraId="23842C73" w14:textId="77777777" w:rsidR="00A24242" w:rsidRPr="00AD487C" w:rsidRDefault="00A24242" w:rsidP="00A24242">
            <w:pPr>
              <w:spacing w:after="0"/>
            </w:pPr>
            <w:r w:rsidRPr="00AD487C">
              <w:t>Example: Lighting and low-flow hot water measures</w:t>
            </w:r>
          </w:p>
        </w:tc>
      </w:tr>
    </w:tbl>
    <w:p w14:paraId="31BB8DE6" w14:textId="77777777" w:rsidR="00A24242" w:rsidRPr="00280744" w:rsidRDefault="00A24242" w:rsidP="00A24242">
      <w:pPr>
        <w:rPr>
          <w:rFonts w:cstheme="minorBidi"/>
          <w:sz w:val="22"/>
        </w:rPr>
      </w:pPr>
    </w:p>
    <w:p w14:paraId="033F7D96" w14:textId="77777777" w:rsidR="00A24242" w:rsidRPr="00280744" w:rsidRDefault="00A24242" w:rsidP="00F613D9">
      <w:r w:rsidRPr="00280744">
        <w:t>The concept and definition of the baseline is a key element of every measure characterization and is directly related to the program delivery type.  Without a clear definition of the baseline, the savings algorithms cannot be adequately specified and subsequent evaluation efforts would be hampered. As a result, each measure has a detailed description (and in many cases, specification) of the specific baseline that should be used to calculate savings.  Baselines in this TRM fall into one of the following four categories, and are organized within each measure characterization by the program delivery type to which it applies.</w:t>
      </w:r>
    </w:p>
    <w:p w14:paraId="35C18C7B" w14:textId="77777777" w:rsidR="00A24242" w:rsidRPr="00280744" w:rsidRDefault="00A24242" w:rsidP="00F613D9">
      <w:pPr>
        <w:numPr>
          <w:ilvl w:val="0"/>
          <w:numId w:val="13"/>
        </w:numPr>
      </w:pPr>
      <w:r w:rsidRPr="00280744">
        <w:rPr>
          <w:b/>
        </w:rPr>
        <w:t>Building Code:</w:t>
      </w:r>
      <w:r w:rsidRPr="00280744">
        <w:t xml:space="preserve"> As defined by the minimum specifications required under state energy code or applicable federal standards.</w:t>
      </w:r>
    </w:p>
    <w:p w14:paraId="5D370BDF" w14:textId="77777777" w:rsidR="00A24242" w:rsidRDefault="00A24242" w:rsidP="00F613D9">
      <w:pPr>
        <w:numPr>
          <w:ilvl w:val="0"/>
          <w:numId w:val="13"/>
        </w:numPr>
        <w:jc w:val="left"/>
      </w:pPr>
      <w:r w:rsidRPr="008B5E2A">
        <w:rPr>
          <w:b/>
        </w:rPr>
        <w:t>Existing Equipment</w:t>
      </w:r>
      <w:r w:rsidRPr="00280744">
        <w:t>: As determined by the most representative (or average) example of equipment that is in the existing stock.  Existing equipment baselines apply over the equipment’s remaining useful life.</w:t>
      </w:r>
    </w:p>
    <w:p w14:paraId="23CF5BE8" w14:textId="77777777" w:rsidR="00A24242" w:rsidRPr="008B5E2A" w:rsidRDefault="00A24242" w:rsidP="00F613D9">
      <w:pPr>
        <w:numPr>
          <w:ilvl w:val="0"/>
          <w:numId w:val="13"/>
        </w:numPr>
        <w:rPr>
          <w:b/>
        </w:rPr>
      </w:pPr>
      <w:r w:rsidRPr="008B5E2A">
        <w:rPr>
          <w:b/>
        </w:rPr>
        <w:t xml:space="preserve">New Equipment: </w:t>
      </w:r>
      <w:r w:rsidRPr="008B5E2A">
        <w:t>As determined by the equipment that represents standard practice in the current market environment.  New equipment baselines apply over the effective useful life of the measure.</w:t>
      </w:r>
    </w:p>
    <w:p w14:paraId="7A726667" w14:textId="65058A5A" w:rsidR="0071483B" w:rsidRDefault="00A24242" w:rsidP="00F613D9">
      <w:pPr>
        <w:pStyle w:val="ListParagraph"/>
        <w:numPr>
          <w:ilvl w:val="0"/>
          <w:numId w:val="13"/>
        </w:numPr>
      </w:pPr>
      <w:r w:rsidRPr="00973C3C">
        <w:rPr>
          <w:b/>
        </w:rPr>
        <w:t xml:space="preserve">Dual Baseline: </w:t>
      </w:r>
      <w:r w:rsidRPr="008B5E2A">
        <w:t>A baseline that begins as the existing equipment and shifts to new equipment after the expected life of the existing equipment is over</w:t>
      </w:r>
    </w:p>
    <w:p w14:paraId="20998BF1" w14:textId="77777777" w:rsidR="00A24242" w:rsidRDefault="00A24242" w:rsidP="00A24242">
      <w:pPr>
        <w:spacing w:after="240"/>
      </w:pPr>
    </w:p>
    <w:p w14:paraId="11CF874A" w14:textId="77777777" w:rsidR="0071483B" w:rsidRDefault="0071483B" w:rsidP="0071483B">
      <w:pPr>
        <w:spacing w:after="240"/>
        <w:sectPr w:rsidR="0071483B">
          <w:headerReference w:type="default" r:id="rId16"/>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152" w:name="_Toc438040359"/>
      <w:bookmarkStart w:id="153" w:name="_Toc524594123"/>
      <w:r w:rsidRPr="00F432E6">
        <w:t>Assumptions</w:t>
      </w:r>
      <w:bookmarkEnd w:id="88"/>
      <w:bookmarkEnd w:id="89"/>
      <w:bookmarkEnd w:id="90"/>
      <w:bookmarkEnd w:id="91"/>
      <w:bookmarkEnd w:id="92"/>
      <w:bookmarkEnd w:id="145"/>
      <w:bookmarkEnd w:id="146"/>
      <w:bookmarkEnd w:id="147"/>
      <w:bookmarkEnd w:id="148"/>
      <w:bookmarkEnd w:id="152"/>
      <w:bookmarkEnd w:id="153"/>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D96C8D">
      <w:pPr>
        <w:pStyle w:val="Heading2"/>
      </w:pPr>
      <w:bookmarkStart w:id="154" w:name="_Toc319585405"/>
      <w:bookmarkStart w:id="155" w:name="_Toc333218991"/>
      <w:bookmarkStart w:id="156" w:name="_Toc437594086"/>
      <w:bookmarkStart w:id="157" w:name="_Toc437856299"/>
      <w:bookmarkStart w:id="158" w:name="_Toc437957197"/>
      <w:bookmarkStart w:id="159" w:name="_Toc438040360"/>
      <w:bookmarkStart w:id="160" w:name="_Toc524594124"/>
      <w:bookmarkStart w:id="161" w:name="_Toc315354082"/>
      <w:r>
        <w:t>Footnotes &amp; Documentation of Sources</w:t>
      </w:r>
      <w:bookmarkEnd w:id="154"/>
      <w:bookmarkEnd w:id="155"/>
      <w:bookmarkEnd w:id="156"/>
      <w:bookmarkEnd w:id="157"/>
      <w:bookmarkEnd w:id="158"/>
      <w:bookmarkEnd w:id="159"/>
      <w:bookmarkEnd w:id="160"/>
    </w:p>
    <w:p w14:paraId="5597E559" w14:textId="4F31739A"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7" w:history="1">
        <w:r w:rsidRPr="00376599">
          <w:rPr>
            <w:rStyle w:val="Hyperlink"/>
          </w:rPr>
          <w:t>http://www.ilsag.info/technical-reference-manual.html</w:t>
        </w:r>
      </w:hyperlink>
      <w:r w:rsidRPr="00AA3E74">
        <w:t>)</w:t>
      </w:r>
      <w:r>
        <w:t>.</w:t>
      </w:r>
    </w:p>
    <w:p w14:paraId="14258203" w14:textId="77777777" w:rsidR="00B55FE0" w:rsidRDefault="00B55FE0" w:rsidP="00D96C8D">
      <w:pPr>
        <w:pStyle w:val="Heading2"/>
      </w:pPr>
      <w:bookmarkStart w:id="162" w:name="_Toc319585406"/>
      <w:bookmarkStart w:id="163" w:name="_Toc333218992"/>
      <w:bookmarkStart w:id="164" w:name="_Toc437594087"/>
      <w:bookmarkStart w:id="165" w:name="_Toc437856300"/>
      <w:bookmarkStart w:id="166" w:name="_Toc437957198"/>
      <w:bookmarkStart w:id="167" w:name="_Toc438040361"/>
      <w:bookmarkStart w:id="168" w:name="_Toc524594125"/>
      <w:r>
        <w:t>General Savings Assumptions</w:t>
      </w:r>
      <w:bookmarkEnd w:id="161"/>
      <w:bookmarkEnd w:id="162"/>
      <w:bookmarkEnd w:id="163"/>
      <w:bookmarkEnd w:id="164"/>
      <w:bookmarkEnd w:id="165"/>
      <w:bookmarkEnd w:id="166"/>
      <w:bookmarkEnd w:id="167"/>
      <w:bookmarkEnd w:id="168"/>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986C87">
      <w:pPr>
        <w:pStyle w:val="ListParagraph"/>
        <w:widowControl/>
        <w:numPr>
          <w:ilvl w:val="0"/>
          <w:numId w:val="2"/>
        </w:numPr>
        <w:spacing w:after="60"/>
        <w:contextualSpacing w:val="0"/>
      </w:pPr>
      <w:r>
        <w:t>All estimates of energy (kWh or therms) and peak (kW) savings are for first-year savings, not lifetime savings.</w:t>
      </w:r>
    </w:p>
    <w:p w14:paraId="71A09360" w14:textId="77777777" w:rsidR="00A24242" w:rsidRPr="00F117B2" w:rsidRDefault="00A24242" w:rsidP="00986C87">
      <w:pPr>
        <w:pStyle w:val="ListParagraph"/>
        <w:widowControl/>
        <w:numPr>
          <w:ilvl w:val="0"/>
          <w:numId w:val="2"/>
        </w:numPr>
        <w:spacing w:after="60"/>
        <w:contextualSpacing w:val="0"/>
      </w:pPr>
      <w:r w:rsidRPr="00F117B2">
        <w:t>Unless otherwise noted, measur</w:t>
      </w:r>
      <w:r>
        <w:t>e life is defined to be t</w:t>
      </w:r>
      <w:r w:rsidRPr="00F117B2">
        <w:t xml:space="preserve">he life of an energy consuming measure, including its equipment life and measure persistence. </w:t>
      </w:r>
    </w:p>
    <w:p w14:paraId="75AB2EDF" w14:textId="77777777" w:rsidR="00A24242" w:rsidRPr="00F117B2" w:rsidRDefault="00A24242" w:rsidP="00986C87">
      <w:pPr>
        <w:pStyle w:val="ListParagraph"/>
        <w:widowControl/>
        <w:numPr>
          <w:ilvl w:val="0"/>
          <w:numId w:val="2"/>
        </w:numPr>
        <w:spacing w:after="60"/>
        <w:contextualSpacing w:val="0"/>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73A73E84" w14:textId="77777777" w:rsidR="00A24242" w:rsidRDefault="00A24242" w:rsidP="00F613D9">
      <w:pPr>
        <w:pStyle w:val="ListParagraph"/>
        <w:widowControl/>
        <w:numPr>
          <w:ilvl w:val="0"/>
          <w:numId w:val="2"/>
        </w:numPr>
        <w:contextualSpacing w:val="0"/>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726C296F" w14:textId="77777777" w:rsidR="00B55FE0" w:rsidRDefault="00B55FE0" w:rsidP="00D96C8D">
      <w:pPr>
        <w:pStyle w:val="Heading2"/>
      </w:pPr>
      <w:bookmarkStart w:id="169" w:name="_Toc319585407"/>
      <w:bookmarkStart w:id="170" w:name="_Toc333218993"/>
      <w:bookmarkStart w:id="171" w:name="_Toc437594088"/>
      <w:bookmarkStart w:id="172" w:name="_Toc437856301"/>
      <w:bookmarkStart w:id="173" w:name="_Toc437957199"/>
      <w:bookmarkStart w:id="174" w:name="_Toc438040362"/>
      <w:bookmarkStart w:id="175" w:name="_Toc524594126"/>
      <w:r>
        <w:t>Shifting Baseline Assumptions</w:t>
      </w:r>
      <w:bookmarkEnd w:id="169"/>
      <w:bookmarkEnd w:id="170"/>
      <w:bookmarkEnd w:id="171"/>
      <w:bookmarkEnd w:id="172"/>
      <w:bookmarkEnd w:id="173"/>
      <w:bookmarkEnd w:id="174"/>
      <w:bookmarkEnd w:id="175"/>
    </w:p>
    <w:p w14:paraId="218A30F9" w14:textId="77777777" w:rsidR="00A24242" w:rsidRDefault="00A24242" w:rsidP="00A24242">
      <w:bookmarkStart w:id="176" w:name="_Toc319585408"/>
      <w:bookmarkStart w:id="177" w:name="_Toc315354083"/>
      <w:r w:rsidRPr="00F117B2">
        <w:t xml:space="preserve">The TRM anticipates the effects of changes in efficiency </w:t>
      </w:r>
      <w:r>
        <w:t xml:space="preserve">codes and </w:t>
      </w:r>
      <w:r w:rsidRPr="00F117B2">
        <w:t xml:space="preserve">standards </w:t>
      </w:r>
      <w:r>
        <w:t>on affected measures.  When these changes take effect, a shift in the baseline is usually required.  This complicates the measure savings estimation somewhat, and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2C79700C" w:rsidR="00B55FE0" w:rsidRDefault="00B55FE0" w:rsidP="00D96C8D">
      <w:pPr>
        <w:pStyle w:val="Heading3"/>
      </w:pPr>
      <w:bookmarkStart w:id="178" w:name="_Toc333218994"/>
      <w:bookmarkStart w:id="179" w:name="_Toc437594089"/>
      <w:bookmarkStart w:id="180" w:name="_Toc437856302"/>
      <w:bookmarkStart w:id="181" w:name="_Toc437957200"/>
      <w:bookmarkStart w:id="182" w:name="_Toc438040363"/>
      <w:bookmarkStart w:id="183" w:name="_Toc524594127"/>
      <w:r>
        <w:t>CFL and T5/T8 Linear Fluorescents</w:t>
      </w:r>
      <w:bookmarkEnd w:id="178"/>
      <w:r w:rsidR="00DC5FE6">
        <w:t xml:space="preserve"> and </w:t>
      </w:r>
      <w:r w:rsidR="0007145B">
        <w:t>LED</w:t>
      </w:r>
      <w:r>
        <w:t xml:space="preserve"> Baseline Assumptions</w:t>
      </w:r>
      <w:bookmarkEnd w:id="179"/>
      <w:bookmarkEnd w:id="180"/>
      <w:bookmarkEnd w:id="181"/>
      <w:bookmarkEnd w:id="182"/>
      <w:bookmarkEnd w:id="183"/>
    </w:p>
    <w:p w14:paraId="0B591A59" w14:textId="224B5CF1" w:rsidR="00A24242" w:rsidRDefault="00A24242" w:rsidP="00A24242">
      <w:r>
        <w:t>Specific reductions in savings</w:t>
      </w:r>
      <w:r w:rsidRPr="00F12DA6">
        <w:t xml:space="preserve"> have</w:t>
      </w:r>
      <w:r>
        <w:t xml:space="preserve"> been</w:t>
      </w:r>
      <w:r w:rsidRPr="00F12DA6">
        <w:t xml:space="preserve"> incorporated for CFL </w:t>
      </w:r>
      <w:r w:rsidR="0007145B">
        <w:t xml:space="preserve">and LED </w:t>
      </w:r>
      <w:r w:rsidRPr="00F12DA6">
        <w:t xml:space="preserve">measures that relate to the shift in appropriate baseline due to changes in Federal Standards for lighting products. Federal legislation (stemming from the </w:t>
      </w:r>
      <w:r w:rsidRPr="0035028A">
        <w:t xml:space="preserve">Energy Independence and Security Act of 2007) </w:t>
      </w:r>
      <w:r>
        <w:t>mandate</w:t>
      </w:r>
      <w:r w:rsidR="004E016D">
        <w:t>d</w:t>
      </w:r>
      <w:r>
        <w:t xml:space="preserve"> a phase-in process </w:t>
      </w:r>
      <w:r w:rsidR="0007145B">
        <w:t xml:space="preserve">that began </w:t>
      </w:r>
      <w:r>
        <w:t xml:space="preserve">in 2012 for </w:t>
      </w:r>
      <w:r w:rsidRPr="0035028A">
        <w:t xml:space="preserve">all general-purpose light bulbs </w:t>
      </w:r>
      <w:r w:rsidR="00D0704C">
        <w:t xml:space="preserve">(defined as omnidirectional or A-lamps) </w:t>
      </w:r>
      <w:r w:rsidRPr="0035028A">
        <w:t>between 40</w:t>
      </w:r>
      <w:r>
        <w:t>W</w:t>
      </w:r>
      <w:r w:rsidRPr="0035028A">
        <w:t xml:space="preserve"> and 100W to be approximately 30% more energy efficient than current incandescent bulbs, in essence beginning the phase-out of the current style, or “standard”, incandescent bulbs. </w:t>
      </w:r>
      <w:r w:rsidR="0007145B">
        <w:t>From</w:t>
      </w:r>
      <w:r w:rsidRPr="0035028A">
        <w:t xml:space="preserve"> 2012, standard 100W incandescent bulbs </w:t>
      </w:r>
      <w:r w:rsidR="0007145B">
        <w:t>could</w:t>
      </w:r>
      <w:r w:rsidR="0007145B" w:rsidRPr="0035028A">
        <w:t xml:space="preserve"> </w:t>
      </w:r>
      <w:r w:rsidRPr="0035028A">
        <w:t xml:space="preserve">no longer be manufactured, followed by restrictions on standard 75W bulbs in 2013 and 60W </w:t>
      </w:r>
      <w:r>
        <w:t xml:space="preserve">and 40W </w:t>
      </w:r>
      <w:r w:rsidRPr="0035028A">
        <w:t xml:space="preserve">bulbs in 2014. The baseline for the CFL </w:t>
      </w:r>
      <w:r w:rsidR="0007145B">
        <w:t>and LED</w:t>
      </w:r>
      <w:r w:rsidR="00D0704C">
        <w:t xml:space="preserve"> Omnidirectional Lamp</w:t>
      </w:r>
      <w:r w:rsidR="0007145B">
        <w:t xml:space="preserve"> </w:t>
      </w:r>
      <w:r w:rsidRPr="0035028A">
        <w:t>measure in th</w:t>
      </w:r>
      <w:r>
        <w:t>e</w:t>
      </w:r>
      <w:r w:rsidRPr="0035028A">
        <w:t xml:space="preserve"> </w:t>
      </w:r>
      <w:r>
        <w:t xml:space="preserve">corresponding program </w:t>
      </w:r>
      <w:r w:rsidRPr="0035028A">
        <w:t>years</w:t>
      </w:r>
      <w:r>
        <w:t xml:space="preserve"> </w:t>
      </w:r>
      <w:r w:rsidRPr="0035028A">
        <w:t>therefore bec</w:t>
      </w:r>
      <w:r w:rsidR="004E016D">
        <w:t>a</w:t>
      </w:r>
      <w:r w:rsidRPr="0035028A">
        <w:t>me bulbs (improved or “efficient” incandescent, or halogen) that met the new standard</w:t>
      </w:r>
      <w:r>
        <w:t xml:space="preserve"> and have the same lumen equivalency. </w:t>
      </w:r>
      <w:r w:rsidR="0007145B">
        <w:t>In addition</w:t>
      </w:r>
      <w:r w:rsidR="00D0704C">
        <w:t>,</w:t>
      </w:r>
      <w:r w:rsidR="0007145B">
        <w:t xml:space="preserve"> a backstop provision requires</w:t>
      </w:r>
      <w:r w:rsidR="0007145B">
        <w:rPr>
          <w:rFonts w:cstheme="minorHAnsi"/>
        </w:rPr>
        <w:t xml:space="preserve"> replacement baseline lamps meet 45 lumens/watt</w:t>
      </w:r>
      <w:r w:rsidR="0007145B" w:rsidRPr="00F12DA6">
        <w:t xml:space="preserve"> </w:t>
      </w:r>
      <w:r w:rsidR="0007145B">
        <w:t xml:space="preserve">from 2020. </w:t>
      </w:r>
      <w:r>
        <w:t>To account for this shifting baseline, annual savings are reduced within the lifetime of the measure</w:t>
      </w:r>
      <w:r w:rsidR="0007145B">
        <w:t xml:space="preserve"> using a midlife baseline adjustment</w:t>
      </w:r>
      <w:r>
        <w:t>.</w:t>
      </w:r>
      <w:r w:rsidR="0007145B">
        <w:t xml:space="preserve"> The magnitude and timing of these adjustments are specified within each measure.</w:t>
      </w:r>
      <w:r>
        <w:t xml:space="preserve">  </w:t>
      </w:r>
    </w:p>
    <w:p w14:paraId="04A068EA" w14:textId="78AED40D" w:rsidR="00D0704C" w:rsidRDefault="00D0704C" w:rsidP="00600AA0">
      <w:pPr>
        <w:widowControl/>
        <w:jc w:val="left"/>
      </w:pPr>
      <w:bookmarkStart w:id="184" w:name="_Hlk524505915"/>
      <w:r>
        <w:t>Specialty and Directional lamps were not included in the original definition of General Service Lamps in the Energy Independence and Security Act of 2007 (EISA). Therefore, the initial baseline is an incandescent / halogen lamp described in that measure.</w:t>
      </w:r>
    </w:p>
    <w:p w14:paraId="488B4354" w14:textId="722D8D51" w:rsidR="00D0704C" w:rsidRPr="00ED657C" w:rsidRDefault="00D0704C" w:rsidP="0028042F">
      <w:pPr>
        <w:rPr>
          <w:rFonts w:cs="Calibri"/>
          <w:sz w:val="22"/>
        </w:rPr>
      </w:pPr>
      <w:r>
        <w:t>However, a DOE Final Rule released on 1/19/2017 updated the EISA regulations to remove the exemption for these lamp types such that they become subject to the backstop provision defined within the original legislation. There is</w:t>
      </w:r>
      <w:r w:rsidR="001A0729">
        <w:t>,</w:t>
      </w:r>
      <w:r>
        <w:t xml:space="preserve"> however, uncertainty around the final application of the EISA backstop provision, particularly whether the expanded definition will hold, as well as uncertainty regarding how the market for these products would change absent the backstop.</w:t>
      </w:r>
      <w:r w:rsidR="001A0729">
        <w:t xml:space="preserve"> </w:t>
      </w:r>
      <w:r>
        <w:t>Therefore</w:t>
      </w:r>
      <w:r w:rsidR="001A0729">
        <w:t>,</w:t>
      </w:r>
      <w:r>
        <w:t xml:space="preserve"> the 2019 version of the LED Specialty Lamp measure delays application of the midlife adjustment associated with the backstop provision to 1/1/2024. However, TAC members commit to making appropriate mid-year adjustments to the measure characterization in the event that new information adds sufficient clarity and concludes any legal challenges to support making a change to this agreement. This means that</w:t>
      </w:r>
      <w:r w:rsidR="001A0729">
        <w:t>,</w:t>
      </w:r>
      <w:r>
        <w:t xml:space="preserve"> if within PY2019 it becomes clear that the EISA backstop </w:t>
      </w:r>
      <w:r>
        <w:rPr>
          <w:i/>
          <w:iCs/>
        </w:rPr>
        <w:t>will</w:t>
      </w:r>
      <w:r>
        <w:t xml:space="preserve"> apply to the measures characterized herein, the timing of the midlife adjustment will be changed to be applied in 2021, consistent with the omnidirectional measure. Likewise, if it becomes clear that these lamp types will revert to being exempt, the midlife adjustment will be removed. In addition, the TAC and IL TRM Administrator must consider NTG and lifetime assumptions and</w:t>
      </w:r>
      <w:r w:rsidR="001A0729">
        <w:t>,</w:t>
      </w:r>
      <w:r>
        <w:t xml:space="preserve"> if consensus is reached</w:t>
      </w:r>
      <w:r w:rsidR="001A0729">
        <w:t>,</w:t>
      </w:r>
      <w:r>
        <w:t xml:space="preserve"> apply coordinated adjustments to the TRM at that time (if consensus is not reached the most recent NTG evaluation results for these measures will be applied). Any mid-year adjustments to the TRM and NTG would be applied for all installs beginning 30 days after agreement is reached, rather than waiting for the next TRM update.</w:t>
      </w:r>
    </w:p>
    <w:bookmarkEnd w:id="184"/>
    <w:p w14:paraId="74547044" w14:textId="70B2F285"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and replacement lamp market. Therefore</w:t>
      </w:r>
      <w:r w:rsidR="00D0704C">
        <w:t>,</w:t>
      </w:r>
      <w:r>
        <w:t xml:space="preserve"> the timing of the sunsetting of T-12s as a viable baseline was pushed back in </w:t>
      </w:r>
      <w:r w:rsidR="00AD41E1">
        <w:t>v</w:t>
      </w:r>
      <w:r w:rsidR="00DC5FE6">
        <w:t>7</w:t>
      </w:r>
      <w:r w:rsidR="00AD41E1">
        <w:t>.0 to 1/1/20</w:t>
      </w:r>
      <w:r w:rsidR="00DC5FE6">
        <w:t>20</w:t>
      </w:r>
      <w:r>
        <w:t>, and will be revisited in future update sessions</w:t>
      </w:r>
      <w:r w:rsidR="000B1C7C">
        <w:t xml:space="preserve"> </w:t>
      </w:r>
      <w:bookmarkStart w:id="185" w:name="_Hlk524059859"/>
      <w:r w:rsidR="000B1C7C">
        <w:t>and incorporate findings from any baseline studies conducted through the year</w:t>
      </w:r>
      <w:bookmarkEnd w:id="185"/>
      <w:r>
        <w:t xml:space="preserve">. </w:t>
      </w:r>
      <w:bookmarkStart w:id="186" w:name="_Toc517864220"/>
      <w:bookmarkStart w:id="187" w:name="_Toc517864356"/>
      <w:bookmarkEnd w:id="186"/>
      <w:bookmarkEnd w:id="187"/>
    </w:p>
    <w:p w14:paraId="273CBDD3" w14:textId="77777777" w:rsidR="00B55FE0" w:rsidRDefault="00B55FE0" w:rsidP="00D96C8D">
      <w:pPr>
        <w:pStyle w:val="Heading3"/>
      </w:pPr>
      <w:bookmarkStart w:id="188" w:name="_Toc437594090"/>
      <w:bookmarkStart w:id="189" w:name="_Toc437856303"/>
      <w:bookmarkStart w:id="190" w:name="_Toc437957201"/>
      <w:bookmarkStart w:id="191" w:name="_Toc438040364"/>
      <w:bookmarkStart w:id="192" w:name="_Toc524594128"/>
      <w:r>
        <w:t>Early Replacement Baseline Assumptions</w:t>
      </w:r>
      <w:bookmarkEnd w:id="188"/>
      <w:bookmarkEnd w:id="189"/>
      <w:bookmarkEnd w:id="190"/>
      <w:bookmarkEnd w:id="191"/>
      <w:bookmarkEnd w:id="192"/>
    </w:p>
    <w:p w14:paraId="7C4255A4" w14:textId="77777777" w:rsidR="00230497" w:rsidRDefault="00230497" w:rsidP="00230497">
      <w:r>
        <w:t>A series of measures have an option to choose an Early Replacement Baseline if the following conditions are met:</w:t>
      </w:r>
    </w:p>
    <w:p w14:paraId="17DC6A71" w14:textId="77777777" w:rsidR="00230497" w:rsidRPr="00EC337A" w:rsidRDefault="00230497" w:rsidP="00230497">
      <w:pPr>
        <w:pStyle w:val="ListParagraph"/>
        <w:spacing w:after="240"/>
        <w:ind w:firstLine="720"/>
        <w:rPr>
          <w:rFonts w:cstheme="minorHAnsi"/>
        </w:rPr>
      </w:pPr>
      <w:r w:rsidRPr="00EC337A">
        <w:rPr>
          <w:rFonts w:cstheme="minorHAnsi"/>
        </w:rPr>
        <w:t>Early Replacement determination will be based on meeting the following conditions:</w:t>
      </w:r>
    </w:p>
    <w:p w14:paraId="7DEC403F" w14:textId="77777777" w:rsidR="00230497" w:rsidRPr="00EC337A" w:rsidRDefault="00230497" w:rsidP="00230497">
      <w:pPr>
        <w:pStyle w:val="ListParagraph"/>
        <w:numPr>
          <w:ilvl w:val="2"/>
          <w:numId w:val="20"/>
        </w:numPr>
        <w:spacing w:after="240"/>
        <w:rPr>
          <w:rFonts w:cstheme="minorHAnsi"/>
        </w:rPr>
      </w:pPr>
      <w:r w:rsidRPr="00EC337A">
        <w:rPr>
          <w:rFonts w:cstheme="minorHAnsi"/>
        </w:rPr>
        <w:t>The existing unit is operational when replaced, or</w:t>
      </w:r>
    </w:p>
    <w:p w14:paraId="6B69B0DD" w14:textId="77777777" w:rsidR="00230497" w:rsidRDefault="00230497" w:rsidP="00230497">
      <w:pPr>
        <w:pStyle w:val="ListParagraph"/>
        <w:numPr>
          <w:ilvl w:val="2"/>
          <w:numId w:val="20"/>
        </w:numPr>
        <w:spacing w:after="240"/>
        <w:rPr>
          <w:rFonts w:cstheme="minorHAnsi"/>
        </w:rPr>
      </w:pPr>
      <w:r w:rsidRPr="00EC337A">
        <w:rPr>
          <w:rFonts w:cstheme="minorHAnsi"/>
        </w:rPr>
        <w:t>The existin</w:t>
      </w:r>
      <w:r>
        <w:rPr>
          <w:rFonts w:cstheme="minorHAnsi"/>
        </w:rPr>
        <w:t>g unit requires minor repairs (see table below</w:t>
      </w:r>
      <w:r w:rsidRPr="00EC337A">
        <w:rPr>
          <w:rFonts w:cstheme="minorHAnsi"/>
        </w:rPr>
        <w:t>)</w:t>
      </w:r>
      <w:r w:rsidRPr="00AD701A">
        <w:rPr>
          <w:rStyle w:val="Heading4Char"/>
        </w:rPr>
        <w:t xml:space="preserve"> </w:t>
      </w:r>
      <w:r>
        <w:rPr>
          <w:rStyle w:val="FootnoteReference"/>
          <w:rFonts w:eastAsiaTheme="minorEastAsia"/>
        </w:rPr>
        <w:footnoteReference w:id="24"/>
      </w:r>
      <w:r w:rsidRPr="00EC337A">
        <w:rPr>
          <w:rFonts w:cstheme="minorHAnsi"/>
        </w:rPr>
        <w:t xml:space="preserve">. </w:t>
      </w:r>
    </w:p>
    <w:tbl>
      <w:tblPr>
        <w:tblW w:w="4779" w:type="dxa"/>
        <w:jc w:val="center"/>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F613D9">
            <w:pPr>
              <w:spacing w:after="0"/>
              <w:jc w:val="center"/>
              <w:rPr>
                <w:b/>
                <w:color w:val="FFFFFF" w:themeColor="background1"/>
              </w:rPr>
            </w:pPr>
            <w:r>
              <w:rPr>
                <w:b/>
                <w:color w:val="FFFFFF" w:themeColor="background1"/>
              </w:rPr>
              <w:t>Maximum repair cost</w:t>
            </w:r>
          </w:p>
        </w:tc>
      </w:tr>
      <w:tr w:rsidR="00230497" w:rsidRPr="00FD1AF1" w14:paraId="4FEA852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A2076A" w14:textId="77777777" w:rsidR="00230497" w:rsidRPr="00FD1AF1" w:rsidRDefault="00230497" w:rsidP="00F613D9">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031286" w14:textId="77777777" w:rsidR="00230497" w:rsidRPr="00FD1AF1" w:rsidRDefault="00230497" w:rsidP="00F613D9">
            <w:pPr>
              <w:spacing w:after="0"/>
              <w:jc w:val="center"/>
            </w:pPr>
            <w:r>
              <w:t>$918</w:t>
            </w:r>
          </w:p>
        </w:tc>
      </w:tr>
      <w:tr w:rsidR="00230497" w:rsidRPr="00FD1AF1" w14:paraId="59257EE1"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03C61E" w14:textId="77777777" w:rsidR="00230497" w:rsidRPr="00FD1AF1" w:rsidRDefault="00230497" w:rsidP="00F613D9">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D464A2" w14:textId="77777777" w:rsidR="00230497" w:rsidRPr="00FD1AF1" w:rsidRDefault="00230497" w:rsidP="00F613D9">
            <w:pPr>
              <w:spacing w:after="0"/>
              <w:jc w:val="center"/>
            </w:pPr>
            <w:r>
              <w:t>$734</w:t>
            </w:r>
          </w:p>
        </w:tc>
      </w:tr>
      <w:tr w:rsidR="00230497" w:rsidRPr="00FD1AF1" w14:paraId="7FC6D085"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816A76" w14:textId="77777777" w:rsidR="00230497" w:rsidRPr="00FD1AF1" w:rsidRDefault="00230497" w:rsidP="00F613D9">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DDF9DA" w14:textId="77777777" w:rsidR="00230497" w:rsidRPr="00FD1AF1" w:rsidRDefault="00230497" w:rsidP="00F613D9">
            <w:pPr>
              <w:spacing w:after="0"/>
              <w:jc w:val="center"/>
            </w:pPr>
            <w:r w:rsidRPr="00FD1AF1">
              <w:t>$709</w:t>
            </w:r>
          </w:p>
        </w:tc>
      </w:tr>
      <w:tr w:rsidR="00230497" w:rsidRPr="00FD1AF1" w14:paraId="26AC9572"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3A8497" w14:textId="77777777" w:rsidR="00230497" w:rsidRPr="00FD1AF1" w:rsidRDefault="00230497" w:rsidP="00F613D9">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FD5B84" w14:textId="77777777" w:rsidR="00230497" w:rsidRPr="00FD1AF1" w:rsidRDefault="00230497" w:rsidP="00F613D9">
            <w:pPr>
              <w:spacing w:after="0"/>
              <w:jc w:val="center"/>
            </w:pPr>
            <w:r w:rsidRPr="00FD1AF1">
              <w:t>$528</w:t>
            </w:r>
          </w:p>
        </w:tc>
      </w:tr>
      <w:tr w:rsidR="00230497" w:rsidRPr="00FD1AF1" w14:paraId="092DED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EDFC9F" w14:textId="77777777" w:rsidR="00230497" w:rsidRPr="00FD1AF1" w:rsidRDefault="00230497" w:rsidP="00F613D9">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01412B" w14:textId="77777777" w:rsidR="00230497" w:rsidRPr="00FD1AF1" w:rsidRDefault="00230497" w:rsidP="00F613D9">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986C87">
      <w:pPr>
        <w:pStyle w:val="ListParagraph"/>
        <w:numPr>
          <w:ilvl w:val="2"/>
          <w:numId w:val="20"/>
        </w:numPr>
        <w:contextualSpacing w:val="0"/>
        <w:rPr>
          <w:rFonts w:cstheme="minorHAnsi"/>
        </w:rPr>
      </w:pPr>
      <w:r w:rsidRPr="00EC337A">
        <w:rPr>
          <w:rFonts w:cstheme="minorHAnsi"/>
        </w:rPr>
        <w:t>All other conditions will be considered Time of Sale.</w:t>
      </w:r>
    </w:p>
    <w:p w14:paraId="33CFC620" w14:textId="77777777" w:rsidR="00230497" w:rsidRPr="00EC337A" w:rsidRDefault="00230497" w:rsidP="00986C87">
      <w:pPr>
        <w:pStyle w:val="ListParagraph"/>
        <w:ind w:firstLine="720"/>
        <w:contextualSpacing w:val="0"/>
        <w:rPr>
          <w:rFonts w:cstheme="minorHAnsi"/>
        </w:rPr>
      </w:pPr>
      <w:r w:rsidRPr="00EC337A">
        <w:rPr>
          <w:rFonts w:cstheme="minorHAnsi"/>
        </w:rPr>
        <w:t xml:space="preserve">The Baseline </w:t>
      </w:r>
      <w:r>
        <w:rPr>
          <w:rFonts w:cstheme="minorHAnsi"/>
        </w:rPr>
        <w:t>efficiency</w:t>
      </w:r>
      <w:r w:rsidRPr="00EC337A">
        <w:rPr>
          <w:rFonts w:cstheme="minorHAnsi"/>
        </w:rPr>
        <w:t xml:space="preserve"> of the existing unit replaced:</w:t>
      </w:r>
    </w:p>
    <w:p w14:paraId="44F097E3" w14:textId="77777777" w:rsidR="00230497" w:rsidRDefault="00230497" w:rsidP="00986C87">
      <w:pPr>
        <w:pStyle w:val="ListParagraph"/>
        <w:numPr>
          <w:ilvl w:val="2"/>
          <w:numId w:val="21"/>
        </w:numPr>
        <w:contextualSpacing w:val="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F613D9">
      <w:pPr>
        <w:pStyle w:val="ListParagraph"/>
        <w:numPr>
          <w:ilvl w:val="2"/>
          <w:numId w:val="21"/>
        </w:numPr>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p>
    <w:p w14:paraId="3A30F8A6" w14:textId="77777777" w:rsidR="00B55FE0" w:rsidRPr="00931B9F" w:rsidRDefault="00B55FE0" w:rsidP="00D96C8D">
      <w:pPr>
        <w:pStyle w:val="Heading3"/>
      </w:pPr>
      <w:bookmarkStart w:id="193" w:name="_Toc437594091"/>
      <w:bookmarkStart w:id="194" w:name="_Toc437856304"/>
      <w:bookmarkStart w:id="195" w:name="_Toc437957202"/>
      <w:bookmarkStart w:id="196" w:name="_Toc438040365"/>
      <w:bookmarkStart w:id="197" w:name="_Toc524594129"/>
      <w:r>
        <w:t>Furnace Baseline</w:t>
      </w:r>
      <w:bookmarkEnd w:id="193"/>
      <w:bookmarkEnd w:id="194"/>
      <w:bookmarkEnd w:id="195"/>
      <w:bookmarkEnd w:id="196"/>
      <w:bookmarkEnd w:id="197"/>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3735406C" w14:textId="32D9E61A" w:rsidR="00230497" w:rsidRDefault="00230497" w:rsidP="004459FF">
      <w:pPr>
        <w:widowControl/>
        <w:shd w:val="clear" w:color="auto" w:fill="FFFFFF"/>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Pr>
          <w:rFonts w:cstheme="minorHAnsi"/>
          <w:color w:val="000000"/>
          <w:szCs w:val="20"/>
        </w:rPr>
        <w:t xml:space="preserve"> 2013</w:t>
      </w:r>
      <w:r w:rsidRPr="009D4A5F">
        <w:rPr>
          <w:rFonts w:cstheme="minorHAnsi"/>
          <w:color w:val="000000"/>
          <w:szCs w:val="20"/>
        </w:rPr>
        <w:t>,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Even if DOE completes a new rulemaking in two years, it's unlikely to take effect before 2020.</w:t>
      </w:r>
      <w:r>
        <w:rPr>
          <w:rStyle w:val="FootnoteReference"/>
          <w:color w:val="000000"/>
          <w:szCs w:val="20"/>
        </w:rPr>
        <w:footnoteReference w:id="25"/>
      </w:r>
    </w:p>
    <w:p w14:paraId="10F5343F" w14:textId="77777777" w:rsidR="00230497" w:rsidRPr="00713628" w:rsidRDefault="00230497" w:rsidP="004459FF">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9E21387" w14:textId="77777777" w:rsidR="00230497" w:rsidRDefault="00230497" w:rsidP="004459FF">
      <w:pPr>
        <w:rPr>
          <w:rFonts w:cstheme="minorHAnsi"/>
          <w:szCs w:val="20"/>
        </w:rPr>
      </w:pPr>
      <w:r>
        <w:rPr>
          <w:rFonts w:cstheme="minorHAnsi"/>
          <w:szCs w:val="20"/>
        </w:rPr>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757CB273" w14:textId="77777777" w:rsidR="00B55FE0" w:rsidRDefault="00B55FE0" w:rsidP="00D96C8D">
      <w:pPr>
        <w:pStyle w:val="Heading2"/>
      </w:pPr>
      <w:bookmarkStart w:id="198" w:name="_Toc442974687"/>
      <w:bookmarkStart w:id="199" w:name="_Toc442974807"/>
      <w:bookmarkStart w:id="200" w:name="_Toc333218995"/>
      <w:bookmarkStart w:id="201" w:name="_Toc437594092"/>
      <w:bookmarkStart w:id="202" w:name="_Toc437856305"/>
      <w:bookmarkStart w:id="203" w:name="_Toc437957203"/>
      <w:bookmarkStart w:id="204" w:name="_Toc438040366"/>
      <w:bookmarkStart w:id="205" w:name="_Toc524594130"/>
      <w:bookmarkEnd w:id="176"/>
      <w:bookmarkEnd w:id="177"/>
      <w:bookmarkEnd w:id="198"/>
      <w:bookmarkEnd w:id="199"/>
      <w:r>
        <w:t>Glossary</w:t>
      </w:r>
      <w:bookmarkEnd w:id="200"/>
      <w:bookmarkEnd w:id="201"/>
      <w:bookmarkEnd w:id="202"/>
      <w:bookmarkEnd w:id="203"/>
      <w:bookmarkEnd w:id="204"/>
      <w:bookmarkEnd w:id="205"/>
    </w:p>
    <w:p w14:paraId="4C866F9E" w14:textId="77777777" w:rsidR="00230497" w:rsidRPr="00AA7271" w:rsidRDefault="00230497" w:rsidP="00230497">
      <w:pPr>
        <w:spacing w:after="240"/>
        <w:rPr>
          <w:szCs w:val="20"/>
        </w:rPr>
      </w:pPr>
      <w:r w:rsidRPr="00AA7271">
        <w:rPr>
          <w:b/>
          <w:szCs w:val="20"/>
        </w:rPr>
        <w:t xml:space="preserve">Baseline Efficiency: </w:t>
      </w:r>
      <w:r w:rsidRPr="00AA7271">
        <w:rPr>
          <w:szCs w:val="20"/>
        </w:rPr>
        <w:t>The assumed standard efficiency of equipment, absent an efficiency program.</w:t>
      </w:r>
    </w:p>
    <w:p w14:paraId="5C74DD9C" w14:textId="77777777" w:rsidR="00230497" w:rsidRDefault="00230497" w:rsidP="00F613D9">
      <w:pPr>
        <w:rPr>
          <w:b/>
          <w:szCs w:val="20"/>
        </w:rPr>
      </w:pPr>
      <w:r w:rsidRPr="00AA7271">
        <w:rPr>
          <w:b/>
          <w:szCs w:val="20"/>
        </w:rPr>
        <w:t>Building Types</w:t>
      </w:r>
      <w:r w:rsidRPr="00AA7271">
        <w:rPr>
          <w:rFonts w:ascii="Arial" w:hAnsi="Arial"/>
          <w:b/>
          <w:vertAlign w:val="superscript"/>
        </w:rPr>
        <w:footnoteReference w:id="26"/>
      </w:r>
      <w:r w:rsidRPr="00AA7271">
        <w:rPr>
          <w:b/>
          <w:szCs w:val="20"/>
        </w:rPr>
        <w:t>:</w:t>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77777777" w:rsidR="00230497" w:rsidRPr="00AA7271" w:rsidRDefault="00230497" w:rsidP="00F613D9">
            <w:pPr>
              <w:spacing w:after="0"/>
              <w:jc w:val="left"/>
            </w:pPr>
            <w:r w:rsidRPr="00AA7271">
              <w:t>Assisted Living MultiFamily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77777777" w:rsidR="00230497" w:rsidRPr="00AA7271" w:rsidRDefault="00230497" w:rsidP="00F613D9">
            <w:pPr>
              <w:spacing w:after="0"/>
              <w:rPr>
                <w:szCs w:val="16"/>
              </w:rPr>
            </w:pPr>
            <w:r w:rsidRPr="00AA7271">
              <w:t>Applies to a school serving children In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230497"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230497" w:rsidRPr="00AA7271" w:rsidRDefault="00230497" w:rsidP="00F613D9">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230497" w:rsidRPr="00AA7271" w:rsidRDefault="00230497" w:rsidP="00F613D9">
            <w:pPr>
              <w:spacing w:after="0"/>
              <w:rPr>
                <w:szCs w:val="16"/>
              </w:rPr>
            </w:pPr>
            <w:r w:rsidRPr="00AA7271">
              <w:t>Applies to unconditioned spaces that are outside of the building envelope.</w:t>
            </w:r>
          </w:p>
        </w:tc>
      </w:tr>
      <w:tr w:rsidR="00230497"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230497" w:rsidRPr="00AA7271" w:rsidRDefault="00230497" w:rsidP="00F613D9">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230497" w:rsidRPr="00AA7271" w:rsidRDefault="00230497" w:rsidP="00F613D9">
            <w:pPr>
              <w:spacing w:after="0"/>
              <w:rPr>
                <w:szCs w:val="16"/>
              </w:rPr>
            </w:pPr>
            <w:r w:rsidRPr="00AA7271">
              <w:t>Applies to unconditioned spaces either attached or detached from the primary building envelope that are not used for living space.</w:t>
            </w:r>
          </w:p>
        </w:tc>
      </w:tr>
      <w:tr w:rsidR="00230497"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230497" w:rsidRPr="00AA7271" w:rsidRDefault="00230497" w:rsidP="00F613D9">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230497" w:rsidRPr="00AA7271" w:rsidRDefault="00230497" w:rsidP="00F613D9">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230497"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230497" w:rsidRPr="00AA7271" w:rsidRDefault="00230497" w:rsidP="00F613D9">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230497" w:rsidRPr="00AA7271" w:rsidRDefault="00230497" w:rsidP="00F613D9">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230497"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230497" w:rsidRPr="00AA7271" w:rsidRDefault="00230497" w:rsidP="00F613D9">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77777777" w:rsidR="00230497" w:rsidRPr="00AA7271" w:rsidRDefault="00230497" w:rsidP="00F613D9">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230497"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230497" w:rsidRPr="00AA7271" w:rsidRDefault="00230497" w:rsidP="00F613D9">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230497" w:rsidRPr="00AA7271" w:rsidRDefault="00230497" w:rsidP="00F613D9">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230497" w:rsidRPr="00AA7271" w:rsidRDefault="00230497" w:rsidP="00F613D9">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230497"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230497" w:rsidRPr="00AA7271" w:rsidRDefault="00230497" w:rsidP="00F613D9">
            <w:pPr>
              <w:spacing w:after="0"/>
              <w:jc w:val="left"/>
              <w:rPr>
                <w:szCs w:val="16"/>
              </w:rPr>
            </w:pPr>
            <w:r w:rsidRPr="00AA7271">
              <w:t xml:space="preserve">Hotel/Motel Combined </w:t>
            </w:r>
          </w:p>
          <w:p w14:paraId="00091FF5" w14:textId="77777777" w:rsidR="00230497" w:rsidRPr="00AA7271" w:rsidRDefault="00230497" w:rsidP="00F613D9">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230497" w:rsidRDefault="00230497" w:rsidP="00F613D9">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230497" w:rsidRDefault="00230497" w:rsidP="00F613D9">
            <w:pPr>
              <w:spacing w:after="0"/>
            </w:pPr>
            <w:r>
              <w:t>Where distinction between Hotel and Motel is necessary:</w:t>
            </w:r>
          </w:p>
          <w:p w14:paraId="1BA306B6" w14:textId="77777777" w:rsidR="00230497" w:rsidRDefault="00230497" w:rsidP="00F613D9">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230497" w:rsidRPr="003A7007" w:rsidRDefault="00230497" w:rsidP="00F613D9">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230497"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230497" w:rsidRPr="00AA7271" w:rsidRDefault="00230497" w:rsidP="00F613D9">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230497" w:rsidRPr="00AA7271" w:rsidRDefault="00230497" w:rsidP="00F613D9">
            <w:pPr>
              <w:spacing w:after="0"/>
              <w:rPr>
                <w:szCs w:val="16"/>
              </w:rPr>
            </w:pPr>
            <w:r w:rsidRPr="00AA7271">
              <w:t>All the common areas open to guests of the hotel such as the lobby, corridors and stairways, and other spaces that may have continuous or large lighting and HVAC hours.</w:t>
            </w:r>
          </w:p>
        </w:tc>
      </w:tr>
      <w:tr w:rsidR="00230497"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230497" w:rsidRPr="00AA7271" w:rsidRDefault="00230497" w:rsidP="00F613D9">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230497" w:rsidRPr="00AA7271" w:rsidRDefault="00230497" w:rsidP="00F613D9">
            <w:pPr>
              <w:spacing w:after="0"/>
              <w:rPr>
                <w:szCs w:val="16"/>
              </w:rPr>
            </w:pPr>
            <w:r w:rsidRPr="00AA7271">
              <w:t>Applies to the guest rooms of the hotel or motel. These spaces are occupied intermitt</w:t>
            </w:r>
            <w:r w:rsidR="008E4D75">
              <w:t>e</w:t>
            </w:r>
            <w:r w:rsidRPr="00AA7271">
              <w:t xml:space="preserve">ntly. </w:t>
            </w:r>
          </w:p>
        </w:tc>
      </w:tr>
      <w:tr w:rsidR="00230497"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230497" w:rsidRPr="00AA7271" w:rsidRDefault="00230497" w:rsidP="00F613D9">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230497" w:rsidRPr="00AA7271" w:rsidRDefault="00230497" w:rsidP="00F613D9">
            <w:pPr>
              <w:spacing w:after="0"/>
            </w:pPr>
            <w:r>
              <w:t>Any business type with low (&lt;3000) operating hours (provided as option in lighting measures).</w:t>
            </w:r>
          </w:p>
        </w:tc>
      </w:tr>
      <w:tr w:rsidR="000249A3"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0249A3" w:rsidRPr="00AA7271" w:rsidRDefault="000249A3" w:rsidP="00F613D9">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0249A3" w:rsidRPr="00AA7271" w:rsidRDefault="000249A3" w:rsidP="00F613D9">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230497"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230497" w:rsidRPr="00AA7271" w:rsidRDefault="00230497" w:rsidP="00F613D9">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230497" w:rsidRPr="00AA7271" w:rsidRDefault="00230497" w:rsidP="00F613D9">
            <w:pPr>
              <w:spacing w:after="0"/>
              <w:rPr>
                <w:szCs w:val="16"/>
              </w:rPr>
            </w:pPr>
            <w:r w:rsidRPr="00AA7271">
              <w:t>Applies to spaces that do not fit clearly within any available categories should be designated as “miscellaneous”.</w:t>
            </w:r>
          </w:p>
        </w:tc>
      </w:tr>
      <w:tr w:rsidR="00A25AD7"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A25AD7" w:rsidRPr="00AA7271" w:rsidRDefault="00A25AD7" w:rsidP="00F613D9">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A25AD7" w:rsidRDefault="00A25AD7" w:rsidP="00F613D9">
            <w:pPr>
              <w:spacing w:after="0"/>
            </w:pPr>
            <w:r w:rsidRPr="0028042F">
              <w:t xml:space="preserve">A mobile home is a prefabricated structure, built in a factory on a permanently attached chassis before being transported to site. </w:t>
            </w:r>
          </w:p>
          <w:p w14:paraId="1C379CD4" w14:textId="7877DA58" w:rsidR="00A25AD7" w:rsidRDefault="00A25AD7" w:rsidP="00F613D9">
            <w:pPr>
              <w:spacing w:after="0"/>
            </w:pPr>
            <w:r>
              <w:t>Use single family assumptions throughout the TRM unless otherwise specified.</w:t>
            </w:r>
          </w:p>
        </w:tc>
      </w:tr>
      <w:tr w:rsidR="00A25AD7"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A25AD7" w:rsidRPr="00AA7271" w:rsidRDefault="00A25AD7" w:rsidP="00A25AD7">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A25AD7" w:rsidRDefault="00A25AD7" w:rsidP="00A25AD7">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230497"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230497" w:rsidRPr="00AA7271" w:rsidRDefault="00230497" w:rsidP="00F613D9">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230497" w:rsidRPr="00AA7271" w:rsidRDefault="00230497" w:rsidP="00F613D9">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230497"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230497" w:rsidRPr="00AA7271" w:rsidRDefault="00230497" w:rsidP="00F613D9">
            <w:pPr>
              <w:spacing w:after="0"/>
              <w:jc w:val="left"/>
              <w:rPr>
                <w:szCs w:val="16"/>
              </w:rPr>
            </w:pPr>
            <w:r w:rsidRPr="00AA7271">
              <w:t xml:space="preserve">Multifamily-High Rise Combined </w:t>
            </w:r>
          </w:p>
          <w:p w14:paraId="62EAAA21" w14:textId="77777777" w:rsidR="00230497" w:rsidRPr="00AA7271" w:rsidRDefault="00230497" w:rsidP="00F613D9">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230497" w:rsidRPr="00AA7271" w:rsidRDefault="00230497" w:rsidP="00F613D9">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230497"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230497" w:rsidRPr="00AA7271" w:rsidRDefault="00230497" w:rsidP="00F613D9">
            <w:pPr>
              <w:spacing w:after="0"/>
              <w:jc w:val="left"/>
            </w:pPr>
            <w:r w:rsidRPr="00AA7271">
              <w:t>Multifamily-High Rise</w:t>
            </w:r>
          </w:p>
          <w:p w14:paraId="5860BB86" w14:textId="77777777" w:rsidR="00230497" w:rsidRPr="00AA7271" w:rsidRDefault="00230497" w:rsidP="00F613D9">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230497" w:rsidRPr="00AA7271" w:rsidRDefault="00230497" w:rsidP="00F613D9">
            <w:pPr>
              <w:spacing w:after="0"/>
              <w:rPr>
                <w:szCs w:val="16"/>
              </w:rPr>
            </w:pPr>
            <w:r w:rsidRPr="00AA7271">
              <w:t>All the common areas open to occupants of the building such as the lobby, corridors and stairways, and other spaces that may have continuous or high lighting and HVAC hours.</w:t>
            </w:r>
          </w:p>
        </w:tc>
      </w:tr>
      <w:tr w:rsidR="00230497"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230497" w:rsidRPr="00AA7271" w:rsidRDefault="00230497" w:rsidP="00F613D9">
            <w:pPr>
              <w:spacing w:after="0"/>
              <w:jc w:val="left"/>
            </w:pPr>
            <w:r w:rsidRPr="00AA7271">
              <w:t>Multifamily-High Rise</w:t>
            </w:r>
          </w:p>
          <w:p w14:paraId="1B3CC293" w14:textId="77777777" w:rsidR="00230497" w:rsidRPr="00AA7271" w:rsidRDefault="00230497" w:rsidP="00F613D9">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230497" w:rsidRPr="00AA7271" w:rsidRDefault="00230497" w:rsidP="00F613D9">
            <w:pPr>
              <w:spacing w:after="0"/>
              <w:rPr>
                <w:szCs w:val="16"/>
              </w:rPr>
            </w:pPr>
            <w:r w:rsidRPr="00AA7271">
              <w:t>Applies to the residential units in the building only.</w:t>
            </w:r>
          </w:p>
        </w:tc>
      </w:tr>
      <w:tr w:rsidR="00230497"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230497" w:rsidRPr="00AA7271" w:rsidRDefault="00230497" w:rsidP="00F613D9">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230497" w:rsidRPr="00AA7271" w:rsidRDefault="00230497" w:rsidP="00F613D9">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230497" w:rsidRPr="00AA7271" w:rsidRDefault="00230497" w:rsidP="00F613D9">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230497" w:rsidRPr="00AA7271" w:rsidRDefault="00230497" w:rsidP="00F613D9">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230497" w:rsidRPr="00AA7271" w:rsidRDefault="00230497" w:rsidP="00F613D9">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230497" w:rsidRPr="00AA7271" w:rsidRDefault="00230497" w:rsidP="00F613D9">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77777777" w:rsidR="00230497" w:rsidRPr="00AA7271" w:rsidRDefault="00230497" w:rsidP="00F613D9">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230497" w:rsidRPr="00AA7271" w:rsidRDefault="00230497" w:rsidP="00F613D9">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230497"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230497" w:rsidRPr="00AA7271" w:rsidRDefault="00230497" w:rsidP="00F613D9">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230497" w:rsidRPr="00AA7271" w:rsidRDefault="00230497" w:rsidP="00F613D9">
            <w:pPr>
              <w:spacing w:after="0"/>
              <w:rPr>
                <w:szCs w:val="16"/>
              </w:rPr>
            </w:pPr>
            <w:r w:rsidRPr="00AA7271">
              <w:t>Applies to a subcategory of Retail/Service space that is used to provide commercial food services to individual customers, and includes kitchen, dining, and common areas.</w:t>
            </w:r>
          </w:p>
        </w:tc>
      </w:tr>
      <w:tr w:rsidR="00230497"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230497" w:rsidRPr="00AA7271" w:rsidRDefault="00230497" w:rsidP="00F613D9">
            <w:pPr>
              <w:spacing w:after="0"/>
              <w:jc w:val="left"/>
              <w:rPr>
                <w:szCs w:val="16"/>
              </w:rPr>
            </w:pPr>
            <w:r w:rsidRPr="00AA7271">
              <w:t>Retail/Service-</w:t>
            </w:r>
          </w:p>
          <w:p w14:paraId="0874FE51" w14:textId="77777777" w:rsidR="00230497" w:rsidRPr="00AA7271" w:rsidRDefault="00230497" w:rsidP="00F613D9">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77777777" w:rsidR="00230497" w:rsidRPr="00AA7271" w:rsidRDefault="00230497" w:rsidP="00F613D9">
            <w:pPr>
              <w:spacing w:after="0"/>
              <w:rPr>
                <w:szCs w:val="16"/>
              </w:rPr>
            </w:pPr>
            <w:r w:rsidRPr="00AA7271">
              <w:t>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Drug Stores, Dollar Stores, Home Center/Hardware Stores, and Apparel/Hard Line Specialty Stores (e.g., books, clothing, office products, toys, home goods, electronics). Retail segments excluded under this definition are: Grocery, Convenience Stores, Automobile Dealerships, and Restaurants.</w:t>
            </w:r>
          </w:p>
        </w:tc>
      </w:tr>
      <w:tr w:rsidR="00230497"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230497" w:rsidRPr="00986C87" w:rsidRDefault="00230497" w:rsidP="00F613D9">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77777777" w:rsidR="00230497" w:rsidRPr="00AA7271" w:rsidRDefault="00230497" w:rsidP="00F613D9">
            <w:pPr>
              <w:spacing w:after="0"/>
              <w:rPr>
                <w:szCs w:val="16"/>
              </w:rPr>
            </w:pPr>
            <w:r w:rsidRPr="00AA7271">
              <w:t>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Convenience Stores, Automobile Dealerships, and Restaurants.</w:t>
            </w:r>
          </w:p>
        </w:tc>
      </w:tr>
      <w:tr w:rsidR="00230497"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230497" w:rsidRPr="00AA7271" w:rsidRDefault="00230497" w:rsidP="00F613D9">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7777777" w:rsidR="00230497" w:rsidRPr="00AA7271" w:rsidRDefault="00230497" w:rsidP="00F613D9">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 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77777777"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Pr="00AA7271">
        <w:rPr>
          <w:rFonts w:ascii="Arial" w:hAnsi="Arial"/>
          <w:vertAlign w:val="superscript"/>
        </w:rPr>
        <w:footnoteReference w:id="27"/>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77777777" w:rsidR="00230497" w:rsidRPr="00AA7271" w:rsidRDefault="00230497" w:rsidP="00F613D9">
      <w:pPr>
        <w:rPr>
          <w:szCs w:val="20"/>
        </w:rPr>
      </w:pPr>
      <w:r w:rsidRPr="00AA7271">
        <w:rPr>
          <w:b/>
          <w:szCs w:val="20"/>
        </w:rPr>
        <w:t>Default Value</w:t>
      </w:r>
      <w:r w:rsidRPr="00AA7271">
        <w:rPr>
          <w:szCs w:val="20"/>
        </w:rPr>
        <w:t>: When a measure indicates that an input to a prescriptive saving algorithm may take on a range of values, an average value is also provided in many cases.  This value is considered the default input to the algorithm, and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77777777" w:rsidR="00230497" w:rsidRPr="00AA7271" w:rsidRDefault="00230497" w:rsidP="00F613D9">
      <w:pPr>
        <w:rPr>
          <w:szCs w:val="20"/>
        </w:rPr>
      </w:pPr>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51D32BA9" w14:textId="77777777" w:rsidR="00230497" w:rsidRPr="00AA7271" w:rsidRDefault="00230497" w:rsidP="00F613D9">
      <w:r w:rsidRPr="00AA7271">
        <w:rPr>
          <w:b/>
          <w:szCs w:val="20"/>
        </w:rPr>
        <w:t>Lifetime</w:t>
      </w:r>
      <w:r w:rsidRPr="00AA7271">
        <w:rPr>
          <w:szCs w:val="20"/>
        </w:rPr>
        <w:t xml:space="preserve">:  The number of years (or hours) that the new high efficiency equipment is expected to function. These are generally based on engineering lives, but sometimes adjusted based on expectations about frequency of removal, remodeling or demolition.  Two important distinctions fall under this definition; </w:t>
      </w:r>
      <w:r w:rsidRPr="00AA7271">
        <w:t>Effective Useful Life (EUL) and Remaining Useful Life (RUL).</w:t>
      </w:r>
    </w:p>
    <w:p w14:paraId="2D3ECCD6" w14:textId="77777777" w:rsidR="00230497" w:rsidRPr="00AA7271" w:rsidRDefault="00230497" w:rsidP="00986C87">
      <w:pPr>
        <w:spacing w:after="60"/>
        <w:ind w:left="720"/>
      </w:pPr>
      <w:r w:rsidRPr="00AA7271">
        <w:rPr>
          <w:b/>
        </w:rPr>
        <w:t>EUL</w:t>
      </w:r>
      <w:r w:rsidRPr="00AA7271">
        <w:t xml:space="preserve"> – EUL is based on the manufacturers rating of the effective useful life; how long the equipment will last.  For example, a CFL that operates x hours per year will typically have an EUL of y.  A house boiler may have a lifetime of 20 years but the EUL is only 15 years since after that time it may be operating at a non-efficient point. An estimate of the median number of years that the measures installed under a program are still in place and operable.</w:t>
      </w:r>
    </w:p>
    <w:p w14:paraId="5D44EA6F" w14:textId="77777777" w:rsidR="00230497" w:rsidRPr="00AA7271" w:rsidRDefault="00230497" w:rsidP="00F613D9">
      <w:pPr>
        <w:ind w:left="720"/>
      </w:pPr>
      <w:r w:rsidRPr="00AA7271">
        <w:rPr>
          <w:b/>
        </w:rPr>
        <w:t>RUL</w:t>
      </w:r>
      <w:r w:rsidRPr="00AA7271">
        <w:t xml:space="preserve"> – Applies to retrofit or replacement measures.  For example, if an existing working refrigerator is replaced with a high efficiency unit, the RUL is an assumption of how many more years the existing unit would have lasted. As a general rule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7D7E11C6" w14:textId="77777777" w:rsidR="00230497" w:rsidRPr="00AA7271" w:rsidRDefault="00230497" w:rsidP="00F613D9">
      <w:pPr>
        <w:rPr>
          <w:szCs w:val="20"/>
        </w:rPr>
      </w:pPr>
      <w:r w:rsidRPr="00AA7271">
        <w:rPr>
          <w:b/>
          <w:szCs w:val="20"/>
        </w:rPr>
        <w:t xml:space="preserve">Program: </w:t>
      </w:r>
      <w:r w:rsidRPr="00AA7271">
        <w:rPr>
          <w:szCs w:val="20"/>
        </w:rPr>
        <w:t>The mode of delivering a particular measure or set of measures to customers.  See Table 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28"/>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54AD299E" w14:textId="2147A164" w:rsidR="00B55FE0" w:rsidRDefault="00B55FE0" w:rsidP="00514253">
      <w:pPr>
        <w:pStyle w:val="Captions"/>
      </w:pPr>
      <w:bookmarkStart w:id="206" w:name="_Toc411599460"/>
      <w:bookmarkStart w:id="207" w:name="_Toc523412287"/>
      <w:r>
        <w:t xml:space="preserve">Table </w:t>
      </w:r>
      <w:r>
        <w:rPr>
          <w:noProof/>
        </w:rPr>
        <w:t>3</w:t>
      </w:r>
      <w:r>
        <w:t>.</w:t>
      </w:r>
      <w:bookmarkStart w:id="208" w:name="_Toc437856306"/>
      <w:bookmarkEnd w:id="206"/>
      <w:r w:rsidR="0026285F">
        <w:rPr>
          <w:noProof/>
        </w:rPr>
        <w:t>1</w:t>
      </w:r>
      <w:r w:rsidRPr="00AA7271">
        <w:t>: Degree-Day Zones and Values by Market Sector</w:t>
      </w:r>
      <w:bookmarkEnd w:id="207"/>
      <w:bookmarkEnd w:id="208"/>
    </w:p>
    <w:tbl>
      <w:tblPr>
        <w:tblW w:w="4350" w:type="pct"/>
        <w:jc w:val="center"/>
        <w:tblLayout w:type="fixed"/>
        <w:tblLook w:val="04A0" w:firstRow="1" w:lastRow="0" w:firstColumn="1" w:lastColumn="0" w:noHBand="0" w:noVBand="1"/>
      </w:tblPr>
      <w:tblGrid>
        <w:gridCol w:w="1319"/>
        <w:gridCol w:w="915"/>
        <w:gridCol w:w="915"/>
        <w:gridCol w:w="915"/>
        <w:gridCol w:w="915"/>
        <w:gridCol w:w="3164"/>
      </w:tblGrid>
      <w:tr w:rsidR="00B55FE0" w:rsidRPr="00AA7271" w14:paraId="12A97CCC" w14:textId="77777777" w:rsidTr="0028042F">
        <w:trPr>
          <w:trHeight w:hRule="exact" w:val="360"/>
          <w:tblHeader/>
          <w:jc w:val="center"/>
        </w:trPr>
        <w:tc>
          <w:tcPr>
            <w:tcW w:w="1319" w:type="dxa"/>
            <w:tcBorders>
              <w:top w:val="nil"/>
              <w:left w:val="nil"/>
              <w:bottom w:val="single" w:sz="4" w:space="0" w:color="auto"/>
              <w:right w:val="single" w:sz="4" w:space="0" w:color="auto"/>
            </w:tcBorders>
            <w:vAlign w:val="center"/>
          </w:tcPr>
          <w:p w14:paraId="1222705D" w14:textId="77777777" w:rsidR="00B55FE0" w:rsidRPr="00AA7271" w:rsidRDefault="00B55FE0" w:rsidP="0028614A">
            <w:pPr>
              <w:spacing w:after="0"/>
              <w:jc w:val="center"/>
              <w:rPr>
                <w:b/>
                <w:color w:val="FFFFFF" w:themeColor="background1"/>
              </w:rPr>
            </w:pPr>
          </w:p>
        </w:tc>
        <w:tc>
          <w:tcPr>
            <w:tcW w:w="1830"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hideMark/>
          </w:tcPr>
          <w:p w14:paraId="4E3D4AB8" w14:textId="77777777" w:rsidR="00B55FE0" w:rsidRPr="00AA7271" w:rsidRDefault="00B55FE0" w:rsidP="0028614A">
            <w:pPr>
              <w:spacing w:after="0"/>
              <w:jc w:val="center"/>
              <w:rPr>
                <w:b/>
                <w:color w:val="FFFFFF" w:themeColor="background1"/>
              </w:rPr>
            </w:pPr>
            <w:r w:rsidRPr="00AA7271">
              <w:rPr>
                <w:b/>
                <w:color w:val="FFFFFF" w:themeColor="background1"/>
              </w:rPr>
              <w:t>Residential</w:t>
            </w:r>
          </w:p>
        </w:tc>
        <w:tc>
          <w:tcPr>
            <w:tcW w:w="1830"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hideMark/>
          </w:tcPr>
          <w:p w14:paraId="206851C2" w14:textId="77777777" w:rsidR="00B55FE0" w:rsidRPr="00AA7271" w:rsidRDefault="00B55FE0" w:rsidP="0028614A">
            <w:pPr>
              <w:spacing w:after="0"/>
              <w:jc w:val="center"/>
              <w:rPr>
                <w:b/>
                <w:color w:val="FFFFFF" w:themeColor="background1"/>
              </w:rPr>
            </w:pPr>
            <w:r w:rsidRPr="00AA7271">
              <w:rPr>
                <w:b/>
                <w:color w:val="FFFFFF" w:themeColor="background1"/>
              </w:rPr>
              <w:t>C&amp;I</w:t>
            </w:r>
          </w:p>
        </w:tc>
        <w:tc>
          <w:tcPr>
            <w:tcW w:w="3164" w:type="dxa"/>
            <w:tcBorders>
              <w:top w:val="nil"/>
              <w:left w:val="single" w:sz="4" w:space="0" w:color="auto"/>
              <w:bottom w:val="single" w:sz="8" w:space="0" w:color="auto"/>
              <w:right w:val="nil"/>
            </w:tcBorders>
            <w:noWrap/>
            <w:vAlign w:val="center"/>
          </w:tcPr>
          <w:p w14:paraId="5D153BF1" w14:textId="77777777" w:rsidR="00B55FE0" w:rsidRPr="00AA7271" w:rsidRDefault="00B55FE0" w:rsidP="0028614A">
            <w:pPr>
              <w:spacing w:after="0"/>
              <w:jc w:val="center"/>
              <w:rPr>
                <w:b/>
                <w:color w:val="FFFFFF" w:themeColor="background1"/>
              </w:rPr>
            </w:pPr>
          </w:p>
        </w:tc>
      </w:tr>
      <w:tr w:rsidR="00B55FE0" w:rsidRPr="00AA7271" w14:paraId="664A3B65" w14:textId="77777777" w:rsidTr="0028042F">
        <w:trPr>
          <w:trHeight w:hRule="exact" w:val="360"/>
          <w:tblHeader/>
          <w:jc w:val="center"/>
        </w:trPr>
        <w:tc>
          <w:tcPr>
            <w:tcW w:w="131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B255556" w14:textId="77777777" w:rsidR="00B55FE0" w:rsidRPr="00AA7271" w:rsidRDefault="00B55FE0" w:rsidP="0028614A">
            <w:pPr>
              <w:spacing w:after="0"/>
              <w:jc w:val="center"/>
              <w:rPr>
                <w:b/>
                <w:color w:val="FFFFFF" w:themeColor="background1"/>
              </w:rPr>
            </w:pPr>
            <w:r w:rsidRPr="00AA7271">
              <w:rPr>
                <w:b/>
                <w:color w:val="FFFFFF" w:themeColor="background1"/>
              </w:rPr>
              <w:t>Zone</w:t>
            </w:r>
          </w:p>
        </w:tc>
        <w:tc>
          <w:tcPr>
            <w:tcW w:w="915"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324772B3"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15"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A08082D"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915" w:type="dxa"/>
            <w:tcBorders>
              <w:top w:val="single" w:sz="8" w:space="0" w:color="auto"/>
              <w:left w:val="nil"/>
              <w:bottom w:val="single" w:sz="4" w:space="0" w:color="auto"/>
              <w:right w:val="single" w:sz="4" w:space="0" w:color="auto"/>
            </w:tcBorders>
            <w:shd w:val="clear" w:color="auto" w:fill="808080" w:themeFill="background1" w:themeFillShade="80"/>
            <w:vAlign w:val="center"/>
            <w:hideMark/>
          </w:tcPr>
          <w:p w14:paraId="212EADAC"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1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6C954C3"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3164"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44C575EF" w14:textId="77777777" w:rsidR="00B55FE0" w:rsidRPr="00AA7271" w:rsidRDefault="00B55FE0" w:rsidP="0028614A">
            <w:pPr>
              <w:spacing w:after="0"/>
              <w:jc w:val="center"/>
              <w:rPr>
                <w:b/>
                <w:color w:val="FFFFFF" w:themeColor="background1"/>
              </w:rPr>
            </w:pPr>
            <w:r w:rsidRPr="00AA7271">
              <w:rPr>
                <w:b/>
                <w:color w:val="FFFFFF" w:themeColor="background1"/>
              </w:rPr>
              <w:t>Weather Station / City</w:t>
            </w:r>
          </w:p>
        </w:tc>
      </w:tr>
      <w:tr w:rsidR="00B55FE0" w:rsidRPr="00AA7271" w14:paraId="31A17C18"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48D58F45" w14:textId="77777777" w:rsidR="00B55FE0" w:rsidRPr="00AA7271" w:rsidRDefault="00B55FE0" w:rsidP="0028614A">
            <w:pPr>
              <w:spacing w:after="0"/>
              <w:jc w:val="center"/>
            </w:pPr>
            <w:r w:rsidRPr="00AA7271">
              <w:t>1</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43E63464" w14:textId="77777777" w:rsidR="00B55FE0" w:rsidRPr="00AA7271" w:rsidRDefault="00B55FE0" w:rsidP="0028614A">
            <w:pPr>
              <w:spacing w:after="0"/>
              <w:jc w:val="center"/>
            </w:pPr>
            <w:r w:rsidRPr="00AA7271">
              <w:t>5,352</w:t>
            </w:r>
          </w:p>
        </w:tc>
        <w:tc>
          <w:tcPr>
            <w:tcW w:w="915" w:type="dxa"/>
            <w:tcBorders>
              <w:top w:val="single" w:sz="4" w:space="0" w:color="auto"/>
              <w:left w:val="nil"/>
              <w:bottom w:val="single" w:sz="4" w:space="0" w:color="auto"/>
              <w:right w:val="single" w:sz="4" w:space="0" w:color="auto"/>
            </w:tcBorders>
            <w:noWrap/>
            <w:vAlign w:val="center"/>
            <w:hideMark/>
          </w:tcPr>
          <w:p w14:paraId="7174B080" w14:textId="77777777" w:rsidR="00B55FE0" w:rsidRPr="00AA7271" w:rsidRDefault="00B55FE0" w:rsidP="0028614A">
            <w:pPr>
              <w:spacing w:after="0"/>
              <w:jc w:val="center"/>
            </w:pPr>
            <w:r w:rsidRPr="00AA7271">
              <w:t>820</w:t>
            </w:r>
          </w:p>
        </w:tc>
        <w:tc>
          <w:tcPr>
            <w:tcW w:w="915" w:type="dxa"/>
            <w:tcBorders>
              <w:top w:val="single" w:sz="4" w:space="0" w:color="auto"/>
              <w:left w:val="nil"/>
              <w:bottom w:val="single" w:sz="4" w:space="0" w:color="auto"/>
              <w:right w:val="single" w:sz="4" w:space="0" w:color="auto"/>
            </w:tcBorders>
            <w:vAlign w:val="center"/>
            <w:hideMark/>
          </w:tcPr>
          <w:p w14:paraId="24A405FA" w14:textId="77777777" w:rsidR="00B55FE0" w:rsidRPr="00AA7271" w:rsidRDefault="00B55FE0" w:rsidP="0028614A">
            <w:pPr>
              <w:spacing w:after="0"/>
              <w:jc w:val="center"/>
            </w:pPr>
            <w:r w:rsidRPr="00AA7271">
              <w:t>4,272</w:t>
            </w:r>
          </w:p>
        </w:tc>
        <w:tc>
          <w:tcPr>
            <w:tcW w:w="915" w:type="dxa"/>
            <w:tcBorders>
              <w:top w:val="single" w:sz="4" w:space="0" w:color="auto"/>
              <w:left w:val="nil"/>
              <w:bottom w:val="single" w:sz="4" w:space="0" w:color="auto"/>
              <w:right w:val="single" w:sz="4" w:space="0" w:color="auto"/>
            </w:tcBorders>
            <w:vAlign w:val="center"/>
            <w:hideMark/>
          </w:tcPr>
          <w:p w14:paraId="43861BD1" w14:textId="77777777" w:rsidR="00B55FE0" w:rsidRPr="00AA7271" w:rsidRDefault="00B55FE0" w:rsidP="0028614A">
            <w:pPr>
              <w:spacing w:after="0"/>
              <w:jc w:val="center"/>
            </w:pPr>
            <w:r w:rsidRPr="00AA7271">
              <w:t>2,173</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0AE5EC28" w14:textId="77777777" w:rsidR="00B55FE0" w:rsidRPr="00AA7271" w:rsidRDefault="00B55FE0" w:rsidP="0028614A">
            <w:pPr>
              <w:spacing w:after="0"/>
              <w:jc w:val="center"/>
            </w:pPr>
            <w:r w:rsidRPr="00AA7271">
              <w:t>Rockford AP / Rockford</w:t>
            </w:r>
          </w:p>
        </w:tc>
      </w:tr>
      <w:tr w:rsidR="00B55FE0" w:rsidRPr="00AA7271" w14:paraId="2FA3CF1D"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1B227C16" w14:textId="77777777" w:rsidR="00B55FE0" w:rsidRPr="00AA7271" w:rsidRDefault="00B55FE0" w:rsidP="0028614A">
            <w:pPr>
              <w:spacing w:after="0"/>
              <w:jc w:val="center"/>
            </w:pPr>
            <w:r w:rsidRPr="00AA7271">
              <w:t>2</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14FF29E4" w14:textId="77777777" w:rsidR="00B55FE0" w:rsidRPr="00AA7271" w:rsidRDefault="00B55FE0" w:rsidP="0028614A">
            <w:pPr>
              <w:spacing w:after="0"/>
              <w:jc w:val="center"/>
            </w:pPr>
            <w:r w:rsidRPr="00AA7271">
              <w:t>5,113</w:t>
            </w:r>
          </w:p>
        </w:tc>
        <w:tc>
          <w:tcPr>
            <w:tcW w:w="915" w:type="dxa"/>
            <w:tcBorders>
              <w:top w:val="single" w:sz="4" w:space="0" w:color="auto"/>
              <w:left w:val="nil"/>
              <w:bottom w:val="single" w:sz="4" w:space="0" w:color="auto"/>
              <w:right w:val="single" w:sz="4" w:space="0" w:color="auto"/>
            </w:tcBorders>
            <w:noWrap/>
            <w:vAlign w:val="center"/>
            <w:hideMark/>
          </w:tcPr>
          <w:p w14:paraId="1BF6D7C3" w14:textId="77777777" w:rsidR="00B55FE0" w:rsidRPr="00AA7271" w:rsidRDefault="00B55FE0" w:rsidP="0028614A">
            <w:pPr>
              <w:spacing w:after="0"/>
              <w:jc w:val="center"/>
            </w:pPr>
            <w:r w:rsidRPr="00AA7271">
              <w:t>842</w:t>
            </w:r>
          </w:p>
        </w:tc>
        <w:tc>
          <w:tcPr>
            <w:tcW w:w="915" w:type="dxa"/>
            <w:tcBorders>
              <w:top w:val="single" w:sz="4" w:space="0" w:color="auto"/>
              <w:left w:val="nil"/>
              <w:bottom w:val="single" w:sz="4" w:space="0" w:color="auto"/>
              <w:right w:val="single" w:sz="4" w:space="0" w:color="auto"/>
            </w:tcBorders>
            <w:vAlign w:val="center"/>
            <w:hideMark/>
          </w:tcPr>
          <w:p w14:paraId="67C015B3" w14:textId="77777777" w:rsidR="00B55FE0" w:rsidRPr="00AA7271" w:rsidRDefault="00B55FE0" w:rsidP="0028614A">
            <w:pPr>
              <w:spacing w:after="0"/>
              <w:jc w:val="center"/>
            </w:pPr>
            <w:r w:rsidRPr="00AA7271">
              <w:t>4,029</w:t>
            </w:r>
          </w:p>
        </w:tc>
        <w:tc>
          <w:tcPr>
            <w:tcW w:w="915" w:type="dxa"/>
            <w:tcBorders>
              <w:top w:val="single" w:sz="4" w:space="0" w:color="auto"/>
              <w:left w:val="nil"/>
              <w:bottom w:val="single" w:sz="4" w:space="0" w:color="auto"/>
              <w:right w:val="single" w:sz="4" w:space="0" w:color="auto"/>
            </w:tcBorders>
            <w:vAlign w:val="center"/>
            <w:hideMark/>
          </w:tcPr>
          <w:p w14:paraId="4F0D6744" w14:textId="77777777" w:rsidR="00B55FE0" w:rsidRPr="00AA7271" w:rsidRDefault="00B55FE0" w:rsidP="0028614A">
            <w:pPr>
              <w:spacing w:after="0"/>
              <w:jc w:val="center"/>
            </w:pPr>
            <w:r w:rsidRPr="00AA7271">
              <w:t>2,181</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503F837A" w14:textId="77777777" w:rsidR="00B55FE0" w:rsidRPr="00AA7271" w:rsidRDefault="00B55FE0" w:rsidP="0028614A">
            <w:pPr>
              <w:spacing w:after="0"/>
              <w:jc w:val="center"/>
            </w:pPr>
            <w:r w:rsidRPr="00AA7271">
              <w:t>Chicago O'Hare AP / Chicago</w:t>
            </w:r>
          </w:p>
        </w:tc>
      </w:tr>
      <w:tr w:rsidR="00B55FE0" w:rsidRPr="00AA7271" w14:paraId="56F2EF3D"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3A4D65AD" w14:textId="77777777" w:rsidR="00B55FE0" w:rsidRPr="00AA7271" w:rsidRDefault="00B55FE0" w:rsidP="0028614A">
            <w:pPr>
              <w:spacing w:after="0"/>
              <w:jc w:val="center"/>
            </w:pPr>
            <w:r w:rsidRPr="00AA7271">
              <w:t>3</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46426508" w14:textId="77777777" w:rsidR="00B55FE0" w:rsidRPr="00AA7271" w:rsidRDefault="00B55FE0" w:rsidP="0028614A">
            <w:pPr>
              <w:spacing w:after="0"/>
              <w:jc w:val="center"/>
            </w:pPr>
            <w:r w:rsidRPr="00AA7271">
              <w:t>4,379</w:t>
            </w:r>
          </w:p>
        </w:tc>
        <w:tc>
          <w:tcPr>
            <w:tcW w:w="915" w:type="dxa"/>
            <w:tcBorders>
              <w:top w:val="single" w:sz="4" w:space="0" w:color="auto"/>
              <w:left w:val="nil"/>
              <w:bottom w:val="single" w:sz="4" w:space="0" w:color="auto"/>
              <w:right w:val="single" w:sz="4" w:space="0" w:color="auto"/>
            </w:tcBorders>
            <w:noWrap/>
            <w:vAlign w:val="center"/>
            <w:hideMark/>
          </w:tcPr>
          <w:p w14:paraId="7C2AACCF" w14:textId="77777777" w:rsidR="00B55FE0" w:rsidRPr="00AA7271" w:rsidRDefault="00B55FE0" w:rsidP="0028614A">
            <w:pPr>
              <w:spacing w:after="0"/>
              <w:jc w:val="center"/>
            </w:pPr>
            <w:r w:rsidRPr="00AA7271">
              <w:t>1,108</w:t>
            </w:r>
          </w:p>
        </w:tc>
        <w:tc>
          <w:tcPr>
            <w:tcW w:w="915" w:type="dxa"/>
            <w:tcBorders>
              <w:top w:val="single" w:sz="4" w:space="0" w:color="auto"/>
              <w:left w:val="nil"/>
              <w:bottom w:val="single" w:sz="4" w:space="0" w:color="auto"/>
              <w:right w:val="single" w:sz="4" w:space="0" w:color="auto"/>
            </w:tcBorders>
            <w:vAlign w:val="center"/>
            <w:hideMark/>
          </w:tcPr>
          <w:p w14:paraId="0C34774A" w14:textId="77777777" w:rsidR="00B55FE0" w:rsidRPr="00AA7271" w:rsidRDefault="00B55FE0" w:rsidP="0028614A">
            <w:pPr>
              <w:spacing w:after="0"/>
              <w:jc w:val="center"/>
            </w:pPr>
            <w:r w:rsidRPr="00AA7271">
              <w:t>3,406</w:t>
            </w:r>
          </w:p>
        </w:tc>
        <w:tc>
          <w:tcPr>
            <w:tcW w:w="915" w:type="dxa"/>
            <w:tcBorders>
              <w:top w:val="single" w:sz="4" w:space="0" w:color="auto"/>
              <w:left w:val="nil"/>
              <w:bottom w:val="single" w:sz="4" w:space="0" w:color="auto"/>
              <w:right w:val="single" w:sz="4" w:space="0" w:color="auto"/>
            </w:tcBorders>
            <w:vAlign w:val="center"/>
            <w:hideMark/>
          </w:tcPr>
          <w:p w14:paraId="53D10F8C" w14:textId="77777777" w:rsidR="00B55FE0" w:rsidRPr="00AA7271" w:rsidRDefault="00B55FE0" w:rsidP="0028614A">
            <w:pPr>
              <w:spacing w:after="0"/>
              <w:jc w:val="center"/>
            </w:pPr>
            <w:r w:rsidRPr="00AA7271">
              <w:t>2,666</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164E5A82" w14:textId="77777777" w:rsidR="00B55FE0" w:rsidRPr="00AA7271" w:rsidRDefault="00B55FE0" w:rsidP="0028614A">
            <w:pPr>
              <w:spacing w:after="0"/>
              <w:jc w:val="center"/>
            </w:pPr>
            <w:r w:rsidRPr="00AA7271">
              <w:t>Springfield #2 / Springfield</w:t>
            </w:r>
          </w:p>
        </w:tc>
      </w:tr>
      <w:tr w:rsidR="00B55FE0" w:rsidRPr="00AA7271" w14:paraId="6D5B9D24"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40D0D1F9" w14:textId="77777777" w:rsidR="00B55FE0" w:rsidRPr="00AA7271" w:rsidRDefault="00B55FE0" w:rsidP="0028614A">
            <w:pPr>
              <w:spacing w:after="0"/>
              <w:jc w:val="center"/>
            </w:pPr>
            <w:r w:rsidRPr="00AA7271">
              <w:t>4</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26141CFE" w14:textId="77777777" w:rsidR="00B55FE0" w:rsidRPr="00AA7271" w:rsidRDefault="00B55FE0" w:rsidP="0028614A">
            <w:pPr>
              <w:spacing w:after="0"/>
              <w:jc w:val="center"/>
            </w:pPr>
            <w:r w:rsidRPr="00AA7271">
              <w:t>3,378</w:t>
            </w:r>
          </w:p>
        </w:tc>
        <w:tc>
          <w:tcPr>
            <w:tcW w:w="915" w:type="dxa"/>
            <w:tcBorders>
              <w:top w:val="single" w:sz="4" w:space="0" w:color="auto"/>
              <w:left w:val="nil"/>
              <w:bottom w:val="single" w:sz="4" w:space="0" w:color="auto"/>
              <w:right w:val="single" w:sz="4" w:space="0" w:color="auto"/>
            </w:tcBorders>
            <w:noWrap/>
            <w:vAlign w:val="center"/>
            <w:hideMark/>
          </w:tcPr>
          <w:p w14:paraId="6CA90673" w14:textId="77777777" w:rsidR="00B55FE0" w:rsidRPr="00AA7271" w:rsidRDefault="00B55FE0" w:rsidP="0028614A">
            <w:pPr>
              <w:spacing w:after="0"/>
              <w:jc w:val="center"/>
            </w:pPr>
            <w:r w:rsidRPr="00AA7271">
              <w:t>1,570</w:t>
            </w:r>
          </w:p>
        </w:tc>
        <w:tc>
          <w:tcPr>
            <w:tcW w:w="915" w:type="dxa"/>
            <w:tcBorders>
              <w:top w:val="single" w:sz="4" w:space="0" w:color="auto"/>
              <w:left w:val="nil"/>
              <w:bottom w:val="single" w:sz="4" w:space="0" w:color="auto"/>
              <w:right w:val="single" w:sz="4" w:space="0" w:color="auto"/>
            </w:tcBorders>
            <w:vAlign w:val="center"/>
            <w:hideMark/>
          </w:tcPr>
          <w:p w14:paraId="2B69633D" w14:textId="77777777" w:rsidR="00B55FE0" w:rsidRPr="00AA7271" w:rsidRDefault="00B55FE0" w:rsidP="0028614A">
            <w:pPr>
              <w:spacing w:after="0"/>
              <w:jc w:val="center"/>
            </w:pPr>
            <w:r w:rsidRPr="00AA7271">
              <w:t>2,515</w:t>
            </w:r>
          </w:p>
        </w:tc>
        <w:tc>
          <w:tcPr>
            <w:tcW w:w="915" w:type="dxa"/>
            <w:tcBorders>
              <w:top w:val="single" w:sz="4" w:space="0" w:color="auto"/>
              <w:left w:val="nil"/>
              <w:bottom w:val="single" w:sz="4" w:space="0" w:color="auto"/>
              <w:right w:val="single" w:sz="4" w:space="0" w:color="auto"/>
            </w:tcBorders>
            <w:vAlign w:val="center"/>
            <w:hideMark/>
          </w:tcPr>
          <w:p w14:paraId="0510DF93" w14:textId="77777777" w:rsidR="00B55FE0" w:rsidRPr="00AA7271" w:rsidRDefault="00B55FE0" w:rsidP="0028614A">
            <w:pPr>
              <w:spacing w:after="0"/>
              <w:jc w:val="center"/>
            </w:pPr>
            <w:r w:rsidRPr="00AA7271">
              <w:t>3,358</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735DB7A8" w14:textId="77777777" w:rsidR="00B55FE0" w:rsidRPr="00AA7271" w:rsidRDefault="00B55FE0" w:rsidP="0028614A">
            <w:pPr>
              <w:spacing w:after="0"/>
              <w:jc w:val="center"/>
            </w:pPr>
            <w:r w:rsidRPr="00AA7271">
              <w:t>Belleville SIU RSCH / Belleville</w:t>
            </w:r>
          </w:p>
        </w:tc>
      </w:tr>
      <w:tr w:rsidR="00B55FE0" w:rsidRPr="00AA7271" w14:paraId="3A6B6024"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6EA86AAE" w14:textId="77777777" w:rsidR="00B55FE0" w:rsidRPr="00AA7271" w:rsidRDefault="00B55FE0" w:rsidP="0028614A">
            <w:pPr>
              <w:spacing w:after="0"/>
              <w:jc w:val="center"/>
            </w:pPr>
            <w:r w:rsidRPr="00AA7271">
              <w:t>5</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4E11981C" w14:textId="77777777" w:rsidR="00B55FE0" w:rsidRPr="00AA7271" w:rsidRDefault="00B55FE0" w:rsidP="0028614A">
            <w:pPr>
              <w:spacing w:after="0"/>
              <w:jc w:val="center"/>
            </w:pPr>
            <w:r w:rsidRPr="00AA7271">
              <w:t>3,438</w:t>
            </w:r>
          </w:p>
        </w:tc>
        <w:tc>
          <w:tcPr>
            <w:tcW w:w="915" w:type="dxa"/>
            <w:tcBorders>
              <w:top w:val="single" w:sz="4" w:space="0" w:color="auto"/>
              <w:left w:val="nil"/>
              <w:bottom w:val="single" w:sz="4" w:space="0" w:color="auto"/>
              <w:right w:val="single" w:sz="4" w:space="0" w:color="auto"/>
            </w:tcBorders>
            <w:vAlign w:val="center"/>
            <w:hideMark/>
          </w:tcPr>
          <w:p w14:paraId="1405509A" w14:textId="77777777" w:rsidR="00B55FE0" w:rsidRPr="00AA7271" w:rsidRDefault="00B55FE0" w:rsidP="0028614A">
            <w:pPr>
              <w:spacing w:after="0"/>
              <w:jc w:val="center"/>
            </w:pPr>
            <w:r w:rsidRPr="00AA7271">
              <w:t>1,370</w:t>
            </w:r>
          </w:p>
        </w:tc>
        <w:tc>
          <w:tcPr>
            <w:tcW w:w="915" w:type="dxa"/>
            <w:tcBorders>
              <w:top w:val="single" w:sz="4" w:space="0" w:color="auto"/>
              <w:left w:val="nil"/>
              <w:bottom w:val="single" w:sz="4" w:space="0" w:color="auto"/>
              <w:right w:val="single" w:sz="4" w:space="0" w:color="auto"/>
            </w:tcBorders>
            <w:vAlign w:val="center"/>
            <w:hideMark/>
          </w:tcPr>
          <w:p w14:paraId="2AF1E309" w14:textId="77777777" w:rsidR="00B55FE0" w:rsidRPr="00AA7271" w:rsidRDefault="00B55FE0" w:rsidP="0028614A">
            <w:pPr>
              <w:spacing w:after="0"/>
              <w:jc w:val="center"/>
            </w:pPr>
            <w:r w:rsidRPr="00AA7271">
              <w:t>2,546</w:t>
            </w:r>
          </w:p>
        </w:tc>
        <w:tc>
          <w:tcPr>
            <w:tcW w:w="915" w:type="dxa"/>
            <w:tcBorders>
              <w:top w:val="single" w:sz="4" w:space="0" w:color="auto"/>
              <w:left w:val="nil"/>
              <w:bottom w:val="single" w:sz="4" w:space="0" w:color="auto"/>
              <w:right w:val="single" w:sz="4" w:space="0" w:color="auto"/>
            </w:tcBorders>
            <w:vAlign w:val="center"/>
            <w:hideMark/>
          </w:tcPr>
          <w:p w14:paraId="1C9FA7DD" w14:textId="77777777" w:rsidR="00B55FE0" w:rsidRPr="00AA7271" w:rsidRDefault="00B55FE0" w:rsidP="0028614A">
            <w:pPr>
              <w:spacing w:after="0"/>
              <w:jc w:val="center"/>
            </w:pPr>
            <w:r w:rsidRPr="00AA7271">
              <w:t>3,090</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33F789B9" w14:textId="77777777" w:rsidR="00B55FE0" w:rsidRPr="00AA7271" w:rsidRDefault="00B55FE0" w:rsidP="0028614A">
            <w:pPr>
              <w:spacing w:after="0"/>
              <w:jc w:val="center"/>
            </w:pPr>
            <w:r w:rsidRPr="00AA7271">
              <w:t>Carbondale Southern IL AP / Marion</w:t>
            </w:r>
          </w:p>
        </w:tc>
      </w:tr>
      <w:tr w:rsidR="00B55FE0" w:rsidRPr="00AA7271" w14:paraId="618CCDD3"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44540810" w14:textId="77777777" w:rsidR="00B55FE0" w:rsidRPr="00AA7271" w:rsidRDefault="00B55FE0" w:rsidP="0028614A">
            <w:pPr>
              <w:spacing w:after="0"/>
              <w:jc w:val="center"/>
            </w:pPr>
            <w:r w:rsidRPr="00AA7271">
              <w:t>Average</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66C6367C" w14:textId="77777777" w:rsidR="00B55FE0" w:rsidRPr="00AA7271" w:rsidRDefault="00B55FE0" w:rsidP="0028614A">
            <w:pPr>
              <w:spacing w:after="0"/>
              <w:jc w:val="center"/>
            </w:pPr>
            <w:r w:rsidRPr="00AA7271">
              <w:t>4,860</w:t>
            </w:r>
          </w:p>
        </w:tc>
        <w:tc>
          <w:tcPr>
            <w:tcW w:w="915" w:type="dxa"/>
            <w:tcBorders>
              <w:top w:val="single" w:sz="4" w:space="0" w:color="auto"/>
              <w:left w:val="nil"/>
              <w:bottom w:val="single" w:sz="4" w:space="0" w:color="auto"/>
              <w:right w:val="single" w:sz="4" w:space="0" w:color="auto"/>
            </w:tcBorders>
            <w:noWrap/>
            <w:vAlign w:val="center"/>
            <w:hideMark/>
          </w:tcPr>
          <w:p w14:paraId="5D2529BB" w14:textId="77777777" w:rsidR="00B55FE0" w:rsidRPr="00AA7271" w:rsidRDefault="00B55FE0" w:rsidP="0028614A">
            <w:pPr>
              <w:spacing w:after="0"/>
              <w:jc w:val="center"/>
            </w:pPr>
            <w:r w:rsidRPr="00AA7271">
              <w:t>947</w:t>
            </w:r>
          </w:p>
        </w:tc>
        <w:tc>
          <w:tcPr>
            <w:tcW w:w="915" w:type="dxa"/>
            <w:tcBorders>
              <w:top w:val="single" w:sz="4" w:space="0" w:color="auto"/>
              <w:left w:val="nil"/>
              <w:bottom w:val="single" w:sz="4" w:space="0" w:color="auto"/>
              <w:right w:val="single" w:sz="4" w:space="0" w:color="auto"/>
            </w:tcBorders>
            <w:vAlign w:val="center"/>
            <w:hideMark/>
          </w:tcPr>
          <w:p w14:paraId="75BEE058" w14:textId="77777777" w:rsidR="00B55FE0" w:rsidRPr="00AA7271" w:rsidRDefault="00B55FE0" w:rsidP="0028614A">
            <w:pPr>
              <w:spacing w:after="0"/>
              <w:jc w:val="center"/>
            </w:pPr>
            <w:r w:rsidRPr="00AA7271">
              <w:t>3,812</w:t>
            </w:r>
          </w:p>
        </w:tc>
        <w:tc>
          <w:tcPr>
            <w:tcW w:w="915" w:type="dxa"/>
            <w:tcBorders>
              <w:top w:val="single" w:sz="4" w:space="0" w:color="auto"/>
              <w:left w:val="single" w:sz="4" w:space="0" w:color="auto"/>
              <w:bottom w:val="single" w:sz="4" w:space="0" w:color="auto"/>
              <w:right w:val="single" w:sz="4" w:space="0" w:color="auto"/>
            </w:tcBorders>
            <w:vAlign w:val="center"/>
            <w:hideMark/>
          </w:tcPr>
          <w:p w14:paraId="36B18203" w14:textId="77777777" w:rsidR="00B55FE0" w:rsidRPr="00AA7271" w:rsidRDefault="00B55FE0" w:rsidP="0028614A">
            <w:pPr>
              <w:spacing w:after="0"/>
              <w:jc w:val="center"/>
            </w:pPr>
            <w:r w:rsidRPr="00AA7271">
              <w:t>2,362</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52D5723F" w14:textId="77777777" w:rsidR="00B55FE0" w:rsidRPr="00AA7271" w:rsidRDefault="00B55FE0" w:rsidP="0028614A">
            <w:pPr>
              <w:spacing w:after="0"/>
              <w:jc w:val="center"/>
            </w:pPr>
            <w:r w:rsidRPr="00AA7271">
              <w:t>Weighted by occupied housing units</w:t>
            </w:r>
          </w:p>
        </w:tc>
      </w:tr>
      <w:tr w:rsidR="00B55FE0" w:rsidRPr="00AA7271" w14:paraId="26C68FC7" w14:textId="77777777" w:rsidTr="00F613D9">
        <w:trPr>
          <w:trHeight w:hRule="exact" w:val="360"/>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71C109EA" w14:textId="77777777" w:rsidR="00B55FE0" w:rsidRPr="00AA7271" w:rsidRDefault="00B55FE0" w:rsidP="0028614A">
            <w:pPr>
              <w:spacing w:after="0"/>
              <w:jc w:val="center"/>
            </w:pPr>
            <w:r w:rsidRPr="00AA7271">
              <w:t>Base Temp</w:t>
            </w:r>
          </w:p>
        </w:tc>
        <w:tc>
          <w:tcPr>
            <w:tcW w:w="915" w:type="dxa"/>
            <w:tcBorders>
              <w:top w:val="single" w:sz="4" w:space="0" w:color="auto"/>
              <w:left w:val="single" w:sz="4" w:space="0" w:color="auto"/>
              <w:bottom w:val="single" w:sz="4" w:space="0" w:color="auto"/>
              <w:right w:val="single" w:sz="4" w:space="0" w:color="auto"/>
            </w:tcBorders>
            <w:noWrap/>
            <w:vAlign w:val="center"/>
            <w:hideMark/>
          </w:tcPr>
          <w:p w14:paraId="15A6564A" w14:textId="77777777" w:rsidR="00B55FE0" w:rsidRPr="00AA7271" w:rsidRDefault="00B55FE0" w:rsidP="0028614A">
            <w:pPr>
              <w:spacing w:after="0"/>
              <w:jc w:val="center"/>
            </w:pPr>
            <w:r w:rsidRPr="00AA7271">
              <w:t>60F</w:t>
            </w:r>
          </w:p>
        </w:tc>
        <w:tc>
          <w:tcPr>
            <w:tcW w:w="915" w:type="dxa"/>
            <w:tcBorders>
              <w:top w:val="single" w:sz="4" w:space="0" w:color="auto"/>
              <w:left w:val="nil"/>
              <w:bottom w:val="single" w:sz="4" w:space="0" w:color="auto"/>
              <w:right w:val="single" w:sz="4" w:space="0" w:color="auto"/>
            </w:tcBorders>
            <w:noWrap/>
            <w:vAlign w:val="center"/>
            <w:hideMark/>
          </w:tcPr>
          <w:p w14:paraId="29490729" w14:textId="77777777" w:rsidR="00B55FE0" w:rsidRPr="00AA7271" w:rsidRDefault="00B55FE0" w:rsidP="0028614A">
            <w:pPr>
              <w:spacing w:after="0"/>
              <w:jc w:val="center"/>
            </w:pPr>
            <w:r w:rsidRPr="00AA7271">
              <w:t>65F</w:t>
            </w:r>
          </w:p>
        </w:tc>
        <w:tc>
          <w:tcPr>
            <w:tcW w:w="915" w:type="dxa"/>
            <w:tcBorders>
              <w:top w:val="single" w:sz="4" w:space="0" w:color="auto"/>
              <w:left w:val="nil"/>
              <w:bottom w:val="single" w:sz="4" w:space="0" w:color="auto"/>
              <w:right w:val="single" w:sz="4" w:space="0" w:color="auto"/>
            </w:tcBorders>
            <w:vAlign w:val="center"/>
            <w:hideMark/>
          </w:tcPr>
          <w:p w14:paraId="71A48529" w14:textId="77777777" w:rsidR="00B55FE0" w:rsidRPr="00AA7271" w:rsidRDefault="00B55FE0" w:rsidP="0028614A">
            <w:pPr>
              <w:spacing w:after="0"/>
              <w:jc w:val="center"/>
            </w:pPr>
            <w:r w:rsidRPr="00AA7271">
              <w:t>55F</w:t>
            </w:r>
          </w:p>
        </w:tc>
        <w:tc>
          <w:tcPr>
            <w:tcW w:w="915" w:type="dxa"/>
            <w:tcBorders>
              <w:top w:val="single" w:sz="4" w:space="0" w:color="auto"/>
              <w:left w:val="nil"/>
              <w:bottom w:val="single" w:sz="4" w:space="0" w:color="auto"/>
              <w:right w:val="single" w:sz="4" w:space="0" w:color="auto"/>
            </w:tcBorders>
            <w:vAlign w:val="center"/>
            <w:hideMark/>
          </w:tcPr>
          <w:p w14:paraId="4F956ADB" w14:textId="77777777" w:rsidR="00B55FE0" w:rsidRPr="00AA7271" w:rsidRDefault="00B55FE0" w:rsidP="0028614A">
            <w:pPr>
              <w:spacing w:after="0"/>
              <w:jc w:val="center"/>
            </w:pPr>
            <w:r w:rsidRPr="00AA7271">
              <w:t>55F</w:t>
            </w:r>
          </w:p>
        </w:tc>
        <w:tc>
          <w:tcPr>
            <w:tcW w:w="3164" w:type="dxa"/>
            <w:tcBorders>
              <w:top w:val="single" w:sz="4" w:space="0" w:color="auto"/>
              <w:left w:val="single" w:sz="4" w:space="0" w:color="auto"/>
              <w:bottom w:val="single" w:sz="4" w:space="0" w:color="auto"/>
              <w:right w:val="single" w:sz="4" w:space="0" w:color="auto"/>
            </w:tcBorders>
            <w:noWrap/>
            <w:vAlign w:val="center"/>
            <w:hideMark/>
          </w:tcPr>
          <w:p w14:paraId="3231423B" w14:textId="77777777" w:rsidR="00B55FE0" w:rsidRPr="00AA7271" w:rsidRDefault="00B55FE0" w:rsidP="0028614A">
            <w:pPr>
              <w:spacing w:after="0"/>
              <w:jc w:val="center"/>
            </w:pPr>
            <w:r>
              <w:t>Y</w:t>
            </w:r>
            <w:r w:rsidRPr="00AA7271">
              <w:t>ear climate normals, 1981-2010</w:t>
            </w:r>
          </w:p>
        </w:tc>
      </w:tr>
    </w:tbl>
    <w:p w14:paraId="048BE6F7" w14:textId="77777777" w:rsidR="00B55FE0" w:rsidRDefault="00B55FE0" w:rsidP="00D96C8D">
      <w:pPr>
        <w:pStyle w:val="Heading2"/>
      </w:pPr>
      <w:bookmarkStart w:id="209" w:name="_Toc333218996"/>
      <w:bookmarkStart w:id="210" w:name="_Toc437594093"/>
      <w:bookmarkStart w:id="211" w:name="_Toc437856307"/>
      <w:bookmarkStart w:id="212" w:name="_Toc437957204"/>
      <w:bookmarkStart w:id="213" w:name="_Toc438040367"/>
      <w:bookmarkStart w:id="214" w:name="_Toc524594131"/>
      <w:r w:rsidRPr="007334E1">
        <w:t>Electrical Loadshapes (kWh)</w:t>
      </w:r>
      <w:bookmarkEnd w:id="93"/>
      <w:bookmarkEnd w:id="209"/>
      <w:bookmarkEnd w:id="210"/>
      <w:bookmarkEnd w:id="211"/>
      <w:bookmarkEnd w:id="212"/>
      <w:bookmarkEnd w:id="213"/>
      <w:bookmarkEnd w:id="214"/>
      <w:r w:rsidRPr="007334E1">
        <w:t xml:space="preserve"> </w:t>
      </w:r>
      <w:bookmarkEnd w:id="94"/>
    </w:p>
    <w:p w14:paraId="529A8C6D" w14:textId="77777777" w:rsidR="00B55FE0" w:rsidRPr="007334E1" w:rsidRDefault="00B55FE0" w:rsidP="00B55FE0">
      <w:pPr>
        <w:rPr>
          <w:rFonts w:cstheme="minorHAnsi"/>
          <w:szCs w:val="20"/>
        </w:rPr>
      </w:pPr>
      <w:bookmarkStart w:id="215" w:name="_Toc316461820"/>
      <w:bookmarkEnd w:id="215"/>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0E0A0226" w14:textId="77777777" w:rsidR="00B55FE0" w:rsidRDefault="00B55FE0" w:rsidP="00B55FE0">
      <w:pPr>
        <w:rPr>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14:paraId="149DED5F" w14:textId="008E594A" w:rsidR="00B55FE0" w:rsidRPr="007334E1" w:rsidRDefault="00B55FE0" w:rsidP="00514253">
      <w:pPr>
        <w:pStyle w:val="Captions"/>
      </w:pPr>
      <w:bookmarkStart w:id="216" w:name="_Toc335377230"/>
      <w:bookmarkStart w:id="217" w:name="_Toc411514772"/>
      <w:bookmarkStart w:id="218" w:name="_Toc411515472"/>
      <w:bookmarkStart w:id="219" w:name="_Toc411599461"/>
      <w:bookmarkStart w:id="220" w:name="_Toc523412288"/>
      <w:r>
        <w:t xml:space="preserve">Table </w:t>
      </w:r>
      <w:r>
        <w:rPr>
          <w:noProof/>
        </w:rPr>
        <w:t>3</w:t>
      </w:r>
      <w:r>
        <w:t>.</w:t>
      </w:r>
      <w:r w:rsidR="0026285F">
        <w:rPr>
          <w:noProof/>
        </w:rPr>
        <w:t>2</w:t>
      </w:r>
      <w:r w:rsidRPr="007334E1">
        <w:t>: On and Off Peak Energy Definitions</w:t>
      </w:r>
      <w:bookmarkEnd w:id="216"/>
      <w:bookmarkEnd w:id="217"/>
      <w:bookmarkEnd w:id="218"/>
      <w:bookmarkEnd w:id="219"/>
      <w:bookmarkEnd w:id="220"/>
    </w:p>
    <w:tbl>
      <w:tblPr>
        <w:tblW w:w="9468" w:type="dxa"/>
        <w:tblInd w:w="108" w:type="dxa"/>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D96C8D">
        <w:trPr>
          <w:trHeight w:hRule="exact" w:val="288"/>
          <w:tblHeader/>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F613D9">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3C1308" w14:textId="77777777" w:rsidR="00B55FE0" w:rsidRPr="00AA7271" w:rsidRDefault="00B55FE0" w:rsidP="00F613D9">
            <w:pPr>
              <w:spacing w:after="0"/>
            </w:pPr>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B2EB20" w14:textId="77777777" w:rsidR="00B55FE0" w:rsidRPr="00AA7271" w:rsidRDefault="00B55FE0" w:rsidP="00F613D9">
            <w:pPr>
              <w:spacing w:after="0"/>
            </w:pPr>
            <w:r w:rsidRPr="00AA7271">
              <w:t>8AM - 11PM, weekdays, Oct – Apr, No NERC holidays</w:t>
            </w:r>
          </w:p>
        </w:tc>
      </w:tr>
      <w:tr w:rsidR="00B55FE0" w:rsidRPr="00AA7271" w14:paraId="3DA426F0" w14:textId="77777777" w:rsidTr="00F613D9">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295F6A" w14:textId="77777777" w:rsidR="00B55FE0" w:rsidRPr="00AA7271" w:rsidRDefault="00B55FE0" w:rsidP="00F613D9">
            <w:pPr>
              <w:spacing w:after="0"/>
            </w:pPr>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3E2F2B" w14:textId="77777777" w:rsidR="00B55FE0" w:rsidRPr="00AA7271" w:rsidRDefault="00B55FE0" w:rsidP="00F613D9">
            <w:pPr>
              <w:spacing w:after="0"/>
            </w:pPr>
            <w:r w:rsidRPr="00AA7271">
              <w:t>All other hours</w:t>
            </w:r>
          </w:p>
        </w:tc>
      </w:tr>
      <w:tr w:rsidR="00B55FE0" w:rsidRPr="00AA7271" w14:paraId="4B8D1DA8" w14:textId="77777777" w:rsidTr="00F613D9">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76A65E" w14:textId="77777777" w:rsidR="00B55FE0" w:rsidRPr="00AA7271" w:rsidRDefault="00B55FE0" w:rsidP="00F613D9">
            <w:pPr>
              <w:spacing w:after="0"/>
            </w:pPr>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D9548B" w14:textId="77777777" w:rsidR="00B55FE0" w:rsidRPr="00AA7271" w:rsidRDefault="00B55FE0" w:rsidP="00F613D9">
            <w:pPr>
              <w:spacing w:after="0"/>
            </w:pPr>
            <w:r w:rsidRPr="00AA7271">
              <w:t>8AM - 11PM, weekdays, May – Sept, No NERC holidays</w:t>
            </w:r>
          </w:p>
        </w:tc>
      </w:tr>
      <w:tr w:rsidR="00B55FE0" w:rsidRPr="00AA7271" w14:paraId="15DDEF65" w14:textId="77777777" w:rsidTr="00F613D9">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B7829B" w14:textId="77777777" w:rsidR="00B55FE0" w:rsidRPr="00AA7271" w:rsidRDefault="00B55FE0" w:rsidP="00F613D9">
            <w:pPr>
              <w:spacing w:after="0"/>
            </w:pPr>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1A6693" w14:textId="77777777" w:rsidR="00B55FE0" w:rsidRPr="00AA7271" w:rsidRDefault="00B55FE0" w:rsidP="00F613D9">
            <w:pPr>
              <w:spacing w:after="0"/>
            </w:pPr>
            <w:r w:rsidRPr="00AA7271">
              <w:t>All other hours</w:t>
            </w:r>
          </w:p>
        </w:tc>
      </w:tr>
    </w:tbl>
    <w:p w14:paraId="6C84FE55" w14:textId="1C0ED0E1"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Itron eShapes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r w:rsidRPr="006A1863">
        <w:rPr>
          <w:rFonts w:cstheme="minorHAnsi"/>
          <w:szCs w:val="20"/>
        </w:rPr>
        <w:t>Loadshapes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115A459E"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Pr>
          <w:rStyle w:val="FootnoteReference"/>
          <w:szCs w:val="20"/>
        </w:rPr>
        <w:footnoteReference w:id="29"/>
      </w:r>
      <w:r w:rsidRPr="007334E1">
        <w:rPr>
          <w:rFonts w:cstheme="minorHAnsi"/>
          <w:szCs w:val="20"/>
        </w:rPr>
        <w:t xml:space="preserve">. </w:t>
      </w:r>
      <w:bookmarkStart w:id="221" w:name="_Hlk517957962"/>
      <w:r w:rsidR="002F3E80">
        <w:rPr>
          <w:rFonts w:cstheme="minorHAnsi"/>
          <w:szCs w:val="20"/>
        </w:rPr>
        <w:t>T</w:t>
      </w:r>
      <w:r w:rsidRPr="007334E1">
        <w:rPr>
          <w:rFonts w:cstheme="minorHAnsi"/>
          <w:szCs w:val="20"/>
        </w:rPr>
        <w:t>he source of the loadshape</w:t>
      </w:r>
      <w:r w:rsidR="002F3E80">
        <w:rPr>
          <w:rFonts w:cstheme="minorHAnsi"/>
          <w:szCs w:val="20"/>
        </w:rPr>
        <w:t xml:space="preserve"> is also provided</w:t>
      </w:r>
      <w:bookmarkEnd w:id="221"/>
      <w:r w:rsidR="002F3E80">
        <w:rPr>
          <w:rFonts w:cstheme="minorHAnsi"/>
          <w:szCs w:val="20"/>
        </w:rPr>
        <w:t xml:space="preserve">. </w:t>
      </w:r>
    </w:p>
    <w:p w14:paraId="4F0570FC" w14:textId="77777777" w:rsidR="00B55FE0" w:rsidRDefault="00B55FE0" w:rsidP="00B55FE0">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r w:rsidRPr="002F5D35">
        <w:rPr>
          <w:szCs w:val="20"/>
        </w:rPr>
        <w:t xml:space="preserve">DSMore™ (Integral Analytics DSMore™ Demand Side Management Option/Risk Evaluator) software </w:t>
      </w:r>
      <w:r w:rsidRPr="007334E1">
        <w:rPr>
          <w:szCs w:val="20"/>
        </w:rPr>
        <w:t xml:space="preserve">to screen the efficiency measures </w:t>
      </w:r>
      <w:r>
        <w:rPr>
          <w:szCs w:val="20"/>
        </w:rPr>
        <w:t>for cost effectiveness. S</w:t>
      </w:r>
      <w:r w:rsidRPr="007334E1">
        <w:rPr>
          <w:szCs w:val="20"/>
        </w:rPr>
        <w:t>ince this tool requires a loadshape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18"/>
          <w:pgSz w:w="12240" w:h="15840"/>
          <w:pgMar w:top="1440" w:right="1440" w:bottom="1440" w:left="1440" w:header="720" w:footer="720" w:gutter="0"/>
          <w:cols w:space="720"/>
          <w:docGrid w:linePitch="360"/>
        </w:sectPr>
      </w:pPr>
    </w:p>
    <w:p w14:paraId="7569B48E" w14:textId="5A4A07FC" w:rsidR="00B55FE0" w:rsidRPr="00716A5A" w:rsidRDefault="00B55FE0" w:rsidP="00514253">
      <w:pPr>
        <w:pStyle w:val="Captions"/>
      </w:pPr>
      <w:bookmarkStart w:id="222" w:name="_Toc335377231"/>
      <w:bookmarkStart w:id="223" w:name="_Toc411514773"/>
      <w:bookmarkStart w:id="224" w:name="_Toc411515473"/>
      <w:bookmarkStart w:id="225" w:name="_Toc411599462"/>
      <w:bookmarkStart w:id="226" w:name="_Toc523412289"/>
      <w:r>
        <w:t xml:space="preserve">Table </w:t>
      </w:r>
      <w:r>
        <w:rPr>
          <w:noProof/>
        </w:rPr>
        <w:t>3</w:t>
      </w:r>
      <w:r>
        <w:t>.</w:t>
      </w:r>
      <w:r w:rsidR="0026285F">
        <w:rPr>
          <w:noProof/>
        </w:rPr>
        <w:t>3</w:t>
      </w:r>
      <w:r w:rsidRPr="00716A5A">
        <w:t>: Loadshapes by Season</w:t>
      </w:r>
      <w:bookmarkEnd w:id="222"/>
      <w:bookmarkEnd w:id="223"/>
      <w:bookmarkEnd w:id="224"/>
      <w:bookmarkEnd w:id="225"/>
      <w:bookmarkEnd w:id="226"/>
    </w:p>
    <w:tbl>
      <w:tblPr>
        <w:tblW w:w="14040" w:type="dxa"/>
        <w:jc w:val="center"/>
        <w:tblLayout w:type="fixed"/>
        <w:tblCellMar>
          <w:left w:w="30" w:type="dxa"/>
          <w:right w:w="30" w:type="dxa"/>
        </w:tblCellMar>
        <w:tblLook w:val="0000" w:firstRow="0" w:lastRow="0" w:firstColumn="0" w:lastColumn="0" w:noHBand="0" w:noVBand="0"/>
      </w:tblPr>
      <w:tblGrid>
        <w:gridCol w:w="4410"/>
        <w:gridCol w:w="990"/>
        <w:gridCol w:w="1800"/>
        <w:gridCol w:w="1350"/>
        <w:gridCol w:w="1710"/>
        <w:gridCol w:w="1440"/>
        <w:gridCol w:w="2340"/>
      </w:tblGrid>
      <w:tr w:rsidR="0028042F" w:rsidRPr="007334E1" w14:paraId="2BB2669C" w14:textId="1C7BE2C4" w:rsidTr="0028042F">
        <w:trPr>
          <w:trHeight w:val="20"/>
          <w:tblHeader/>
          <w:jc w:val="center"/>
        </w:trPr>
        <w:tc>
          <w:tcPr>
            <w:tcW w:w="441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6" w:space="0" w:color="auto"/>
              <w:left w:val="single" w:sz="6" w:space="0" w:color="auto"/>
              <w:bottom w:val="single" w:sz="6"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34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28042F">
        <w:trPr>
          <w:trHeight w:val="20"/>
          <w:tblHeader/>
          <w:jc w:val="center"/>
        </w:trPr>
        <w:tc>
          <w:tcPr>
            <w:tcW w:w="4410" w:type="dxa"/>
            <w:tcBorders>
              <w:top w:val="nil"/>
              <w:left w:val="nil"/>
              <w:bottom w:val="nil"/>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340" w:type="dxa"/>
            <w:tcBorders>
              <w:top w:val="single" w:sz="4" w:space="0" w:color="auto"/>
              <w:left w:val="single" w:sz="6" w:space="0" w:color="auto"/>
              <w:bottom w:val="single" w:sz="6"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2F3E80" w:rsidRPr="007334E1" w14:paraId="02F62CE5" w14:textId="30444BD0"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vAlign w:val="center"/>
          </w:tcPr>
          <w:p w14:paraId="7B994227" w14:textId="77777777" w:rsidR="002F3E80" w:rsidRPr="007334E1" w:rsidRDefault="002F3E80" w:rsidP="00986C87">
            <w:pPr>
              <w:pStyle w:val="TableText"/>
            </w:pPr>
            <w:r w:rsidRPr="007334E1">
              <w:t>Residential Clothes Washer</w:t>
            </w:r>
          </w:p>
        </w:tc>
        <w:tc>
          <w:tcPr>
            <w:tcW w:w="990" w:type="dxa"/>
            <w:tcBorders>
              <w:top w:val="single" w:sz="4" w:space="0" w:color="auto"/>
              <w:left w:val="single" w:sz="6" w:space="0" w:color="auto"/>
              <w:bottom w:val="single" w:sz="6" w:space="0" w:color="auto"/>
              <w:right w:val="single" w:sz="6" w:space="0" w:color="auto"/>
            </w:tcBorders>
            <w:vAlign w:val="center"/>
          </w:tcPr>
          <w:p w14:paraId="418BD48C" w14:textId="77777777" w:rsidR="002F3E80" w:rsidRPr="007334E1" w:rsidRDefault="002F3E80" w:rsidP="00986C87">
            <w:pPr>
              <w:pStyle w:val="TableText"/>
              <w:jc w:val="center"/>
            </w:pPr>
            <w:r>
              <w:t>R01</w:t>
            </w:r>
          </w:p>
        </w:tc>
        <w:tc>
          <w:tcPr>
            <w:tcW w:w="1800" w:type="dxa"/>
            <w:tcBorders>
              <w:top w:val="single" w:sz="6" w:space="0" w:color="auto"/>
              <w:left w:val="single" w:sz="6" w:space="0" w:color="auto"/>
              <w:bottom w:val="single" w:sz="6" w:space="0" w:color="auto"/>
              <w:right w:val="single" w:sz="6" w:space="0" w:color="auto"/>
            </w:tcBorders>
            <w:vAlign w:val="center"/>
          </w:tcPr>
          <w:p w14:paraId="2C65CB83" w14:textId="77777777" w:rsidR="002F3E80" w:rsidRPr="007334E1" w:rsidRDefault="002F3E80" w:rsidP="00986C87">
            <w:pPr>
              <w:pStyle w:val="TableText"/>
              <w:jc w:val="center"/>
            </w:pPr>
            <w:r w:rsidRPr="007334E1">
              <w:t>47.0%</w:t>
            </w:r>
          </w:p>
        </w:tc>
        <w:tc>
          <w:tcPr>
            <w:tcW w:w="1350" w:type="dxa"/>
            <w:tcBorders>
              <w:top w:val="single" w:sz="6" w:space="0" w:color="auto"/>
              <w:left w:val="single" w:sz="6" w:space="0" w:color="auto"/>
              <w:bottom w:val="single" w:sz="6" w:space="0" w:color="auto"/>
              <w:right w:val="single" w:sz="6" w:space="0" w:color="auto"/>
            </w:tcBorders>
            <w:vAlign w:val="center"/>
          </w:tcPr>
          <w:p w14:paraId="583D3376" w14:textId="77777777" w:rsidR="002F3E80" w:rsidRPr="007334E1" w:rsidRDefault="002F3E80" w:rsidP="00986C87">
            <w:pPr>
              <w:pStyle w:val="TableText"/>
              <w:jc w:val="center"/>
            </w:pPr>
            <w:r w:rsidRPr="007334E1">
              <w:t>11.1%</w:t>
            </w:r>
          </w:p>
        </w:tc>
        <w:tc>
          <w:tcPr>
            <w:tcW w:w="1710" w:type="dxa"/>
            <w:tcBorders>
              <w:top w:val="single" w:sz="6" w:space="0" w:color="auto"/>
              <w:left w:val="single" w:sz="6" w:space="0" w:color="auto"/>
              <w:bottom w:val="single" w:sz="6" w:space="0" w:color="auto"/>
              <w:right w:val="single" w:sz="6" w:space="0" w:color="auto"/>
            </w:tcBorders>
            <w:vAlign w:val="center"/>
          </w:tcPr>
          <w:p w14:paraId="3EEC0BA9" w14:textId="77777777" w:rsidR="002F3E80" w:rsidRPr="007334E1" w:rsidRDefault="002F3E80" w:rsidP="00986C87">
            <w:pPr>
              <w:pStyle w:val="TableText"/>
              <w:jc w:val="center"/>
            </w:pPr>
            <w:r w:rsidRPr="007334E1">
              <w:t>34.0%</w:t>
            </w:r>
          </w:p>
        </w:tc>
        <w:tc>
          <w:tcPr>
            <w:tcW w:w="1440" w:type="dxa"/>
            <w:tcBorders>
              <w:top w:val="single" w:sz="6" w:space="0" w:color="auto"/>
              <w:left w:val="single" w:sz="6" w:space="0" w:color="auto"/>
              <w:bottom w:val="single" w:sz="6" w:space="0" w:color="auto"/>
              <w:right w:val="single" w:sz="6" w:space="0" w:color="auto"/>
            </w:tcBorders>
            <w:vAlign w:val="center"/>
          </w:tcPr>
          <w:p w14:paraId="00882B6A" w14:textId="77777777" w:rsidR="002F3E80" w:rsidRPr="007334E1" w:rsidRDefault="002F3E80" w:rsidP="00986C87">
            <w:pPr>
              <w:pStyle w:val="TableText"/>
              <w:jc w:val="center"/>
            </w:pPr>
            <w:r w:rsidRPr="007334E1">
              <w:t>8.0%</w:t>
            </w:r>
          </w:p>
        </w:tc>
        <w:tc>
          <w:tcPr>
            <w:tcW w:w="2340" w:type="dxa"/>
            <w:tcBorders>
              <w:top w:val="single" w:sz="6" w:space="0" w:color="auto"/>
              <w:left w:val="single" w:sz="6" w:space="0" w:color="auto"/>
              <w:bottom w:val="single" w:sz="6" w:space="0" w:color="auto"/>
              <w:right w:val="single" w:sz="6" w:space="0" w:color="auto"/>
            </w:tcBorders>
            <w:vAlign w:val="center"/>
          </w:tcPr>
          <w:p w14:paraId="471D283A" w14:textId="0ED34608" w:rsidR="002F3E80" w:rsidRPr="007334E1" w:rsidRDefault="002F3E80" w:rsidP="00986C87">
            <w:pPr>
              <w:pStyle w:val="TableText"/>
            </w:pPr>
            <w:r>
              <w:t>Itron eShapes</w:t>
            </w:r>
          </w:p>
        </w:tc>
      </w:tr>
      <w:tr w:rsidR="002F3E80" w:rsidRPr="007334E1" w14:paraId="3B9E99ED" w14:textId="449D25B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50730" w14:textId="77777777" w:rsidR="002F3E80" w:rsidRPr="007334E1" w:rsidRDefault="002F3E80" w:rsidP="00986C87">
            <w:pPr>
              <w:pStyle w:val="TableText"/>
            </w:pPr>
            <w:r w:rsidRPr="007334E1">
              <w:t>Residential Dish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920A" w14:textId="77777777" w:rsidR="002F3E80" w:rsidRPr="007334E1" w:rsidRDefault="002F3E80" w:rsidP="00986C87">
            <w:pPr>
              <w:pStyle w:val="TableText"/>
              <w:jc w:val="center"/>
            </w:pPr>
            <w:r>
              <w:t>R</w:t>
            </w:r>
            <w:r w:rsidRPr="00131549">
              <w:t>0</w:t>
            </w:r>
            <w:r>
              <w:t>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C73CE" w14:textId="77777777" w:rsidR="002F3E80" w:rsidRPr="007334E1" w:rsidRDefault="002F3E80" w:rsidP="00986C87">
            <w:pPr>
              <w:pStyle w:val="TableText"/>
              <w:jc w:val="center"/>
            </w:pPr>
            <w:r w:rsidRPr="007334E1">
              <w:t>49.3%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38E70" w14:textId="77777777" w:rsidR="002F3E80" w:rsidRPr="007334E1" w:rsidRDefault="002F3E80" w:rsidP="00986C87">
            <w:pPr>
              <w:pStyle w:val="TableText"/>
              <w:jc w:val="center"/>
            </w:pPr>
            <w:r w:rsidRPr="007334E1">
              <w:t>8.7%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4C280C" w14:textId="77777777" w:rsidR="002F3E80" w:rsidRPr="007334E1" w:rsidRDefault="002F3E80" w:rsidP="00986C87">
            <w:pPr>
              <w:pStyle w:val="TableText"/>
              <w:jc w:val="center"/>
            </w:pPr>
            <w:r w:rsidRPr="007334E1">
              <w:t>35.7%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9012B" w14:textId="77777777" w:rsidR="002F3E80" w:rsidRPr="007334E1" w:rsidRDefault="002F3E80" w:rsidP="00986C87">
            <w:pPr>
              <w:pStyle w:val="TableText"/>
              <w:jc w:val="center"/>
            </w:pPr>
            <w:r w:rsidRPr="007334E1">
              <w:t>6.3%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CC5DB" w14:textId="65DB7F12" w:rsidR="002F3E80" w:rsidRPr="007334E1" w:rsidRDefault="002F3E80" w:rsidP="00986C87">
            <w:pPr>
              <w:pStyle w:val="TableText"/>
            </w:pPr>
            <w:r w:rsidRPr="003D19B0">
              <w:t>Itron eShapes</w:t>
            </w:r>
          </w:p>
        </w:tc>
      </w:tr>
      <w:tr w:rsidR="002F3E80" w:rsidRPr="007334E1" w14:paraId="730F5E00" w14:textId="73FF3D5E"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3E1A1" w14:textId="77777777" w:rsidR="002F3E80" w:rsidRPr="007334E1" w:rsidRDefault="002F3E80" w:rsidP="00986C87">
            <w:pPr>
              <w:pStyle w:val="TableText"/>
            </w:pPr>
            <w:r w:rsidRPr="007334E1">
              <w:t>Residential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3B0BC" w14:textId="77777777" w:rsidR="002F3E80" w:rsidRPr="007334E1" w:rsidRDefault="002F3E80" w:rsidP="00986C87">
            <w:pPr>
              <w:pStyle w:val="TableText"/>
              <w:jc w:val="center"/>
            </w:pPr>
            <w:r>
              <w:t>R</w:t>
            </w:r>
            <w:r w:rsidRPr="00131549">
              <w:t>0</w:t>
            </w:r>
            <w:r>
              <w:t>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4FEE91" w14:textId="77777777" w:rsidR="002F3E80" w:rsidRPr="007334E1" w:rsidRDefault="002F3E80" w:rsidP="00986C87">
            <w:pPr>
              <w:pStyle w:val="TableText"/>
              <w:jc w:val="center"/>
            </w:pPr>
            <w:r w:rsidRPr="007334E1">
              <w:t>43.2%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1B72"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9DE66" w14:textId="77777777" w:rsidR="002F3E80" w:rsidRPr="007334E1" w:rsidRDefault="002F3E80" w:rsidP="00986C87">
            <w:pPr>
              <w:pStyle w:val="TableText"/>
              <w:jc w:val="center"/>
            </w:pPr>
            <w:r w:rsidRPr="007334E1">
              <w:t>24.5%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C5BDCE" w14:textId="77777777" w:rsidR="002F3E80" w:rsidRPr="007334E1" w:rsidRDefault="002F3E80" w:rsidP="00986C87">
            <w:pPr>
              <w:pStyle w:val="TableText"/>
              <w:jc w:val="center"/>
            </w:pPr>
            <w:r w:rsidRPr="007334E1">
              <w:t>11.7%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450C" w14:textId="30A6BB98" w:rsidR="002F3E80" w:rsidRPr="007334E1" w:rsidRDefault="002F3E80" w:rsidP="00986C87">
            <w:pPr>
              <w:pStyle w:val="TableText"/>
            </w:pPr>
            <w:r w:rsidRPr="003D19B0">
              <w:t>Itron eShapes</w:t>
            </w:r>
          </w:p>
        </w:tc>
      </w:tr>
      <w:tr w:rsidR="002F3E80" w:rsidRPr="007334E1" w14:paraId="7F3DBD45" w14:textId="007FA79E"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621DC" w14:textId="77777777" w:rsidR="002F3E80" w:rsidRPr="007334E1" w:rsidRDefault="002F3E80" w:rsidP="00986C87">
            <w:pPr>
              <w:pStyle w:val="TableText"/>
            </w:pPr>
            <w:r w:rsidRPr="007334E1">
              <w:t>Residential Freezer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DB224" w14:textId="77777777" w:rsidR="002F3E80" w:rsidRPr="007334E1" w:rsidRDefault="002F3E80" w:rsidP="00986C87">
            <w:pPr>
              <w:pStyle w:val="TableText"/>
              <w:jc w:val="center"/>
            </w:pPr>
            <w:r>
              <w:t>R</w:t>
            </w:r>
            <w:r w:rsidRPr="00131549">
              <w:t>0</w:t>
            </w:r>
            <w:r>
              <w:t>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D1EB" w14:textId="77777777" w:rsidR="002F3E80" w:rsidRPr="007334E1" w:rsidRDefault="002F3E80" w:rsidP="00986C87">
            <w:pPr>
              <w:pStyle w:val="TableText"/>
              <w:jc w:val="center"/>
            </w:pPr>
            <w:r w:rsidRPr="007334E1">
              <w:t>38.9%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CCD8BF" w14:textId="77777777" w:rsidR="002F3E80" w:rsidRPr="007334E1" w:rsidRDefault="002F3E80" w:rsidP="00986C87">
            <w:pPr>
              <w:pStyle w:val="TableText"/>
              <w:jc w:val="center"/>
            </w:pPr>
            <w:r w:rsidRPr="007334E1">
              <w:t>16.4%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3EFF4" w14:textId="77777777" w:rsidR="002F3E80" w:rsidRPr="007334E1" w:rsidRDefault="002F3E80" w:rsidP="00986C87">
            <w:pPr>
              <w:pStyle w:val="TableText"/>
              <w:jc w:val="center"/>
            </w:pPr>
            <w:r w:rsidRPr="007334E1">
              <w:t>31.5%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931F0" w14:textId="77777777" w:rsidR="002F3E80" w:rsidRPr="007334E1" w:rsidRDefault="002F3E80" w:rsidP="00986C87">
            <w:pPr>
              <w:pStyle w:val="TableText"/>
              <w:jc w:val="center"/>
            </w:pPr>
            <w:r w:rsidRPr="007334E1">
              <w:t>13.2%</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E0C19" w14:textId="077778D5" w:rsidR="002F3E80" w:rsidRPr="007334E1" w:rsidRDefault="002F3E80" w:rsidP="00986C87">
            <w:pPr>
              <w:pStyle w:val="TableText"/>
            </w:pPr>
            <w:r w:rsidRPr="003D19B0">
              <w:t>Itron eShapes</w:t>
            </w:r>
          </w:p>
        </w:tc>
      </w:tr>
      <w:tr w:rsidR="002F3E80" w:rsidRPr="007334E1" w14:paraId="03D4F424" w14:textId="193301AA"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2EE48" w14:textId="77777777" w:rsidR="002F3E80" w:rsidRPr="007334E1" w:rsidRDefault="002F3E80" w:rsidP="00986C87">
            <w:pPr>
              <w:pStyle w:val="TableText"/>
            </w:pPr>
            <w:r w:rsidRPr="007334E1">
              <w:t>Residential Refrigerator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47D9" w14:textId="77777777" w:rsidR="002F3E80" w:rsidRPr="007334E1" w:rsidRDefault="002F3E80" w:rsidP="00986C87">
            <w:pPr>
              <w:pStyle w:val="TableText"/>
              <w:jc w:val="center"/>
            </w:pPr>
            <w:r>
              <w:t>R05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ED4E3C"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DF3E0B" w14:textId="77777777" w:rsidR="002F3E80" w:rsidRPr="007334E1" w:rsidRDefault="002F3E80" w:rsidP="00986C87">
            <w:pPr>
              <w:pStyle w:val="TableText"/>
              <w:jc w:val="center"/>
            </w:pPr>
            <w:r w:rsidRPr="007334E1">
              <w:t>18.1%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C1B90" w14:textId="77777777" w:rsidR="002F3E80" w:rsidRPr="007334E1" w:rsidRDefault="002F3E80" w:rsidP="00986C87">
            <w:pPr>
              <w:pStyle w:val="TableText"/>
              <w:jc w:val="center"/>
            </w:pPr>
            <w:r w:rsidRPr="007334E1">
              <w:t>30.1%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A4EFC" w14:textId="77777777" w:rsidR="002F3E80" w:rsidRPr="007334E1" w:rsidRDefault="002F3E80" w:rsidP="00986C87">
            <w:pPr>
              <w:pStyle w:val="TableText"/>
              <w:jc w:val="center"/>
            </w:pPr>
            <w:r w:rsidRPr="007334E1">
              <w:t>14.7%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D388E2" w14:textId="0D634937" w:rsidR="002F3E80" w:rsidRPr="007334E1" w:rsidRDefault="002F3E80" w:rsidP="00986C87">
            <w:pPr>
              <w:pStyle w:val="TableText"/>
            </w:pPr>
            <w:r w:rsidRPr="003D19B0">
              <w:t>Itron eShapes</w:t>
            </w:r>
          </w:p>
        </w:tc>
      </w:tr>
      <w:tr w:rsidR="002145B2" w:rsidRPr="007334E1" w14:paraId="5CA072C2" w14:textId="523733CC"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0"/>
            </w:r>
          </w:p>
        </w:tc>
      </w:tr>
      <w:tr w:rsidR="002F3E80" w:rsidRPr="007334E1" w14:paraId="7C1B1936" w14:textId="46642B1F"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2F3E80" w:rsidRPr="007334E1" w14:paraId="5148F4E5" w14:textId="7B5D5B6D"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1E223" w14:textId="77777777" w:rsidR="002F3E80" w:rsidRPr="007334E1" w:rsidRDefault="002F3E80" w:rsidP="00986C87">
            <w:pPr>
              <w:pStyle w:val="TableText"/>
            </w:pPr>
            <w:r w:rsidRPr="007334E1">
              <w:t>Residential Standby Losses - Entertainment Center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9D54A6" w14:textId="77777777" w:rsidR="002F3E80" w:rsidRPr="007334E1" w:rsidRDefault="002F3E80" w:rsidP="00986C87">
            <w:pPr>
              <w:pStyle w:val="TableText"/>
              <w:jc w:val="center"/>
            </w:pPr>
            <w:r>
              <w:t>R13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C5286A" w14:textId="77777777" w:rsidR="002F3E80" w:rsidRPr="007334E1" w:rsidRDefault="002F3E80" w:rsidP="00986C87">
            <w:pPr>
              <w:pStyle w:val="TableText"/>
              <w:jc w:val="center"/>
            </w:pPr>
            <w:r w:rsidRPr="007334E1">
              <w:t>26.0%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AC489F" w14:textId="77777777" w:rsidR="002F3E80" w:rsidRPr="007334E1" w:rsidRDefault="002F3E80" w:rsidP="00986C87">
            <w:pPr>
              <w:pStyle w:val="TableText"/>
              <w:jc w:val="center"/>
            </w:pPr>
            <w:r w:rsidRPr="007334E1">
              <w:t>32.5%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AB4A1"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07F85" w14:textId="77777777" w:rsidR="002F3E80" w:rsidRPr="007334E1" w:rsidRDefault="002F3E80" w:rsidP="00986C87">
            <w:pPr>
              <w:pStyle w:val="TableText"/>
              <w:jc w:val="center"/>
            </w:pPr>
            <w:r w:rsidRPr="007334E1">
              <w:t>22.6%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8964A6" w14:textId="4B43F59D" w:rsidR="002F3E80" w:rsidRPr="007334E1" w:rsidRDefault="002F3E80" w:rsidP="00986C87">
            <w:pPr>
              <w:pStyle w:val="TableText"/>
            </w:pPr>
            <w:r w:rsidRPr="001A6BB4">
              <w:t>Efficiency Vermont</w:t>
            </w:r>
          </w:p>
        </w:tc>
      </w:tr>
      <w:tr w:rsidR="0028042F" w:rsidRPr="007334E1" w14:paraId="26137710" w14:textId="7CE71E7A" w:rsidTr="0028042F">
        <w:trPr>
          <w:trHeight w:val="20"/>
          <w:jc w:val="center"/>
        </w:trPr>
        <w:tc>
          <w:tcPr>
            <w:tcW w:w="44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6E7DE63" w14:textId="77777777" w:rsidR="002F3E80" w:rsidRPr="007334E1" w:rsidRDefault="002F3E80" w:rsidP="00986C87">
            <w:pPr>
              <w:pStyle w:val="TableText"/>
            </w:pPr>
            <w:r w:rsidRPr="007334E1">
              <w:t>Residential Standby Losses - Home Office</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4B7D11" w14:textId="77777777" w:rsidR="002F3E80" w:rsidRPr="007334E1" w:rsidRDefault="002F3E80" w:rsidP="00986C87">
            <w:pPr>
              <w:pStyle w:val="TableText"/>
              <w:jc w:val="center"/>
            </w:pPr>
            <w:r>
              <w:t>R14</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09CDD1" w14:textId="77777777" w:rsidR="002F3E80" w:rsidRPr="007334E1" w:rsidRDefault="002F3E80" w:rsidP="00986C87">
            <w:pPr>
              <w:pStyle w:val="TableText"/>
              <w:jc w:val="center"/>
            </w:pPr>
            <w:r w:rsidRPr="007334E1">
              <w:t>23.9%</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29A031" w14:textId="77777777" w:rsidR="002F3E80" w:rsidRPr="007334E1" w:rsidRDefault="002F3E80" w:rsidP="00986C87">
            <w:pPr>
              <w:pStyle w:val="TableText"/>
              <w:jc w:val="center"/>
            </w:pPr>
            <w:r w:rsidRPr="007334E1">
              <w:t>34.6%</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F36CC3" w14:textId="77777777" w:rsidR="002F3E80" w:rsidRPr="007334E1" w:rsidRDefault="002F3E80" w:rsidP="00986C87">
            <w:pPr>
              <w:pStyle w:val="TableText"/>
              <w:jc w:val="center"/>
            </w:pPr>
            <w:r w:rsidRPr="007334E1">
              <w:t>17.0%</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A0636F" w14:textId="77777777" w:rsidR="002F3E80" w:rsidRPr="007334E1" w:rsidRDefault="002F3E80" w:rsidP="00986C87">
            <w:pPr>
              <w:pStyle w:val="TableText"/>
              <w:jc w:val="center"/>
            </w:pPr>
            <w:r w:rsidRPr="007334E1">
              <w:t>24.5%</w:t>
            </w:r>
          </w:p>
        </w:tc>
        <w:tc>
          <w:tcPr>
            <w:tcW w:w="23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8916EC" w14:textId="093275A9" w:rsidR="002F3E80" w:rsidRPr="007334E1" w:rsidRDefault="002F3E80" w:rsidP="00986C87">
            <w:pPr>
              <w:pStyle w:val="TableText"/>
            </w:pPr>
            <w:r w:rsidRPr="001A6BB4">
              <w:t>Efficiency Vermont</w:t>
            </w:r>
          </w:p>
        </w:tc>
      </w:tr>
      <w:tr w:rsidR="0028042F" w:rsidRPr="007334E1" w14:paraId="6FB2E82E" w14:textId="2B412517" w:rsidTr="0028042F">
        <w:trPr>
          <w:trHeight w:val="20"/>
          <w:jc w:val="center"/>
        </w:trPr>
        <w:tc>
          <w:tcPr>
            <w:tcW w:w="44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3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28042F">
        <w:trPr>
          <w:trHeight w:val="20"/>
          <w:jc w:val="center"/>
        </w:trPr>
        <w:tc>
          <w:tcPr>
            <w:tcW w:w="44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3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1"/>
            </w:r>
          </w:p>
        </w:tc>
      </w:tr>
      <w:tr w:rsidR="0028042F" w:rsidRPr="007334E1" w14:paraId="0841B5DB" w14:textId="03BF245A" w:rsidTr="0028042F">
        <w:trPr>
          <w:trHeight w:val="20"/>
          <w:jc w:val="center"/>
        </w:trPr>
        <w:tc>
          <w:tcPr>
            <w:tcW w:w="441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nil"/>
              <w:bottom w:val="single" w:sz="4" w:space="0" w:color="auto"/>
              <w:right w:val="nil"/>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nil"/>
              <w:bottom w:val="single" w:sz="4" w:space="0" w:color="auto"/>
              <w:right w:val="nil"/>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28042F">
        <w:trPr>
          <w:trHeight w:val="20"/>
          <w:jc w:val="center"/>
        </w:trPr>
        <w:tc>
          <w:tcPr>
            <w:tcW w:w="44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34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8EA55" w14:textId="7C43C885" w:rsidR="00D709A1" w:rsidRPr="007334E1" w:rsidRDefault="00D709A1" w:rsidP="00D709A1">
            <w:pPr>
              <w:pStyle w:val="TableText"/>
            </w:pPr>
            <w:r>
              <w:t>Navigant EmPOWER study</w:t>
            </w:r>
            <w:r w:rsidR="00EE13AD">
              <w:rPr>
                <w:rStyle w:val="FootnoteReference"/>
              </w:rPr>
              <w:footnoteReference w:id="32"/>
            </w:r>
          </w:p>
        </w:tc>
      </w:tr>
      <w:tr w:rsidR="00D709A1" w:rsidRPr="007334E1" w14:paraId="29E47C29" w14:textId="2832BC2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693F58" w14:textId="16F0D378" w:rsidR="00D709A1" w:rsidRPr="007334E1" w:rsidRDefault="00D709A1" w:rsidP="00D709A1">
            <w:pPr>
              <w:pStyle w:val="TableText"/>
            </w:pPr>
            <w:r>
              <w:t>Navigant EmPOWER study</w:t>
            </w:r>
          </w:p>
        </w:tc>
      </w:tr>
      <w:tr w:rsidR="00D709A1" w:rsidRPr="007334E1" w14:paraId="5303E08D" w14:textId="09AFF3A1"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271A" w14:textId="21447A9D" w:rsidR="00D709A1" w:rsidRPr="007334E1" w:rsidRDefault="00D709A1" w:rsidP="00D709A1">
            <w:pPr>
              <w:pStyle w:val="TableText"/>
            </w:pPr>
            <w:r>
              <w:t>Navigant EmPOWER study</w:t>
            </w:r>
          </w:p>
        </w:tc>
      </w:tr>
      <w:tr w:rsidR="00D709A1" w:rsidRPr="007334E1" w14:paraId="5144F762" w14:textId="3F42F274"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5C1619" w14:textId="3DB954CE" w:rsidR="00D709A1" w:rsidRPr="007334E1" w:rsidRDefault="00D709A1" w:rsidP="00D709A1">
            <w:pPr>
              <w:pStyle w:val="TableText"/>
            </w:pPr>
            <w:r>
              <w:t>Navigant EmPOWER study</w:t>
            </w:r>
          </w:p>
        </w:tc>
      </w:tr>
      <w:tr w:rsidR="00D709A1" w:rsidRPr="007334E1" w14:paraId="1363DB98" w14:textId="15C87B4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4F364" w14:textId="5886DCFD" w:rsidR="00D709A1" w:rsidRPr="007334E1" w:rsidRDefault="00D709A1" w:rsidP="00D709A1">
            <w:pPr>
              <w:pStyle w:val="TableText"/>
            </w:pPr>
            <w:r>
              <w:t>Navigant EmPOWER study</w:t>
            </w:r>
          </w:p>
        </w:tc>
      </w:tr>
      <w:tr w:rsidR="00D709A1" w:rsidRPr="007334E1" w14:paraId="2BA476C1" w14:textId="037A0A3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68D02" w14:textId="780B9ADF" w:rsidR="00D709A1" w:rsidRPr="007334E1" w:rsidRDefault="00D709A1" w:rsidP="00D709A1">
            <w:pPr>
              <w:pStyle w:val="TableText"/>
            </w:pPr>
            <w:r>
              <w:t>Navigant EmPOWER study</w:t>
            </w:r>
          </w:p>
        </w:tc>
      </w:tr>
      <w:tr w:rsidR="00D709A1" w:rsidRPr="007334E1" w14:paraId="2A1684BE" w14:textId="56BC8C4C"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F2225" w14:textId="47B2F0F4" w:rsidR="00D709A1" w:rsidRPr="007334E1" w:rsidRDefault="00D709A1" w:rsidP="00D709A1">
            <w:pPr>
              <w:pStyle w:val="TableText"/>
            </w:pPr>
            <w:r>
              <w:t>Navigant EmPOWER study</w:t>
            </w:r>
          </w:p>
        </w:tc>
      </w:tr>
      <w:tr w:rsidR="00D709A1" w:rsidRPr="007334E1" w14:paraId="1C4A6A80" w14:textId="4EAD9372"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57AEE" w14:textId="5C637D53" w:rsidR="00D709A1" w:rsidRPr="00B57AE6" w:rsidRDefault="00D709A1" w:rsidP="00D709A1">
            <w:pPr>
              <w:pStyle w:val="TableText"/>
            </w:pPr>
            <w:r>
              <w:t>Navigant EmPOWER study</w:t>
            </w:r>
          </w:p>
        </w:tc>
      </w:tr>
      <w:tr w:rsidR="002F3E80" w:rsidRPr="007334E1" w14:paraId="35F76D3E" w14:textId="0D199D9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28042F">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986C87">
        <w:trPr>
          <w:trHeight w:val="20"/>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3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3"/>
            </w:r>
          </w:p>
        </w:tc>
      </w:tr>
    </w:tbl>
    <w:p w14:paraId="684BAC49" w14:textId="77777777" w:rsidR="00B55FE0" w:rsidRDefault="00B55FE0" w:rsidP="00B55FE0"/>
    <w:p w14:paraId="3A1D6D8C" w14:textId="77777777" w:rsidR="008F1C00" w:rsidRDefault="008F1C00" w:rsidP="00B55FE0"/>
    <w:p w14:paraId="16006576" w14:textId="77777777" w:rsidR="008F1C00" w:rsidRDefault="008F1C00" w:rsidP="00B55FE0">
      <w:pPr>
        <w:widowControl/>
        <w:spacing w:after="200" w:line="276" w:lineRule="auto"/>
        <w:jc w:val="left"/>
        <w:rPr>
          <w:rFonts w:cs="Calibri"/>
          <w:b/>
          <w:color w:val="000000"/>
          <w:spacing w:val="5"/>
          <w:kern w:val="28"/>
          <w:szCs w:val="20"/>
        </w:rPr>
        <w:sectPr w:rsidR="008F1C00" w:rsidSect="008F1C00">
          <w:pgSz w:w="15840" w:h="12240" w:orient="landscape"/>
          <w:pgMar w:top="1440" w:right="1440" w:bottom="1440" w:left="1440" w:header="720" w:footer="720" w:gutter="0"/>
          <w:cols w:space="720"/>
          <w:docGrid w:linePitch="360"/>
        </w:sectPr>
      </w:pPr>
    </w:p>
    <w:p w14:paraId="28410BED" w14:textId="32EBB372" w:rsidR="00B55FE0" w:rsidRDefault="00B55FE0" w:rsidP="00514253">
      <w:pPr>
        <w:pStyle w:val="Captions"/>
      </w:pPr>
      <w:bookmarkStart w:id="227" w:name="_Toc335377232"/>
      <w:bookmarkStart w:id="228" w:name="_Toc411514774"/>
      <w:bookmarkStart w:id="229" w:name="_Toc411515474"/>
      <w:bookmarkStart w:id="230" w:name="_Toc411599463"/>
      <w:bookmarkStart w:id="231" w:name="_Toc523412290"/>
      <w:r>
        <w:t xml:space="preserve">Table </w:t>
      </w:r>
      <w:r>
        <w:rPr>
          <w:noProof/>
        </w:rPr>
        <w:t>3</w:t>
      </w:r>
      <w:r>
        <w:t>.</w:t>
      </w:r>
      <w:r w:rsidR="0026285F">
        <w:rPr>
          <w:noProof/>
        </w:rPr>
        <w:t>4</w:t>
      </w:r>
      <w:r>
        <w:t>: Loadshapes by Month and Day of Week</w:t>
      </w:r>
      <w:bookmarkEnd w:id="227"/>
      <w:bookmarkEnd w:id="228"/>
      <w:bookmarkEnd w:id="229"/>
      <w:bookmarkEnd w:id="230"/>
      <w:bookmarkEnd w:id="231"/>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B55FE0" w:rsidRPr="0017618E" w14:paraId="4E602555" w14:textId="77777777" w:rsidTr="0017618E">
        <w:trPr>
          <w:gridAfter w:val="1"/>
          <w:wAfter w:w="6" w:type="dxa"/>
          <w:trHeight w:val="20"/>
          <w:tblHeader/>
          <w:jc w:val="center"/>
        </w:trPr>
        <w:tc>
          <w:tcPr>
            <w:tcW w:w="1104" w:type="dxa"/>
            <w:tcBorders>
              <w:left w:val="nil"/>
              <w:bottom w:val="nil"/>
            </w:tcBorders>
            <w:vAlign w:val="center"/>
          </w:tcPr>
          <w:p w14:paraId="62735571" w14:textId="77777777" w:rsidR="00B55FE0" w:rsidRPr="0017618E" w:rsidRDefault="00B55FE0" w:rsidP="00F613D9">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7DA1C1CA" w14:textId="77777777" w:rsidR="00B55FE0" w:rsidRPr="0017618E" w:rsidRDefault="00B55FE0" w:rsidP="00F613D9">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194583F" w14:textId="77777777" w:rsidR="00B55FE0" w:rsidRPr="0017618E" w:rsidRDefault="00B55FE0" w:rsidP="0017618E">
            <w:pPr>
              <w:pStyle w:val="TableHeading"/>
              <w:jc w:val="center"/>
              <w:rPr>
                <w:sz w:val="18"/>
                <w:szCs w:val="18"/>
              </w:rPr>
            </w:pPr>
            <w:r w:rsidRPr="0017618E">
              <w:rPr>
                <w:sz w:val="18"/>
                <w:szCs w:val="18"/>
              </w:rPr>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30A3815" w14:textId="77777777" w:rsidR="00B55FE0" w:rsidRPr="0017618E" w:rsidRDefault="00B55FE0" w:rsidP="0017618E">
            <w:pPr>
              <w:pStyle w:val="TableHeading"/>
              <w:jc w:val="center"/>
              <w:rPr>
                <w:sz w:val="18"/>
                <w:szCs w:val="18"/>
              </w:rPr>
            </w:pPr>
            <w:r w:rsidRPr="0017618E">
              <w:rPr>
                <w:sz w:val="18"/>
                <w:szCs w:val="18"/>
              </w:rPr>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167D9B" w14:textId="77777777" w:rsidR="00B55FE0" w:rsidRPr="0017618E" w:rsidRDefault="00B55FE0" w:rsidP="0028042F">
            <w:pPr>
              <w:pStyle w:val="TableHeading"/>
              <w:jc w:val="center"/>
              <w:rPr>
                <w:sz w:val="18"/>
                <w:szCs w:val="18"/>
              </w:rPr>
            </w:pPr>
            <w:r w:rsidRPr="0017618E">
              <w:rPr>
                <w:sz w:val="18"/>
                <w:szCs w:val="18"/>
              </w:rPr>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BDD866F" w14:textId="77777777" w:rsidR="00B55FE0" w:rsidRPr="0017618E" w:rsidRDefault="00B55FE0" w:rsidP="0017618E">
            <w:pPr>
              <w:pStyle w:val="TableHeading"/>
              <w:jc w:val="center"/>
              <w:rPr>
                <w:sz w:val="18"/>
                <w:szCs w:val="18"/>
              </w:rPr>
            </w:pPr>
            <w:r w:rsidRPr="0017618E">
              <w:rPr>
                <w:sz w:val="18"/>
                <w:szCs w:val="18"/>
              </w:rPr>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C7B5C70" w14:textId="77777777" w:rsidR="00B55FE0" w:rsidRPr="0017618E" w:rsidRDefault="00B55FE0" w:rsidP="0017618E">
            <w:pPr>
              <w:pStyle w:val="TableHeading"/>
              <w:jc w:val="center"/>
              <w:rPr>
                <w:sz w:val="18"/>
                <w:szCs w:val="18"/>
              </w:rPr>
            </w:pPr>
            <w:r w:rsidRPr="0017618E">
              <w:rPr>
                <w:sz w:val="18"/>
                <w:szCs w:val="18"/>
              </w:rPr>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396284E" w14:textId="77777777" w:rsidR="00B55FE0" w:rsidRPr="0017618E" w:rsidRDefault="00B55FE0" w:rsidP="0017618E">
            <w:pPr>
              <w:pStyle w:val="TableHeading"/>
              <w:jc w:val="center"/>
              <w:rPr>
                <w:sz w:val="18"/>
                <w:szCs w:val="18"/>
              </w:rPr>
            </w:pPr>
            <w:r w:rsidRPr="0017618E">
              <w:rPr>
                <w:sz w:val="18"/>
                <w:szCs w:val="18"/>
              </w:rPr>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94F64D" w14:textId="77777777" w:rsidR="00B55FE0" w:rsidRPr="0017618E" w:rsidRDefault="00B55FE0" w:rsidP="0017618E">
            <w:pPr>
              <w:pStyle w:val="TableHeading"/>
              <w:jc w:val="center"/>
              <w:rPr>
                <w:sz w:val="18"/>
                <w:szCs w:val="18"/>
              </w:rPr>
            </w:pPr>
            <w:r w:rsidRPr="0017618E">
              <w:rPr>
                <w:sz w:val="18"/>
                <w:szCs w:val="18"/>
              </w:rPr>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7B9CA21" w14:textId="77777777" w:rsidR="00B55FE0" w:rsidRPr="0017618E" w:rsidRDefault="00B55FE0" w:rsidP="0017618E">
            <w:pPr>
              <w:pStyle w:val="TableHeading"/>
              <w:jc w:val="center"/>
              <w:rPr>
                <w:sz w:val="18"/>
                <w:szCs w:val="18"/>
              </w:rPr>
            </w:pPr>
            <w:r w:rsidRPr="0017618E">
              <w:rPr>
                <w:sz w:val="18"/>
                <w:szCs w:val="18"/>
              </w:rPr>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8C2BE0" w14:textId="77777777" w:rsidR="00B55FE0" w:rsidRPr="0017618E" w:rsidRDefault="00B55FE0" w:rsidP="0017618E">
            <w:pPr>
              <w:pStyle w:val="TableHeading"/>
              <w:jc w:val="center"/>
              <w:rPr>
                <w:sz w:val="18"/>
                <w:szCs w:val="18"/>
              </w:rPr>
            </w:pPr>
            <w:r w:rsidRPr="0017618E">
              <w:rPr>
                <w:sz w:val="18"/>
                <w:szCs w:val="18"/>
              </w:rPr>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57C330D" w14:textId="77777777" w:rsidR="00B55FE0" w:rsidRPr="0017618E" w:rsidRDefault="00B55FE0" w:rsidP="0017618E">
            <w:pPr>
              <w:pStyle w:val="TableHeading"/>
              <w:jc w:val="center"/>
              <w:rPr>
                <w:sz w:val="18"/>
                <w:szCs w:val="18"/>
              </w:rPr>
            </w:pPr>
            <w:r w:rsidRPr="0017618E">
              <w:rPr>
                <w:sz w:val="18"/>
                <w:szCs w:val="18"/>
              </w:rPr>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8BF4B2B" w14:textId="77777777" w:rsidR="00B55FE0" w:rsidRPr="0017618E" w:rsidRDefault="00B55FE0" w:rsidP="0017618E">
            <w:pPr>
              <w:pStyle w:val="TableHeading"/>
              <w:jc w:val="center"/>
              <w:rPr>
                <w:sz w:val="18"/>
                <w:szCs w:val="18"/>
              </w:rPr>
            </w:pPr>
            <w:r w:rsidRPr="0017618E">
              <w:rPr>
                <w:sz w:val="18"/>
                <w:szCs w:val="18"/>
              </w:rPr>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DB39B78" w14:textId="77777777" w:rsidR="00B55FE0" w:rsidRPr="0017618E" w:rsidRDefault="00B55FE0" w:rsidP="0017618E">
            <w:pPr>
              <w:pStyle w:val="TableHeading"/>
              <w:jc w:val="center"/>
              <w:rPr>
                <w:sz w:val="18"/>
                <w:szCs w:val="18"/>
              </w:rPr>
            </w:pPr>
            <w:r w:rsidRPr="0017618E">
              <w:rPr>
                <w:sz w:val="18"/>
                <w:szCs w:val="18"/>
              </w:rPr>
              <w:t>Dec</w:t>
            </w:r>
          </w:p>
        </w:tc>
      </w:tr>
      <w:tr w:rsidR="00B55FE0" w:rsidRPr="0017618E" w14:paraId="5AF0A377" w14:textId="77777777" w:rsidTr="0017618E">
        <w:trPr>
          <w:trHeight w:val="20"/>
          <w:tblHeader/>
          <w:jc w:val="center"/>
        </w:trPr>
        <w:tc>
          <w:tcPr>
            <w:tcW w:w="1104" w:type="dxa"/>
            <w:tcBorders>
              <w:top w:val="nil"/>
              <w:left w:val="nil"/>
              <w:bottom w:val="single" w:sz="4" w:space="0" w:color="auto"/>
            </w:tcBorders>
            <w:vAlign w:val="center"/>
          </w:tcPr>
          <w:p w14:paraId="59850671" w14:textId="77777777" w:rsidR="00B55FE0" w:rsidRPr="0017618E" w:rsidRDefault="00B55FE0" w:rsidP="00F613D9">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5F5511B6" w14:textId="77777777" w:rsidR="00B55FE0" w:rsidRPr="0017618E" w:rsidRDefault="00B55FE0" w:rsidP="00F613D9">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956C33" w14:textId="77777777" w:rsidR="00B55FE0" w:rsidRPr="0017618E" w:rsidRDefault="00B55FE0" w:rsidP="0017618E">
            <w:pPr>
              <w:pStyle w:val="TableHeading"/>
              <w:jc w:val="center"/>
              <w:rPr>
                <w:sz w:val="18"/>
                <w:szCs w:val="18"/>
              </w:rPr>
            </w:pPr>
            <w:r w:rsidRPr="0017618E">
              <w:rPr>
                <w:sz w:val="18"/>
                <w:szCs w:val="18"/>
              </w:rPr>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4864CEBF" w14:textId="77777777" w:rsidR="00B55FE0" w:rsidRPr="0017618E" w:rsidRDefault="00B55FE0" w:rsidP="0017618E">
            <w:pPr>
              <w:pStyle w:val="TableHeading"/>
              <w:jc w:val="center"/>
              <w:rPr>
                <w:sz w:val="18"/>
                <w:szCs w:val="18"/>
              </w:rPr>
            </w:pPr>
            <w:r w:rsidRPr="0017618E">
              <w:rPr>
                <w:sz w:val="18"/>
                <w:szCs w:val="18"/>
              </w:rPr>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E5C56A4"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74C8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4D8696"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311BCF"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049CA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FAA550"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A49E17"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51C2C2"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A93D42"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9FC9F7"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140363"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ED2D425"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921477E"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C05B28"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75D1B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4FB3E8F"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9BCF0F"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636DDA"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27A4AB2"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89043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18B2DA6" w14:textId="77777777" w:rsidR="00B55FE0" w:rsidRPr="0017618E" w:rsidRDefault="00B55FE0" w:rsidP="0017618E">
            <w:pPr>
              <w:pStyle w:val="TableHeading"/>
              <w:jc w:val="center"/>
              <w:rPr>
                <w:sz w:val="18"/>
                <w:szCs w:val="18"/>
              </w:rPr>
            </w:pPr>
            <w:r w:rsidRPr="0017618E">
              <w:rPr>
                <w:sz w:val="18"/>
                <w:szCs w:val="18"/>
              </w:rPr>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3631385" w14:textId="77777777" w:rsidR="00B55FE0" w:rsidRPr="0017618E" w:rsidRDefault="00B55FE0" w:rsidP="0017618E">
            <w:pPr>
              <w:pStyle w:val="TableHeading"/>
              <w:jc w:val="center"/>
              <w:rPr>
                <w:sz w:val="18"/>
                <w:szCs w:val="18"/>
              </w:rPr>
            </w:pPr>
            <w:r w:rsidRPr="0017618E">
              <w:rPr>
                <w:sz w:val="18"/>
                <w:szCs w:val="18"/>
              </w:rPr>
              <w:t>S-S</w:t>
            </w:r>
          </w:p>
        </w:tc>
      </w:tr>
      <w:tr w:rsidR="0028042F" w:rsidRPr="0017618E" w14:paraId="3299822E" w14:textId="77777777" w:rsidTr="0017618E">
        <w:trPr>
          <w:trHeight w:val="20"/>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BF760"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E1456" w14:textId="77777777" w:rsidR="00B55FE0" w:rsidRPr="0017618E" w:rsidRDefault="00B55FE0" w:rsidP="0017618E">
            <w:pPr>
              <w:spacing w:after="0"/>
              <w:jc w:val="center"/>
              <w:rPr>
                <w:rFonts w:cstheme="minorHAnsi"/>
                <w:sz w:val="18"/>
                <w:szCs w:val="18"/>
              </w:rPr>
            </w:pPr>
            <w:r w:rsidRPr="0017618E">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612F07C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4928C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B7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78B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2E83A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41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B010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3DD4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D0EB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A4A1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8A06E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370F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66F7E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23CF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2A39B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59EF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0300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CB7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06F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E0D8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DFA39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384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2593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490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1.6%</w:t>
            </w:r>
          </w:p>
        </w:tc>
      </w:tr>
      <w:tr w:rsidR="0028042F" w:rsidRPr="0017618E" w14:paraId="556ADD31"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23F13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BE95791" w14:textId="77777777" w:rsidR="00B55FE0" w:rsidRPr="0017618E" w:rsidRDefault="00B55FE0" w:rsidP="0017618E">
            <w:pPr>
              <w:spacing w:after="0"/>
              <w:jc w:val="center"/>
              <w:rPr>
                <w:rFonts w:cstheme="minorHAnsi"/>
                <w:sz w:val="18"/>
                <w:szCs w:val="18"/>
              </w:rPr>
            </w:pPr>
            <w:r w:rsidRPr="0017618E">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1434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F8A9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3629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A487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B08F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4091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DD2F3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825F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66E2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85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68F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A3E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630C1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3FD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1255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212C4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B8A5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5EA9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5804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F7842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4B96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8C4C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31BB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A94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w:t>
            </w:r>
          </w:p>
        </w:tc>
      </w:tr>
      <w:tr w:rsidR="0028042F" w:rsidRPr="0017618E" w14:paraId="68EF0F5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4820E"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E4A72" w14:textId="77777777" w:rsidR="00B55FE0" w:rsidRPr="0017618E" w:rsidRDefault="00B55FE0" w:rsidP="0017618E">
            <w:pPr>
              <w:spacing w:after="0"/>
              <w:jc w:val="center"/>
              <w:rPr>
                <w:rFonts w:cstheme="minorHAnsi"/>
                <w:sz w:val="18"/>
                <w:szCs w:val="18"/>
              </w:rPr>
            </w:pPr>
            <w:r w:rsidRPr="0017618E">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ADEE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35A4B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1E0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D21EC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368E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CFB2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BE3B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B56D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E75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DCC1B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FD2B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34C0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9C14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894D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43B4A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75763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584E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0993F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A3E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67BF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F57E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CEF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3550C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850C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0D7F3EF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CA040"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C85B3" w14:textId="77777777" w:rsidR="00B55FE0" w:rsidRPr="0017618E" w:rsidRDefault="00B55FE0" w:rsidP="0017618E">
            <w:pPr>
              <w:spacing w:after="0"/>
              <w:jc w:val="center"/>
              <w:rPr>
                <w:rFonts w:cstheme="minorHAnsi"/>
                <w:sz w:val="18"/>
                <w:szCs w:val="18"/>
              </w:rPr>
            </w:pPr>
            <w:r w:rsidRPr="0017618E">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204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A938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B6A3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D7236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75718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90CC0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F80F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3FA9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26CA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AEE05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E140B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7DC2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4C75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7F55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00F37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89B4E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EE38D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692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00E6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5493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F6C2B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9974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AE46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82C1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r>
      <w:tr w:rsidR="0028042F" w:rsidRPr="0017618E" w14:paraId="14F25E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EC1A6"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7E130" w14:textId="77777777" w:rsidR="00B55FE0" w:rsidRPr="0017618E" w:rsidRDefault="00B55FE0" w:rsidP="0017618E">
            <w:pPr>
              <w:spacing w:after="0"/>
              <w:jc w:val="center"/>
              <w:rPr>
                <w:rFonts w:cstheme="minorHAnsi"/>
                <w:sz w:val="18"/>
                <w:szCs w:val="18"/>
              </w:rPr>
            </w:pPr>
            <w:r w:rsidRPr="0017618E">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06A6C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9374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A52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92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FA53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AAF8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DC22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6D93C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A214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AF27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75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F9C7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2C41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AA9D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842B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44F3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8061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1E78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8AE58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53A1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1BB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E10EC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1E17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4141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5BAEFB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170FE0" w14:textId="77777777" w:rsidR="002145B2" w:rsidRPr="0017618E" w:rsidRDefault="002145B2" w:rsidP="002145B2">
            <w:pPr>
              <w:spacing w:after="0"/>
              <w:jc w:val="left"/>
              <w:rPr>
                <w:rFonts w:cstheme="minorHAnsi"/>
                <w:sz w:val="18"/>
                <w:szCs w:val="18"/>
              </w:rPr>
            </w:pPr>
            <w:r w:rsidRPr="0017618E">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C8CE8D" w14:textId="77777777" w:rsidR="002145B2" w:rsidRPr="0017618E" w:rsidRDefault="002145B2" w:rsidP="0017618E">
            <w:pPr>
              <w:spacing w:after="0"/>
              <w:jc w:val="center"/>
              <w:rPr>
                <w:rFonts w:cstheme="minorHAnsi"/>
                <w:sz w:val="18"/>
                <w:szCs w:val="18"/>
              </w:rPr>
            </w:pPr>
            <w:r w:rsidRPr="0017618E">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A8F0AF" w14:textId="0C599AD0" w:rsidR="002145B2" w:rsidRPr="0017618E" w:rsidRDefault="002145B2" w:rsidP="0017618E">
            <w:pPr>
              <w:spacing w:after="0"/>
              <w:jc w:val="center"/>
              <w:rPr>
                <w:rFonts w:cstheme="minorHAnsi"/>
                <w:sz w:val="18"/>
                <w:szCs w:val="18"/>
              </w:rPr>
            </w:pPr>
            <w:r w:rsidRPr="0017618E">
              <w:rPr>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62DE8" w14:textId="6494E21F"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BC104C" w14:textId="3EB3A0D2" w:rsidR="002145B2" w:rsidRPr="0017618E" w:rsidRDefault="002145B2" w:rsidP="0017618E">
            <w:pPr>
              <w:spacing w:after="0"/>
              <w:jc w:val="center"/>
              <w:rPr>
                <w:rFonts w:cstheme="minorHAnsi"/>
                <w:sz w:val="18"/>
                <w:szCs w:val="18"/>
              </w:rPr>
            </w:pPr>
            <w:r w:rsidRPr="0017618E">
              <w:rPr>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A067B" w14:textId="0C2D5ECD" w:rsidR="002145B2" w:rsidRPr="0017618E" w:rsidRDefault="002145B2" w:rsidP="0017618E">
            <w:pPr>
              <w:spacing w:after="0"/>
              <w:jc w:val="center"/>
              <w:rPr>
                <w:rFonts w:cstheme="minorHAnsi"/>
                <w:sz w:val="18"/>
                <w:szCs w:val="18"/>
              </w:rPr>
            </w:pPr>
            <w:r w:rsidRPr="0017618E">
              <w:rPr>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7727A" w14:textId="439A8F07" w:rsidR="002145B2" w:rsidRPr="0017618E" w:rsidRDefault="002145B2" w:rsidP="0017618E">
            <w:pPr>
              <w:spacing w:after="0"/>
              <w:jc w:val="center"/>
              <w:rPr>
                <w:rFonts w:cstheme="minorHAnsi"/>
                <w:sz w:val="18"/>
                <w:szCs w:val="18"/>
              </w:rPr>
            </w:pPr>
            <w:r w:rsidRPr="0017618E">
              <w:rPr>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F8B56" w14:textId="1B6DCDFF" w:rsidR="002145B2" w:rsidRPr="0017618E" w:rsidRDefault="002145B2" w:rsidP="0017618E">
            <w:pPr>
              <w:spacing w:after="0"/>
              <w:jc w:val="center"/>
              <w:rPr>
                <w:rFonts w:cstheme="minorHAnsi"/>
                <w:sz w:val="18"/>
                <w:szCs w:val="18"/>
              </w:rPr>
            </w:pPr>
            <w:r w:rsidRPr="0017618E">
              <w:rPr>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33FE" w14:textId="5E8469EE" w:rsidR="002145B2" w:rsidRPr="0017618E" w:rsidRDefault="002145B2" w:rsidP="0017618E">
            <w:pPr>
              <w:spacing w:after="0"/>
              <w:jc w:val="center"/>
              <w:rPr>
                <w:rFonts w:cstheme="minorHAnsi"/>
                <w:sz w:val="18"/>
                <w:szCs w:val="18"/>
              </w:rPr>
            </w:pPr>
            <w:r w:rsidRPr="0017618E">
              <w:rPr>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45145" w14:textId="18E0B571"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E8E2B" w14:textId="7F9D6BB1" w:rsidR="002145B2" w:rsidRPr="0017618E" w:rsidRDefault="002145B2" w:rsidP="0017618E">
            <w:pPr>
              <w:spacing w:after="0"/>
              <w:jc w:val="center"/>
              <w:rPr>
                <w:rFonts w:cstheme="minorHAnsi"/>
                <w:sz w:val="18"/>
                <w:szCs w:val="18"/>
              </w:rPr>
            </w:pPr>
            <w:r w:rsidRPr="0017618E">
              <w:rPr>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0FA1C" w14:textId="5539559E" w:rsidR="002145B2" w:rsidRPr="0017618E" w:rsidRDefault="002145B2" w:rsidP="0017618E">
            <w:pPr>
              <w:spacing w:after="0"/>
              <w:jc w:val="center"/>
              <w:rPr>
                <w:rFonts w:cstheme="minorHAnsi"/>
                <w:sz w:val="18"/>
                <w:szCs w:val="18"/>
              </w:rPr>
            </w:pPr>
            <w:r w:rsidRPr="0017618E">
              <w:rPr>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77F2FD" w14:textId="13967308" w:rsidR="002145B2" w:rsidRPr="0017618E" w:rsidRDefault="002145B2" w:rsidP="0017618E">
            <w:pPr>
              <w:spacing w:after="0"/>
              <w:jc w:val="center"/>
              <w:rPr>
                <w:rFonts w:cstheme="minorHAnsi"/>
                <w:sz w:val="18"/>
                <w:szCs w:val="18"/>
              </w:rPr>
            </w:pPr>
            <w:r w:rsidRPr="0017618E">
              <w:rPr>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1C68D" w14:textId="0DC7AB36" w:rsidR="002145B2" w:rsidRPr="0017618E" w:rsidRDefault="002145B2" w:rsidP="0017618E">
            <w:pPr>
              <w:spacing w:after="0"/>
              <w:jc w:val="center"/>
              <w:rPr>
                <w:rFonts w:cstheme="minorHAnsi"/>
                <w:sz w:val="18"/>
                <w:szCs w:val="18"/>
              </w:rPr>
            </w:pPr>
            <w:r w:rsidRPr="0017618E">
              <w:rPr>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1AE59D" w14:textId="3FFFFE06" w:rsidR="002145B2" w:rsidRPr="0017618E" w:rsidRDefault="002145B2" w:rsidP="0017618E">
            <w:pPr>
              <w:spacing w:after="0"/>
              <w:jc w:val="center"/>
              <w:rPr>
                <w:rFonts w:cstheme="minorHAnsi"/>
                <w:sz w:val="18"/>
                <w:szCs w:val="18"/>
              </w:rPr>
            </w:pPr>
            <w:r w:rsidRPr="0017618E">
              <w:rPr>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7A270" w14:textId="5AC109FD" w:rsidR="002145B2" w:rsidRPr="0017618E" w:rsidRDefault="002145B2" w:rsidP="0017618E">
            <w:pPr>
              <w:spacing w:after="0"/>
              <w:jc w:val="center"/>
              <w:rPr>
                <w:rFonts w:cstheme="minorHAnsi"/>
                <w:sz w:val="18"/>
                <w:szCs w:val="18"/>
              </w:rPr>
            </w:pPr>
            <w:r w:rsidRPr="0017618E">
              <w:rPr>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F5377" w14:textId="3AA918A2" w:rsidR="002145B2" w:rsidRPr="0017618E" w:rsidRDefault="002145B2" w:rsidP="0017618E">
            <w:pPr>
              <w:spacing w:after="0"/>
              <w:jc w:val="center"/>
              <w:rPr>
                <w:rFonts w:cstheme="minorHAnsi"/>
                <w:sz w:val="18"/>
                <w:szCs w:val="18"/>
              </w:rPr>
            </w:pPr>
            <w:r w:rsidRPr="0017618E">
              <w:rPr>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1DF96" w14:textId="0422E402" w:rsidR="002145B2" w:rsidRPr="0017618E" w:rsidRDefault="002145B2" w:rsidP="0017618E">
            <w:pPr>
              <w:spacing w:after="0"/>
              <w:jc w:val="center"/>
              <w:rPr>
                <w:rFonts w:cstheme="minorHAnsi"/>
                <w:sz w:val="18"/>
                <w:szCs w:val="18"/>
              </w:rPr>
            </w:pPr>
            <w:r w:rsidRPr="0017618E">
              <w:rPr>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B51CA" w14:textId="4991DC72"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ED731F" w14:textId="7BC2D255" w:rsidR="002145B2" w:rsidRPr="0017618E" w:rsidRDefault="002145B2" w:rsidP="0017618E">
            <w:pPr>
              <w:spacing w:after="0"/>
              <w:jc w:val="center"/>
              <w:rPr>
                <w:rFonts w:cstheme="minorHAnsi"/>
                <w:sz w:val="18"/>
                <w:szCs w:val="18"/>
              </w:rPr>
            </w:pPr>
            <w:r w:rsidRPr="0017618E">
              <w:rPr>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6643B4" w14:textId="7C0C0DAC" w:rsidR="002145B2" w:rsidRPr="0017618E" w:rsidRDefault="002145B2" w:rsidP="0017618E">
            <w:pPr>
              <w:spacing w:after="0"/>
              <w:jc w:val="center"/>
              <w:rPr>
                <w:rFonts w:cstheme="minorHAnsi"/>
                <w:sz w:val="18"/>
                <w:szCs w:val="18"/>
              </w:rPr>
            </w:pPr>
            <w:r w:rsidRPr="0017618E">
              <w:rPr>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02941" w14:textId="757576FE"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7B8CCA" w14:textId="3662E3B0" w:rsidR="002145B2" w:rsidRPr="0017618E" w:rsidRDefault="002145B2" w:rsidP="0017618E">
            <w:pPr>
              <w:spacing w:after="0"/>
              <w:jc w:val="center"/>
              <w:rPr>
                <w:rFonts w:cstheme="minorHAnsi"/>
                <w:sz w:val="18"/>
                <w:szCs w:val="18"/>
              </w:rPr>
            </w:pPr>
            <w:r w:rsidRPr="0017618E">
              <w:rPr>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4E39F" w14:textId="0AC5A2B2" w:rsidR="002145B2" w:rsidRPr="0017618E" w:rsidRDefault="002145B2" w:rsidP="0017618E">
            <w:pPr>
              <w:spacing w:after="0"/>
              <w:jc w:val="center"/>
              <w:rPr>
                <w:rFonts w:cstheme="minorHAnsi"/>
                <w:sz w:val="18"/>
                <w:szCs w:val="18"/>
              </w:rPr>
            </w:pPr>
            <w:r w:rsidRPr="0017618E">
              <w:rPr>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2D141D" w14:textId="5AFF2C47"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99612" w14:textId="0A5280AE" w:rsidR="002145B2" w:rsidRPr="0017618E" w:rsidRDefault="002145B2" w:rsidP="0017618E">
            <w:pPr>
              <w:spacing w:after="0"/>
              <w:jc w:val="center"/>
              <w:rPr>
                <w:rFonts w:cstheme="minorHAnsi"/>
                <w:sz w:val="18"/>
                <w:szCs w:val="18"/>
              </w:rPr>
            </w:pPr>
            <w:r w:rsidRPr="0017618E">
              <w:rPr>
                <w:color w:val="000000"/>
                <w:sz w:val="18"/>
                <w:szCs w:val="18"/>
              </w:rPr>
              <w:t>3.3%</w:t>
            </w:r>
          </w:p>
        </w:tc>
      </w:tr>
      <w:tr w:rsidR="0028042F" w:rsidRPr="0017618E" w14:paraId="142B602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0615BD"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CE506" w14:textId="77777777" w:rsidR="00B55FE0" w:rsidRPr="0017618E" w:rsidRDefault="00B55FE0" w:rsidP="0017618E">
            <w:pPr>
              <w:spacing w:after="0"/>
              <w:jc w:val="center"/>
              <w:rPr>
                <w:rFonts w:cstheme="minorHAnsi"/>
                <w:sz w:val="18"/>
                <w:szCs w:val="18"/>
              </w:rPr>
            </w:pPr>
            <w:r w:rsidRPr="0017618E">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B10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748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39EC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EC9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7534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4257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3051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370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14C2C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81FD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EBC4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E351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D891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4FA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E0E16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341DC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77B0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8125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54A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DA227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848B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F53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5D28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E40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15FCC1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15ADD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BE83" w14:textId="77777777" w:rsidR="00B55FE0" w:rsidRPr="0017618E" w:rsidRDefault="00B55FE0" w:rsidP="0017618E">
            <w:pPr>
              <w:spacing w:after="0"/>
              <w:jc w:val="center"/>
              <w:rPr>
                <w:rFonts w:cstheme="minorHAnsi"/>
                <w:sz w:val="18"/>
                <w:szCs w:val="18"/>
              </w:rPr>
            </w:pPr>
            <w:r w:rsidRPr="0017618E">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2B844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E65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11A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229A7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8C3F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5ABA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AF100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70F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F2138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0E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638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97997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D5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5D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2AB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7D84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82026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A2E9A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E9B8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65F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AB68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9CD6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90F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544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11745F5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68214"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8F162" w14:textId="77777777" w:rsidR="00B55FE0" w:rsidRPr="0017618E" w:rsidRDefault="00B55FE0" w:rsidP="0017618E">
            <w:pPr>
              <w:spacing w:after="0"/>
              <w:jc w:val="center"/>
              <w:rPr>
                <w:rFonts w:cstheme="minorHAnsi"/>
                <w:sz w:val="18"/>
                <w:szCs w:val="18"/>
              </w:rPr>
            </w:pPr>
            <w:r w:rsidRPr="0017618E">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13E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3E70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910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9970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435B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F0D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5054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891F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D269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F09C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7391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4FA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911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543E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CB7B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50F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6C8D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3E96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CD8B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C30A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3D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9C3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115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69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5.6%</w:t>
            </w:r>
          </w:p>
        </w:tc>
      </w:tr>
      <w:tr w:rsidR="0028042F" w:rsidRPr="0017618E" w14:paraId="07507B1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9A17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3E916" w14:textId="77777777" w:rsidR="00B55FE0" w:rsidRPr="0017618E" w:rsidRDefault="00B55FE0" w:rsidP="0017618E">
            <w:pPr>
              <w:spacing w:after="0"/>
              <w:jc w:val="center"/>
              <w:rPr>
                <w:rFonts w:cstheme="minorHAnsi"/>
                <w:sz w:val="18"/>
                <w:szCs w:val="18"/>
              </w:rPr>
            </w:pPr>
            <w:r w:rsidRPr="0017618E">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1B3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DCA6C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12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76B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A1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29BFB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C18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2DB3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0FE5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6A00E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B1B2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87A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19D2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05E02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4A74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360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C262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B004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8D2E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EEE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08E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631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D0879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DEA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r>
      <w:tr w:rsidR="0028042F" w:rsidRPr="0017618E" w14:paraId="18B4B16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DDF98"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C78856" w14:textId="77777777" w:rsidR="00B55FE0" w:rsidRPr="0017618E" w:rsidRDefault="00B55FE0" w:rsidP="0017618E">
            <w:pPr>
              <w:spacing w:after="0"/>
              <w:jc w:val="center"/>
              <w:rPr>
                <w:rFonts w:cstheme="minorHAnsi"/>
                <w:sz w:val="18"/>
                <w:szCs w:val="18"/>
              </w:rPr>
            </w:pPr>
            <w:r w:rsidRPr="0017618E">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614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F64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03C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C016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0F27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B849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956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878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39D02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40D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19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5EB37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2C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02FE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BB1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A9294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A060F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B44F4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5225B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CDB6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F9F2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701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45D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F3CAB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5432968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5F3CF"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74C06" w14:textId="77777777" w:rsidR="00B55FE0" w:rsidRPr="0017618E" w:rsidRDefault="00B55FE0" w:rsidP="0017618E">
            <w:pPr>
              <w:spacing w:after="0"/>
              <w:jc w:val="center"/>
              <w:rPr>
                <w:rFonts w:cstheme="minorHAnsi"/>
                <w:sz w:val="18"/>
                <w:szCs w:val="18"/>
              </w:rPr>
            </w:pPr>
            <w:r w:rsidRPr="0017618E">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DC7DB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0834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49A0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2EAF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1C114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039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4238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132B3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E84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CCA5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144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B9F91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555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D260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8D3D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42EF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6A41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EE6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45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F4B0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66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F550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EE39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AE7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r>
      <w:tr w:rsidR="0028042F" w:rsidRPr="0017618E" w14:paraId="18ED262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C534EC"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C1BF3" w14:textId="77777777" w:rsidR="00B55FE0" w:rsidRPr="0017618E" w:rsidRDefault="00B55FE0" w:rsidP="0017618E">
            <w:pPr>
              <w:spacing w:after="0"/>
              <w:jc w:val="center"/>
              <w:rPr>
                <w:rFonts w:cstheme="minorHAnsi"/>
                <w:sz w:val="18"/>
                <w:szCs w:val="18"/>
              </w:rPr>
            </w:pPr>
            <w:r w:rsidRPr="0017618E">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19076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ECBB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B2E7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D32B8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ABEA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FEA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20DF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E0AC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F62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0B7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DA2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0235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8E2C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FBC4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722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1A3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A265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DEB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E0FF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30C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333FC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325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33D3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FD3C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7DE4E196"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CDCA4D7"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Standby Losses - Home Office</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7ACB8AE" w14:textId="77777777" w:rsidR="00B55FE0" w:rsidRPr="0017618E" w:rsidRDefault="00B55FE0" w:rsidP="0017618E">
            <w:pPr>
              <w:spacing w:after="0"/>
              <w:jc w:val="center"/>
              <w:rPr>
                <w:rFonts w:cstheme="minorHAnsi"/>
                <w:sz w:val="18"/>
                <w:szCs w:val="18"/>
              </w:rPr>
            </w:pPr>
            <w:r w:rsidRPr="0017618E">
              <w:rPr>
                <w:rFonts w:cstheme="minorHAnsi"/>
                <w:sz w:val="18"/>
                <w:szCs w:val="18"/>
              </w:rPr>
              <w:t>R14</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835A64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3.5%</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D37EA8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52DDC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5E798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268A4A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8183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A9E570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77DD21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F0D70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27587C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1E6902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535A8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88394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0ADFB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3557C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75678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1094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E10A9A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48834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E1AD1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4BAF55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6319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BD8BF6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3.5%</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53358D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r>
      <w:tr w:rsidR="0028042F" w:rsidRPr="0017618E" w14:paraId="15873694"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70F1CEE" w14:textId="26667139" w:rsidR="00723243" w:rsidRPr="0017618E" w:rsidRDefault="00723243" w:rsidP="00723243">
            <w:pPr>
              <w:spacing w:after="0"/>
              <w:jc w:val="left"/>
              <w:rPr>
                <w:rFonts w:cstheme="minorHAnsi"/>
                <w:sz w:val="18"/>
                <w:szCs w:val="18"/>
              </w:rPr>
            </w:pPr>
            <w:r w:rsidRPr="0017618E">
              <w:rPr>
                <w:sz w:val="18"/>
                <w:szCs w:val="18"/>
              </w:rPr>
              <w:t>Residential Holiday String Lighting</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D59E8A" w14:textId="431269D4" w:rsidR="00723243" w:rsidRPr="0017618E" w:rsidRDefault="00723243" w:rsidP="0017618E">
            <w:pPr>
              <w:spacing w:after="0"/>
              <w:jc w:val="center"/>
              <w:rPr>
                <w:rFonts w:cstheme="minorHAnsi"/>
                <w:sz w:val="18"/>
                <w:szCs w:val="18"/>
              </w:rPr>
            </w:pPr>
            <w:r w:rsidRPr="0017618E">
              <w:rPr>
                <w:sz w:val="18"/>
                <w:szCs w:val="18"/>
              </w:rPr>
              <w:t>R16</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300A4B" w14:textId="3F6AD2F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507CA3F" w14:textId="002CE1E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6E6950C" w14:textId="54E3BC14"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F0D61C" w14:textId="3FB31E96"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52C776" w14:textId="55A9481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2BAEB29" w14:textId="5A4088C1"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7DC4FF3" w14:textId="78CB367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F3DEC4" w14:textId="26F66C92"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B5D59A" w14:textId="56AFECF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9D04AF6" w14:textId="3623787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6D8AD49" w14:textId="09D1E6F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17CB558" w14:textId="54967B3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845B30F" w14:textId="2C0256AF"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4F301DF" w14:textId="70C43FA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9B8890" w14:textId="33CADFD5"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ED2D583" w14:textId="08F9B31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955F8FA" w14:textId="6E58427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23D685C" w14:textId="4AFB73A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8D96D95" w14:textId="2B918B9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84DD700" w14:textId="09A4EE3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D3E0E17" w14:textId="1754272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0AF6232" w14:textId="126DBA5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56E9D6" w14:textId="16933D0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22%</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8559022" w14:textId="299A0F9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28%</w:t>
            </w:r>
          </w:p>
        </w:tc>
      </w:tr>
      <w:tr w:rsidR="0028042F" w:rsidRPr="0017618E" w14:paraId="0F043297" w14:textId="77777777" w:rsidTr="0017618E">
        <w:trPr>
          <w:trHeight w:val="20"/>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0AF2663" w14:textId="77777777" w:rsidR="00BE77A4" w:rsidRPr="0017618E" w:rsidRDefault="00BE77A4" w:rsidP="00BE77A4">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6A607735"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1CA24E4"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2F6033E"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02E70EC9"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752EDD67"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1F0B4F4"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5ABADA"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5BEF83C"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3A461B18"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E8A46F4"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9D0D350"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B476148"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6C6BC9F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E30F002"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6747BBB"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DBB8A47"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EB49B5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1B902E5"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71B0E94C"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F30E35"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974DBFF"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328B030"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6AFBE026"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BD31348" w14:textId="77777777" w:rsidR="00BE77A4" w:rsidRPr="0017618E" w:rsidRDefault="00BE77A4" w:rsidP="0017618E">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78633" w14:textId="77777777" w:rsidR="00BE77A4" w:rsidRPr="0017618E" w:rsidRDefault="00BE77A4" w:rsidP="0017618E">
            <w:pPr>
              <w:spacing w:after="0"/>
              <w:jc w:val="center"/>
              <w:rPr>
                <w:rFonts w:cstheme="minorHAnsi"/>
                <w:sz w:val="18"/>
                <w:szCs w:val="18"/>
              </w:rPr>
            </w:pPr>
          </w:p>
        </w:tc>
      </w:tr>
      <w:tr w:rsidR="0028042F" w:rsidRPr="0017618E" w14:paraId="4BEBC06A"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57916"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5D31D9A" w14:textId="77777777" w:rsidR="00BE77A4" w:rsidRPr="0017618E" w:rsidRDefault="00BE77A4" w:rsidP="0017618E">
            <w:pPr>
              <w:spacing w:after="0"/>
              <w:jc w:val="center"/>
              <w:rPr>
                <w:rFonts w:cstheme="minorHAnsi"/>
                <w:sz w:val="18"/>
                <w:szCs w:val="18"/>
              </w:rPr>
            </w:pPr>
            <w:r w:rsidRPr="0017618E">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F238A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17C2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D9C1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3DDC9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9AB7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07F1D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78EC8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BB918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6F5F4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4B4B2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27FF7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8088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E116F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DF10EF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3D83A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9445F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077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5B91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99CEA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3E0A5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C43C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AE8A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90C6A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0C55A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15CE2E9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17A7A"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4573D" w14:textId="77777777" w:rsidR="00BE77A4" w:rsidRPr="0017618E" w:rsidRDefault="00BE77A4" w:rsidP="0017618E">
            <w:pPr>
              <w:spacing w:after="0"/>
              <w:jc w:val="center"/>
              <w:rPr>
                <w:rFonts w:cstheme="minorHAnsi"/>
                <w:sz w:val="18"/>
                <w:szCs w:val="18"/>
              </w:rPr>
            </w:pPr>
            <w:r w:rsidRPr="0017618E">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38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15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BD9A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EE6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76B9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A6F4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39F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08EC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1D4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27A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19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2D3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798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F9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37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79A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39E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C2A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BA98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9E7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7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CAB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3B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E0B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665955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D870F"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931321" w14:textId="77777777" w:rsidR="00BE77A4" w:rsidRPr="0017618E" w:rsidRDefault="00BE77A4" w:rsidP="0017618E">
            <w:pPr>
              <w:spacing w:after="0"/>
              <w:jc w:val="center"/>
              <w:rPr>
                <w:rFonts w:cstheme="minorHAnsi"/>
                <w:sz w:val="18"/>
                <w:szCs w:val="18"/>
              </w:rPr>
            </w:pPr>
            <w:r w:rsidRPr="0017618E">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51BA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FF4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2102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E0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D0B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FD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F4E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D377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313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0CC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CF2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BC9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F3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4D0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902C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55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C37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891F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7E1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7E2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A4A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753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5D1E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575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79702B2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3459A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5FCABC" w14:textId="77777777" w:rsidR="00BE77A4" w:rsidRPr="0017618E" w:rsidRDefault="00BE77A4" w:rsidP="0017618E">
            <w:pPr>
              <w:spacing w:after="0"/>
              <w:jc w:val="center"/>
              <w:rPr>
                <w:rFonts w:cstheme="minorHAnsi"/>
                <w:sz w:val="18"/>
                <w:szCs w:val="18"/>
              </w:rPr>
            </w:pPr>
            <w:r w:rsidRPr="0017618E">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1663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1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376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877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A88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45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61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C8F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673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131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130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C87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A0B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800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D6F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EF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2E9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F06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AF8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B4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CC6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01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F6C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439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r>
      <w:tr w:rsidR="0028042F" w:rsidRPr="0017618E" w14:paraId="5C5D36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4EF2E"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89A8B" w14:textId="77777777" w:rsidR="00BE77A4" w:rsidRPr="0017618E" w:rsidRDefault="00BE77A4" w:rsidP="0017618E">
            <w:pPr>
              <w:spacing w:after="0"/>
              <w:jc w:val="center"/>
              <w:rPr>
                <w:rFonts w:cstheme="minorHAnsi"/>
                <w:sz w:val="18"/>
                <w:szCs w:val="18"/>
              </w:rPr>
            </w:pPr>
            <w:r w:rsidRPr="0017618E">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DD90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890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AD3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27D2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39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A6E1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7AF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DFD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F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98D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2A1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619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1B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33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B62E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F0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161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17B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4B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8B3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1A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356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E85B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FC19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C76293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3A1F6"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394597" w14:textId="77777777" w:rsidR="00D709A1" w:rsidRPr="0017618E" w:rsidRDefault="00D709A1" w:rsidP="00D709A1">
            <w:pPr>
              <w:spacing w:after="0"/>
              <w:jc w:val="center"/>
              <w:rPr>
                <w:rFonts w:cstheme="minorHAnsi"/>
                <w:sz w:val="18"/>
                <w:szCs w:val="18"/>
              </w:rPr>
            </w:pPr>
            <w:r w:rsidRPr="0017618E">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F88FF" w14:textId="3C1B88C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781FF" w14:textId="60E8DEA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2C191" w14:textId="2B7D179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8BEC7" w14:textId="5BF8544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BAFBC" w14:textId="4CF982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919829" w14:textId="2C0D1D7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874711" w14:textId="6AF51B6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BE3FDA" w14:textId="6B8C453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45E97" w14:textId="3815112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DC33E" w14:textId="75C0ED7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7C2B8" w14:textId="1803EF7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5D23B" w14:textId="38039EC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EF38E" w14:textId="3D9EBF2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326B6C" w14:textId="4F8B612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FEA1A" w14:textId="5976841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48F14" w14:textId="0FEA07F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81F5D8" w14:textId="5FB9949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11CFC" w14:textId="3DD8ADE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1CE42" w14:textId="1B1FB6E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D29B3C" w14:textId="663EB6C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9A1DCB" w14:textId="15B654E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75DC25" w14:textId="3E6E1F0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B6AC2" w14:textId="474ACE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CDB" w14:textId="4227DDA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3.1%</w:t>
            </w:r>
          </w:p>
        </w:tc>
      </w:tr>
      <w:tr w:rsidR="0028042F" w:rsidRPr="0017618E" w14:paraId="77CD3A2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896F3" w14:textId="77777777" w:rsidR="00BE77A4" w:rsidRPr="0017618E" w:rsidRDefault="00BE77A4" w:rsidP="00BE77A4">
            <w:pPr>
              <w:spacing w:after="0"/>
              <w:jc w:val="left"/>
              <w:rPr>
                <w:rFonts w:cstheme="minorHAnsi"/>
                <w:sz w:val="18"/>
                <w:szCs w:val="18"/>
              </w:rPr>
            </w:pPr>
            <w:r w:rsidRPr="0017618E">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3ABEF" w14:textId="77777777" w:rsidR="00BE77A4" w:rsidRPr="0017618E" w:rsidRDefault="00BE77A4" w:rsidP="0017618E">
            <w:pPr>
              <w:spacing w:after="0"/>
              <w:jc w:val="center"/>
              <w:rPr>
                <w:rFonts w:cstheme="minorHAnsi"/>
                <w:sz w:val="18"/>
                <w:szCs w:val="18"/>
              </w:rPr>
            </w:pPr>
            <w:r w:rsidRPr="0017618E">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C7F0D9" w14:textId="0E7031D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FACF1" w14:textId="013569A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A79E9" w14:textId="79226C3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3A9C0" w14:textId="389DE6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3F6E1" w14:textId="1CA099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2DE32" w14:textId="5821945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2F070" w14:textId="1B458A0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EF571" w14:textId="55CD0B0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ADA85" w14:textId="362C04B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E24DE" w14:textId="51BEF5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91891" w14:textId="25EFEC9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023D4" w14:textId="005506A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B5BD8" w14:textId="58EBD57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F79E3" w14:textId="6A68BF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B3BC39" w14:textId="4F7CCE2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48D0D7" w14:textId="01FD0C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0A4CA" w14:textId="63C7FC2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CDAD" w14:textId="0A2213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515BA" w14:textId="5846AB7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5D08" w14:textId="2A2CF9A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0DB4A" w14:textId="1A734E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98890" w14:textId="54A85F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8DE9E" w14:textId="5A5FA7F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13939" w14:textId="22BB6A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784EE8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C4947" w14:textId="0AE40F39" w:rsidR="00BE77A4" w:rsidRPr="0017618E" w:rsidRDefault="00BE77A4" w:rsidP="00BE77A4">
            <w:pPr>
              <w:spacing w:after="0"/>
              <w:jc w:val="left"/>
              <w:rPr>
                <w:rFonts w:cstheme="minorHAnsi"/>
                <w:sz w:val="18"/>
                <w:szCs w:val="18"/>
              </w:rPr>
            </w:pPr>
            <w:r w:rsidRPr="0017618E">
              <w:rPr>
                <w:rFonts w:cstheme="minorHAnsi"/>
                <w:sz w:val="18"/>
                <w:szCs w:val="18"/>
              </w:rPr>
              <w:t>Health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3E64E" w14:textId="77777777" w:rsidR="00BE77A4" w:rsidRPr="0017618E" w:rsidRDefault="00BE77A4" w:rsidP="0017618E">
            <w:pPr>
              <w:spacing w:after="0"/>
              <w:jc w:val="center"/>
              <w:rPr>
                <w:rFonts w:cstheme="minorHAnsi"/>
                <w:sz w:val="18"/>
                <w:szCs w:val="18"/>
              </w:rPr>
            </w:pPr>
            <w:r w:rsidRPr="0017618E">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74369" w14:textId="6A28A1E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21DD66" w14:textId="33D7C42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376C1E" w14:textId="778BFC1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3BA17B" w14:textId="505280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E9258" w14:textId="080B3F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312FAF" w14:textId="329B30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F0DD7" w14:textId="06A466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C2AC9A" w14:textId="6BF66A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44BF7" w14:textId="6771BC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3092A" w14:textId="114ECFB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36036" w14:textId="178386B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EA3D3" w14:textId="2BD4995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FB5EF" w14:textId="160A62B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37B65" w14:textId="2778BE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CF59" w14:textId="5E30EFB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442" w14:textId="1668462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795A64" w14:textId="3958DCE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8D962F" w14:textId="211F58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C7331C" w14:textId="4A8DEEC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08F31" w14:textId="420F3AD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2125C" w14:textId="5D501F9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718CF" w14:textId="65D7ED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F7852" w14:textId="27D20DD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7A153" w14:textId="40694EB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19ED541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08BBD" w14:textId="77777777" w:rsidR="00BE77A4" w:rsidRPr="0017618E" w:rsidRDefault="00BE77A4" w:rsidP="00BE77A4">
            <w:pPr>
              <w:spacing w:after="0"/>
              <w:jc w:val="left"/>
              <w:rPr>
                <w:rFonts w:cstheme="minorHAnsi"/>
                <w:sz w:val="18"/>
                <w:szCs w:val="18"/>
              </w:rPr>
            </w:pPr>
            <w:r w:rsidRPr="0017618E">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D9672" w14:textId="77777777" w:rsidR="00BE77A4" w:rsidRPr="0017618E" w:rsidRDefault="00BE77A4" w:rsidP="0017618E">
            <w:pPr>
              <w:spacing w:after="0"/>
              <w:jc w:val="center"/>
              <w:rPr>
                <w:rFonts w:cstheme="minorHAnsi"/>
                <w:sz w:val="18"/>
                <w:szCs w:val="18"/>
              </w:rPr>
            </w:pPr>
            <w:r w:rsidRPr="0017618E">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16383" w14:textId="22FD8E0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3791A" w14:textId="743DC0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998C1F" w14:textId="0001D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16B83" w14:textId="60E782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649F1" w14:textId="2C8AFB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F9C16" w14:textId="6AEEDB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C3C34B" w14:textId="6864F73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80324" w14:textId="046D7E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0D4F52" w14:textId="77972BC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8F56D" w14:textId="7D7857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C1B29" w14:textId="0CBCDA1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AAF17" w14:textId="4408551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BCBDC" w14:textId="0EB522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B433" w14:textId="5609D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5FD57" w14:textId="531248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74D357" w14:textId="7F6541C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C7730" w14:textId="6A9A10F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54A52" w14:textId="3389B64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11C7C" w14:textId="4521FC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E7BB7" w14:textId="43E899D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CFDF0" w14:textId="4D6206F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6AD96" w14:textId="44B257B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E45AF" w14:textId="08DB2E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041D85" w14:textId="5B8CAD6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5013720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F5829" w14:textId="77777777" w:rsidR="00BE77A4" w:rsidRPr="0017618E" w:rsidRDefault="00BE77A4" w:rsidP="00BE77A4">
            <w:pPr>
              <w:spacing w:after="0"/>
              <w:jc w:val="left"/>
              <w:rPr>
                <w:rFonts w:cstheme="minorHAnsi"/>
                <w:sz w:val="18"/>
                <w:szCs w:val="18"/>
              </w:rPr>
            </w:pPr>
            <w:r w:rsidRPr="0017618E">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5EF05" w14:textId="77777777" w:rsidR="00BE77A4" w:rsidRPr="0017618E" w:rsidRDefault="00BE77A4" w:rsidP="0017618E">
            <w:pPr>
              <w:spacing w:after="0"/>
              <w:jc w:val="center"/>
              <w:rPr>
                <w:rFonts w:cstheme="minorHAnsi"/>
                <w:sz w:val="18"/>
                <w:szCs w:val="18"/>
              </w:rPr>
            </w:pPr>
            <w:r w:rsidRPr="0017618E">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F49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3B77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DA8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1BB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685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390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2DB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951B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4C29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122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E38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0791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455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06DD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059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2292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6C0F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F1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94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507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59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1D2F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AD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F47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r>
      <w:tr w:rsidR="0028042F" w:rsidRPr="0017618E" w14:paraId="68BF8C1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A1A23" w14:textId="77777777" w:rsidR="00BE77A4" w:rsidRPr="0017618E" w:rsidRDefault="00BE77A4" w:rsidP="00BE77A4">
            <w:pPr>
              <w:spacing w:after="0"/>
              <w:jc w:val="left"/>
              <w:rPr>
                <w:rFonts w:cstheme="minorHAnsi"/>
                <w:sz w:val="18"/>
                <w:szCs w:val="18"/>
              </w:rPr>
            </w:pPr>
            <w:r w:rsidRPr="0017618E">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996EE8" w14:textId="77777777" w:rsidR="00BE77A4" w:rsidRPr="0017618E" w:rsidRDefault="00BE77A4" w:rsidP="0017618E">
            <w:pPr>
              <w:spacing w:after="0"/>
              <w:jc w:val="center"/>
              <w:rPr>
                <w:rFonts w:cstheme="minorHAnsi"/>
                <w:sz w:val="18"/>
                <w:szCs w:val="18"/>
              </w:rPr>
            </w:pPr>
            <w:r w:rsidRPr="0017618E">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08AFA" w14:textId="3EE5D37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08AB6" w14:textId="11EE3D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6458E" w14:textId="7BC56C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71F78" w14:textId="5FD166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F11FD" w14:textId="7F5378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1F71E" w14:textId="403C1D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B21C6E" w14:textId="5D4C97D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F97C55" w14:textId="5E6B2E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39096" w14:textId="50D6C7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E9DCF" w14:textId="5AA382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90DCE" w14:textId="4DC501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5833" w14:textId="19DAB5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B777D" w14:textId="766474F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3E3E2" w14:textId="06E7A20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A1709" w14:textId="7F40149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2AE7A" w14:textId="58632F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4C620D" w14:textId="7031E11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A5D92" w14:textId="449471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C48380" w14:textId="0DC63B6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F5C110" w14:textId="08E12AB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C2428" w14:textId="4130A1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3E5DA" w14:textId="01C1973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5CC6F" w14:textId="7AD395D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0C26C" w14:textId="22291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3.1%</w:t>
            </w:r>
          </w:p>
        </w:tc>
      </w:tr>
      <w:tr w:rsidR="0028042F" w:rsidRPr="0017618E" w14:paraId="33342DD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D320F" w14:textId="77777777" w:rsidR="00BE77A4" w:rsidRPr="0017618E" w:rsidRDefault="00BE77A4" w:rsidP="00BE77A4">
            <w:pPr>
              <w:spacing w:after="0"/>
              <w:jc w:val="left"/>
              <w:rPr>
                <w:rFonts w:cstheme="minorHAnsi"/>
                <w:sz w:val="18"/>
                <w:szCs w:val="18"/>
              </w:rPr>
            </w:pPr>
            <w:r w:rsidRPr="0017618E">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620AC" w14:textId="77777777" w:rsidR="00BE77A4" w:rsidRPr="0017618E" w:rsidRDefault="00BE77A4" w:rsidP="0017618E">
            <w:pPr>
              <w:spacing w:after="0"/>
              <w:jc w:val="center"/>
              <w:rPr>
                <w:rFonts w:cstheme="minorHAnsi"/>
                <w:sz w:val="18"/>
                <w:szCs w:val="18"/>
              </w:rPr>
            </w:pPr>
            <w:r w:rsidRPr="0017618E">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C03B4D" w14:textId="1DEC66E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AFEA7E" w14:textId="11351B1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39E71" w14:textId="3D5D136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23782" w14:textId="36BE2C4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85AA2" w14:textId="38B5CC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F9BB9D" w14:textId="31733E7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F49CE" w14:textId="2D312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4086" w14:textId="50F7AC0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BB229C" w14:textId="488F401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2B6A8E" w14:textId="3A9996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37FAF" w14:textId="312FB3E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63BF6" w14:textId="0E153AA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171F9D" w14:textId="5F77BFB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49C4F" w14:textId="10024E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D471B" w14:textId="438D7D1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DD0CC" w14:textId="26041EA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FCA7E" w14:textId="071934A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8404F" w14:textId="6D05B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7C5FB" w14:textId="10286E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C2F943" w14:textId="7A19364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E15954" w14:textId="34443D2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2CCB1F" w14:textId="38E9CDD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95BC6" w14:textId="7C8B7D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289FB" w14:textId="0E6B34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r>
      <w:tr w:rsidR="0028042F" w:rsidRPr="0017618E" w14:paraId="131D464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03C4B" w14:textId="41BDBA61" w:rsidR="00BE77A4" w:rsidRPr="0017618E" w:rsidRDefault="00BE77A4" w:rsidP="00BE77A4">
            <w:pPr>
              <w:spacing w:after="0"/>
              <w:jc w:val="left"/>
              <w:rPr>
                <w:rFonts w:cstheme="minorHAnsi"/>
                <w:sz w:val="18"/>
                <w:szCs w:val="18"/>
              </w:rPr>
            </w:pPr>
            <w:r w:rsidRPr="0017618E">
              <w:rPr>
                <w:rFonts w:cstheme="minorHAnsi"/>
                <w:sz w:val="18"/>
                <w:szCs w:val="18"/>
              </w:rPr>
              <w:t>Education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5EE41" w14:textId="77777777" w:rsidR="00BE77A4" w:rsidRPr="0017618E" w:rsidRDefault="00BE77A4" w:rsidP="0017618E">
            <w:pPr>
              <w:spacing w:after="0"/>
              <w:jc w:val="center"/>
              <w:rPr>
                <w:rFonts w:cstheme="minorHAnsi"/>
                <w:sz w:val="18"/>
                <w:szCs w:val="18"/>
              </w:rPr>
            </w:pPr>
            <w:r w:rsidRPr="0017618E">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B1E164" w14:textId="26A3E3C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20B8DC" w14:textId="7865CFC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08963" w14:textId="74E230D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3A762" w14:textId="2478464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91D5E" w14:textId="352DD9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84C8E" w14:textId="3B01D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DC047" w14:textId="517FDDD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60B5C" w14:textId="316D69C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E784E" w14:textId="4D7EC7E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9FE70" w14:textId="13C720D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2C7B6" w14:textId="594395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F44D5C" w14:textId="10CFD37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89DC3" w14:textId="0FF0933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9056D" w14:textId="1B4C58A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B1FA4B" w14:textId="5AF2F1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BE4F7" w14:textId="35329F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A9C7" w14:textId="721A4E7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D0D2A" w14:textId="76421F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EBDE1" w14:textId="61B88E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72E5D" w14:textId="0033BBF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A8685" w14:textId="5BBE446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762E6" w14:textId="2D53D9B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89EF71" w14:textId="04D3709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B38C61" w14:textId="3E91F13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809345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DA78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1-shift (8/5)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08D15" w14:textId="77777777" w:rsidR="00BE77A4" w:rsidRPr="0017618E" w:rsidRDefault="00BE77A4" w:rsidP="0017618E">
            <w:pPr>
              <w:spacing w:after="0"/>
              <w:jc w:val="center"/>
              <w:rPr>
                <w:rFonts w:cstheme="minorHAnsi"/>
                <w:sz w:val="18"/>
                <w:szCs w:val="18"/>
              </w:rPr>
            </w:pPr>
            <w:r w:rsidRPr="0017618E">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12A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669D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321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A80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E5E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7C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22AF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386A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0AB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7CA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B57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883E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D62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5749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94B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F697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0FD5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E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4B3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D86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CC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F93C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3B2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621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r>
      <w:tr w:rsidR="0028042F" w:rsidRPr="0017618E" w14:paraId="45102F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9902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2-shift (16/5)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D188" w14:textId="77777777" w:rsidR="00BE77A4" w:rsidRPr="0017618E" w:rsidRDefault="00BE77A4" w:rsidP="0017618E">
            <w:pPr>
              <w:spacing w:after="0"/>
              <w:jc w:val="center"/>
              <w:rPr>
                <w:rFonts w:cstheme="minorHAnsi"/>
                <w:sz w:val="18"/>
                <w:szCs w:val="18"/>
              </w:rPr>
            </w:pPr>
            <w:r w:rsidRPr="0017618E">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20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C5FB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4222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630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90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79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B6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816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BE7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4DF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A2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2AE4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E92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7A34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BFF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6F0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3DC6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EEF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3A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B9D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B173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8D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D88A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F5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4EE5D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7F418" w14:textId="77777777" w:rsidR="00BE77A4" w:rsidRPr="0017618E" w:rsidRDefault="00BE77A4" w:rsidP="00BE77A4">
            <w:pPr>
              <w:spacing w:after="0"/>
              <w:jc w:val="left"/>
              <w:rPr>
                <w:rFonts w:cstheme="minorHAnsi"/>
                <w:sz w:val="18"/>
                <w:szCs w:val="18"/>
              </w:rPr>
            </w:pPr>
            <w:r w:rsidRPr="0017618E">
              <w:rPr>
                <w:rFonts w:cstheme="minorHAnsi"/>
                <w:sz w:val="18"/>
                <w:szCs w:val="18"/>
              </w:rPr>
              <w:t>Indust. 3-shift (24/5)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2BFDE8" w14:textId="77777777" w:rsidR="00BE77A4" w:rsidRPr="0017618E" w:rsidRDefault="00BE77A4" w:rsidP="0017618E">
            <w:pPr>
              <w:spacing w:after="0"/>
              <w:jc w:val="center"/>
              <w:rPr>
                <w:rFonts w:cstheme="minorHAnsi"/>
                <w:sz w:val="18"/>
                <w:szCs w:val="18"/>
              </w:rPr>
            </w:pPr>
            <w:r w:rsidRPr="0017618E">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B88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CC0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7351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17A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DF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1579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DEEC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214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34F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185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61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8C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17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56E5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DC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55B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0C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607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2A7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2EE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DC8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EFF9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DE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2B3C62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2B4CF" w14:textId="77777777" w:rsidR="00BE77A4" w:rsidRPr="0017618E" w:rsidRDefault="00BE77A4" w:rsidP="00BE77A4">
            <w:pPr>
              <w:spacing w:after="0"/>
              <w:jc w:val="left"/>
              <w:rPr>
                <w:rFonts w:cstheme="minorHAnsi"/>
                <w:sz w:val="18"/>
                <w:szCs w:val="18"/>
              </w:rPr>
            </w:pPr>
            <w:r w:rsidRPr="0017618E">
              <w:rPr>
                <w:rFonts w:cstheme="minorHAnsi"/>
                <w:sz w:val="18"/>
                <w:szCs w:val="18"/>
              </w:rPr>
              <w:t>Indust. 4-shift (24/7)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F296A" w14:textId="77777777" w:rsidR="00BE77A4" w:rsidRPr="0017618E" w:rsidRDefault="00BE77A4" w:rsidP="0017618E">
            <w:pPr>
              <w:spacing w:after="0"/>
              <w:jc w:val="center"/>
              <w:rPr>
                <w:rFonts w:cstheme="minorHAnsi"/>
                <w:sz w:val="18"/>
                <w:szCs w:val="18"/>
              </w:rPr>
            </w:pPr>
            <w:r w:rsidRPr="0017618E">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4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31B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435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4357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86F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4DF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D909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61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7F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67A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8782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A08C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2931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543B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9B4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B43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D88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6A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E88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E413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238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B8E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89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FEE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177353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AE6CA9"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B66B0" w14:textId="77777777" w:rsidR="00BE77A4" w:rsidRPr="0017618E" w:rsidRDefault="00BE77A4" w:rsidP="0017618E">
            <w:pPr>
              <w:spacing w:after="0"/>
              <w:jc w:val="center"/>
              <w:rPr>
                <w:rFonts w:cstheme="minorHAnsi"/>
                <w:sz w:val="18"/>
                <w:szCs w:val="18"/>
              </w:rPr>
            </w:pPr>
            <w:r w:rsidRPr="0017618E">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EF38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568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6E82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A2A2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DF8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7D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533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E51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26C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9AD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D665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30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6434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C57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2EB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925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0325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255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4D1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AD3B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50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90B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290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B02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14B638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5F"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2363E" w14:textId="77777777" w:rsidR="00BE77A4" w:rsidRPr="0017618E" w:rsidRDefault="00BE77A4" w:rsidP="0017618E">
            <w:pPr>
              <w:spacing w:after="0"/>
              <w:jc w:val="center"/>
              <w:rPr>
                <w:rFonts w:cstheme="minorHAnsi"/>
                <w:sz w:val="18"/>
                <w:szCs w:val="18"/>
              </w:rPr>
            </w:pPr>
            <w:r w:rsidRPr="0017618E">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F7B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614D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D58F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F913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7AF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9A5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B7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9F4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564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79D3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B101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5CE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556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637F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9F8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5DB3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6D1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855A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F7C9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FED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BBC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2B0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569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E1D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F55EFA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6A4E3"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066B1" w14:textId="77777777" w:rsidR="00D709A1" w:rsidRPr="0017618E" w:rsidRDefault="00D709A1" w:rsidP="00D709A1">
            <w:pPr>
              <w:spacing w:after="0"/>
              <w:jc w:val="center"/>
              <w:rPr>
                <w:rFonts w:cstheme="minorHAnsi"/>
                <w:sz w:val="18"/>
                <w:szCs w:val="18"/>
              </w:rPr>
            </w:pPr>
            <w:r w:rsidRPr="0017618E">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0600E" w14:textId="23E1D619"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81C510" w14:textId="772AB80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1D7B1" w14:textId="49849DA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C9C2F" w14:textId="62E1B9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8CB8" w14:textId="72B3764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339EC" w14:textId="36E5775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1ECB9" w14:textId="32F02E0A"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0354D2" w14:textId="32F5C8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9A712" w14:textId="52669E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B52E1" w14:textId="650744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74672" w14:textId="116A5B2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672E8" w14:textId="72EDF18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6312E9" w14:textId="17573C8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D94C4F" w14:textId="340A928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16079" w14:textId="13F7AB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EB968" w14:textId="73057C7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8E25" w14:textId="0500CC0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8E03C" w14:textId="0F80A85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F1985" w14:textId="2E36F4A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2ADE1" w14:textId="7DC8684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5564E" w14:textId="33818695"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CC66B" w14:textId="398133B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4AB0F" w14:textId="6345A97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338C7" w14:textId="6835B1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3.4%</w:t>
            </w:r>
          </w:p>
        </w:tc>
      </w:tr>
      <w:tr w:rsidR="0028042F" w:rsidRPr="0017618E" w14:paraId="15382DC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8A15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1F97D" w14:textId="77777777" w:rsidR="00BE77A4" w:rsidRPr="0017618E" w:rsidRDefault="00BE77A4" w:rsidP="0017618E">
            <w:pPr>
              <w:spacing w:after="0"/>
              <w:jc w:val="center"/>
              <w:rPr>
                <w:rFonts w:cstheme="minorHAnsi"/>
                <w:sz w:val="18"/>
                <w:szCs w:val="18"/>
              </w:rPr>
            </w:pPr>
            <w:r w:rsidRPr="0017618E">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D38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81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1B7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F1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6655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6BB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76D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F6FC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0DF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7F6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24CD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F6C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BFF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1282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154CB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41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491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019F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FB7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F74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40C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69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E5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DBE6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74C6D6F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401C68"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E8CB5" w14:textId="77777777" w:rsidR="00BE77A4" w:rsidRPr="0017618E" w:rsidRDefault="00BE77A4" w:rsidP="0017618E">
            <w:pPr>
              <w:spacing w:after="0"/>
              <w:jc w:val="center"/>
              <w:rPr>
                <w:rFonts w:cstheme="minorHAnsi"/>
                <w:sz w:val="18"/>
                <w:szCs w:val="18"/>
              </w:rPr>
            </w:pPr>
            <w:r w:rsidRPr="0017618E">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B8E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5CF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452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6E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3EC8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B0C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F996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92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2A6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D45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888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861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5FE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28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78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C76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C94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CC2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5BA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B9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605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0388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80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0E8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1E0411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0ACED"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6BDC3" w14:textId="77777777" w:rsidR="00BE77A4" w:rsidRPr="0017618E" w:rsidRDefault="00BE77A4" w:rsidP="0017618E">
            <w:pPr>
              <w:spacing w:after="0"/>
              <w:jc w:val="center"/>
              <w:rPr>
                <w:rFonts w:cstheme="minorHAnsi"/>
                <w:sz w:val="18"/>
                <w:szCs w:val="18"/>
              </w:rPr>
            </w:pPr>
            <w:r w:rsidRPr="0017618E">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8ACE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2053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2D31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F7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DB3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2716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9B23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ADB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F0B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C0D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F4A2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52F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F8D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7037D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B90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2C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3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F3C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5F7E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7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8F7A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F02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9DA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788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5E1A7CC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0EC0EB"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always changing or flashing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BBCC1" w14:textId="77777777" w:rsidR="00BE77A4" w:rsidRPr="0017618E" w:rsidRDefault="00BE77A4" w:rsidP="0017618E">
            <w:pPr>
              <w:spacing w:after="0"/>
              <w:jc w:val="center"/>
              <w:rPr>
                <w:rFonts w:cstheme="minorHAnsi"/>
                <w:sz w:val="18"/>
                <w:szCs w:val="18"/>
              </w:rPr>
            </w:pPr>
            <w:r w:rsidRPr="0017618E">
              <w:rPr>
                <w:rFonts w:cstheme="minorHAnsi"/>
                <w:sz w:val="18"/>
                <w:szCs w:val="18"/>
              </w:rPr>
              <w:t>C24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5519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3C2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FA4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12A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96F2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6C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098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8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87E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071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E7BA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C2D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CB4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9937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E6EB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95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8A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D4A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B80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E5DE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841E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8721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10F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B34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D48ED4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17BAA"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620A64" w14:textId="77777777" w:rsidR="00BE77A4" w:rsidRPr="0017618E" w:rsidRDefault="00BE77A4" w:rsidP="0017618E">
            <w:pPr>
              <w:spacing w:after="0"/>
              <w:jc w:val="center"/>
              <w:rPr>
                <w:rFonts w:cstheme="minorHAnsi"/>
                <w:sz w:val="18"/>
                <w:szCs w:val="18"/>
              </w:rPr>
            </w:pPr>
            <w:r w:rsidRPr="0017618E">
              <w:rPr>
                <w:rFonts w:cstheme="minorHAnsi"/>
                <w:sz w:val="18"/>
                <w:szCs w:val="18"/>
              </w:rPr>
              <w:t>C25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56BC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7590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A65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B7A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9E6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CA9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5DA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CDD9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282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1BF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1207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B5093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6A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6BE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F29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170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188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4EF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CD15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F15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603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CD2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40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D4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4C710E7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2BC71"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41A96" w14:textId="77777777" w:rsidR="00BE77A4" w:rsidRPr="0017618E" w:rsidRDefault="00BE77A4" w:rsidP="0017618E">
            <w:pPr>
              <w:spacing w:after="0"/>
              <w:jc w:val="center"/>
              <w:rPr>
                <w:rFonts w:cstheme="minorHAnsi"/>
                <w:sz w:val="18"/>
                <w:szCs w:val="18"/>
              </w:rPr>
            </w:pPr>
            <w:r w:rsidRPr="0017618E">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CB6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8B7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E793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3E8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502D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BAE7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0792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56F7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10F9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060B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AF0D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585C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AD75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35A6E"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80E85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DCB77"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34BC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8DF57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DD1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1AF5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391A6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6608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1A14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4641A"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r>
      <w:tr w:rsidR="0028042F" w:rsidRPr="0017618E" w14:paraId="797853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5B178"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61D31" w14:textId="77777777" w:rsidR="00BE77A4" w:rsidRPr="0017618E" w:rsidRDefault="00BE77A4" w:rsidP="0017618E">
            <w:pPr>
              <w:spacing w:after="0"/>
              <w:jc w:val="center"/>
              <w:rPr>
                <w:rFonts w:cstheme="minorHAnsi"/>
                <w:sz w:val="18"/>
                <w:szCs w:val="18"/>
              </w:rPr>
            </w:pPr>
            <w:r w:rsidRPr="0017618E">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A97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194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1B1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6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F0E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50A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B7F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D43E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6A2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E470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D5E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317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3AF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258A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D43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04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C4A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6B2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21B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3CE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75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1B4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076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EB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33717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22F02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4BCA7" w14:textId="77777777" w:rsidR="00BE77A4" w:rsidRPr="0017618E" w:rsidRDefault="00BE77A4" w:rsidP="0017618E">
            <w:pPr>
              <w:spacing w:after="0"/>
              <w:jc w:val="center"/>
              <w:rPr>
                <w:rFonts w:cstheme="minorHAnsi"/>
                <w:sz w:val="18"/>
                <w:szCs w:val="18"/>
              </w:rPr>
            </w:pPr>
            <w:r w:rsidRPr="0017618E">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5FF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577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26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57F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C849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5FD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8D63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22ED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79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9B6B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AE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D38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558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521A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4D1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DD5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6944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4DB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8CD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218B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56D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A3E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E09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D9C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C995F0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22C7F"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1C387" w14:textId="77777777" w:rsidR="00BE77A4" w:rsidRPr="0017618E" w:rsidRDefault="00BE77A4" w:rsidP="0017618E">
            <w:pPr>
              <w:spacing w:after="0"/>
              <w:jc w:val="center"/>
              <w:rPr>
                <w:rFonts w:cstheme="minorHAnsi"/>
                <w:sz w:val="18"/>
                <w:szCs w:val="18"/>
              </w:rPr>
            </w:pPr>
            <w:r w:rsidRPr="0017618E">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DF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B64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C549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2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3C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79E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D6EA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FC10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EE2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6F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4D5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5D4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22B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312A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B01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00F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6E4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989D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E13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9BD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E7A7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55C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C8F0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F87B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79BDED3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9EC2"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77049" w14:textId="77777777" w:rsidR="00BE77A4" w:rsidRPr="0017618E" w:rsidRDefault="00BE77A4" w:rsidP="0017618E">
            <w:pPr>
              <w:spacing w:after="0"/>
              <w:jc w:val="center"/>
              <w:rPr>
                <w:rFonts w:cstheme="minorHAnsi"/>
                <w:sz w:val="18"/>
                <w:szCs w:val="18"/>
              </w:rPr>
            </w:pPr>
            <w:r w:rsidRPr="0017618E">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DB8B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E6F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9170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D9D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D309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D1F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F1E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99F0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AC1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A03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5B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1271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F82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E85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7FE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C64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6D2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390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5A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4104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1F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8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AEC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7139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7EA949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37676"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447FC" w14:textId="77777777" w:rsidR="00BE77A4" w:rsidRPr="0017618E" w:rsidRDefault="00BE77A4" w:rsidP="0017618E">
            <w:pPr>
              <w:spacing w:after="0"/>
              <w:jc w:val="center"/>
              <w:rPr>
                <w:rFonts w:cstheme="minorHAnsi"/>
                <w:sz w:val="18"/>
                <w:szCs w:val="18"/>
              </w:rPr>
            </w:pPr>
            <w:r w:rsidRPr="0017618E">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A7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23A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732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60E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CE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A160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0382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D0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178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AC4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6386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A32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2F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73E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377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6C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7598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163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0C95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D2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6D10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0E7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562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137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D381BC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524F39"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621AA" w14:textId="77777777" w:rsidR="00BE77A4" w:rsidRPr="0017618E" w:rsidRDefault="00BE77A4" w:rsidP="0017618E">
            <w:pPr>
              <w:spacing w:after="0"/>
              <w:jc w:val="center"/>
              <w:rPr>
                <w:rFonts w:cstheme="minorHAnsi"/>
                <w:sz w:val="18"/>
                <w:szCs w:val="18"/>
              </w:rPr>
            </w:pPr>
            <w:r w:rsidRPr="0017618E">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636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AFC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0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10F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88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6E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0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63C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99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86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A932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634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19F4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5D0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19B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595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89C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DEC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F9DA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45B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E8D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453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2A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0AE60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E81C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166D83" w14:textId="77777777" w:rsidR="00BE77A4" w:rsidRPr="0017618E" w:rsidRDefault="00BE77A4" w:rsidP="0017618E">
            <w:pPr>
              <w:spacing w:after="0"/>
              <w:jc w:val="center"/>
              <w:rPr>
                <w:rFonts w:cstheme="minorHAnsi"/>
                <w:sz w:val="18"/>
                <w:szCs w:val="18"/>
              </w:rPr>
            </w:pPr>
            <w:r w:rsidRPr="0017618E">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424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B61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C63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A2E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A97C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15C3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F3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90A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FDA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5CD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F5FA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60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D06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68E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76B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FD4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D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817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CE7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75A7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02E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E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881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9D7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CD5BEC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A6CC2"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B2EAE" w14:textId="77777777" w:rsidR="00BE77A4" w:rsidRPr="0017618E" w:rsidRDefault="00BE77A4" w:rsidP="0017618E">
            <w:pPr>
              <w:spacing w:after="0"/>
              <w:jc w:val="center"/>
              <w:rPr>
                <w:rFonts w:cstheme="minorHAnsi"/>
                <w:sz w:val="18"/>
                <w:szCs w:val="18"/>
              </w:rPr>
            </w:pPr>
            <w:r w:rsidRPr="0017618E">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AD2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AB2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0CE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76BC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1A4B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84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C92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F5D4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790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A9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1CE4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693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6E7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285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66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9929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CE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EF22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E5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820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9B1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F897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0D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4D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656949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D5C1"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E61CB0" w14:textId="77777777" w:rsidR="00BE77A4" w:rsidRPr="0017618E" w:rsidRDefault="00BE77A4" w:rsidP="0017618E">
            <w:pPr>
              <w:spacing w:after="0"/>
              <w:jc w:val="center"/>
              <w:rPr>
                <w:rFonts w:cstheme="minorHAnsi"/>
                <w:sz w:val="18"/>
                <w:szCs w:val="18"/>
              </w:rPr>
            </w:pPr>
            <w:r w:rsidRPr="0017618E">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762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A89B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B2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306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766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40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7320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C429A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7EAC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EA8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4DC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653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52B6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1E1E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068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F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69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D3D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6AC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5B8B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02B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BB1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04D1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E5C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0308C7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FE5DC"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203CF" w14:textId="77777777" w:rsidR="00BE77A4" w:rsidRPr="0017618E" w:rsidRDefault="00BE77A4" w:rsidP="0017618E">
            <w:pPr>
              <w:spacing w:after="0"/>
              <w:jc w:val="center"/>
              <w:rPr>
                <w:rFonts w:cstheme="minorHAnsi"/>
                <w:sz w:val="18"/>
                <w:szCs w:val="18"/>
              </w:rPr>
            </w:pPr>
            <w:r w:rsidRPr="0017618E">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902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B979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504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0C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171F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21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8A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3448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02A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C5E4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0CE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B3B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3A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988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729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A9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310B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D2D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27F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BC25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BC2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E08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5B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685E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6DCA6E7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8C72B"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8D6BC0" w14:textId="77777777" w:rsidR="00BE77A4" w:rsidRPr="0017618E" w:rsidRDefault="00BE77A4" w:rsidP="0017618E">
            <w:pPr>
              <w:spacing w:after="0"/>
              <w:jc w:val="center"/>
              <w:rPr>
                <w:rFonts w:cstheme="minorHAnsi"/>
                <w:sz w:val="18"/>
                <w:szCs w:val="18"/>
              </w:rPr>
            </w:pPr>
            <w:r w:rsidRPr="0017618E">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B9F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C952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3B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EB5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829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8228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5F8C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69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FC2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66AC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4F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174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E37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D3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0701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D99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8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F45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8993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2D6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EC0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1C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B05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777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r>
      <w:tr w:rsidR="0028042F" w:rsidRPr="0017618E" w14:paraId="5A52CC3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CC2F8"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(unknown use)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D061C3" w14:textId="77777777" w:rsidR="00BE77A4" w:rsidRPr="0017618E" w:rsidRDefault="00BE77A4" w:rsidP="0017618E">
            <w:pPr>
              <w:spacing w:after="0"/>
              <w:jc w:val="center"/>
              <w:rPr>
                <w:rFonts w:cstheme="minorHAnsi"/>
                <w:sz w:val="18"/>
                <w:szCs w:val="18"/>
              </w:rPr>
            </w:pPr>
            <w:r w:rsidRPr="0017618E">
              <w:rPr>
                <w:rFonts w:cstheme="minorHAnsi"/>
                <w:sz w:val="18"/>
                <w:szCs w:val="18"/>
              </w:rPr>
              <w:t>C38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33C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59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99D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F5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1BCA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24A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14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3F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A8DD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389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E9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40C8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5061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0A2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9F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F3E9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4DF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45C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9D0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DF0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FA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F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1721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B6C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r>
      <w:tr w:rsidR="0028042F" w:rsidRPr="0017618E" w14:paraId="088D421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09B1E" w14:textId="77777777" w:rsidR="00BE77A4" w:rsidRPr="0017618E" w:rsidRDefault="00BE77A4" w:rsidP="00BE77A4">
            <w:pPr>
              <w:spacing w:after="0"/>
              <w:jc w:val="left"/>
              <w:rPr>
                <w:rFonts w:cstheme="minorHAnsi"/>
                <w:sz w:val="18"/>
                <w:szCs w:val="18"/>
              </w:rPr>
            </w:pPr>
            <w:r w:rsidRPr="0017618E">
              <w:rPr>
                <w:rFonts w:cstheme="minorHAnsi"/>
                <w:sz w:val="18"/>
                <w:szCs w:val="18"/>
              </w:rPr>
              <w:t>VFD - Supply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FB9887" w14:textId="77777777" w:rsidR="00BE77A4" w:rsidRPr="0017618E" w:rsidRDefault="00BE77A4" w:rsidP="0017618E">
            <w:pPr>
              <w:spacing w:after="0"/>
              <w:jc w:val="center"/>
              <w:rPr>
                <w:rFonts w:cstheme="minorHAnsi"/>
                <w:sz w:val="18"/>
                <w:szCs w:val="18"/>
              </w:rPr>
            </w:pPr>
            <w:r w:rsidRPr="0017618E">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749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ED1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691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DA83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3FC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C9A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6A2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181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B4F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93EA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0D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CE9C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881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121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BFD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45C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35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613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16F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8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C25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F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CD5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3A4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285479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2E1320" w14:textId="77777777" w:rsidR="00BE77A4" w:rsidRPr="0017618E" w:rsidRDefault="00BE77A4" w:rsidP="00BE77A4">
            <w:pPr>
              <w:spacing w:after="0"/>
              <w:jc w:val="left"/>
              <w:rPr>
                <w:rFonts w:cstheme="minorHAnsi"/>
                <w:sz w:val="18"/>
                <w:szCs w:val="18"/>
              </w:rPr>
            </w:pPr>
            <w:r w:rsidRPr="0017618E">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A07C21" w14:textId="77777777" w:rsidR="00BE77A4" w:rsidRPr="0017618E" w:rsidRDefault="00BE77A4" w:rsidP="0017618E">
            <w:pPr>
              <w:spacing w:after="0"/>
              <w:jc w:val="center"/>
              <w:rPr>
                <w:rFonts w:cstheme="minorHAnsi"/>
                <w:sz w:val="18"/>
                <w:szCs w:val="18"/>
              </w:rPr>
            </w:pPr>
            <w:r w:rsidRPr="0017618E">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6DF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85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5A5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656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38D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51E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3C02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11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F33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D57D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4E80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5BD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F6B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D4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6C5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B3A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BE3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7034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5CA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692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74B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D1F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5F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F62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75AAF4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BCE877" w14:textId="77777777" w:rsidR="00BE77A4" w:rsidRPr="0017618E" w:rsidRDefault="00BE77A4" w:rsidP="00BE77A4">
            <w:pPr>
              <w:spacing w:after="0"/>
              <w:jc w:val="left"/>
              <w:rPr>
                <w:rFonts w:cstheme="minorHAnsi"/>
                <w:sz w:val="18"/>
                <w:szCs w:val="18"/>
              </w:rPr>
            </w:pPr>
            <w:r w:rsidRPr="0017618E">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2EF101" w14:textId="77777777" w:rsidR="00BE77A4" w:rsidRPr="0017618E" w:rsidRDefault="00BE77A4" w:rsidP="0017618E">
            <w:pPr>
              <w:spacing w:after="0"/>
              <w:jc w:val="center"/>
              <w:rPr>
                <w:rFonts w:cstheme="minorHAnsi"/>
                <w:sz w:val="18"/>
                <w:szCs w:val="18"/>
              </w:rPr>
            </w:pPr>
            <w:r w:rsidRPr="0017618E">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069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4352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EBE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701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8BD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F0FC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1349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8A1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9F5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D8D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C4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7FC7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779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6C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BA8A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95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26E8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FE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BF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D53B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8D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050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D2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72C9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0CC24A0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4CAA0" w14:textId="77777777" w:rsidR="00BE77A4" w:rsidRPr="0017618E" w:rsidRDefault="00BE77A4" w:rsidP="00BE77A4">
            <w:pPr>
              <w:spacing w:after="0"/>
              <w:jc w:val="left"/>
              <w:rPr>
                <w:rFonts w:cstheme="minorHAnsi"/>
                <w:sz w:val="18"/>
                <w:szCs w:val="18"/>
              </w:rPr>
            </w:pPr>
            <w:r w:rsidRPr="0017618E">
              <w:rPr>
                <w:rFonts w:cstheme="minorHAnsi"/>
                <w:sz w:val="18"/>
                <w:szCs w:val="18"/>
              </w:rPr>
              <w:t>VFD - Boiler feedwater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5E31C5" w14:textId="77777777" w:rsidR="00BE77A4" w:rsidRPr="0017618E" w:rsidRDefault="00BE77A4" w:rsidP="0017618E">
            <w:pPr>
              <w:spacing w:after="0"/>
              <w:jc w:val="center"/>
              <w:rPr>
                <w:rFonts w:cstheme="minorHAnsi"/>
                <w:sz w:val="18"/>
                <w:szCs w:val="18"/>
              </w:rPr>
            </w:pPr>
            <w:r w:rsidRPr="0017618E">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A81D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61C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0B6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5A1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8A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7F4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63F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5FD8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19B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D69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67B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AA76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717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659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443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C4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111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897F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CB9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A75D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F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5A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BD4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818B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61822CD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F93E4" w14:textId="77777777" w:rsidR="00BE77A4" w:rsidRPr="0017618E" w:rsidRDefault="00BE77A4" w:rsidP="00BE77A4">
            <w:pPr>
              <w:spacing w:after="0"/>
              <w:jc w:val="left"/>
              <w:rPr>
                <w:rFonts w:cstheme="minorHAnsi"/>
                <w:sz w:val="18"/>
                <w:szCs w:val="18"/>
              </w:rPr>
            </w:pPr>
            <w:r w:rsidRPr="0017618E">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94A06" w14:textId="77777777" w:rsidR="00BE77A4" w:rsidRPr="0017618E" w:rsidRDefault="00BE77A4" w:rsidP="0017618E">
            <w:pPr>
              <w:spacing w:after="0"/>
              <w:jc w:val="center"/>
              <w:rPr>
                <w:rFonts w:cstheme="minorHAnsi"/>
                <w:sz w:val="18"/>
                <w:szCs w:val="18"/>
              </w:rPr>
            </w:pPr>
            <w:r w:rsidRPr="0017618E">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9AA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3C9C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242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0D45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4DD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B76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A17C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B7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ECCD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A9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1484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3048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D7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4BA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A82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E5C1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2C2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638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133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F9A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CDD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8F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BEB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448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201B578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FE9DC"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B7304" w14:textId="77777777" w:rsidR="00BE77A4" w:rsidRPr="0017618E" w:rsidRDefault="00BE77A4" w:rsidP="0017618E">
            <w:pPr>
              <w:spacing w:after="0"/>
              <w:jc w:val="center"/>
              <w:rPr>
                <w:rFonts w:cstheme="minorHAnsi"/>
                <w:sz w:val="18"/>
                <w:szCs w:val="18"/>
              </w:rPr>
            </w:pPr>
            <w:r w:rsidRPr="0017618E">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382E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F1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03B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EA8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B115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AC5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14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3067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57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A441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6B3D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F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8D7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62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08C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F8E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AC1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BA7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2659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2C0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B04F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8BA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7C35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1CB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28C5B9E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FA7E3C" w14:textId="77777777" w:rsidR="00BE77A4" w:rsidRPr="0017618E" w:rsidRDefault="00BE77A4" w:rsidP="00BE77A4">
            <w:pPr>
              <w:spacing w:after="0"/>
              <w:jc w:val="left"/>
              <w:rPr>
                <w:rFonts w:cstheme="minorHAnsi"/>
                <w:sz w:val="18"/>
                <w:szCs w:val="18"/>
              </w:rPr>
            </w:pPr>
            <w:r w:rsidRPr="0017618E">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99E9C" w14:textId="77777777" w:rsidR="00BE77A4" w:rsidRPr="0017618E" w:rsidRDefault="00BE77A4" w:rsidP="0017618E">
            <w:pPr>
              <w:spacing w:after="0"/>
              <w:jc w:val="center"/>
              <w:rPr>
                <w:rFonts w:cstheme="minorHAnsi"/>
                <w:sz w:val="18"/>
                <w:szCs w:val="18"/>
              </w:rPr>
            </w:pPr>
            <w:r w:rsidRPr="0017618E">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6A6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30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7DBA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65859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FE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549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B30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B1B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96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09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5A3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FA1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DD3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BFE2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67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0772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460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ED7A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F4C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DD6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603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1A0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321D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75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r>
      <w:tr w:rsidR="0028042F" w:rsidRPr="0017618E" w14:paraId="3498E1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948A7" w14:textId="77777777" w:rsidR="00BE77A4" w:rsidRPr="0017618E" w:rsidRDefault="00BE77A4" w:rsidP="00BE77A4">
            <w:pPr>
              <w:spacing w:after="0"/>
              <w:jc w:val="left"/>
              <w:rPr>
                <w:rFonts w:cstheme="minorHAnsi"/>
                <w:sz w:val="18"/>
                <w:szCs w:val="18"/>
              </w:rPr>
            </w:pPr>
            <w:r w:rsidRPr="0017618E">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50CED" w14:textId="77777777" w:rsidR="00BE77A4" w:rsidRPr="0017618E" w:rsidRDefault="00BE77A4" w:rsidP="0017618E">
            <w:pPr>
              <w:spacing w:after="0"/>
              <w:jc w:val="center"/>
              <w:rPr>
                <w:rFonts w:cstheme="minorHAnsi"/>
                <w:sz w:val="18"/>
                <w:szCs w:val="18"/>
              </w:rPr>
            </w:pPr>
            <w:r w:rsidRPr="0017618E">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2DCD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289C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B5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49B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DE14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6D9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9429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166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97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0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9C8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8BF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7B1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3723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2B7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5600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A13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7D5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503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404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E2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E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66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2CC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r>
      <w:tr w:rsidR="0028042F" w:rsidRPr="0017618E" w14:paraId="12FD496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23018" w14:textId="77777777" w:rsidR="00BE77A4" w:rsidRPr="0017618E" w:rsidRDefault="00BE77A4" w:rsidP="00BE77A4">
            <w:pPr>
              <w:spacing w:after="0"/>
              <w:jc w:val="left"/>
              <w:rPr>
                <w:rFonts w:cstheme="minorHAnsi"/>
                <w:sz w:val="18"/>
                <w:szCs w:val="18"/>
              </w:rPr>
            </w:pPr>
            <w:r w:rsidRPr="0017618E">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C004F" w14:textId="77777777" w:rsidR="00BE77A4" w:rsidRPr="0017618E" w:rsidRDefault="00BE77A4" w:rsidP="0017618E">
            <w:pPr>
              <w:spacing w:after="0"/>
              <w:jc w:val="center"/>
              <w:rPr>
                <w:rFonts w:cstheme="minorHAnsi"/>
                <w:sz w:val="18"/>
                <w:szCs w:val="18"/>
              </w:rPr>
            </w:pPr>
            <w:r w:rsidRPr="0017618E">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48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38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DC0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DCB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5793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4955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5E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7AAF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BE45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D3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8DC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E8E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7E0B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0E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C1D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2D82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E3B7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0802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06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80B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AF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AC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E3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D93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r>
      <w:tr w:rsidR="0028042F" w:rsidRPr="0017618E" w14:paraId="673D6EE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D62"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20315" w14:textId="77777777" w:rsidR="00BE77A4" w:rsidRPr="0017618E" w:rsidRDefault="00BE77A4" w:rsidP="0017618E">
            <w:pPr>
              <w:spacing w:after="0"/>
              <w:jc w:val="center"/>
              <w:rPr>
                <w:rFonts w:cstheme="minorHAnsi"/>
                <w:sz w:val="18"/>
                <w:szCs w:val="18"/>
              </w:rPr>
            </w:pPr>
            <w:r w:rsidRPr="0017618E">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CD05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EA9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6A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45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C6F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69C5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F2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0F2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DAC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CC06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5B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707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A5CB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8E3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12E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FA50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E80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FAE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5B5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B4F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E76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D4B6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5A48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7C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0FAE6E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5AA38" w14:textId="77777777" w:rsidR="00BE77A4" w:rsidRPr="0017618E" w:rsidRDefault="00BE77A4" w:rsidP="00BE77A4">
            <w:pPr>
              <w:spacing w:after="0"/>
              <w:jc w:val="left"/>
              <w:rPr>
                <w:rFonts w:cstheme="minorHAnsi"/>
                <w:sz w:val="18"/>
                <w:szCs w:val="18"/>
              </w:rPr>
            </w:pPr>
            <w:r w:rsidRPr="0017618E">
              <w:rPr>
                <w:rFonts w:cstheme="minorHAnsi"/>
                <w:sz w:val="18"/>
                <w:szCs w:val="18"/>
              </w:rPr>
              <w:t>VFD Cooling Tower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FEAFB" w14:textId="77777777" w:rsidR="00BE77A4" w:rsidRPr="0017618E" w:rsidRDefault="00BE77A4" w:rsidP="0017618E">
            <w:pPr>
              <w:spacing w:after="0"/>
              <w:jc w:val="center"/>
              <w:rPr>
                <w:rFonts w:cstheme="minorHAnsi"/>
                <w:sz w:val="18"/>
                <w:szCs w:val="18"/>
              </w:rPr>
            </w:pPr>
            <w:r w:rsidRPr="0017618E">
              <w:rPr>
                <w:rFonts w:cstheme="minorHAnsi"/>
                <w:sz w:val="18"/>
                <w:szCs w:val="18"/>
              </w:rPr>
              <w:t>C49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61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55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24B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948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4AD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D1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A89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C781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B449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49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2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20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872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D9CD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E0E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4346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4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1AB4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60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9B8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58A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ECF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F98D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09533B4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C796B" w14:textId="77777777" w:rsidR="00BE77A4" w:rsidRPr="0017618E" w:rsidRDefault="00BE77A4" w:rsidP="00BE77A4">
            <w:pPr>
              <w:spacing w:after="0"/>
              <w:jc w:val="left"/>
              <w:rPr>
                <w:rFonts w:cstheme="minorHAnsi"/>
                <w:sz w:val="18"/>
                <w:szCs w:val="18"/>
              </w:rPr>
            </w:pPr>
            <w:r w:rsidRPr="0017618E">
              <w:rPr>
                <w:rFonts w:cstheme="minorHAnsi"/>
                <w:sz w:val="18"/>
                <w:szCs w:val="18"/>
              </w:rPr>
              <w:t>Engine Block Heater Timer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5AC7FB" w14:textId="77777777" w:rsidR="00BE77A4" w:rsidRPr="0017618E" w:rsidRDefault="00BE77A4" w:rsidP="0017618E">
            <w:pPr>
              <w:spacing w:after="0"/>
              <w:jc w:val="center"/>
              <w:rPr>
                <w:rFonts w:cstheme="minorHAnsi"/>
                <w:sz w:val="18"/>
                <w:szCs w:val="18"/>
              </w:rPr>
            </w:pPr>
            <w:r w:rsidRPr="0017618E">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B68D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706B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E1D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F8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06E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E58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92F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25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86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4D3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EC5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7AF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5951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8E48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FCB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F5B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AC6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DA0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7C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8FF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559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FE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17EA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8F1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r>
      <w:tr w:rsidR="0028042F" w:rsidRPr="0017618E" w14:paraId="262B32B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150434" w14:textId="77777777" w:rsidR="00BE77A4" w:rsidRPr="0017618E" w:rsidRDefault="00BE77A4" w:rsidP="00BE77A4">
            <w:pPr>
              <w:spacing w:after="0"/>
              <w:jc w:val="left"/>
              <w:rPr>
                <w:rFonts w:cstheme="minorHAnsi"/>
                <w:sz w:val="18"/>
                <w:szCs w:val="18"/>
              </w:rPr>
            </w:pPr>
            <w:r w:rsidRPr="0017618E">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F25B2" w14:textId="77777777" w:rsidR="00BE77A4" w:rsidRPr="0017618E" w:rsidRDefault="00BE77A4" w:rsidP="0017618E">
            <w:pPr>
              <w:spacing w:after="0"/>
              <w:jc w:val="center"/>
              <w:rPr>
                <w:rFonts w:cstheme="minorHAnsi"/>
                <w:sz w:val="18"/>
                <w:szCs w:val="18"/>
              </w:rPr>
            </w:pPr>
            <w:r w:rsidRPr="0017618E">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D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4B95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BE02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206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8138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F9D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F547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68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9CD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4F6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AF7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424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95B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979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63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9D4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B0B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085F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423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5DF3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4258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9D6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3C4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10.1%</w:t>
            </w:r>
          </w:p>
        </w:tc>
      </w:tr>
      <w:tr w:rsidR="0028042F" w:rsidRPr="0017618E" w14:paraId="3286E059"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6433E" w14:textId="77777777" w:rsidR="00BE77A4" w:rsidRPr="0017618E" w:rsidRDefault="00BE77A4" w:rsidP="00BE77A4">
            <w:pPr>
              <w:spacing w:after="0"/>
              <w:jc w:val="left"/>
              <w:rPr>
                <w:rFonts w:cstheme="minorHAnsi"/>
                <w:sz w:val="18"/>
                <w:szCs w:val="18"/>
              </w:rPr>
            </w:pPr>
            <w:r w:rsidRPr="0017618E">
              <w:rPr>
                <w:rFonts w:cstheme="minorHAnsi"/>
                <w:sz w:val="18"/>
                <w:szCs w:val="18"/>
              </w:rPr>
              <w:t>Beverage and Snack Machine Controls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E7F69" w14:textId="77777777" w:rsidR="00BE77A4" w:rsidRPr="0017618E" w:rsidRDefault="00BE77A4" w:rsidP="0017618E">
            <w:pPr>
              <w:spacing w:after="0"/>
              <w:jc w:val="center"/>
              <w:rPr>
                <w:rFonts w:cstheme="minorHAnsi"/>
                <w:sz w:val="18"/>
                <w:szCs w:val="18"/>
              </w:rPr>
            </w:pPr>
            <w:r w:rsidRPr="0017618E">
              <w:rPr>
                <w:rFonts w:cstheme="minorHAnsi"/>
                <w:sz w:val="18"/>
                <w:szCs w:val="18"/>
              </w:rPr>
              <w:t>C52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A9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467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1637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DE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493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A2C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078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A4B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0BE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9F14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66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4E3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76FD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6D6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AD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7A1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02A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A2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8827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9CA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B9D2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C8E3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E6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EEC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r>
      <w:tr w:rsidR="0028042F" w:rsidRPr="0017618E" w14:paraId="72A7059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598F0B" w14:textId="77777777" w:rsidR="00BE77A4" w:rsidRPr="0017618E" w:rsidRDefault="00BE77A4" w:rsidP="00BE77A4">
            <w:pPr>
              <w:spacing w:after="0"/>
              <w:jc w:val="left"/>
              <w:rPr>
                <w:rFonts w:cstheme="minorHAnsi"/>
                <w:sz w:val="18"/>
                <w:szCs w:val="18"/>
              </w:rPr>
            </w:pPr>
            <w:r w:rsidRPr="0017618E">
              <w:rPr>
                <w:rFonts w:cstheme="minorHAnsi"/>
                <w:sz w:val="18"/>
                <w:szCs w:val="18"/>
              </w:rPr>
              <w:t>Flat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19B99" w14:textId="77777777" w:rsidR="00BE77A4" w:rsidRPr="0017618E" w:rsidRDefault="00BE77A4" w:rsidP="0017618E">
            <w:pPr>
              <w:spacing w:after="0"/>
              <w:jc w:val="center"/>
              <w:rPr>
                <w:rFonts w:cstheme="minorHAnsi"/>
                <w:sz w:val="18"/>
                <w:szCs w:val="18"/>
              </w:rPr>
            </w:pPr>
            <w:r w:rsidRPr="0017618E">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4B07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5D9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E8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5D22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B71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1B6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2D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68B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F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576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ED13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088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175C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CC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9C9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7DE1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501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7E30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31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7D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D95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A0B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4261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r>
      <w:tr w:rsidR="0028042F" w:rsidRPr="0017618E" w14:paraId="71160D5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8F72D7" w14:textId="77777777" w:rsidR="00BE77A4" w:rsidRPr="0017618E" w:rsidRDefault="00BE77A4" w:rsidP="00BE77A4">
            <w:pPr>
              <w:spacing w:after="0"/>
              <w:jc w:val="left"/>
              <w:rPr>
                <w:rFonts w:cstheme="minorHAnsi"/>
                <w:sz w:val="18"/>
                <w:szCs w:val="18"/>
              </w:rPr>
            </w:pPr>
            <w:r w:rsidRPr="0017618E">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356011" w14:textId="77777777" w:rsidR="00BE77A4" w:rsidRPr="0017618E" w:rsidRDefault="00BE77A4" w:rsidP="0017618E">
            <w:pPr>
              <w:spacing w:after="0"/>
              <w:jc w:val="center"/>
              <w:rPr>
                <w:rFonts w:cstheme="minorHAnsi"/>
                <w:sz w:val="18"/>
                <w:szCs w:val="18"/>
              </w:rPr>
            </w:pPr>
            <w:r w:rsidRPr="0017618E">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374B1"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0A8B5" w14:textId="77777777" w:rsidR="00BE77A4" w:rsidRPr="0017618E" w:rsidRDefault="00BE77A4" w:rsidP="0017618E">
            <w:pPr>
              <w:spacing w:after="0"/>
              <w:jc w:val="center"/>
              <w:rPr>
                <w:rFonts w:cstheme="minorHAnsi"/>
                <w:sz w:val="18"/>
                <w:szCs w:val="18"/>
              </w:rPr>
            </w:pPr>
            <w:r w:rsidRPr="0017618E">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A4EBB7"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39BA8" w14:textId="77777777" w:rsidR="00BE77A4" w:rsidRPr="0017618E" w:rsidRDefault="00BE77A4" w:rsidP="0017618E">
            <w:pPr>
              <w:spacing w:after="0"/>
              <w:jc w:val="center"/>
              <w:rPr>
                <w:rFonts w:cstheme="minorHAnsi"/>
                <w:sz w:val="18"/>
                <w:szCs w:val="18"/>
              </w:rPr>
            </w:pPr>
            <w:r w:rsidRPr="0017618E">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73D26"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1885D" w14:textId="77777777" w:rsidR="00BE77A4" w:rsidRPr="0017618E" w:rsidRDefault="00BE77A4" w:rsidP="0017618E">
            <w:pPr>
              <w:spacing w:after="0"/>
              <w:jc w:val="center"/>
              <w:rPr>
                <w:rFonts w:cstheme="minorHAnsi"/>
                <w:sz w:val="18"/>
                <w:szCs w:val="18"/>
              </w:rPr>
            </w:pPr>
            <w:r w:rsidRPr="0017618E">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391C0B"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F5BE0B"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8882FD"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5F954"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AE80D"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52113"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82B462"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4F15AD"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FF7445"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1C86E1" w14:textId="77777777" w:rsidR="00BE77A4" w:rsidRPr="0017618E" w:rsidRDefault="00BE77A4" w:rsidP="0017618E">
            <w:pPr>
              <w:spacing w:after="0"/>
              <w:jc w:val="center"/>
              <w:rPr>
                <w:rFonts w:cstheme="minorHAnsi"/>
                <w:sz w:val="18"/>
                <w:szCs w:val="18"/>
              </w:rPr>
            </w:pPr>
            <w:r w:rsidRPr="0017618E">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F63D9"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23EC"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CCF08"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2586"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F4152"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9D71A"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DE0B71"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99F6D" w14:textId="77777777" w:rsidR="00BE77A4" w:rsidRPr="0017618E" w:rsidRDefault="00BE77A4" w:rsidP="0017618E">
            <w:pPr>
              <w:spacing w:after="0"/>
              <w:jc w:val="center"/>
              <w:rPr>
                <w:rFonts w:cstheme="minorHAnsi"/>
                <w:sz w:val="18"/>
                <w:szCs w:val="18"/>
              </w:rPr>
            </w:pPr>
            <w:r w:rsidRPr="0017618E">
              <w:rPr>
                <w:rFonts w:cstheme="minorHAnsi"/>
                <w:sz w:val="18"/>
                <w:szCs w:val="18"/>
              </w:rPr>
              <w:t>4.6%</w:t>
            </w:r>
          </w:p>
        </w:tc>
      </w:tr>
      <w:tr w:rsidR="0028042F" w:rsidRPr="0017618E" w14:paraId="18788D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BD99" w14:textId="17174949" w:rsidR="00BE77A4" w:rsidRPr="0017618E" w:rsidRDefault="00BE77A4" w:rsidP="00BE77A4">
            <w:pPr>
              <w:spacing w:after="0"/>
              <w:jc w:val="left"/>
              <w:rPr>
                <w:rFonts w:cstheme="minorHAnsi"/>
                <w:sz w:val="18"/>
                <w:szCs w:val="18"/>
              </w:rPr>
            </w:pPr>
            <w:r w:rsidRPr="0017618E">
              <w:rPr>
                <w:rFonts w:cstheme="minorHAnsi"/>
                <w:sz w:val="18"/>
                <w:szCs w:val="18"/>
              </w:rPr>
              <w:t>Commercial Clothes Washer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7955C0" w14:textId="42222287" w:rsidR="00BE77A4" w:rsidRPr="0017618E" w:rsidRDefault="00BE77A4" w:rsidP="0017618E">
            <w:pPr>
              <w:spacing w:after="0"/>
              <w:jc w:val="center"/>
              <w:rPr>
                <w:rFonts w:cstheme="minorHAnsi"/>
                <w:sz w:val="18"/>
                <w:szCs w:val="18"/>
              </w:rPr>
            </w:pPr>
            <w:r w:rsidRPr="0017618E">
              <w:rPr>
                <w:rFonts w:cstheme="minorHAnsi"/>
                <w:sz w:val="18"/>
                <w:szCs w:val="18"/>
              </w:rPr>
              <w:t>C55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B5EF3"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D64C98"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54586" w14:textId="77777777" w:rsidR="00BE77A4" w:rsidRPr="0017618E" w:rsidRDefault="00BE77A4" w:rsidP="0017618E">
            <w:pPr>
              <w:spacing w:after="0"/>
              <w:jc w:val="center"/>
              <w:rPr>
                <w:rFonts w:cstheme="minorHAnsi"/>
                <w:sz w:val="18"/>
                <w:szCs w:val="18"/>
              </w:rPr>
            </w:pPr>
            <w:r w:rsidRPr="0017618E">
              <w:rPr>
                <w:rFonts w:cstheme="minorHAnsi"/>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90B82"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8B4E5F"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6BAD"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1AB87" w14:textId="77777777" w:rsidR="00BE77A4" w:rsidRPr="0017618E" w:rsidRDefault="00BE77A4" w:rsidP="0017618E">
            <w:pPr>
              <w:spacing w:after="0"/>
              <w:jc w:val="center"/>
              <w:rPr>
                <w:rFonts w:cstheme="minorHAnsi"/>
                <w:sz w:val="18"/>
                <w:szCs w:val="18"/>
              </w:rPr>
            </w:pPr>
            <w:r w:rsidRPr="0017618E">
              <w:rPr>
                <w:rFonts w:cstheme="minorHAnsi"/>
                <w:sz w:val="18"/>
                <w:szCs w:val="18"/>
              </w:rPr>
              <w:t>6.7%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E588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6D78A"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767EE"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6AE20B"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E7C89"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C8AFB" w14:textId="77777777" w:rsidR="00BE77A4" w:rsidRPr="0017618E" w:rsidRDefault="00BE77A4" w:rsidP="0017618E">
            <w:pPr>
              <w:spacing w:after="0"/>
              <w:jc w:val="center"/>
              <w:rPr>
                <w:rFonts w:cstheme="minorHAnsi"/>
                <w:sz w:val="18"/>
                <w:szCs w:val="18"/>
              </w:rPr>
            </w:pPr>
            <w:r w:rsidRPr="0017618E">
              <w:rPr>
                <w:rFonts w:cstheme="minorHAnsi"/>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CAFA7"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CB65DF" w14:textId="77777777" w:rsidR="00BE77A4" w:rsidRPr="0017618E" w:rsidRDefault="00BE77A4" w:rsidP="0017618E">
            <w:pPr>
              <w:spacing w:after="0"/>
              <w:jc w:val="center"/>
              <w:rPr>
                <w:rFonts w:cstheme="minorHAnsi"/>
                <w:sz w:val="18"/>
                <w:szCs w:val="18"/>
              </w:rPr>
            </w:pPr>
            <w:r w:rsidRPr="0017618E">
              <w:rPr>
                <w:rFonts w:cstheme="minorHAnsi"/>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FEB6F"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EFD9"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90850"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0AC8C"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78354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A0A408"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1AC70"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FCE1"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24CCA"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r>
    </w:tbl>
    <w:p w14:paraId="760A75EE" w14:textId="77777777" w:rsidR="008F1C00" w:rsidRDefault="008F1C00" w:rsidP="008F1C00">
      <w:bookmarkStart w:id="232" w:name="_Toc315354084"/>
      <w:bookmarkStart w:id="233" w:name="_Toc315447615"/>
      <w:bookmarkStart w:id="234" w:name="_Toc319585410"/>
      <w:bookmarkStart w:id="235" w:name="_Toc333218997"/>
      <w:bookmarkStart w:id="236" w:name="_Toc437594094"/>
      <w:bookmarkStart w:id="237" w:name="_Toc437856308"/>
      <w:bookmarkStart w:id="238" w:name="_Toc437957205"/>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D96C8D">
      <w:pPr>
        <w:pStyle w:val="Heading2"/>
      </w:pPr>
      <w:bookmarkStart w:id="239" w:name="_Toc438040368"/>
      <w:bookmarkStart w:id="240" w:name="_Toc524594132"/>
      <w:r>
        <w:t>Summer Peak Period Definition (kW)</w:t>
      </w:r>
      <w:bookmarkEnd w:id="232"/>
      <w:bookmarkEnd w:id="233"/>
      <w:bookmarkEnd w:id="234"/>
      <w:bookmarkEnd w:id="235"/>
      <w:bookmarkEnd w:id="236"/>
      <w:bookmarkEnd w:id="237"/>
      <w:bookmarkEnd w:id="238"/>
      <w:bookmarkEnd w:id="239"/>
      <w:bookmarkEnd w:id="240"/>
    </w:p>
    <w:p w14:paraId="64295434" w14:textId="77777777" w:rsidR="00B55FE0" w:rsidRDefault="00B55FE0" w:rsidP="00F613D9">
      <w:pPr>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20903A44" w14:textId="77777777" w:rsidR="00B55FE0" w:rsidRPr="007334E1" w:rsidRDefault="00B55FE0" w:rsidP="00F613D9">
      <w:pPr>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58180158" w14:textId="77777777" w:rsidR="00B55FE0" w:rsidRDefault="00B55FE0" w:rsidP="00F613D9">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Itron eShapes data provided by Ameren), or through a calculation using stated assumptions. </w:t>
      </w:r>
    </w:p>
    <w:p w14:paraId="2BF8611D" w14:textId="77777777" w:rsidR="00B55FE0" w:rsidRDefault="00B55FE0" w:rsidP="00F613D9">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D96C8D">
      <w:pPr>
        <w:pStyle w:val="Heading2"/>
      </w:pPr>
      <w:bookmarkStart w:id="241" w:name="_Toc442974691"/>
      <w:bookmarkStart w:id="242" w:name="_Toc442974811"/>
      <w:bookmarkStart w:id="243" w:name="_Toc319585411"/>
      <w:bookmarkStart w:id="244" w:name="_Toc333218998"/>
      <w:bookmarkStart w:id="245" w:name="_Toc437594095"/>
      <w:bookmarkStart w:id="246" w:name="_Toc437856309"/>
      <w:bookmarkStart w:id="247" w:name="_Toc437957206"/>
      <w:bookmarkStart w:id="248" w:name="_Toc438040369"/>
      <w:bookmarkStart w:id="249" w:name="_Toc524594133"/>
      <w:bookmarkEnd w:id="241"/>
      <w:bookmarkEnd w:id="242"/>
      <w:r>
        <w:t>Heating and Cooling Degree-Day Data</w:t>
      </w:r>
      <w:bookmarkEnd w:id="95"/>
      <w:bookmarkEnd w:id="243"/>
      <w:bookmarkEnd w:id="244"/>
      <w:bookmarkEnd w:id="245"/>
      <w:bookmarkEnd w:id="246"/>
      <w:bookmarkEnd w:id="247"/>
      <w:bookmarkEnd w:id="248"/>
      <w:bookmarkEnd w:id="249"/>
      <w:r>
        <w:t xml:space="preserve"> </w:t>
      </w:r>
    </w:p>
    <w:p w14:paraId="384E264F" w14:textId="64FCEF89" w:rsidR="00B55FE0" w:rsidRDefault="00B55FE0" w:rsidP="00F613D9">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Pr>
          <w:rStyle w:val="FootnoteReference"/>
        </w:rPr>
        <w:footnoteReference w:id="34"/>
      </w:r>
      <w:r>
        <w:t xml:space="preserve"> from the National Cli</w:t>
      </w:r>
      <w:r w:rsidR="00377E5A">
        <w:t xml:space="preserve">mactic Data Center (NCDC). </w:t>
      </w:r>
      <w:r>
        <w:t xml:space="preserve">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10241B88"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Pr="003F5ED9">
        <w:rPr>
          <w:rStyle w:val="FootnoteReference"/>
        </w:rPr>
        <w:footnoteReference w:id="35"/>
      </w:r>
      <w:r w:rsidR="00E65DB0">
        <w:t xml:space="preserve">. </w:t>
      </w:r>
      <w:r>
        <w:t>Residential cooling is based on 65F in agreement with a field study in Wisconsin</w:t>
      </w:r>
      <w:r>
        <w:rPr>
          <w:rStyle w:val="FootnoteReference"/>
        </w:rPr>
        <w:footnoteReference w:id="36"/>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Pr>
          <w:rStyle w:val="FootnoteReference"/>
        </w:rPr>
        <w:footnoteReference w:id="37"/>
      </w:r>
      <w:r>
        <w:t>.  C</w:t>
      </w:r>
      <w:r w:rsidR="00E65DB0">
        <w:t>ustom degree-days with building-</w:t>
      </w:r>
      <w:r>
        <w:t>specific base temperatures are recommended for large C&amp;I projects.</w:t>
      </w:r>
    </w:p>
    <w:p w14:paraId="214B86ED" w14:textId="2BD57588" w:rsidR="00B55FE0" w:rsidRDefault="00B55FE0" w:rsidP="00514253">
      <w:pPr>
        <w:pStyle w:val="Captions"/>
      </w:pPr>
      <w:bookmarkStart w:id="250" w:name="_Toc335377233"/>
      <w:bookmarkStart w:id="251" w:name="_Toc411514775"/>
      <w:bookmarkStart w:id="252" w:name="_Toc411515475"/>
      <w:bookmarkStart w:id="253" w:name="_Toc411599464"/>
      <w:bookmarkStart w:id="254" w:name="_Toc523412291"/>
      <w:r>
        <w:t xml:space="preserve">Table </w:t>
      </w:r>
      <w:r>
        <w:rPr>
          <w:noProof/>
        </w:rPr>
        <w:t>3</w:t>
      </w:r>
      <w:r>
        <w:t>.</w:t>
      </w:r>
      <w:r w:rsidR="0026285F">
        <w:rPr>
          <w:noProof/>
        </w:rPr>
        <w:t>5</w:t>
      </w:r>
      <w:r>
        <w:t>: Degree-Day Zones and Values by Market Sector</w:t>
      </w:r>
      <w:bookmarkEnd w:id="250"/>
      <w:bookmarkEnd w:id="251"/>
      <w:bookmarkEnd w:id="252"/>
      <w:bookmarkEnd w:id="253"/>
      <w:bookmarkEnd w:id="254"/>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881EA9">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881EA9">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30 year climate normals, 1981-2010</w:t>
            </w:r>
          </w:p>
        </w:tc>
      </w:tr>
    </w:tbl>
    <w:p w14:paraId="49368C0B" w14:textId="77777777" w:rsidR="00B55FE0" w:rsidRDefault="00B55FE0" w:rsidP="00B55FE0"/>
    <w:p w14:paraId="1791059E" w14:textId="6ED638CE"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are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255" w:name="_Toc333219128"/>
      <w:bookmarkStart w:id="256" w:name="_Toc411514281"/>
      <w:bookmarkStart w:id="257" w:name="_Toc411515159"/>
      <w:bookmarkStart w:id="258" w:name="_Toc411599505"/>
    </w:p>
    <w:p w14:paraId="6D82786B" w14:textId="3276EDE4" w:rsidR="00B55FE0" w:rsidRDefault="00B55FE0" w:rsidP="0017618E">
      <w:pPr>
        <w:pStyle w:val="Captions"/>
      </w:pPr>
      <w:bookmarkStart w:id="259" w:name="_Toc523412292"/>
      <w:r>
        <w:t xml:space="preserve">Figure </w:t>
      </w:r>
      <w:r>
        <w:rPr>
          <w:noProof/>
        </w:rPr>
        <w:t>3</w:t>
      </w:r>
      <w:r>
        <w:t>.</w:t>
      </w:r>
      <w:r>
        <w:rPr>
          <w:noProof/>
        </w:rPr>
        <w:t>1</w:t>
      </w:r>
      <w:r>
        <w:t>: Cooling Degree-Day Zones by County</w:t>
      </w:r>
      <w:bookmarkEnd w:id="255"/>
      <w:bookmarkEnd w:id="256"/>
      <w:bookmarkEnd w:id="257"/>
      <w:bookmarkEnd w:id="258"/>
      <w:bookmarkEnd w:id="259"/>
    </w:p>
    <w:p w14:paraId="58E2580D" w14:textId="0D24EDF2" w:rsidR="008F1C00" w:rsidRDefault="00B55FE0" w:rsidP="0017618E">
      <w:pPr>
        <w:jc w:val="center"/>
        <w:sectPr w:rsidR="008F1C00">
          <w:headerReference w:type="default" r:id="rId19"/>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6192" behindDoc="0" locked="0" layoutInCell="1" allowOverlap="1" wp14:anchorId="76362657" wp14:editId="1669E0F4">
                <wp:simplePos x="0" y="0"/>
                <wp:positionH relativeFrom="column">
                  <wp:posOffset>3048000</wp:posOffset>
                </wp:positionH>
                <wp:positionV relativeFrom="paragraph">
                  <wp:posOffset>570230</wp:posOffset>
                </wp:positionV>
                <wp:extent cx="1125855" cy="3905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79194A45" w14:textId="77777777" w:rsidR="00377E5A" w:rsidRPr="008A25F7" w:rsidRDefault="00377E5A" w:rsidP="00B55FE0">
                            <w:pPr>
                              <w:rPr>
                                <w:b/>
                              </w:rPr>
                            </w:pPr>
                            <w:r w:rsidRPr="008A25F7">
                              <w:rPr>
                                <w:b/>
                              </w:rPr>
                              <w:t>Zone 1</w:t>
                            </w:r>
                          </w:p>
                          <w:p w14:paraId="5A433DFD" w14:textId="77777777" w:rsidR="00377E5A" w:rsidRPr="008A25F7" w:rsidRDefault="00377E5A" w:rsidP="00B55FE0">
                            <w:pPr>
                              <w:rPr>
                                <w:b/>
                              </w:rPr>
                            </w:pPr>
                          </w:p>
                          <w:p w14:paraId="60ADF5BD" w14:textId="77777777" w:rsidR="00377E5A" w:rsidRPr="008A25F7" w:rsidRDefault="00377E5A" w:rsidP="00B55FE0">
                            <w:pPr>
                              <w:rPr>
                                <w:b/>
                              </w:rPr>
                            </w:pPr>
                            <w:r w:rsidRPr="008A25F7">
                              <w:rPr>
                                <w:b/>
                              </w:rPr>
                              <w:t>Zone 2</w:t>
                            </w:r>
                          </w:p>
                          <w:p w14:paraId="0CB943E8" w14:textId="77777777" w:rsidR="00377E5A" w:rsidRPr="008A25F7" w:rsidRDefault="00377E5A" w:rsidP="00B55FE0">
                            <w:pPr>
                              <w:rPr>
                                <w:b/>
                              </w:rPr>
                            </w:pPr>
                          </w:p>
                          <w:p w14:paraId="3A6ED281" w14:textId="77777777" w:rsidR="00377E5A" w:rsidRPr="008A25F7" w:rsidRDefault="00377E5A" w:rsidP="00B55FE0">
                            <w:pPr>
                              <w:rPr>
                                <w:b/>
                              </w:rPr>
                            </w:pPr>
                          </w:p>
                          <w:p w14:paraId="488E73AF" w14:textId="77777777" w:rsidR="00377E5A" w:rsidRPr="008A25F7" w:rsidRDefault="00377E5A" w:rsidP="00B55FE0">
                            <w:pPr>
                              <w:rPr>
                                <w:b/>
                              </w:rPr>
                            </w:pPr>
                            <w:r w:rsidRPr="008A25F7">
                              <w:rPr>
                                <w:b/>
                              </w:rPr>
                              <w:t>Zone 3</w:t>
                            </w:r>
                          </w:p>
                          <w:p w14:paraId="1BF8CBBB" w14:textId="77777777" w:rsidR="00377E5A" w:rsidRPr="008A25F7" w:rsidRDefault="00377E5A" w:rsidP="00B55FE0">
                            <w:pPr>
                              <w:rPr>
                                <w:b/>
                              </w:rPr>
                            </w:pPr>
                          </w:p>
                          <w:p w14:paraId="32AC7F87" w14:textId="77777777" w:rsidR="00377E5A" w:rsidRPr="008A25F7" w:rsidRDefault="00377E5A" w:rsidP="00B55FE0">
                            <w:pPr>
                              <w:rPr>
                                <w:b/>
                              </w:rPr>
                            </w:pPr>
                          </w:p>
                          <w:p w14:paraId="1EA53988" w14:textId="77777777" w:rsidR="00377E5A" w:rsidRPr="008A25F7" w:rsidRDefault="00377E5A" w:rsidP="00B55FE0">
                            <w:pPr>
                              <w:rPr>
                                <w:b/>
                              </w:rPr>
                            </w:pPr>
                            <w:r w:rsidRPr="008A25F7">
                              <w:rPr>
                                <w:b/>
                              </w:rPr>
                              <w:t>Zone 4</w:t>
                            </w:r>
                          </w:p>
                          <w:p w14:paraId="439CE7EE" w14:textId="77777777" w:rsidR="00377E5A" w:rsidRPr="008A25F7" w:rsidRDefault="00377E5A" w:rsidP="00B55FE0">
                            <w:pPr>
                              <w:rPr>
                                <w:b/>
                              </w:rPr>
                            </w:pPr>
                          </w:p>
                          <w:p w14:paraId="757A60E9" w14:textId="77777777" w:rsidR="00377E5A" w:rsidRPr="008A25F7" w:rsidRDefault="00377E5A" w:rsidP="00B55FE0">
                            <w:pPr>
                              <w:rPr>
                                <w:b/>
                              </w:rPr>
                            </w:pPr>
                          </w:p>
                          <w:p w14:paraId="72E4C779" w14:textId="77777777" w:rsidR="00377E5A" w:rsidRPr="008A25F7" w:rsidRDefault="00377E5A"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0pt;margin-top:44.9pt;width:88.65pt;height:3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" filled="f" stroked="f">
                <v:textbox>
                  <w:txbxContent>
                    <w:p w14:paraId="79194A45" w14:textId="77777777" w:rsidR="00377E5A" w:rsidRPr="008A25F7" w:rsidRDefault="00377E5A" w:rsidP="00B55FE0">
                      <w:pPr>
                        <w:rPr>
                          <w:b/>
                        </w:rPr>
                      </w:pPr>
                      <w:r w:rsidRPr="008A25F7">
                        <w:rPr>
                          <w:b/>
                        </w:rPr>
                        <w:t>Zone 1</w:t>
                      </w:r>
                    </w:p>
                    <w:p w14:paraId="5A433DFD" w14:textId="77777777" w:rsidR="00377E5A" w:rsidRPr="008A25F7" w:rsidRDefault="00377E5A" w:rsidP="00B55FE0">
                      <w:pPr>
                        <w:rPr>
                          <w:b/>
                        </w:rPr>
                      </w:pPr>
                    </w:p>
                    <w:p w14:paraId="60ADF5BD" w14:textId="77777777" w:rsidR="00377E5A" w:rsidRPr="008A25F7" w:rsidRDefault="00377E5A" w:rsidP="00B55FE0">
                      <w:pPr>
                        <w:rPr>
                          <w:b/>
                        </w:rPr>
                      </w:pPr>
                      <w:r w:rsidRPr="008A25F7">
                        <w:rPr>
                          <w:b/>
                        </w:rPr>
                        <w:t>Zone 2</w:t>
                      </w:r>
                    </w:p>
                    <w:p w14:paraId="0CB943E8" w14:textId="77777777" w:rsidR="00377E5A" w:rsidRPr="008A25F7" w:rsidRDefault="00377E5A" w:rsidP="00B55FE0">
                      <w:pPr>
                        <w:rPr>
                          <w:b/>
                        </w:rPr>
                      </w:pPr>
                    </w:p>
                    <w:p w14:paraId="3A6ED281" w14:textId="77777777" w:rsidR="00377E5A" w:rsidRPr="008A25F7" w:rsidRDefault="00377E5A" w:rsidP="00B55FE0">
                      <w:pPr>
                        <w:rPr>
                          <w:b/>
                        </w:rPr>
                      </w:pPr>
                    </w:p>
                    <w:p w14:paraId="488E73AF" w14:textId="77777777" w:rsidR="00377E5A" w:rsidRPr="008A25F7" w:rsidRDefault="00377E5A" w:rsidP="00B55FE0">
                      <w:pPr>
                        <w:rPr>
                          <w:b/>
                        </w:rPr>
                      </w:pPr>
                      <w:r w:rsidRPr="008A25F7">
                        <w:rPr>
                          <w:b/>
                        </w:rPr>
                        <w:t>Zone 3</w:t>
                      </w:r>
                    </w:p>
                    <w:p w14:paraId="1BF8CBBB" w14:textId="77777777" w:rsidR="00377E5A" w:rsidRPr="008A25F7" w:rsidRDefault="00377E5A" w:rsidP="00B55FE0">
                      <w:pPr>
                        <w:rPr>
                          <w:b/>
                        </w:rPr>
                      </w:pPr>
                    </w:p>
                    <w:p w14:paraId="32AC7F87" w14:textId="77777777" w:rsidR="00377E5A" w:rsidRPr="008A25F7" w:rsidRDefault="00377E5A" w:rsidP="00B55FE0">
                      <w:pPr>
                        <w:rPr>
                          <w:b/>
                        </w:rPr>
                      </w:pPr>
                    </w:p>
                    <w:p w14:paraId="1EA53988" w14:textId="77777777" w:rsidR="00377E5A" w:rsidRPr="008A25F7" w:rsidRDefault="00377E5A" w:rsidP="00B55FE0">
                      <w:pPr>
                        <w:rPr>
                          <w:b/>
                        </w:rPr>
                      </w:pPr>
                      <w:r w:rsidRPr="008A25F7">
                        <w:rPr>
                          <w:b/>
                        </w:rPr>
                        <w:t>Zone 4</w:t>
                      </w:r>
                    </w:p>
                    <w:p w14:paraId="439CE7EE" w14:textId="77777777" w:rsidR="00377E5A" w:rsidRPr="008A25F7" w:rsidRDefault="00377E5A" w:rsidP="00B55FE0">
                      <w:pPr>
                        <w:rPr>
                          <w:b/>
                        </w:rPr>
                      </w:pPr>
                    </w:p>
                    <w:p w14:paraId="757A60E9" w14:textId="77777777" w:rsidR="00377E5A" w:rsidRPr="008A25F7" w:rsidRDefault="00377E5A" w:rsidP="00B55FE0">
                      <w:pPr>
                        <w:rPr>
                          <w:b/>
                        </w:rPr>
                      </w:pPr>
                    </w:p>
                    <w:p w14:paraId="72E4C779" w14:textId="77777777" w:rsidR="00377E5A" w:rsidRPr="008A25F7" w:rsidRDefault="00377E5A"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0">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514253">
      <w:pPr>
        <w:pStyle w:val="Captions"/>
      </w:pPr>
      <w:bookmarkStart w:id="260" w:name="_Toc333219129"/>
      <w:bookmarkStart w:id="261" w:name="_Toc411514282"/>
      <w:bookmarkStart w:id="262" w:name="_Toc411515160"/>
      <w:bookmarkStart w:id="263" w:name="_Toc411599506"/>
      <w:bookmarkStart w:id="264" w:name="_Toc523412293"/>
      <w:r>
        <w:t xml:space="preserve">Figure </w:t>
      </w:r>
      <w:r>
        <w:rPr>
          <w:noProof/>
        </w:rPr>
        <w:t>3</w:t>
      </w:r>
      <w:r>
        <w:t>.</w:t>
      </w:r>
      <w:r>
        <w:rPr>
          <w:noProof/>
        </w:rPr>
        <w:t>2</w:t>
      </w:r>
      <w:r>
        <w:t>: Heating Degree-Day Zones by County</w:t>
      </w:r>
      <w:bookmarkEnd w:id="260"/>
      <w:bookmarkEnd w:id="261"/>
      <w:bookmarkEnd w:id="262"/>
      <w:bookmarkEnd w:id="263"/>
      <w:bookmarkEnd w:id="264"/>
    </w:p>
    <w:p w14:paraId="30036845" w14:textId="77777777" w:rsidR="00B55FE0" w:rsidRDefault="00B55FE0" w:rsidP="00B55FE0">
      <w:pPr>
        <w:jc w:val="center"/>
      </w:pPr>
      <w:r>
        <w:rPr>
          <w:noProof/>
        </w:rPr>
        <mc:AlternateContent>
          <mc:Choice Requires="wps">
            <w:drawing>
              <wp:anchor distT="0" distB="0" distL="114300" distR="114300" simplePos="0" relativeHeight="251661312"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377E5A" w:rsidRPr="00FE79D7" w:rsidRDefault="00377E5A" w:rsidP="00B55FE0">
                            <w:pPr>
                              <w:rPr>
                                <w:b/>
                              </w:rPr>
                            </w:pPr>
                            <w:r w:rsidRPr="00FE79D7">
                              <w:rPr>
                                <w:b/>
                              </w:rPr>
                              <w:t>Zone 1</w:t>
                            </w:r>
                          </w:p>
                          <w:p w14:paraId="781F545D" w14:textId="77777777" w:rsidR="00377E5A" w:rsidRPr="00FE79D7" w:rsidRDefault="00377E5A" w:rsidP="00B55FE0">
                            <w:pPr>
                              <w:rPr>
                                <w:b/>
                              </w:rPr>
                            </w:pPr>
                          </w:p>
                          <w:p w14:paraId="64F4678C" w14:textId="77777777" w:rsidR="00377E5A" w:rsidRPr="00FE79D7" w:rsidRDefault="00377E5A" w:rsidP="00B55FE0">
                            <w:pPr>
                              <w:rPr>
                                <w:b/>
                              </w:rPr>
                            </w:pPr>
                            <w:r w:rsidRPr="00FE79D7">
                              <w:rPr>
                                <w:b/>
                              </w:rPr>
                              <w:t>Zone 2</w:t>
                            </w:r>
                          </w:p>
                          <w:p w14:paraId="0F355821" w14:textId="77777777" w:rsidR="00377E5A" w:rsidRPr="00FE79D7" w:rsidRDefault="00377E5A" w:rsidP="00B55FE0">
                            <w:pPr>
                              <w:rPr>
                                <w:b/>
                              </w:rPr>
                            </w:pPr>
                          </w:p>
                          <w:p w14:paraId="0C829D8B" w14:textId="77777777" w:rsidR="00377E5A" w:rsidRPr="00FE79D7" w:rsidRDefault="00377E5A" w:rsidP="00B55FE0">
                            <w:pPr>
                              <w:rPr>
                                <w:b/>
                              </w:rPr>
                            </w:pPr>
                          </w:p>
                          <w:p w14:paraId="09E28FC7" w14:textId="77777777" w:rsidR="00377E5A" w:rsidRPr="00FE79D7" w:rsidRDefault="00377E5A" w:rsidP="00B55FE0">
                            <w:pPr>
                              <w:rPr>
                                <w:b/>
                              </w:rPr>
                            </w:pPr>
                            <w:r w:rsidRPr="00FE79D7">
                              <w:rPr>
                                <w:b/>
                              </w:rPr>
                              <w:t>Zone 3</w:t>
                            </w:r>
                          </w:p>
                          <w:p w14:paraId="53B27432" w14:textId="77777777" w:rsidR="00377E5A" w:rsidRPr="00FE79D7" w:rsidRDefault="00377E5A" w:rsidP="00B55FE0">
                            <w:pPr>
                              <w:rPr>
                                <w:b/>
                              </w:rPr>
                            </w:pPr>
                          </w:p>
                          <w:p w14:paraId="00209722" w14:textId="77777777" w:rsidR="00377E5A" w:rsidRPr="00FE79D7" w:rsidRDefault="00377E5A" w:rsidP="00B55FE0">
                            <w:pPr>
                              <w:rPr>
                                <w:b/>
                              </w:rPr>
                            </w:pPr>
                          </w:p>
                          <w:p w14:paraId="7D529537" w14:textId="77777777" w:rsidR="00377E5A" w:rsidRPr="00FE79D7" w:rsidRDefault="00377E5A" w:rsidP="00B55FE0">
                            <w:pPr>
                              <w:rPr>
                                <w:b/>
                              </w:rPr>
                            </w:pPr>
                            <w:r w:rsidRPr="00FE79D7">
                              <w:rPr>
                                <w:b/>
                              </w:rPr>
                              <w:t>Zone 4</w:t>
                            </w:r>
                          </w:p>
                          <w:p w14:paraId="64336314" w14:textId="77777777" w:rsidR="00377E5A" w:rsidRPr="00FE79D7" w:rsidRDefault="00377E5A" w:rsidP="00B55FE0">
                            <w:pPr>
                              <w:rPr>
                                <w:b/>
                              </w:rPr>
                            </w:pPr>
                          </w:p>
                          <w:p w14:paraId="226CE77C" w14:textId="77777777" w:rsidR="00377E5A" w:rsidRPr="00FE79D7" w:rsidRDefault="00377E5A" w:rsidP="00B55FE0">
                            <w:pPr>
                              <w:rPr>
                                <w:b/>
                              </w:rPr>
                            </w:pPr>
                          </w:p>
                          <w:p w14:paraId="46F94521" w14:textId="77777777" w:rsidR="00377E5A" w:rsidRPr="00FE79D7" w:rsidRDefault="00377E5A"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377E5A" w:rsidRPr="00FE79D7" w:rsidRDefault="00377E5A" w:rsidP="00B55FE0">
                      <w:pPr>
                        <w:rPr>
                          <w:b/>
                        </w:rPr>
                      </w:pPr>
                      <w:r w:rsidRPr="00FE79D7">
                        <w:rPr>
                          <w:b/>
                        </w:rPr>
                        <w:t>Zone 1</w:t>
                      </w:r>
                    </w:p>
                    <w:p w14:paraId="781F545D" w14:textId="77777777" w:rsidR="00377E5A" w:rsidRPr="00FE79D7" w:rsidRDefault="00377E5A" w:rsidP="00B55FE0">
                      <w:pPr>
                        <w:rPr>
                          <w:b/>
                        </w:rPr>
                      </w:pPr>
                    </w:p>
                    <w:p w14:paraId="64F4678C" w14:textId="77777777" w:rsidR="00377E5A" w:rsidRPr="00FE79D7" w:rsidRDefault="00377E5A" w:rsidP="00B55FE0">
                      <w:pPr>
                        <w:rPr>
                          <w:b/>
                        </w:rPr>
                      </w:pPr>
                      <w:r w:rsidRPr="00FE79D7">
                        <w:rPr>
                          <w:b/>
                        </w:rPr>
                        <w:t>Zone 2</w:t>
                      </w:r>
                    </w:p>
                    <w:p w14:paraId="0F355821" w14:textId="77777777" w:rsidR="00377E5A" w:rsidRPr="00FE79D7" w:rsidRDefault="00377E5A" w:rsidP="00B55FE0">
                      <w:pPr>
                        <w:rPr>
                          <w:b/>
                        </w:rPr>
                      </w:pPr>
                    </w:p>
                    <w:p w14:paraId="0C829D8B" w14:textId="77777777" w:rsidR="00377E5A" w:rsidRPr="00FE79D7" w:rsidRDefault="00377E5A" w:rsidP="00B55FE0">
                      <w:pPr>
                        <w:rPr>
                          <w:b/>
                        </w:rPr>
                      </w:pPr>
                    </w:p>
                    <w:p w14:paraId="09E28FC7" w14:textId="77777777" w:rsidR="00377E5A" w:rsidRPr="00FE79D7" w:rsidRDefault="00377E5A" w:rsidP="00B55FE0">
                      <w:pPr>
                        <w:rPr>
                          <w:b/>
                        </w:rPr>
                      </w:pPr>
                      <w:r w:rsidRPr="00FE79D7">
                        <w:rPr>
                          <w:b/>
                        </w:rPr>
                        <w:t>Zone 3</w:t>
                      </w:r>
                    </w:p>
                    <w:p w14:paraId="53B27432" w14:textId="77777777" w:rsidR="00377E5A" w:rsidRPr="00FE79D7" w:rsidRDefault="00377E5A" w:rsidP="00B55FE0">
                      <w:pPr>
                        <w:rPr>
                          <w:b/>
                        </w:rPr>
                      </w:pPr>
                    </w:p>
                    <w:p w14:paraId="00209722" w14:textId="77777777" w:rsidR="00377E5A" w:rsidRPr="00FE79D7" w:rsidRDefault="00377E5A" w:rsidP="00B55FE0">
                      <w:pPr>
                        <w:rPr>
                          <w:b/>
                        </w:rPr>
                      </w:pPr>
                    </w:p>
                    <w:p w14:paraId="7D529537" w14:textId="77777777" w:rsidR="00377E5A" w:rsidRPr="00FE79D7" w:rsidRDefault="00377E5A" w:rsidP="00B55FE0">
                      <w:pPr>
                        <w:rPr>
                          <w:b/>
                        </w:rPr>
                      </w:pPr>
                      <w:r w:rsidRPr="00FE79D7">
                        <w:rPr>
                          <w:b/>
                        </w:rPr>
                        <w:t>Zone 4</w:t>
                      </w:r>
                    </w:p>
                    <w:p w14:paraId="64336314" w14:textId="77777777" w:rsidR="00377E5A" w:rsidRPr="00FE79D7" w:rsidRDefault="00377E5A" w:rsidP="00B55FE0">
                      <w:pPr>
                        <w:rPr>
                          <w:b/>
                        </w:rPr>
                      </w:pPr>
                    </w:p>
                    <w:p w14:paraId="226CE77C" w14:textId="77777777" w:rsidR="00377E5A" w:rsidRPr="00FE79D7" w:rsidRDefault="00377E5A" w:rsidP="00B55FE0">
                      <w:pPr>
                        <w:rPr>
                          <w:b/>
                        </w:rPr>
                      </w:pPr>
                    </w:p>
                    <w:p w14:paraId="46F94521" w14:textId="77777777" w:rsidR="00377E5A" w:rsidRPr="00FE79D7" w:rsidRDefault="00377E5A"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1">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514253">
      <w:pPr>
        <w:pStyle w:val="Captions"/>
      </w:pPr>
      <w:bookmarkStart w:id="265" w:name="_Toc335377234"/>
      <w:bookmarkStart w:id="266" w:name="_Toc411514776"/>
      <w:bookmarkStart w:id="267" w:name="_Toc411515476"/>
      <w:bookmarkStart w:id="268" w:name="_Toc411599465"/>
      <w:bookmarkStart w:id="269" w:name="_Toc523412294"/>
      <w:r>
        <w:t xml:space="preserve">Table </w:t>
      </w:r>
      <w:r>
        <w:rPr>
          <w:noProof/>
        </w:rPr>
        <w:t>3</w:t>
      </w:r>
      <w:r>
        <w:t>.</w:t>
      </w:r>
      <w:r w:rsidR="0026285F">
        <w:rPr>
          <w:noProof/>
        </w:rPr>
        <w:t>6</w:t>
      </w:r>
      <w:r>
        <w:t>: Heating Degree-Day Zones by County</w:t>
      </w:r>
      <w:bookmarkEnd w:id="265"/>
      <w:bookmarkEnd w:id="266"/>
      <w:bookmarkEnd w:id="267"/>
      <w:bookmarkEnd w:id="268"/>
      <w:bookmarkEnd w:id="269"/>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514253">
      <w:pPr>
        <w:pStyle w:val="Captions"/>
      </w:pPr>
    </w:p>
    <w:p w14:paraId="26C38B99" w14:textId="67811880" w:rsidR="00B55FE0" w:rsidRDefault="00B55FE0" w:rsidP="00514253">
      <w:pPr>
        <w:pStyle w:val="Captions"/>
      </w:pPr>
      <w:bookmarkStart w:id="270" w:name="_Toc335377235"/>
      <w:bookmarkStart w:id="271" w:name="_Toc411514777"/>
      <w:bookmarkStart w:id="272" w:name="_Toc411515477"/>
      <w:bookmarkStart w:id="273" w:name="_Toc411599466"/>
      <w:bookmarkStart w:id="274" w:name="_Toc523412295"/>
      <w:r>
        <w:t xml:space="preserve">Table </w:t>
      </w:r>
      <w:r>
        <w:rPr>
          <w:noProof/>
        </w:rPr>
        <w:t>3</w:t>
      </w:r>
      <w:r>
        <w:t>.</w:t>
      </w:r>
      <w:r w:rsidR="0026285F">
        <w:rPr>
          <w:noProof/>
        </w:rPr>
        <w:t>7</w:t>
      </w:r>
      <w:r>
        <w:t>: Cooling Degree-day Zones by County</w:t>
      </w:r>
      <w:bookmarkEnd w:id="270"/>
      <w:bookmarkEnd w:id="271"/>
      <w:bookmarkEnd w:id="272"/>
      <w:bookmarkEnd w:id="273"/>
      <w:bookmarkEnd w:id="274"/>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D96C8D">
      <w:pPr>
        <w:pStyle w:val="Heading2"/>
      </w:pPr>
      <w:bookmarkStart w:id="275" w:name="_Toc438040370"/>
      <w:bookmarkStart w:id="276" w:name="_Toc524594134"/>
      <w:r>
        <w:t>Measure Incremental Cost Definition</w:t>
      </w:r>
      <w:bookmarkEnd w:id="275"/>
      <w:bookmarkEnd w:id="276"/>
    </w:p>
    <w:p w14:paraId="2A6C6E71" w14:textId="499766B7" w:rsidR="006D6CCD" w:rsidRDefault="00230497" w:rsidP="00F613D9">
      <w:r w:rsidRPr="00447701">
        <w:rPr>
          <w:rFonts w:asciiTheme="minorHAnsi" w:hAnsiTheme="minorHAnsi"/>
        </w:rPr>
        <w:t>Incremental Costs means the difference between the cost of the efficient Measure and the cost of the most relevant baseline measure that would have been installed (if any) in the absence of the efficiency Program. Installation costs (material and labor) and Operations and Maintenance (O&amp;M) costs shall be included if there is a difference between the efficient Measure and the baseline measure. In cases where the efficient Measure has a significantly shorter or longer life than the relevant baseline measure (e.g., LEDs versus halogens), the avoided baseline replacement measure costs should be accounted for in the TRC analysis. The Customer’s value of service lost, the Customer’s value of their lost amenity, and the Customer’s transaction costs shall be included in the TRC analysis where a reasonable estimate or proxy of such costs can be easily obtained (e.g., Program Administrator payment to a Customer to reduce load during a demand response event, Program Administrator payment to a Customer as an inducement to give up dupl</w:t>
      </w:r>
      <w:r w:rsidR="00E65DB0">
        <w:rPr>
          <w:rFonts w:asciiTheme="minorHAnsi" w:hAnsiTheme="minorHAnsi"/>
        </w:rPr>
        <w:t xml:space="preserve">icative 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p>
    <w:p w14:paraId="50404FF0" w14:textId="7AB117A3" w:rsidR="00230497" w:rsidRDefault="00230497" w:rsidP="00F613D9">
      <w:r w:rsidRPr="00447701">
        <w:t>Examples of Incremental Cost calculations include:</w:t>
      </w:r>
    </w:p>
    <w:p w14:paraId="4E478975" w14:textId="77777777"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there is a difference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77777777" w:rsidR="00230497" w:rsidRDefault="00230497" w:rsidP="0017618E">
      <w:pPr>
        <w:pStyle w:val="ListParagraph"/>
        <w:numPr>
          <w:ilvl w:val="0"/>
          <w:numId w:val="23"/>
        </w:numPr>
        <w:spacing w:after="60"/>
        <w:contextualSpacing w:val="0"/>
      </w:pPr>
      <w:r w:rsidRPr="00447701">
        <w:rPr>
          <w:rFonts w:asciiTheme="minorHAnsi" w:hAnsiTheme="minorHAnsi"/>
        </w:rPr>
        <w:t>For the early replacement of a functioning measure with a new efficient Measure, where the Customer would not have otherwise made a purchase for a number of years, the appropriate baseline is a dual baseline that begins as the existing measure and shifts to the new standard measure after the expected remaining useful life of the existing measure ends. Thus, the Incremental Cost is the full cost of the new efficient Measure (including installation costs) being purchased to replace a still-functioning measure less the present value of the assumed deferred replacement cost of replacing the existing measure with a new baseline measure at the end of the existing measure’s life</w:t>
      </w:r>
      <w:r>
        <w:t xml:space="preserve"> (described in section 3.9)</w:t>
      </w:r>
      <w:r w:rsidRPr="00447701">
        <w:rPr>
          <w:rFonts w:asciiTheme="minorHAnsi" w:hAnsiTheme="minorHAnsi"/>
        </w:rPr>
        <w:t>. This deferred credit may not be necessary when the lifetime of the measure is short, the costs are very low, or for other reasons (e.g., certain Direct Install Measures, Measures provided in Kits to Customers).</w:t>
      </w:r>
    </w:p>
    <w:p w14:paraId="5A76C97E" w14:textId="77777777" w:rsidR="00230497" w:rsidRDefault="00230497" w:rsidP="0017618E">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 that are truly necessary for a Customer to implement efficient Measures, as opposed to being principally intended to be a form of marketing, the Incremental Cost is the full cost of the study-based service. Even if the study-based service is performed entirely by a Program Administrator’s implementation contractor, the full cost of the study-based service charged by the 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p>
    <w:p w14:paraId="1A1CBFB7" w14:textId="77777777" w:rsidR="00230497" w:rsidRPr="00447701" w:rsidRDefault="00230497" w:rsidP="00447701">
      <w:pPr>
        <w:pStyle w:val="ListParagraph"/>
        <w:numPr>
          <w:ilvl w:val="0"/>
          <w:numId w:val="23"/>
        </w:numPr>
        <w:contextualSpacing w:val="0"/>
      </w:pPr>
      <w:r w:rsidRPr="00447701">
        <w:rPr>
          <w:rFonts w:asciiTheme="minorHAnsi" w:hAnsiTheme="minorHAnsi"/>
        </w:rPr>
        <w:t>For the early retirement of duplicative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an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D96C8D">
      <w:pPr>
        <w:pStyle w:val="Heading2"/>
      </w:pPr>
      <w:bookmarkStart w:id="277" w:name="_Toc442974694"/>
      <w:bookmarkStart w:id="278" w:name="_Toc442974814"/>
      <w:bookmarkStart w:id="279" w:name="_Toc524594135"/>
      <w:bookmarkStart w:id="280" w:name="_Toc315354086"/>
      <w:bookmarkStart w:id="281" w:name="_Toc319585412"/>
      <w:bookmarkStart w:id="282" w:name="_Toc333218999"/>
      <w:bookmarkStart w:id="283" w:name="_Toc437594096"/>
      <w:bookmarkStart w:id="284" w:name="_Toc437856310"/>
      <w:bookmarkStart w:id="285" w:name="_Toc437957207"/>
      <w:bookmarkStart w:id="286" w:name="_Toc438040371"/>
      <w:bookmarkEnd w:id="277"/>
      <w:bookmarkEnd w:id="278"/>
      <w:r>
        <w:t xml:space="preserve">Discount Rates, </w:t>
      </w:r>
      <w:r w:rsidR="00592EA8">
        <w:t>Inflation Rates</w:t>
      </w:r>
      <w:r w:rsidR="00E65DB0">
        <w:t>,</w:t>
      </w:r>
      <w:r>
        <w:t xml:space="preserve"> and</w:t>
      </w:r>
      <w:r w:rsidR="00592EA8">
        <w:t xml:space="preserve"> </w:t>
      </w:r>
      <w:r w:rsidR="00B55FE0">
        <w:t>O&amp;M Costs</w:t>
      </w:r>
      <w:bookmarkEnd w:id="279"/>
      <w:r w:rsidR="00B55FE0">
        <w:t xml:space="preserve"> </w:t>
      </w:r>
      <w:bookmarkEnd w:id="280"/>
      <w:bookmarkEnd w:id="281"/>
      <w:bookmarkEnd w:id="282"/>
      <w:bookmarkEnd w:id="283"/>
      <w:bookmarkEnd w:id="284"/>
      <w:bookmarkEnd w:id="285"/>
      <w:bookmarkEnd w:id="286"/>
    </w:p>
    <w:p w14:paraId="51CE4ED4" w14:textId="26648379" w:rsidR="00EF1931" w:rsidRDefault="00212474" w:rsidP="00212474">
      <w:bookmarkStart w:id="287" w:name="_Toc315354087"/>
      <w:bookmarkStart w:id="288"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2.38%, or a real (inflation-adjusted) discount rate of 0.46%</w:t>
      </w:r>
      <w:r w:rsidR="00EF1931">
        <w:rPr>
          <w:rStyle w:val="FootnoteReference"/>
        </w:rPr>
        <w:footnoteReference w:id="38"/>
      </w:r>
      <w:r w:rsidR="00EF1931">
        <w:t xml:space="preserve">.  </w:t>
      </w:r>
    </w:p>
    <w:p w14:paraId="3C2F1461" w14:textId="490D501E"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1.91%</w:t>
      </w:r>
      <w:r w:rsidR="00A12E9F">
        <w:rPr>
          <w:rStyle w:val="FootnoteReference"/>
        </w:rPr>
        <w:footnoteReference w:id="39"/>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74301345" w14:textId="509FC8BB" w:rsidR="00212474" w:rsidRDefault="00212474" w:rsidP="00212474">
      <w:pPr>
        <w:spacing w:after="240"/>
      </w:pPr>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212474">
      <w:pPr>
        <w:spacing w:after="240"/>
      </w:pPr>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377E5A" w:rsidRDefault="00377E5A" w:rsidP="0017618E">
                            <w:pPr>
                              <w:spacing w:after="60"/>
                            </w:pPr>
                            <w:r>
                              <w:t xml:space="preserve">Baseline Case:  </w:t>
                            </w:r>
                            <w:r>
                              <w:tab/>
                              <w:t>O&amp;M costs equal $150 every two years.</w:t>
                            </w:r>
                          </w:p>
                          <w:p w14:paraId="0623A482" w14:textId="77777777" w:rsidR="00377E5A" w:rsidRDefault="00377E5A" w:rsidP="0017618E">
                            <w:pPr>
                              <w:spacing w:after="60"/>
                            </w:pPr>
                            <w:r>
                              <w:t>Efficient Case:</w:t>
                            </w:r>
                            <w:r>
                              <w:tab/>
                              <w:t>O&amp;M costs equal $50 every five years.</w:t>
                            </w:r>
                          </w:p>
                          <w:p w14:paraId="206ACC5F" w14:textId="77777777" w:rsidR="00377E5A" w:rsidRDefault="00377E5A"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">
                <v:textbox>
                  <w:txbxContent>
                    <w:p w14:paraId="182CB4E0" w14:textId="77777777" w:rsidR="00377E5A" w:rsidRDefault="00377E5A" w:rsidP="0017618E">
                      <w:pPr>
                        <w:spacing w:after="60"/>
                      </w:pPr>
                      <w:r>
                        <w:t xml:space="preserve">Baseline Case:  </w:t>
                      </w:r>
                      <w:r>
                        <w:tab/>
                        <w:t>O&amp;M costs equal $150 every two years.</w:t>
                      </w:r>
                    </w:p>
                    <w:p w14:paraId="0623A482" w14:textId="77777777" w:rsidR="00377E5A" w:rsidRDefault="00377E5A" w:rsidP="0017618E">
                      <w:pPr>
                        <w:spacing w:after="60"/>
                      </w:pPr>
                      <w:r>
                        <w:t>Efficient Case:</w:t>
                      </w:r>
                      <w:r>
                        <w:tab/>
                        <w:t>O&amp;M costs equal $50 every five years.</w:t>
                      </w:r>
                    </w:p>
                    <w:p w14:paraId="206ACC5F" w14:textId="77777777" w:rsidR="00377E5A" w:rsidRDefault="00377E5A"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5F3D2AAA"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46</w:t>
      </w:r>
      <w:r w:rsidR="00B55FE0" w:rsidRPr="00AF2C4A">
        <w:t>%</w:t>
      </w:r>
      <w:r w:rsidR="00B55FE0">
        <w:t>.</w:t>
      </w:r>
    </w:p>
    <w:p w14:paraId="226FDCD0" w14:textId="77777777" w:rsidR="00B55FE0" w:rsidRDefault="00B55FE0" w:rsidP="00D96C8D">
      <w:pPr>
        <w:pStyle w:val="Heading2"/>
      </w:pPr>
      <w:bookmarkStart w:id="289" w:name="_Toc442974696"/>
      <w:bookmarkStart w:id="290" w:name="_Toc442974816"/>
      <w:bookmarkStart w:id="291" w:name="_Toc442974697"/>
      <w:bookmarkStart w:id="292" w:name="_Toc442974817"/>
      <w:bookmarkStart w:id="293" w:name="_Toc333219000"/>
      <w:bookmarkStart w:id="294" w:name="_Toc437594097"/>
      <w:bookmarkStart w:id="295" w:name="_Toc437856311"/>
      <w:bookmarkStart w:id="296" w:name="_Toc437957208"/>
      <w:bookmarkStart w:id="297" w:name="_Toc438040372"/>
      <w:bookmarkStart w:id="298" w:name="_Toc524594136"/>
      <w:bookmarkEnd w:id="289"/>
      <w:bookmarkEnd w:id="290"/>
      <w:bookmarkEnd w:id="291"/>
      <w:bookmarkEnd w:id="292"/>
      <w:r>
        <w:t>Interactive Effects</w:t>
      </w:r>
      <w:bookmarkEnd w:id="287"/>
      <w:bookmarkEnd w:id="288"/>
      <w:bookmarkEnd w:id="293"/>
      <w:bookmarkEnd w:id="294"/>
      <w:bookmarkEnd w:id="295"/>
      <w:bookmarkEnd w:id="296"/>
      <w:bookmarkEnd w:id="297"/>
      <w:bookmarkEnd w:id="298"/>
    </w:p>
    <w:bookmarkEnd w:id="76"/>
    <w:p w14:paraId="47B9625D" w14:textId="23518A3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21628EDE"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Pr="00D473F9">
        <w:rPr>
          <w:rStyle w:val="FootnoteReference"/>
        </w:rPr>
        <w:footnoteReference w:id="40"/>
      </w:r>
      <w:r>
        <w:t>.</w:t>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55FAF7DC" w14:textId="5E04D1E7" w:rsidR="0028614A" w:rsidRDefault="0028614A" w:rsidP="00447701">
      <w:pPr>
        <w:widowControl/>
        <w:spacing w:after="160" w:line="259" w:lineRule="auto"/>
        <w:jc w:val="left"/>
      </w:pPr>
    </w:p>
    <w:sectPr w:rsidR="002861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DD541" w14:textId="77777777" w:rsidR="00377E5A" w:rsidRDefault="00377E5A" w:rsidP="00B55FE0">
      <w:pPr>
        <w:spacing w:after="0"/>
      </w:pPr>
      <w:r>
        <w:separator/>
      </w:r>
    </w:p>
  </w:endnote>
  <w:endnote w:type="continuationSeparator" w:id="0">
    <w:p w14:paraId="2B2BE662" w14:textId="77777777" w:rsidR="00377E5A" w:rsidRDefault="00377E5A" w:rsidP="00B5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46672" w14:textId="01DAF111" w:rsidR="00377E5A" w:rsidRDefault="00377E5A">
    <w:pPr>
      <w:pStyle w:val="Footer"/>
    </w:pPr>
    <w:r>
      <w:t>2019 I</w:t>
    </w:r>
    <w:r w:rsidR="00720958">
      <w:t>L TRM v7.0 Vol. 1_September 28</w:t>
    </w:r>
    <w:r>
      <w:t>, 2018_Final</w:t>
    </w:r>
    <w:r>
      <w:tab/>
    </w:r>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7E256B">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E256B">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FC158" w14:textId="77777777" w:rsidR="00377E5A" w:rsidRDefault="00377E5A" w:rsidP="00B55FE0">
      <w:pPr>
        <w:spacing w:after="0"/>
      </w:pPr>
      <w:r>
        <w:separator/>
      </w:r>
    </w:p>
  </w:footnote>
  <w:footnote w:type="continuationSeparator" w:id="0">
    <w:p w14:paraId="635FFAE9" w14:textId="77777777" w:rsidR="00377E5A" w:rsidRDefault="00377E5A" w:rsidP="00B55FE0">
      <w:pPr>
        <w:spacing w:after="0"/>
      </w:pPr>
      <w:r>
        <w:continuationSeparator/>
      </w:r>
    </w:p>
  </w:footnote>
  <w:footnote w:id="1">
    <w:p w14:paraId="24AFB48A" w14:textId="33485B8F" w:rsidR="00377E5A" w:rsidRPr="00143A7B" w:rsidRDefault="00377E5A" w:rsidP="008E5EB6">
      <w:pPr>
        <w:pStyle w:val="Footnote"/>
        <w:rPr>
          <w:rFonts w:asciiTheme="minorHAnsi" w:hAnsiTheme="minorHAnsi"/>
          <w:szCs w:val="18"/>
        </w:rPr>
      </w:pPr>
      <w:r w:rsidRPr="00A12E9F">
        <w:rPr>
          <w:rStyle w:val="FootnoteReference"/>
          <w:rFonts w:asciiTheme="minorHAnsi" w:hAnsiTheme="minorHAnsi"/>
          <w:sz w:val="18"/>
          <w:szCs w:val="18"/>
        </w:rPr>
        <w:footnoteRef/>
      </w:r>
      <w:r w:rsidRPr="00143A7B">
        <w:rPr>
          <w:rFonts w:asciiTheme="minorHAnsi" w:hAnsiTheme="minorHAnsi"/>
          <w:szCs w:val="18"/>
        </w:rPr>
        <w:t xml:space="preserve"> 220 ILCS 5/8-103B and 220 ILCS 5/8-104.</w:t>
      </w:r>
    </w:p>
  </w:footnote>
  <w:footnote w:id="2">
    <w:p w14:paraId="03ADCC0E" w14:textId="79ED4F5E" w:rsidR="00377E5A" w:rsidRPr="00143A7B" w:rsidRDefault="00377E5A" w:rsidP="008E5EB6">
      <w:pPr>
        <w:pStyle w:val="Footnote"/>
        <w:rPr>
          <w:rFonts w:asciiTheme="minorHAnsi" w:hAnsiTheme="minorHAnsi"/>
          <w:szCs w:val="18"/>
        </w:rPr>
      </w:pPr>
      <w:r w:rsidRPr="00143A7B">
        <w:rPr>
          <w:rFonts w:asciiTheme="minorHAnsi" w:hAnsiTheme="minorHAnsi"/>
          <w:szCs w:val="18"/>
          <w:vertAlign w:val="superscript"/>
        </w:rPr>
        <w:footnoteRef/>
      </w:r>
      <w:r w:rsidRPr="00143A7B">
        <w:rPr>
          <w:rFonts w:asciiTheme="minorHAnsi" w:hAnsiTheme="minorHAnsi"/>
          <w:szCs w:val="18"/>
        </w:rPr>
        <w:t xml:space="preserve"> The Program Administrators include: Ameren Illinois, ComEd, Peoples Gas, North Shore Gas, and Nicor Gas (collectively, the Utilities).</w:t>
      </w:r>
    </w:p>
  </w:footnote>
  <w:footnote w:id="3">
    <w:p w14:paraId="3D79F839" w14:textId="77777777" w:rsidR="00377E5A" w:rsidRPr="00143A7B" w:rsidRDefault="00377E5A" w:rsidP="008E5EB6">
      <w:pPr>
        <w:pStyle w:val="Footnote"/>
        <w:rPr>
          <w:rFonts w:asciiTheme="minorHAnsi" w:hAnsiTheme="minorHAnsi"/>
          <w:szCs w:val="18"/>
        </w:rPr>
      </w:pPr>
      <w:r w:rsidRPr="00A12E9F">
        <w:rPr>
          <w:rStyle w:val="FootnoteReference"/>
          <w:rFonts w:asciiTheme="minorHAnsi" w:hAnsiTheme="minorHAnsi"/>
          <w:sz w:val="18"/>
          <w:szCs w:val="18"/>
        </w:rPr>
        <w:footnoteRef/>
      </w:r>
      <w:r w:rsidRPr="00143A7B">
        <w:rPr>
          <w:rFonts w:asciiTheme="minorHAnsi" w:hAnsiTheme="minorHAnsi"/>
          <w:szCs w:val="18"/>
        </w:rPr>
        <w:t xml:space="preserve"> The Illinois TRC test is defined in 220 ILCS 5/8-104(b) and 20 ILCS 3855/1-10.</w:t>
      </w:r>
    </w:p>
  </w:footnote>
  <w:footnote w:id="4">
    <w:p w14:paraId="0B3472F5" w14:textId="77777777" w:rsidR="00377E5A" w:rsidRPr="00143A7B" w:rsidRDefault="00377E5A" w:rsidP="008E5EB6">
      <w:pPr>
        <w:pStyle w:val="Footnote"/>
        <w:rPr>
          <w:rFonts w:asciiTheme="minorHAnsi" w:hAnsiTheme="minorHAnsi"/>
          <w:szCs w:val="18"/>
        </w:rPr>
      </w:pPr>
      <w:r w:rsidRPr="00A12E9F">
        <w:rPr>
          <w:rStyle w:val="FootnoteReference"/>
          <w:rFonts w:asciiTheme="minorHAnsi" w:hAnsiTheme="minorHAnsi"/>
          <w:sz w:val="18"/>
          <w:szCs w:val="18"/>
        </w:rPr>
        <w:footnoteRef/>
      </w:r>
      <w:r w:rsidRPr="00143A7B">
        <w:rPr>
          <w:rFonts w:asciiTheme="minorHAnsi" w:hAnsiTheme="minorHAnsi"/>
          <w:szCs w:val="18"/>
        </w:rPr>
        <w:t xml:space="preserve"> Illinois Statewide Technical Reference Manual Request for Proposals, August 22, 2011, pages 3-4, </w:t>
      </w:r>
      <w:hyperlink r:id="rId1" w:history="1">
        <w:r w:rsidRPr="00143A7B">
          <w:rPr>
            <w:rStyle w:val="Hyperlink"/>
            <w:rFonts w:asciiTheme="minorHAnsi" w:hAnsiTheme="minorHAnsi"/>
            <w:szCs w:val="18"/>
          </w:rPr>
          <w:t>http://ilsag.org/yahoo_site_admin/assets/docs/TRM_RFP_Final_part_1.230214520.pdf</w:t>
        </w:r>
      </w:hyperlink>
    </w:p>
  </w:footnote>
  <w:footnote w:id="5">
    <w:p w14:paraId="762AE915"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sz w:val="18"/>
          <w:szCs w:val="18"/>
        </w:rPr>
        <w:footnoteRef/>
      </w:r>
      <w:r w:rsidRPr="00143A7B">
        <w:rPr>
          <w:rFonts w:asciiTheme="minorHAnsi" w:hAnsiTheme="minorHAnsi"/>
          <w:szCs w:val="18"/>
        </w:rPr>
        <w:t xml:space="preserve"> Being an open forum, this list of SAG stakeholders and participants may change at any time.</w:t>
      </w:r>
    </w:p>
  </w:footnote>
  <w:footnote w:id="6">
    <w:p w14:paraId="673CC0CA" w14:textId="74B507E1"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7">
    <w:p w14:paraId="20BCF075"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2" w:history="1">
        <w:r w:rsidRPr="00143A7B">
          <w:rPr>
            <w:rStyle w:val="Hyperlink"/>
            <w:rFonts w:asciiTheme="minorHAnsi" w:hAnsiTheme="minorHAnsi" w:cstheme="minorHAnsi"/>
            <w:szCs w:val="18"/>
          </w:rPr>
          <w:t>http://www.icc.illinois.gov/docket/files.aspx?no=10-0570&amp;docId=159809</w:t>
        </w:r>
      </w:hyperlink>
    </w:p>
  </w:footnote>
  <w:footnote w:id="8">
    <w:p w14:paraId="0B6181A3"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3" w:history="1">
        <w:r w:rsidRPr="00143A7B">
          <w:rPr>
            <w:rStyle w:val="Hyperlink"/>
            <w:rFonts w:asciiTheme="minorHAnsi" w:hAnsiTheme="minorHAnsi" w:cstheme="minorHAnsi"/>
            <w:szCs w:val="18"/>
          </w:rPr>
          <w:t>http://www.icc.illinois.gov/docket/files.aspx?no=10-0568&amp;docId=167031</w:t>
        </w:r>
      </w:hyperlink>
    </w:p>
  </w:footnote>
  <w:footnote w:id="9">
    <w:p w14:paraId="36B7087B"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4" w:history="1">
        <w:r w:rsidRPr="00143A7B">
          <w:rPr>
            <w:rStyle w:val="Hyperlink"/>
            <w:rFonts w:asciiTheme="minorHAnsi" w:hAnsiTheme="minorHAnsi" w:cstheme="minorHAnsi"/>
            <w:szCs w:val="18"/>
          </w:rPr>
          <w:t>http://www.icc.illinois.gov/docket/files.aspx?no=10-0564&amp;docId=167023</w:t>
        </w:r>
      </w:hyperlink>
    </w:p>
  </w:footnote>
  <w:footnote w:id="10">
    <w:p w14:paraId="26CD2E5A"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5" w:history="1">
        <w:r w:rsidRPr="00143A7B">
          <w:rPr>
            <w:rStyle w:val="Hyperlink"/>
            <w:rFonts w:asciiTheme="minorHAnsi" w:hAnsiTheme="minorHAnsi" w:cstheme="minorHAnsi"/>
            <w:szCs w:val="18"/>
          </w:rPr>
          <w:t>http://www.icc.illinois.gov/docket/files.aspx?no=10-0562&amp;docId=167027</w:t>
        </w:r>
      </w:hyperlink>
    </w:p>
  </w:footnote>
  <w:footnote w:id="11">
    <w:p w14:paraId="2877FA1B"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6" w:history="1">
        <w:r w:rsidRPr="00143A7B">
          <w:rPr>
            <w:rStyle w:val="Hyperlink"/>
            <w:rFonts w:asciiTheme="minorHAnsi" w:hAnsiTheme="minorHAnsi" w:cstheme="minorHAnsi"/>
            <w:szCs w:val="18"/>
          </w:rPr>
          <w:t>http://www.icc.illinois.gov/docket/files.aspx?no=12-0528&amp;docId=187554</w:t>
        </w:r>
      </w:hyperlink>
      <w:r w:rsidRPr="00143A7B">
        <w:rPr>
          <w:rFonts w:asciiTheme="minorHAnsi" w:hAnsiTheme="minorHAnsi"/>
          <w:szCs w:val="18"/>
        </w:rPr>
        <w:t xml:space="preserve"> </w:t>
      </w:r>
    </w:p>
  </w:footnote>
  <w:footnote w:id="12">
    <w:p w14:paraId="1DC29542"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7" w:history="1">
        <w:r w:rsidRPr="00143A7B">
          <w:rPr>
            <w:rStyle w:val="Hyperlink"/>
            <w:rFonts w:asciiTheme="minorHAnsi" w:hAnsiTheme="minorHAnsi" w:cstheme="minorHAnsi"/>
            <w:szCs w:val="18"/>
          </w:rPr>
          <w:t>http://www.icc.illinois.gov/docket/files.aspx?no=13-0437&amp;docId=200492</w:t>
        </w:r>
      </w:hyperlink>
      <w:r w:rsidRPr="00143A7B">
        <w:rPr>
          <w:rFonts w:asciiTheme="minorHAnsi" w:hAnsiTheme="minorHAnsi"/>
          <w:szCs w:val="18"/>
        </w:rPr>
        <w:t xml:space="preserve"> </w:t>
      </w:r>
    </w:p>
  </w:footnote>
  <w:footnote w:id="13">
    <w:p w14:paraId="4CE4C856"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hyperlink r:id="rId8" w:history="1">
        <w:r w:rsidRPr="00143A7B">
          <w:rPr>
            <w:rStyle w:val="Hyperlink"/>
            <w:rFonts w:asciiTheme="minorHAnsi" w:hAnsiTheme="minorHAnsi" w:cstheme="minorHAnsi"/>
            <w:szCs w:val="18"/>
          </w:rPr>
          <w:t>http://www.icc.illinois.gov/docket/files.aspx?no=13-0077&amp;docId=203903</w:t>
        </w:r>
      </w:hyperlink>
      <w:r w:rsidRPr="00143A7B">
        <w:rPr>
          <w:rFonts w:asciiTheme="minorHAnsi" w:hAnsiTheme="minorHAnsi"/>
          <w:szCs w:val="18"/>
        </w:rPr>
        <w:t xml:space="preserve">; </w:t>
      </w:r>
      <w:hyperlink r:id="rId9" w:history="1">
        <w:r w:rsidRPr="00143A7B">
          <w:rPr>
            <w:rStyle w:val="Hyperlink"/>
            <w:rFonts w:asciiTheme="minorHAnsi" w:hAnsiTheme="minorHAnsi" w:cstheme="minorHAnsi"/>
            <w:szCs w:val="18"/>
          </w:rPr>
          <w:t>http://www.icc.illinois.gov/docket/files.aspx?no=13-0077&amp;docId=195913</w:t>
        </w:r>
      </w:hyperlink>
      <w:r w:rsidRPr="00143A7B">
        <w:rPr>
          <w:rFonts w:asciiTheme="minorHAnsi" w:hAnsiTheme="minorHAnsi"/>
          <w:szCs w:val="18"/>
        </w:rPr>
        <w:t xml:space="preserve">; </w:t>
      </w:r>
      <w:hyperlink r:id="rId10" w:history="1">
        <w:r w:rsidRPr="00143A7B">
          <w:rPr>
            <w:rStyle w:val="Hyperlink"/>
            <w:rFonts w:asciiTheme="minorHAnsi" w:hAnsiTheme="minorHAnsi" w:cstheme="minorHAnsi"/>
            <w:szCs w:val="18"/>
          </w:rPr>
          <w:t>http://www.icc.illinois.gov/downloads/public/edocket/339744.pdf</w:t>
        </w:r>
      </w:hyperlink>
      <w:r w:rsidRPr="00143A7B">
        <w:rPr>
          <w:rFonts w:asciiTheme="minorHAnsi" w:hAnsiTheme="minorHAnsi"/>
          <w:szCs w:val="18"/>
        </w:rPr>
        <w:t xml:space="preserve"> </w:t>
      </w:r>
    </w:p>
  </w:footnote>
  <w:footnote w:id="14">
    <w:p w14:paraId="31E693F4" w14:textId="77777777" w:rsidR="00377E5A" w:rsidRDefault="00377E5A" w:rsidP="004E016D">
      <w:pPr>
        <w:pStyle w:val="FootnoteText"/>
        <w:spacing w:after="0"/>
        <w:rPr>
          <w:sz w:val="18"/>
          <w:szCs w:val="18"/>
        </w:rPr>
      </w:pPr>
      <w:r>
        <w:rPr>
          <w:rStyle w:val="FootnoteReference"/>
          <w:sz w:val="18"/>
          <w:szCs w:val="18"/>
        </w:rPr>
        <w:footnoteRef/>
      </w:r>
      <w:r>
        <w:rPr>
          <w:sz w:val="18"/>
          <w:szCs w:val="18"/>
        </w:rPr>
        <w:t xml:space="preserve"> </w:t>
      </w:r>
      <w:hyperlink r:id="rId11" w:history="1">
        <w:r>
          <w:rPr>
            <w:rStyle w:val="Hyperlink"/>
            <w:sz w:val="18"/>
            <w:szCs w:val="18"/>
          </w:rPr>
          <w:t>https://www.icc.illinois.gov/docket/files.aspx?no=17-0270&amp;docId=257523</w:t>
        </w:r>
      </w:hyperlink>
      <w:r>
        <w:rPr>
          <w:sz w:val="18"/>
          <w:szCs w:val="18"/>
        </w:rPr>
        <w:t xml:space="preserve">  Please see IL-TRM Policy Document Version 2.0 available at </w:t>
      </w:r>
      <w:hyperlink r:id="rId12" w:history="1">
        <w:r>
          <w:rPr>
            <w:rStyle w:val="Hyperlink"/>
            <w:sz w:val="18"/>
            <w:szCs w:val="18"/>
          </w:rPr>
          <w:t>https://www.icc.illinois.gov/downloads/public/edocket/447989.pdf</w:t>
        </w:r>
      </w:hyperlink>
      <w:r>
        <w:rPr>
          <w:sz w:val="18"/>
          <w:szCs w:val="18"/>
        </w:rPr>
        <w:t xml:space="preserve"> </w:t>
      </w:r>
    </w:p>
  </w:footnote>
  <w:footnote w:id="15">
    <w:p w14:paraId="12FACB80"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w:t>
      </w:r>
      <w:hyperlink r:id="rId13" w:history="1">
        <w:r w:rsidRPr="00143A7B">
          <w:rPr>
            <w:rStyle w:val="Hyperlink"/>
            <w:rFonts w:asciiTheme="minorHAnsi" w:hAnsiTheme="minorHAnsi" w:cstheme="minorHAnsi"/>
            <w:szCs w:val="18"/>
          </w:rPr>
          <w:t>http://www.icc.illinois.gov/docket/files.aspx?no=14-0189&amp;docId=210478</w:t>
        </w:r>
      </w:hyperlink>
      <w:r w:rsidRPr="00143A7B">
        <w:rPr>
          <w:rFonts w:asciiTheme="minorHAnsi" w:hAnsiTheme="minorHAnsi"/>
          <w:szCs w:val="18"/>
        </w:rPr>
        <w:t xml:space="preserve"> </w:t>
      </w:r>
      <w:hyperlink r:id="rId14" w:history="1">
        <w:r w:rsidRPr="00143A7B">
          <w:rPr>
            <w:rStyle w:val="Hyperlink"/>
            <w:rFonts w:asciiTheme="minorHAnsi" w:hAnsiTheme="minorHAnsi" w:cstheme="minorHAnsi"/>
            <w:szCs w:val="18"/>
          </w:rPr>
          <w:t>http://www.icc.illinois.gov/downloads/public/Illinois_Statewide_TRM_Effective_060114_Version_3.0_022414_Clean.pdf</w:t>
        </w:r>
      </w:hyperlink>
      <w:r w:rsidRPr="00143A7B">
        <w:rPr>
          <w:rFonts w:asciiTheme="minorHAnsi" w:hAnsiTheme="minorHAnsi"/>
          <w:szCs w:val="18"/>
        </w:rPr>
        <w:t xml:space="preserve"> </w:t>
      </w:r>
      <w:r w:rsidRPr="00143A7B">
        <w:rPr>
          <w:rStyle w:val="Hyperlink"/>
          <w:rFonts w:asciiTheme="minorHAnsi" w:hAnsiTheme="minorHAnsi" w:cstheme="minorHAnsi"/>
          <w:szCs w:val="18"/>
        </w:rPr>
        <w:t xml:space="preserve"> </w:t>
      </w:r>
      <w:r w:rsidRPr="00143A7B">
        <w:rPr>
          <w:rFonts w:asciiTheme="minorHAnsi" w:hAnsiTheme="minorHAnsi"/>
          <w:szCs w:val="18"/>
        </w:rPr>
        <w:t xml:space="preserve"> </w:t>
      </w:r>
    </w:p>
  </w:footnote>
  <w:footnote w:id="16">
    <w:p w14:paraId="3A5DBA74" w14:textId="77777777" w:rsidR="00377E5A" w:rsidRPr="00143A7B" w:rsidRDefault="00377E5A" w:rsidP="00DA676C">
      <w:pPr>
        <w:pStyle w:val="FootnoteText"/>
        <w:spacing w:after="0"/>
        <w:jc w:val="left"/>
        <w:rPr>
          <w:rFonts w:asciiTheme="minorHAnsi" w:hAnsiTheme="minorHAnsi"/>
          <w:sz w:val="18"/>
          <w:szCs w:val="18"/>
        </w:rPr>
      </w:pPr>
      <w:r w:rsidRPr="00143A7B">
        <w:rPr>
          <w:rStyle w:val="FootnoteReference"/>
          <w:rFonts w:asciiTheme="minorHAnsi" w:hAnsiTheme="minorHAnsi"/>
          <w:sz w:val="18"/>
          <w:szCs w:val="18"/>
        </w:rPr>
        <w:footnoteRef/>
      </w:r>
      <w:r w:rsidRPr="00143A7B">
        <w:rPr>
          <w:rFonts w:asciiTheme="minorHAnsi" w:hAnsiTheme="minorHAnsi"/>
          <w:sz w:val="18"/>
          <w:szCs w:val="18"/>
        </w:rPr>
        <w:t xml:space="preserve"> </w:t>
      </w:r>
      <w:hyperlink r:id="rId15" w:history="1">
        <w:r w:rsidRPr="00143A7B">
          <w:rPr>
            <w:rStyle w:val="Hyperlink"/>
            <w:rFonts w:asciiTheme="minorHAnsi" w:hAnsiTheme="minorHAnsi"/>
            <w:sz w:val="18"/>
            <w:szCs w:val="18"/>
          </w:rPr>
          <w:t>http://www.icc.illinois.gov/docket/files.aspx?no=15-0187&amp;docId=226161</w:t>
        </w:r>
      </w:hyperlink>
      <w:r w:rsidRPr="00143A7B">
        <w:rPr>
          <w:rFonts w:asciiTheme="minorHAnsi" w:hAnsiTheme="minorHAnsi"/>
          <w:sz w:val="18"/>
          <w:szCs w:val="18"/>
        </w:rPr>
        <w:t xml:space="preserve"> </w:t>
      </w:r>
      <w:hyperlink r:id="rId16" w:history="1">
        <w:r w:rsidRPr="00143A7B">
          <w:rPr>
            <w:rStyle w:val="Hyperlink"/>
            <w:rFonts w:asciiTheme="minorHAnsi" w:hAnsiTheme="minorHAnsi"/>
            <w:sz w:val="18"/>
            <w:szCs w:val="18"/>
          </w:rPr>
          <w:t>http://www.icc.illinois.gov/downloads/public/Illinois_Statewide_TRM_Effective_060115_Final_022415_Clean.pdf</w:t>
        </w:r>
      </w:hyperlink>
      <w:r w:rsidRPr="00143A7B">
        <w:rPr>
          <w:rFonts w:asciiTheme="minorHAnsi" w:hAnsiTheme="minorHAnsi"/>
          <w:sz w:val="18"/>
          <w:szCs w:val="18"/>
        </w:rPr>
        <w:t xml:space="preserve"> </w:t>
      </w:r>
    </w:p>
  </w:footnote>
  <w:footnote w:id="17">
    <w:p w14:paraId="4934E966" w14:textId="77777777" w:rsidR="00377E5A" w:rsidRPr="00143A7B" w:rsidRDefault="00377E5A" w:rsidP="00780281">
      <w:pPr>
        <w:pStyle w:val="FootnoteText"/>
        <w:spacing w:after="0"/>
        <w:jc w:val="left"/>
        <w:rPr>
          <w:rFonts w:asciiTheme="minorHAnsi" w:hAnsiTheme="minorHAnsi"/>
          <w:sz w:val="18"/>
          <w:szCs w:val="18"/>
        </w:rPr>
      </w:pPr>
      <w:r w:rsidRPr="00143A7B">
        <w:rPr>
          <w:rStyle w:val="FootnoteReference"/>
          <w:rFonts w:asciiTheme="minorHAnsi" w:hAnsiTheme="minorHAnsi"/>
          <w:sz w:val="18"/>
          <w:szCs w:val="18"/>
        </w:rPr>
        <w:footnoteRef/>
      </w:r>
      <w:r w:rsidRPr="00143A7B">
        <w:rPr>
          <w:rFonts w:asciiTheme="minorHAnsi" w:hAnsiTheme="minorHAnsi"/>
          <w:sz w:val="18"/>
          <w:szCs w:val="18"/>
        </w:rPr>
        <w:t xml:space="preserve"> </w:t>
      </w:r>
      <w:hyperlink r:id="rId17" w:history="1">
        <w:r w:rsidRPr="00143A7B">
          <w:rPr>
            <w:rStyle w:val="Hyperlink"/>
            <w:rFonts w:asciiTheme="minorHAnsi" w:hAnsiTheme="minorHAnsi"/>
            <w:sz w:val="18"/>
            <w:szCs w:val="18"/>
          </w:rPr>
          <w:t>https://www.icc.illinois.gov/docket/files.aspx?no=16-0171&amp;docId=239985</w:t>
        </w:r>
      </w:hyperlink>
      <w:r w:rsidRPr="00143A7B">
        <w:rPr>
          <w:rFonts w:asciiTheme="minorHAnsi" w:hAnsiTheme="minorHAnsi"/>
          <w:sz w:val="18"/>
          <w:szCs w:val="18"/>
        </w:rPr>
        <w:t xml:space="preserve"> </w:t>
      </w:r>
      <w:hyperlink r:id="rId18" w:history="1">
        <w:r w:rsidRPr="00143A7B">
          <w:rPr>
            <w:rStyle w:val="Hyperlink"/>
            <w:rFonts w:asciiTheme="minorHAnsi" w:hAnsiTheme="minorHAnsi"/>
            <w:sz w:val="18"/>
            <w:szCs w:val="18"/>
          </w:rPr>
          <w:t>https://www.icc.illinois.gov/downloads/public/IL-TRM%20Version%205.0%20dated%20February%2011,%202016%20Final%20-%20Compiled%20Volumes%201-4.pdf</w:t>
        </w:r>
      </w:hyperlink>
      <w:r w:rsidRPr="00143A7B">
        <w:rPr>
          <w:rFonts w:asciiTheme="minorHAnsi" w:hAnsiTheme="minorHAnsi"/>
          <w:sz w:val="18"/>
          <w:szCs w:val="18"/>
        </w:rPr>
        <w:t xml:space="preserve"> </w:t>
      </w:r>
    </w:p>
  </w:footnote>
  <w:footnote w:id="18">
    <w:p w14:paraId="506FA82D" w14:textId="77777777" w:rsidR="00377E5A" w:rsidRDefault="00377E5A" w:rsidP="004E016D">
      <w:pPr>
        <w:pStyle w:val="FootnoteText"/>
        <w:spacing w:after="0"/>
        <w:jc w:val="left"/>
        <w:rPr>
          <w:rFonts w:asciiTheme="minorHAnsi" w:hAnsiTheme="minorHAnsi"/>
          <w:sz w:val="18"/>
          <w:szCs w:val="18"/>
        </w:rPr>
      </w:pPr>
      <w:r>
        <w:rPr>
          <w:rStyle w:val="FootnoteReference"/>
          <w:rFonts w:asciiTheme="minorHAnsi" w:hAnsiTheme="minorHAnsi"/>
          <w:sz w:val="18"/>
          <w:szCs w:val="18"/>
        </w:rPr>
        <w:footnoteRef/>
      </w:r>
      <w:r>
        <w:rPr>
          <w:rFonts w:asciiTheme="minorHAnsi" w:hAnsiTheme="minorHAnsi"/>
          <w:sz w:val="18"/>
          <w:szCs w:val="18"/>
        </w:rPr>
        <w:t xml:space="preserve"> </w:t>
      </w:r>
      <w:hyperlink r:id="rId19" w:history="1">
        <w:r>
          <w:rPr>
            <w:rStyle w:val="Hyperlink"/>
            <w:sz w:val="18"/>
            <w:szCs w:val="18"/>
          </w:rPr>
          <w:t>https://www.icc.illinois.gov/docket/files.aspx?no=17-0106&amp;docId=250827</w:t>
        </w:r>
      </w:hyperlink>
      <w:r>
        <w:rPr>
          <w:rFonts w:asciiTheme="minorHAnsi" w:hAnsiTheme="minorHAnsi"/>
          <w:sz w:val="18"/>
          <w:szCs w:val="18"/>
        </w:rPr>
        <w:t xml:space="preserve"> </w:t>
      </w:r>
      <w:hyperlink r:id="rId20" w:history="1">
        <w:r>
          <w:rPr>
            <w:rStyle w:val="Hyperlink"/>
            <w:sz w:val="18"/>
            <w:szCs w:val="18"/>
          </w:rPr>
          <w:t>https://www.icc.illinois.gov/downloads/public/edocket/442527.pdf</w:t>
        </w:r>
      </w:hyperlink>
      <w:r>
        <w:rPr>
          <w:rFonts w:asciiTheme="minorHAnsi" w:hAnsiTheme="minorHAnsi"/>
          <w:sz w:val="18"/>
          <w:szCs w:val="18"/>
        </w:rPr>
        <w:t xml:space="preserve"> </w:t>
      </w:r>
    </w:p>
  </w:footnote>
  <w:footnote w:id="19">
    <w:p w14:paraId="38C6BC86" w14:textId="756533AE"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rPr>
        <w:t xml:space="preserve"> Errata as well as links to the official IL-TRM documents, dockets, and policy documents are available on the following ICC webpage: </w:t>
      </w:r>
      <w:hyperlink r:id="rId21" w:history="1">
        <w:r w:rsidRPr="00F667B9">
          <w:rPr>
            <w:rStyle w:val="Hyperlink"/>
            <w:rFonts w:asciiTheme="minorHAnsi" w:hAnsiTheme="minorHAnsi" w:cstheme="minorHAnsi"/>
            <w:szCs w:val="18"/>
          </w:rPr>
          <w:t>http://www.icc.illinois.gov/Electricity/programs/TRM.aspx</w:t>
        </w:r>
      </w:hyperlink>
    </w:p>
  </w:footnote>
  <w:footnote w:id="20">
    <w:p w14:paraId="3B3B25FD" w14:textId="77777777" w:rsidR="00377E5A" w:rsidRPr="00143A7B" w:rsidRDefault="00377E5A" w:rsidP="00DA676C">
      <w:pPr>
        <w:pStyle w:val="Footnote"/>
        <w:rPr>
          <w:rFonts w:asciiTheme="minorHAnsi" w:hAnsiTheme="minorHAnsi"/>
          <w:szCs w:val="18"/>
        </w:rPr>
      </w:pPr>
      <w:r w:rsidRPr="00A12E9F">
        <w:rPr>
          <w:rStyle w:val="FootnoteReference"/>
          <w:rFonts w:asciiTheme="minorHAnsi" w:hAnsiTheme="minorHAnsi" w:cstheme="minorHAnsi"/>
          <w:sz w:val="18"/>
          <w:szCs w:val="18"/>
        </w:rPr>
        <w:footnoteRef/>
      </w:r>
      <w:r w:rsidRPr="00143A7B">
        <w:rPr>
          <w:rFonts w:asciiTheme="minorHAnsi" w:hAnsiTheme="minorHAnsi"/>
          <w:szCs w:val="18"/>
          <w:vertAlign w:val="superscript"/>
        </w:rPr>
        <w:t xml:space="preserve"> </w:t>
      </w:r>
      <w:r w:rsidRPr="00143A7B">
        <w:rPr>
          <w:rFonts w:asciiTheme="minorHAnsi" w:hAnsiTheme="minorHAnsi"/>
          <w:szCs w:val="18"/>
        </w:rPr>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21">
    <w:p w14:paraId="0DEEE83C" w14:textId="200AC1DC" w:rsidR="00377E5A" w:rsidRPr="00143A7B" w:rsidRDefault="00377E5A" w:rsidP="00616983">
      <w:pPr>
        <w:pStyle w:val="Footnote"/>
        <w:rPr>
          <w:rFonts w:asciiTheme="minorHAnsi" w:hAnsiTheme="minorHAnsi"/>
          <w:szCs w:val="18"/>
        </w:rPr>
      </w:pPr>
      <w:r w:rsidRPr="00F326FE">
        <w:rPr>
          <w:rStyle w:val="FootnoteReference"/>
          <w:rFonts w:asciiTheme="minorHAnsi" w:hAnsiTheme="minorHAnsi" w:cstheme="minorHAnsi"/>
          <w:sz w:val="18"/>
          <w:szCs w:val="18"/>
        </w:rPr>
        <w:footnoteRef/>
      </w:r>
      <w:r w:rsidRPr="00143A7B">
        <w:rPr>
          <w:rFonts w:asciiTheme="minorHAnsi" w:hAnsiTheme="minorHAnsi"/>
          <w:szCs w:val="18"/>
        </w:rPr>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22">
    <w:p w14:paraId="214FF3E1" w14:textId="77777777" w:rsidR="00377E5A" w:rsidRPr="00143A7B" w:rsidRDefault="00377E5A" w:rsidP="00616983">
      <w:pPr>
        <w:pStyle w:val="Footnote"/>
        <w:rPr>
          <w:rFonts w:asciiTheme="minorHAnsi" w:hAnsiTheme="minorHAnsi"/>
          <w:szCs w:val="18"/>
        </w:rPr>
      </w:pPr>
      <w:r w:rsidRPr="00F326FE">
        <w:rPr>
          <w:rStyle w:val="FootnoteReference"/>
          <w:rFonts w:asciiTheme="minorHAnsi" w:hAnsiTheme="minorHAnsi" w:cstheme="minorHAnsi"/>
          <w:sz w:val="18"/>
          <w:szCs w:val="18"/>
        </w:rPr>
        <w:footnoteRef/>
      </w:r>
      <w:r w:rsidRPr="00143A7B">
        <w:rPr>
          <w:rFonts w:asciiTheme="minorHAnsi" w:hAnsiTheme="minorHAnsi"/>
          <w:szCs w:val="18"/>
        </w:rPr>
        <w:t xml:space="preserve"> Please note that this is not an exhaustive list of end-uses and that others may be included in future versions of the TRM.</w:t>
      </w:r>
    </w:p>
  </w:footnote>
  <w:footnote w:id="23">
    <w:p w14:paraId="3F466AD6" w14:textId="036351B1" w:rsidR="00377E5A" w:rsidRPr="00143A7B" w:rsidRDefault="00377E5A" w:rsidP="00A24242">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To gain access to the SharePoint web site, please contact the TRM Administrator at </w:t>
      </w:r>
      <w:hyperlink r:id="rId22" w:history="1">
        <w:r w:rsidRPr="00143A7B">
          <w:rPr>
            <w:rStyle w:val="Hyperlink"/>
            <w:rFonts w:asciiTheme="minorHAnsi" w:hAnsiTheme="minorHAnsi"/>
            <w:szCs w:val="18"/>
          </w:rPr>
          <w:t>iltrmadministrator@veic.org</w:t>
        </w:r>
      </w:hyperlink>
      <w:r w:rsidRPr="00143A7B">
        <w:rPr>
          <w:rFonts w:asciiTheme="minorHAnsi" w:hAnsiTheme="minorHAnsi"/>
          <w:szCs w:val="18"/>
        </w:rPr>
        <w:t xml:space="preserve">. </w:t>
      </w:r>
    </w:p>
  </w:footnote>
  <w:footnote w:id="24">
    <w:p w14:paraId="4D3A18BC" w14:textId="77777777" w:rsidR="00377E5A" w:rsidRPr="00143A7B" w:rsidRDefault="00377E5A" w:rsidP="00230497">
      <w:pPr>
        <w:pStyle w:val="FootnoteText"/>
        <w:rPr>
          <w:rFonts w:asciiTheme="minorHAnsi" w:hAnsiTheme="minorHAnsi"/>
          <w:sz w:val="18"/>
          <w:szCs w:val="18"/>
        </w:rPr>
      </w:pPr>
      <w:r w:rsidRPr="00143A7B">
        <w:rPr>
          <w:rStyle w:val="FootnoteReference"/>
          <w:rFonts w:asciiTheme="minorHAnsi" w:eastAsiaTheme="minorEastAsia" w:hAnsiTheme="minorHAnsi"/>
          <w:sz w:val="18"/>
          <w:szCs w:val="18"/>
        </w:rPr>
        <w:footnoteRef/>
      </w:r>
      <w:r w:rsidRPr="00143A7B">
        <w:rPr>
          <w:rFonts w:asciiTheme="minorHAnsi" w:hAnsiTheme="minorHAnsi"/>
          <w:sz w:val="18"/>
          <w:szCs w:val="18"/>
        </w:rPr>
        <w:t xml:space="preserve"> The Technical Advisory Committee agreed that if the cost of repair is less than 20% of the new baseline replacement cost it can be considered early replacement.</w:t>
      </w:r>
    </w:p>
  </w:footnote>
  <w:footnote w:id="25">
    <w:p w14:paraId="6113F630" w14:textId="77777777" w:rsidR="00377E5A" w:rsidRPr="00143A7B" w:rsidRDefault="00377E5A" w:rsidP="00230497">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Appliance Standards Awareness Project, </w:t>
      </w:r>
      <w:hyperlink r:id="rId23" w:history="1">
        <w:r w:rsidRPr="00143A7B">
          <w:rPr>
            <w:rStyle w:val="Hyperlink"/>
            <w:rFonts w:asciiTheme="minorHAnsi" w:hAnsiTheme="minorHAnsi"/>
            <w:szCs w:val="18"/>
          </w:rPr>
          <w:t>http://www.appliance-standards.org/product/furnaces</w:t>
        </w:r>
      </w:hyperlink>
      <w:r w:rsidRPr="00143A7B">
        <w:rPr>
          <w:rFonts w:asciiTheme="minorHAnsi" w:hAnsiTheme="minorHAnsi"/>
          <w:szCs w:val="18"/>
        </w:rPr>
        <w:t xml:space="preserve"> </w:t>
      </w:r>
    </w:p>
  </w:footnote>
  <w:footnote w:id="26">
    <w:p w14:paraId="0F4B6E41" w14:textId="1441A249" w:rsidR="00377E5A" w:rsidRPr="00143A7B" w:rsidRDefault="00377E5A" w:rsidP="00230497">
      <w:pPr>
        <w:pStyle w:val="Footnote"/>
        <w:rPr>
          <w:rFonts w:asciiTheme="minorHAnsi" w:hAnsiTheme="minorHAnsi"/>
          <w:szCs w:val="18"/>
        </w:rPr>
      </w:pPr>
      <w:r w:rsidRPr="00F326FE">
        <w:rPr>
          <w:rStyle w:val="FootnoteReference"/>
          <w:rFonts w:asciiTheme="minorHAnsi" w:hAnsiTheme="minorHAnsi" w:cstheme="minorHAnsi"/>
          <w:sz w:val="18"/>
          <w:szCs w:val="18"/>
        </w:rPr>
        <w:footnoteRef/>
      </w:r>
      <w:r w:rsidRPr="00143A7B">
        <w:rPr>
          <w:rFonts w:asciiTheme="minorHAnsi" w:hAnsiTheme="minorHAnsi"/>
          <w:szCs w:val="18"/>
        </w:rPr>
        <w:t xml:space="preserve"> Source: US EPA, www.energystar.gov, Space Type Definitions, or definitions as developed through the Technical Advisory Committee.</w:t>
      </w:r>
    </w:p>
  </w:footnote>
  <w:footnote w:id="27">
    <w:p w14:paraId="5BD17480" w14:textId="77777777" w:rsidR="00377E5A" w:rsidRPr="00143A7B" w:rsidRDefault="00377E5A" w:rsidP="00230497">
      <w:pPr>
        <w:pStyle w:val="Footnote"/>
        <w:rPr>
          <w:rFonts w:asciiTheme="minorHAnsi" w:hAnsiTheme="minorHAnsi"/>
          <w:szCs w:val="18"/>
        </w:rPr>
      </w:pPr>
      <w:r w:rsidRPr="00F326FE">
        <w:rPr>
          <w:rStyle w:val="FootnoteReference"/>
          <w:rFonts w:asciiTheme="minorHAnsi" w:hAnsiTheme="minorHAnsi" w:cstheme="minorHAnsi"/>
          <w:sz w:val="18"/>
          <w:szCs w:val="18"/>
        </w:rPr>
        <w:footnoteRef/>
      </w:r>
      <w:r w:rsidRPr="00143A7B">
        <w:rPr>
          <w:rFonts w:asciiTheme="minorHAnsi" w:hAnsiTheme="minorHAnsi"/>
          <w:szCs w:val="18"/>
        </w:rPr>
        <w:t xml:space="preserve"> Measures that apply to the multifamily and public housing building types describe how to handle tenant versus master metered buildings.</w:t>
      </w:r>
    </w:p>
  </w:footnote>
  <w:footnote w:id="28">
    <w:p w14:paraId="0D6F37E2" w14:textId="77777777" w:rsidR="00377E5A" w:rsidRPr="00143A7B" w:rsidRDefault="00377E5A" w:rsidP="00230497">
      <w:pPr>
        <w:pStyle w:val="Footnote"/>
        <w:rPr>
          <w:rFonts w:asciiTheme="minorHAnsi" w:hAnsiTheme="minorHAnsi"/>
          <w:szCs w:val="18"/>
        </w:rPr>
      </w:pPr>
      <w:r w:rsidRPr="00F326FE">
        <w:rPr>
          <w:rStyle w:val="FootnoteReference"/>
          <w:rFonts w:asciiTheme="minorHAnsi" w:hAnsiTheme="minorHAnsi" w:cstheme="minorHAnsi"/>
          <w:sz w:val="18"/>
          <w:szCs w:val="18"/>
        </w:rPr>
        <w:footnoteRef/>
      </w:r>
      <w:r w:rsidRPr="00143A7B">
        <w:rPr>
          <w:rFonts w:asciiTheme="minorHAnsi" w:hAnsiTheme="minorHAnsi"/>
          <w:szCs w:val="18"/>
        </w:rPr>
        <w:t xml:space="preserve"> ICC Docket No. 07-0540, Final Order at 32-33, February 6, 2008.</w:t>
      </w:r>
    </w:p>
    <w:p w14:paraId="7EBF835C" w14:textId="77777777" w:rsidR="00377E5A" w:rsidRPr="00143A7B" w:rsidRDefault="00DF068F" w:rsidP="00230497">
      <w:pPr>
        <w:pStyle w:val="Footnote"/>
        <w:rPr>
          <w:rFonts w:asciiTheme="minorHAnsi" w:hAnsiTheme="minorHAnsi"/>
          <w:szCs w:val="18"/>
        </w:rPr>
      </w:pPr>
      <w:hyperlink r:id="rId24" w:history="1">
        <w:r w:rsidR="00377E5A" w:rsidRPr="00143A7B">
          <w:rPr>
            <w:rStyle w:val="Hyperlink"/>
            <w:rFonts w:asciiTheme="minorHAnsi" w:hAnsiTheme="minorHAnsi" w:cstheme="minorHAnsi"/>
            <w:szCs w:val="18"/>
          </w:rPr>
          <w:t>http://www.icc.illinois.gov/downloads/public/edocket/215193.pdf</w:t>
        </w:r>
      </w:hyperlink>
      <w:r w:rsidR="00377E5A" w:rsidRPr="00143A7B">
        <w:rPr>
          <w:rFonts w:asciiTheme="minorHAnsi" w:hAnsiTheme="minorHAnsi"/>
          <w:szCs w:val="18"/>
        </w:rPr>
        <w:t xml:space="preserve"> </w:t>
      </w:r>
    </w:p>
  </w:footnote>
  <w:footnote w:id="29">
    <w:p w14:paraId="3D7D46B4" w14:textId="501C1744" w:rsidR="00377E5A" w:rsidRPr="00143A7B" w:rsidRDefault="00377E5A" w:rsidP="00B55FE0">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All loadshape information has been posted to the VEIC Share</w:t>
      </w:r>
      <w:r>
        <w:rPr>
          <w:rFonts w:asciiTheme="minorHAnsi" w:hAnsiTheme="minorHAnsi"/>
          <w:szCs w:val="18"/>
        </w:rPr>
        <w:t>P</w:t>
      </w:r>
      <w:r w:rsidRPr="00143A7B">
        <w:rPr>
          <w:rFonts w:asciiTheme="minorHAnsi" w:hAnsiTheme="minorHAnsi"/>
          <w:szCs w:val="18"/>
        </w:rPr>
        <w:t xml:space="preserve">oint site, and is publicly accessible through the Stakeholder Advisory Group’s web site.  </w:t>
      </w:r>
      <w:hyperlink r:id="rId25" w:history="1">
        <w:r w:rsidRPr="00143A7B">
          <w:rPr>
            <w:rStyle w:val="Hyperlink"/>
            <w:rFonts w:asciiTheme="minorHAnsi" w:hAnsiTheme="minorHAnsi" w:cstheme="minorHAnsi"/>
            <w:szCs w:val="18"/>
          </w:rPr>
          <w:t>http://www.ilsag.info/technical-reference-manual.html</w:t>
        </w:r>
      </w:hyperlink>
      <w:r w:rsidRPr="00143A7B">
        <w:rPr>
          <w:rFonts w:asciiTheme="minorHAnsi" w:hAnsiTheme="minorHAnsi"/>
          <w:szCs w:val="18"/>
        </w:rPr>
        <w:t xml:space="preserve"> </w:t>
      </w:r>
    </w:p>
    <w:p w14:paraId="0A0E4EA5" w14:textId="77777777" w:rsidR="00377E5A" w:rsidRPr="00143A7B" w:rsidRDefault="00DF068F" w:rsidP="00B55FE0">
      <w:pPr>
        <w:pStyle w:val="Footnote"/>
        <w:rPr>
          <w:rFonts w:asciiTheme="minorHAnsi" w:hAnsiTheme="minorHAnsi"/>
          <w:szCs w:val="18"/>
        </w:rPr>
      </w:pPr>
      <w:hyperlink r:id="rId26" w:history="1">
        <w:r w:rsidR="00377E5A" w:rsidRPr="00143A7B">
          <w:rPr>
            <w:rStyle w:val="Hyperlink"/>
            <w:rFonts w:asciiTheme="minorHAnsi" w:hAnsiTheme="minorHAnsi" w:cstheme="minorHAnsi"/>
            <w:szCs w:val="18"/>
          </w:rPr>
          <w:t>http://ilsagfiles.org/SAG_files/Technical_Reference_Manual/Residential_Loadshapes_References.zip</w:t>
        </w:r>
      </w:hyperlink>
    </w:p>
    <w:p w14:paraId="61EBCEF4" w14:textId="77777777" w:rsidR="00377E5A" w:rsidRPr="00143A7B" w:rsidRDefault="00DF068F" w:rsidP="00B55FE0">
      <w:pPr>
        <w:pStyle w:val="Footnote"/>
        <w:rPr>
          <w:rFonts w:asciiTheme="minorHAnsi" w:hAnsiTheme="minorHAnsi"/>
          <w:szCs w:val="18"/>
        </w:rPr>
      </w:pPr>
      <w:hyperlink r:id="rId27" w:history="1">
        <w:r w:rsidR="00377E5A" w:rsidRPr="00143A7B">
          <w:rPr>
            <w:rStyle w:val="Hyperlink"/>
            <w:rFonts w:asciiTheme="minorHAnsi" w:hAnsiTheme="minorHAnsi" w:cstheme="minorHAnsi"/>
            <w:szCs w:val="18"/>
          </w:rPr>
          <w:t>http://ilsagfiles.org/SAG_files/Technical_Reference_Manual/Commercial_Loadshapes_References.zip</w:t>
        </w:r>
      </w:hyperlink>
    </w:p>
    <w:p w14:paraId="2E6F5DA1" w14:textId="0960D147" w:rsidR="00377E5A" w:rsidRDefault="00DF068F" w:rsidP="00B55FE0">
      <w:pPr>
        <w:pStyle w:val="Footnote"/>
        <w:rPr>
          <w:rStyle w:val="Hyperlink"/>
          <w:rFonts w:asciiTheme="minorHAnsi" w:hAnsiTheme="minorHAnsi" w:cstheme="minorHAnsi"/>
          <w:szCs w:val="18"/>
        </w:rPr>
      </w:pPr>
      <w:hyperlink r:id="rId28" w:history="1">
        <w:r w:rsidR="00377E5A" w:rsidRPr="00143A7B">
          <w:rPr>
            <w:rStyle w:val="Hyperlink"/>
            <w:rFonts w:asciiTheme="minorHAnsi" w:hAnsiTheme="minorHAnsi" w:cstheme="minorHAnsi"/>
            <w:szCs w:val="18"/>
          </w:rPr>
          <w:t>http://ilsagfiles.org/SAG_files/Technical_Reference_Manual/Version_3/Final_Draft/Sources%20and%20References%20-%20Loadshapes/TRM_Version_3_Loadshapes_2.24.zip</w:t>
        </w:r>
      </w:hyperlink>
    </w:p>
    <w:p w14:paraId="32BEA77D" w14:textId="3D946C52" w:rsidR="00377E5A" w:rsidRPr="00F408A2" w:rsidRDefault="00377E5A" w:rsidP="00B55FE0">
      <w:pPr>
        <w:pStyle w:val="Footnote"/>
        <w:rPr>
          <w:rFonts w:asciiTheme="minorHAnsi" w:hAnsiTheme="minorHAnsi"/>
          <w:szCs w:val="18"/>
        </w:rPr>
      </w:pPr>
      <w:r w:rsidRPr="00F408A2">
        <w:rPr>
          <w:rStyle w:val="Hyperlink"/>
          <w:rFonts w:asciiTheme="minorHAnsi" w:hAnsiTheme="minorHAnsi" w:cstheme="minorHAnsi"/>
          <w:szCs w:val="18"/>
        </w:rPr>
        <w:t>http://ilsagfiles.org/SAG_files/Technical_Reference_Manual/2018_Loadshape_Files.zip</w:t>
      </w:r>
    </w:p>
  </w:footnote>
  <w:footnote w:id="30">
    <w:p w14:paraId="6963B992" w14:textId="303B7EA1" w:rsidR="00377E5A" w:rsidRDefault="00377E5A" w:rsidP="0028042F">
      <w:pPr>
        <w:pStyle w:val="FootnoteText"/>
        <w:spacing w:after="0"/>
      </w:pPr>
      <w:r>
        <w:rPr>
          <w:rStyle w:val="FootnoteReference"/>
        </w:rPr>
        <w:footnoteRef/>
      </w:r>
      <w:r>
        <w:t xml:space="preserve"> See ‘</w:t>
      </w:r>
      <w:hyperlink r:id="rId29" w:history="1">
        <w:r w:rsidRPr="0028042F">
          <w:t>IL Res Indoor LED Lighting Load Shape_2018-06-06</w:t>
        </w:r>
      </w:hyperlink>
      <w:r w:rsidRPr="0028042F">
        <w:t>’ and ‘</w:t>
      </w:r>
      <w:hyperlink r:id="rId30" w:history="1">
        <w:r w:rsidRPr="0028042F">
          <w:t>IL Res Indoor LED Lighting Load Shape Development Methodology_2018-05-18</w:t>
        </w:r>
      </w:hyperlink>
      <w:r w:rsidRPr="0028042F">
        <w:t>’ for details.</w:t>
      </w:r>
    </w:p>
  </w:footnote>
  <w:footnote w:id="31">
    <w:p w14:paraId="77176773" w14:textId="4864AE8C" w:rsidR="00377E5A" w:rsidRDefault="00377E5A" w:rsidP="0028042F">
      <w:pPr>
        <w:pStyle w:val="FootnoteText"/>
        <w:spacing w:after="0"/>
      </w:pPr>
      <w:r>
        <w:rPr>
          <w:rStyle w:val="FootnoteReference"/>
        </w:rPr>
        <w:footnoteRef/>
      </w:r>
      <w:r>
        <w:t xml:space="preserve"> Based on average of Residential Indoor and Outdoor lighting winter usage only.</w:t>
      </w:r>
    </w:p>
  </w:footnote>
  <w:footnote w:id="32">
    <w:p w14:paraId="4F70A188" w14:textId="07245DD6" w:rsidR="00377E5A" w:rsidRDefault="00377E5A">
      <w:pPr>
        <w:pStyle w:val="FootnoteText"/>
      </w:pPr>
      <w:r>
        <w:rPr>
          <w:rStyle w:val="FootnoteReference"/>
        </w:rPr>
        <w:footnoteRef/>
      </w:r>
      <w:r>
        <w:t xml:space="preserve"> See ‘3.5 Electrical Load Shapes_Il TRM Workpapre_CI_Ltg_2018-06-28’ and ‘</w:t>
      </w:r>
      <w:hyperlink r:id="rId31" w:history="1">
        <w:r w:rsidRPr="0028042F">
          <w:t>IL Commercial Lighting Load Shape Development Methodology_2018-06-28</w:t>
        </w:r>
      </w:hyperlink>
      <w:r>
        <w:t>’ for details.</w:t>
      </w:r>
    </w:p>
  </w:footnote>
  <w:footnote w:id="33">
    <w:p w14:paraId="5ACFFADD" w14:textId="3CB3794E" w:rsidR="00377E5A" w:rsidRDefault="00377E5A">
      <w:pPr>
        <w:pStyle w:val="FootnoteText"/>
      </w:pPr>
      <w:r>
        <w:rPr>
          <w:rStyle w:val="FootnoteReference"/>
        </w:rPr>
        <w:footnoteRef/>
      </w:r>
      <w:r>
        <w:t xml:space="preserve"> Assumed equal to R01 Residential Clothes Washer loadshape.</w:t>
      </w:r>
    </w:p>
  </w:footnote>
  <w:footnote w:id="34">
    <w:p w14:paraId="0167AE0D" w14:textId="77777777" w:rsidR="00377E5A" w:rsidRPr="00143A7B" w:rsidRDefault="00377E5A" w:rsidP="00B55FE0">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35">
    <w:p w14:paraId="018CE3EC" w14:textId="77777777" w:rsidR="00377E5A" w:rsidRPr="00143A7B" w:rsidRDefault="00377E5A" w:rsidP="00B55FE0">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Belzer and Cort, Pacific Northwest National Laboratory in “Statistical Analysis of Historical State-Level Residential Energy Consumption Trends,” 2004.</w:t>
      </w:r>
    </w:p>
  </w:footnote>
  <w:footnote w:id="36">
    <w:p w14:paraId="151074E2" w14:textId="77777777" w:rsidR="00377E5A" w:rsidRPr="00143A7B" w:rsidRDefault="00377E5A" w:rsidP="00B55FE0">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Energy Center of Wisconsin, May 2008 metering study; “Central Air Conditioning in Wisconsin, A Compilation of Recent Field Research”, p. 32 (amended in 2010).</w:t>
      </w:r>
    </w:p>
  </w:footnote>
  <w:footnote w:id="37">
    <w:p w14:paraId="3360BE28" w14:textId="77777777" w:rsidR="00377E5A" w:rsidRPr="00143A7B" w:rsidRDefault="00377E5A" w:rsidP="00B55FE0">
      <w:pPr>
        <w:pStyle w:val="Footnote"/>
        <w:rPr>
          <w:rFonts w:asciiTheme="minorHAnsi" w:hAnsiTheme="minorHAnsi"/>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This value is based upon experience, and it is preferable to use building-specific base temperatures when available.</w:t>
      </w:r>
    </w:p>
  </w:footnote>
  <w:footnote w:id="38">
    <w:p w14:paraId="3E3A7A94" w14:textId="118FBC06" w:rsidR="00377E5A" w:rsidRPr="00143A7B" w:rsidRDefault="00377E5A" w:rsidP="00143A7B">
      <w:pPr>
        <w:pStyle w:val="FootnoteText"/>
        <w:spacing w:after="0"/>
        <w:rPr>
          <w:rFonts w:asciiTheme="minorHAnsi" w:hAnsiTheme="minorHAnsi"/>
          <w:sz w:val="18"/>
          <w:szCs w:val="18"/>
        </w:rPr>
      </w:pPr>
      <w:r w:rsidRPr="00143A7B">
        <w:rPr>
          <w:rStyle w:val="FootnoteReference"/>
          <w:rFonts w:asciiTheme="minorHAnsi" w:hAnsiTheme="minorHAnsi"/>
          <w:sz w:val="18"/>
          <w:szCs w:val="18"/>
        </w:rPr>
        <w:footnoteRef/>
      </w:r>
      <w:r w:rsidRPr="00143A7B">
        <w:rPr>
          <w:rFonts w:asciiTheme="minorHAnsi" w:hAnsiTheme="minorHAnsi"/>
          <w:sz w:val="18"/>
          <w:szCs w:val="18"/>
        </w:rPr>
        <w:t xml:space="preserve"> Based on the current 10 year Treasury bond yield rates, as of January 2017. The 10 year rates are </w:t>
      </w:r>
      <w:r w:rsidR="00E65DB0">
        <w:rPr>
          <w:rFonts w:asciiTheme="minorHAnsi" w:hAnsiTheme="minorHAnsi"/>
          <w:sz w:val="18"/>
          <w:szCs w:val="18"/>
        </w:rPr>
        <w:t>used</w:t>
      </w:r>
      <w:r w:rsidRPr="00143A7B">
        <w:rPr>
          <w:rFonts w:asciiTheme="minorHAnsi" w:hAnsiTheme="minorHAnsi"/>
          <w:sz w:val="18"/>
          <w:szCs w:val="18"/>
        </w:rPr>
        <w:t xml:space="preserve"> to be consistent with the average measure life of the measures specified within this TRM.</w:t>
      </w:r>
    </w:p>
  </w:footnote>
  <w:footnote w:id="39">
    <w:p w14:paraId="1409D7E7" w14:textId="7E4EC504" w:rsidR="00377E5A" w:rsidRPr="00143A7B" w:rsidRDefault="00377E5A" w:rsidP="00143A7B">
      <w:pPr>
        <w:pStyle w:val="FootnoteText"/>
        <w:spacing w:after="0"/>
        <w:rPr>
          <w:rFonts w:asciiTheme="minorHAnsi" w:hAnsiTheme="minorHAnsi"/>
          <w:sz w:val="18"/>
          <w:szCs w:val="18"/>
        </w:rPr>
      </w:pPr>
      <w:r w:rsidRPr="00143A7B">
        <w:rPr>
          <w:rStyle w:val="FootnoteReference"/>
          <w:rFonts w:asciiTheme="minorHAnsi" w:hAnsiTheme="minorHAnsi"/>
          <w:sz w:val="18"/>
          <w:szCs w:val="18"/>
        </w:rPr>
        <w:footnoteRef/>
      </w:r>
      <w:r w:rsidRPr="00143A7B">
        <w:rPr>
          <w:rFonts w:asciiTheme="minorHAnsi" w:hAnsiTheme="minorHAnsi"/>
          <w:sz w:val="18"/>
          <w:szCs w:val="18"/>
        </w:rPr>
        <w:t xml:space="preserve"> Established for use in the TRM in late 2015.</w:t>
      </w:r>
    </w:p>
  </w:footnote>
  <w:footnote w:id="40">
    <w:p w14:paraId="7C5EEA2E" w14:textId="20D14739" w:rsidR="00377E5A" w:rsidRPr="009C362B" w:rsidRDefault="00377E5A" w:rsidP="00CD69FC">
      <w:pPr>
        <w:pStyle w:val="Footnote"/>
        <w:rPr>
          <w:szCs w:val="18"/>
        </w:rPr>
      </w:pPr>
      <w:r w:rsidRPr="00F326FE">
        <w:rPr>
          <w:rStyle w:val="FootnoteReference"/>
          <w:rFonts w:asciiTheme="minorHAnsi" w:hAnsiTheme="minorHAnsi"/>
          <w:sz w:val="18"/>
          <w:szCs w:val="18"/>
        </w:rPr>
        <w:footnoteRef/>
      </w:r>
      <w:r w:rsidRPr="00143A7B">
        <w:rPr>
          <w:rFonts w:asciiTheme="minorHAnsi" w:hAnsiTheme="minorHAnsi"/>
          <w:szCs w:val="18"/>
        </w:rPr>
        <w:t xml:space="preserve"> For more information,</w:t>
      </w:r>
      <w:r>
        <w:rPr>
          <w:rFonts w:asciiTheme="minorHAnsi" w:hAnsiTheme="minorHAnsi"/>
          <w:szCs w:val="18"/>
        </w:rPr>
        <w:t xml:space="preserve"> please refer to the document, “</w:t>
      </w:r>
      <w:r w:rsidRPr="00143A7B">
        <w:rPr>
          <w:rFonts w:asciiTheme="minorHAnsi" w:hAnsiTheme="minorHAnsi"/>
          <w:szCs w:val="18"/>
        </w:rPr>
        <w:t xml:space="preserve">Dealing with interactive Effects During Measure Characterization” Memo to the Stakeholder Advisory Group dated 12/13/11. </w:t>
      </w:r>
      <w:hyperlink r:id="rId32" w:history="1">
        <w:r w:rsidRPr="00F667B9">
          <w:rPr>
            <w:rStyle w:val="Hyperlink"/>
            <w:rFonts w:asciiTheme="minorHAnsi" w:hAnsiTheme="minorHAnsi" w:cstheme="minorHAnsi"/>
            <w:szCs w:val="18"/>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7ED89" w14:textId="4E33672D" w:rsidR="00377E5A" w:rsidRPr="00447701" w:rsidRDefault="00377E5A"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924E7" w14:textId="6D5F0083" w:rsidR="00377E5A" w:rsidRDefault="00377E5A"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49831" w14:textId="70A3A60F" w:rsidR="00377E5A" w:rsidRDefault="00377E5A"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21939" w14:textId="5126930C" w:rsidR="00377E5A" w:rsidRDefault="00377E5A"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7CE68" w14:textId="7A17B7FD" w:rsidR="00377E5A" w:rsidRDefault="00377E5A"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C3DB6" w14:textId="7AFA7059" w:rsidR="00377E5A" w:rsidRDefault="00377E5A"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9900168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1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num>
  <w:num w:numId="14">
    <w:abstractNumId w:val="16"/>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0"/>
  </w:num>
  <w:num w:numId="20">
    <w:abstractNumId w:val="12"/>
  </w:num>
  <w:num w:numId="21">
    <w:abstractNumId w:val="15"/>
  </w:num>
  <w:num w:numId="22">
    <w:abstractNumId w:val="14"/>
  </w:num>
  <w:num w:numId="23">
    <w:abstractNumId w:val="13"/>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39C1"/>
    <w:rsid w:val="00005946"/>
    <w:rsid w:val="00020064"/>
    <w:rsid w:val="000249A3"/>
    <w:rsid w:val="000251CB"/>
    <w:rsid w:val="00035F88"/>
    <w:rsid w:val="00040994"/>
    <w:rsid w:val="00042812"/>
    <w:rsid w:val="000471E4"/>
    <w:rsid w:val="0005145F"/>
    <w:rsid w:val="0007145B"/>
    <w:rsid w:val="00080270"/>
    <w:rsid w:val="00081D9B"/>
    <w:rsid w:val="000865BC"/>
    <w:rsid w:val="00087188"/>
    <w:rsid w:val="00093DD8"/>
    <w:rsid w:val="000949C7"/>
    <w:rsid w:val="000B1C7C"/>
    <w:rsid w:val="000E1D2A"/>
    <w:rsid w:val="00101198"/>
    <w:rsid w:val="001247D2"/>
    <w:rsid w:val="00132013"/>
    <w:rsid w:val="00134218"/>
    <w:rsid w:val="001346FC"/>
    <w:rsid w:val="00143A7B"/>
    <w:rsid w:val="00151327"/>
    <w:rsid w:val="0016253C"/>
    <w:rsid w:val="001655AF"/>
    <w:rsid w:val="0016646F"/>
    <w:rsid w:val="00175BD6"/>
    <w:rsid w:val="0017618E"/>
    <w:rsid w:val="00177358"/>
    <w:rsid w:val="00191D0A"/>
    <w:rsid w:val="00195F8E"/>
    <w:rsid w:val="0019770C"/>
    <w:rsid w:val="001A03D6"/>
    <w:rsid w:val="001A0729"/>
    <w:rsid w:val="001C2544"/>
    <w:rsid w:val="002103D1"/>
    <w:rsid w:val="00212474"/>
    <w:rsid w:val="002145B2"/>
    <w:rsid w:val="00224C81"/>
    <w:rsid w:val="00230497"/>
    <w:rsid w:val="002444C7"/>
    <w:rsid w:val="00246AF4"/>
    <w:rsid w:val="00255936"/>
    <w:rsid w:val="00256657"/>
    <w:rsid w:val="0026285F"/>
    <w:rsid w:val="00270B59"/>
    <w:rsid w:val="00272BF2"/>
    <w:rsid w:val="0028042F"/>
    <w:rsid w:val="0028614A"/>
    <w:rsid w:val="00292736"/>
    <w:rsid w:val="002B1074"/>
    <w:rsid w:val="002B1AB2"/>
    <w:rsid w:val="002B4DC6"/>
    <w:rsid w:val="002D645D"/>
    <w:rsid w:val="002D7065"/>
    <w:rsid w:val="002E498E"/>
    <w:rsid w:val="002F3E80"/>
    <w:rsid w:val="002F4162"/>
    <w:rsid w:val="002F429C"/>
    <w:rsid w:val="002F77E9"/>
    <w:rsid w:val="00303A7F"/>
    <w:rsid w:val="00313BAC"/>
    <w:rsid w:val="00334A14"/>
    <w:rsid w:val="00363F98"/>
    <w:rsid w:val="00372BB4"/>
    <w:rsid w:val="00377E5A"/>
    <w:rsid w:val="00384AA8"/>
    <w:rsid w:val="00392359"/>
    <w:rsid w:val="003B60A4"/>
    <w:rsid w:val="003C5949"/>
    <w:rsid w:val="003E2421"/>
    <w:rsid w:val="00415A53"/>
    <w:rsid w:val="0042099F"/>
    <w:rsid w:val="00421536"/>
    <w:rsid w:val="00427200"/>
    <w:rsid w:val="004459FF"/>
    <w:rsid w:val="00447701"/>
    <w:rsid w:val="00460786"/>
    <w:rsid w:val="004817E7"/>
    <w:rsid w:val="004852EC"/>
    <w:rsid w:val="00493082"/>
    <w:rsid w:val="00496BCC"/>
    <w:rsid w:val="0049789E"/>
    <w:rsid w:val="004A57F1"/>
    <w:rsid w:val="004C4C8E"/>
    <w:rsid w:val="004E016D"/>
    <w:rsid w:val="004E3A0F"/>
    <w:rsid w:val="00502766"/>
    <w:rsid w:val="00507F82"/>
    <w:rsid w:val="005136C3"/>
    <w:rsid w:val="00514253"/>
    <w:rsid w:val="00536EB2"/>
    <w:rsid w:val="00537307"/>
    <w:rsid w:val="005373C2"/>
    <w:rsid w:val="005435FA"/>
    <w:rsid w:val="005612ED"/>
    <w:rsid w:val="00576BE3"/>
    <w:rsid w:val="0058076D"/>
    <w:rsid w:val="00592EA8"/>
    <w:rsid w:val="00595F41"/>
    <w:rsid w:val="0059673C"/>
    <w:rsid w:val="005B4AEE"/>
    <w:rsid w:val="005C34BA"/>
    <w:rsid w:val="005C4498"/>
    <w:rsid w:val="005C52B8"/>
    <w:rsid w:val="005E748F"/>
    <w:rsid w:val="005F291D"/>
    <w:rsid w:val="005F5E9C"/>
    <w:rsid w:val="005F70BF"/>
    <w:rsid w:val="00600A72"/>
    <w:rsid w:val="00600AA0"/>
    <w:rsid w:val="00606D7E"/>
    <w:rsid w:val="00616983"/>
    <w:rsid w:val="00617AB2"/>
    <w:rsid w:val="00632515"/>
    <w:rsid w:val="006429FD"/>
    <w:rsid w:val="00655CE6"/>
    <w:rsid w:val="006647E6"/>
    <w:rsid w:val="00670123"/>
    <w:rsid w:val="00673150"/>
    <w:rsid w:val="006A26CD"/>
    <w:rsid w:val="006A7D6A"/>
    <w:rsid w:val="006B15DC"/>
    <w:rsid w:val="006B630E"/>
    <w:rsid w:val="006D6CCD"/>
    <w:rsid w:val="006F54C7"/>
    <w:rsid w:val="00701A80"/>
    <w:rsid w:val="0071483B"/>
    <w:rsid w:val="00720958"/>
    <w:rsid w:val="00723243"/>
    <w:rsid w:val="007332EC"/>
    <w:rsid w:val="00745A6F"/>
    <w:rsid w:val="00755610"/>
    <w:rsid w:val="007578BD"/>
    <w:rsid w:val="00761AEC"/>
    <w:rsid w:val="0077028A"/>
    <w:rsid w:val="007721CE"/>
    <w:rsid w:val="00780281"/>
    <w:rsid w:val="007A2593"/>
    <w:rsid w:val="007A6714"/>
    <w:rsid w:val="007C396E"/>
    <w:rsid w:val="007E17A3"/>
    <w:rsid w:val="007E256B"/>
    <w:rsid w:val="007F05BA"/>
    <w:rsid w:val="007F3B40"/>
    <w:rsid w:val="00804791"/>
    <w:rsid w:val="00806EA1"/>
    <w:rsid w:val="008169FD"/>
    <w:rsid w:val="00850ED5"/>
    <w:rsid w:val="008527AC"/>
    <w:rsid w:val="00865813"/>
    <w:rsid w:val="00872E8B"/>
    <w:rsid w:val="00881EA9"/>
    <w:rsid w:val="00883B8B"/>
    <w:rsid w:val="0089052E"/>
    <w:rsid w:val="008A0799"/>
    <w:rsid w:val="008C394A"/>
    <w:rsid w:val="008D2A5C"/>
    <w:rsid w:val="008D3903"/>
    <w:rsid w:val="008D7F7D"/>
    <w:rsid w:val="008E4D75"/>
    <w:rsid w:val="008E5EB6"/>
    <w:rsid w:val="008F1712"/>
    <w:rsid w:val="008F1C00"/>
    <w:rsid w:val="008F28EB"/>
    <w:rsid w:val="008F29F4"/>
    <w:rsid w:val="008F604F"/>
    <w:rsid w:val="00941062"/>
    <w:rsid w:val="009435A5"/>
    <w:rsid w:val="00946D76"/>
    <w:rsid w:val="00956AE4"/>
    <w:rsid w:val="00973B77"/>
    <w:rsid w:val="00973C3C"/>
    <w:rsid w:val="0097689B"/>
    <w:rsid w:val="00986C87"/>
    <w:rsid w:val="009C6C09"/>
    <w:rsid w:val="009D1B36"/>
    <w:rsid w:val="009E2D2B"/>
    <w:rsid w:val="009F0A1F"/>
    <w:rsid w:val="00A03159"/>
    <w:rsid w:val="00A03A7A"/>
    <w:rsid w:val="00A12470"/>
    <w:rsid w:val="00A12E9F"/>
    <w:rsid w:val="00A1616E"/>
    <w:rsid w:val="00A24242"/>
    <w:rsid w:val="00A2562E"/>
    <w:rsid w:val="00A25AD7"/>
    <w:rsid w:val="00A43C4D"/>
    <w:rsid w:val="00A574A9"/>
    <w:rsid w:val="00AA307D"/>
    <w:rsid w:val="00AB2F6B"/>
    <w:rsid w:val="00AC5037"/>
    <w:rsid w:val="00AD41E1"/>
    <w:rsid w:val="00AE2DF6"/>
    <w:rsid w:val="00AE61E7"/>
    <w:rsid w:val="00B06299"/>
    <w:rsid w:val="00B21E39"/>
    <w:rsid w:val="00B44DED"/>
    <w:rsid w:val="00B45F9B"/>
    <w:rsid w:val="00B5416E"/>
    <w:rsid w:val="00B55FE0"/>
    <w:rsid w:val="00B67849"/>
    <w:rsid w:val="00B835A2"/>
    <w:rsid w:val="00BA6D96"/>
    <w:rsid w:val="00BE718F"/>
    <w:rsid w:val="00BE77A4"/>
    <w:rsid w:val="00C006A6"/>
    <w:rsid w:val="00C10BF0"/>
    <w:rsid w:val="00C33B2C"/>
    <w:rsid w:val="00C44DDB"/>
    <w:rsid w:val="00C47D7F"/>
    <w:rsid w:val="00C55DEC"/>
    <w:rsid w:val="00C60A57"/>
    <w:rsid w:val="00C624C2"/>
    <w:rsid w:val="00C63BAF"/>
    <w:rsid w:val="00C712A9"/>
    <w:rsid w:val="00C72E05"/>
    <w:rsid w:val="00C73AFB"/>
    <w:rsid w:val="00C77D23"/>
    <w:rsid w:val="00C8138A"/>
    <w:rsid w:val="00C850D7"/>
    <w:rsid w:val="00C867C8"/>
    <w:rsid w:val="00CA2A88"/>
    <w:rsid w:val="00CA4ECD"/>
    <w:rsid w:val="00CC6A3E"/>
    <w:rsid w:val="00CD31F7"/>
    <w:rsid w:val="00CD69FC"/>
    <w:rsid w:val="00CD7B1C"/>
    <w:rsid w:val="00CE54F0"/>
    <w:rsid w:val="00CF1B71"/>
    <w:rsid w:val="00CF3522"/>
    <w:rsid w:val="00D0469A"/>
    <w:rsid w:val="00D0704C"/>
    <w:rsid w:val="00D11221"/>
    <w:rsid w:val="00D1300F"/>
    <w:rsid w:val="00D13337"/>
    <w:rsid w:val="00D26034"/>
    <w:rsid w:val="00D35C9C"/>
    <w:rsid w:val="00D52180"/>
    <w:rsid w:val="00D709A1"/>
    <w:rsid w:val="00D718F5"/>
    <w:rsid w:val="00D740F3"/>
    <w:rsid w:val="00D873E8"/>
    <w:rsid w:val="00D91F72"/>
    <w:rsid w:val="00D96C8D"/>
    <w:rsid w:val="00DA676C"/>
    <w:rsid w:val="00DB7140"/>
    <w:rsid w:val="00DC5FE6"/>
    <w:rsid w:val="00DE1013"/>
    <w:rsid w:val="00DE3F13"/>
    <w:rsid w:val="00DF0314"/>
    <w:rsid w:val="00DF068F"/>
    <w:rsid w:val="00DF5F29"/>
    <w:rsid w:val="00E266B4"/>
    <w:rsid w:val="00E305DD"/>
    <w:rsid w:val="00E33D09"/>
    <w:rsid w:val="00E3590F"/>
    <w:rsid w:val="00E367CE"/>
    <w:rsid w:val="00E36959"/>
    <w:rsid w:val="00E536D5"/>
    <w:rsid w:val="00E65DB0"/>
    <w:rsid w:val="00E74A9E"/>
    <w:rsid w:val="00E77868"/>
    <w:rsid w:val="00EA6D24"/>
    <w:rsid w:val="00EB2AB8"/>
    <w:rsid w:val="00EB572B"/>
    <w:rsid w:val="00EB7C08"/>
    <w:rsid w:val="00ED281E"/>
    <w:rsid w:val="00EE11C6"/>
    <w:rsid w:val="00EE13AD"/>
    <w:rsid w:val="00EF1931"/>
    <w:rsid w:val="00EF51DA"/>
    <w:rsid w:val="00F17864"/>
    <w:rsid w:val="00F220B3"/>
    <w:rsid w:val="00F326FE"/>
    <w:rsid w:val="00F406D5"/>
    <w:rsid w:val="00F408A2"/>
    <w:rsid w:val="00F432E6"/>
    <w:rsid w:val="00F613D9"/>
    <w:rsid w:val="00F647E7"/>
    <w:rsid w:val="00F71EB6"/>
    <w:rsid w:val="00F72EC5"/>
    <w:rsid w:val="00F91CD1"/>
    <w:rsid w:val="00FA0EB4"/>
    <w:rsid w:val="00FA457F"/>
    <w:rsid w:val="00FB049B"/>
    <w:rsid w:val="00FB2079"/>
    <w:rsid w:val="00FB35DA"/>
    <w:rsid w:val="00FB3AB9"/>
    <w:rsid w:val="00FB70AD"/>
    <w:rsid w:val="00FD05E0"/>
    <w:rsid w:val="00FD5C81"/>
    <w:rsid w:val="00FF2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15AAC007"/>
  <w15:docId w15:val="{59B749A7-2F73-4385-A14D-16F9705B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D96C8D"/>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6C8D"/>
    <w:pPr>
      <w:numPr>
        <w:ilvl w:val="2"/>
        <w:numId w:val="1"/>
      </w:numPr>
      <w:spacing w:before="200"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6C8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6C8D"/>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514253"/>
    <w:pPr>
      <w:spacing w:after="100"/>
    </w:pPr>
    <w:rPr>
      <w:b/>
      <w:smallCaps/>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20"/>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514253"/>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51425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B55FE0"/>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2.gi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lsag.info/technical-reference-manual.html"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cket/files.aspx?no=13-0077&amp;docId=203903" TargetMode="External"/><Relationship Id="rId13" Type="http://schemas.openxmlformats.org/officeDocument/2006/relationships/hyperlink" Target="http://www.icc.illinois.gov/docket/files.aspx?no=14-0189&amp;docId=210478" TargetMode="External"/><Relationship Id="rId18" Type="http://schemas.openxmlformats.org/officeDocument/2006/relationships/hyperlink" Target="https://www.icc.illinois.gov/downloads/public/IL-TRM%20Version%205.0%20dated%20February%2011,%202016%20Final%20-%20Compiled%20Volumes%201-4.pdf" TargetMode="External"/><Relationship Id="rId26" Type="http://schemas.openxmlformats.org/officeDocument/2006/relationships/hyperlink" Target="http://ilsagfiles.org/SAG_files/Technical_Reference_Manual/Residential_Loadshapes_References.zip" TargetMode="External"/><Relationship Id="rId3" Type="http://schemas.openxmlformats.org/officeDocument/2006/relationships/hyperlink" Target="http://www.puc.nh.gov/Electric/Monitoring%20and%20Evaluation%20Reports/National%20Grid/117_RLW_CF%20Res%20RAC.pdf?no=10-0568&amp;docId=167031" TargetMode="External"/><Relationship Id="rId21" Type="http://schemas.openxmlformats.org/officeDocument/2006/relationships/hyperlink" Target="http://www.icc.illinois.gov/Electricity/programs/TRM.aspx" TargetMode="External"/><Relationship Id="rId7" Type="http://schemas.openxmlformats.org/officeDocument/2006/relationships/hyperlink" Target="http://www.icc.illinois.gov/docket/files.aspx?no=13-0437&amp;docId=200492" TargetMode="External"/><Relationship Id="rId12" Type="http://schemas.openxmlformats.org/officeDocument/2006/relationships/hyperlink" Target="https://www.icc.illinois.gov/downloads/public/edocket/447989.pdf" TargetMode="External"/><Relationship Id="rId17" Type="http://schemas.openxmlformats.org/officeDocument/2006/relationships/hyperlink" Target="https://www.icc.illinois.gov/docket/files.aspx?no=16-0171&amp;docId=239985" TargetMode="External"/><Relationship Id="rId25" Type="http://schemas.openxmlformats.org/officeDocument/2006/relationships/hyperlink" Target="http://www.ilsag.info/technical-reference-manual.html"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www.icc.illinois.gov/downloads/public/Illinois_Statewide_TRM_Effective_060115_Final_022415_Clean.pdf" TargetMode="External"/><Relationship Id="rId20" Type="http://schemas.openxmlformats.org/officeDocument/2006/relationships/hyperlink" Target="https://www.icc.illinois.gov/downloads/public/edocket/442527.pdf" TargetMode="External"/><Relationship Id="rId2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2-0528&amp;docId=187554" TargetMode="External"/><Relationship Id="rId11" Type="http://schemas.openxmlformats.org/officeDocument/2006/relationships/hyperlink" Target="https://www.icc.illinois.gov/docket/files.aspx?no=17-0270&amp;docId=257523" TargetMode="External"/><Relationship Id="rId24" Type="http://schemas.openxmlformats.org/officeDocument/2006/relationships/hyperlink" Target="http://www.epelectricefficiency.com/downloads.asp" TargetMode="External"/><Relationship Id="rId32" Type="http://schemas.openxmlformats.org/officeDocument/2006/relationships/hyperlink" Target="http://portal.veic.org/projects/illinoistrm/Shared%20Documents/Memos/Interactive_Effects_Memo_121311.docx"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cc.illinois.gov/docket/files.aspx?no=15-0187&amp;docId=226161" TargetMode="External"/><Relationship Id="rId23" Type="http://schemas.openxmlformats.org/officeDocument/2006/relationships/hyperlink" Target="http://www.appliance-standards.org/product/furnaces" TargetMode="External"/><Relationship Id="rId28" Type="http://schemas.openxmlformats.org/officeDocument/2006/relationships/hyperlink" Target="http://ilsagfiles.org/SAG_files/Technical_Reference_Manual/Version_3/Final_Draft/Sources%20and%20References%20-%20Loadshapes/TRM_Version_3_Loadshapes_2.24.zip" TargetMode="External"/><Relationship Id="rId10" Type="http://schemas.openxmlformats.org/officeDocument/2006/relationships/hyperlink" Target="http://www.icc.illinois.gov/downloads/public/edocket/339744.pdf" TargetMode="External"/><Relationship Id="rId19" Type="http://schemas.openxmlformats.org/officeDocument/2006/relationships/hyperlink" Target="https://www.icc.illinois.gov/docket/files.aspx?no=17-0106&amp;docId=250827" TargetMode="External"/><Relationship Id="rId31"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www.icc.illinois.gov/docket/files.aspx?no=13-0077&amp;docId=195913" TargetMode="External"/><Relationship Id="rId14" Type="http://schemas.openxmlformats.org/officeDocument/2006/relationships/hyperlink" Target="http://www.icc.illinois.gov/downloads/public/Illinois_Statewide_TRM_Effective_060114_Version_3.0_022414_Clean.pdf" TargetMode="External"/><Relationship Id="rId22" Type="http://schemas.openxmlformats.org/officeDocument/2006/relationships/hyperlink" Target="mailto:nclace@veic.org" TargetMode="External"/><Relationship Id="rId27" Type="http://schemas.openxmlformats.org/officeDocument/2006/relationships/hyperlink" Target="http://ilsagfiles.org/SAG_files/Technical_Reference_Manual/Commercial_Loadshapes_References.zip" TargetMode="External"/><Relationship Id="rId3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1CE55-344A-47AF-B008-F31C128F1B47}">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F52655B-EB28-452A-B01F-2BF21EB86266}">
  <ds:schemaRefs>
    <ds:schemaRef ds:uri="http://schemas.microsoft.com/sharepoint/v3/contenttype/forms"/>
  </ds:schemaRefs>
</ds:datastoreItem>
</file>

<file path=customXml/itemProps3.xml><?xml version="1.0" encoding="utf-8"?>
<ds:datastoreItem xmlns:ds="http://schemas.openxmlformats.org/officeDocument/2006/customXml" ds:itemID="{9A10A0D9-B288-423B-B260-82A15E69B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F111A7-2337-4EF9-98DE-49FB8A8B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19035</Words>
  <Characters>108502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127283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Celia Johnson</cp:lastModifiedBy>
  <cp:revision>2</cp:revision>
  <cp:lastPrinted>2017-02-07T22:03:00Z</cp:lastPrinted>
  <dcterms:created xsi:type="dcterms:W3CDTF">2018-09-28T19:29:00Z</dcterms:created>
  <dcterms:modified xsi:type="dcterms:W3CDTF">2018-09-28T19:29:00Z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