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harts/chart2.xml" ContentType="application/vnd.openxmlformats-officedocument.drawingml.chart+xml"/>
  <Override PartName="/word/charts/chart1.xml" ContentType="application/vnd.openxmlformats-officedocument.drawingml.chart+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commentsExtended.xml" ContentType="application/vnd.openxmlformats-officedocument.wordprocessingml.commentsExtended+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9D263F" w14:textId="77777777" w:rsidR="001412F5" w:rsidRDefault="001412F5" w:rsidP="00F85AC0">
      <w:bookmarkStart w:id="0" w:name="_GoBack"/>
      <w:bookmarkEnd w:id="0"/>
    </w:p>
    <w:p w14:paraId="50D125C3" w14:textId="77777777" w:rsidR="001412F5" w:rsidRDefault="001412F5" w:rsidP="00F85AC0">
      <w:pPr>
        <w:rPr>
          <w:caps/>
        </w:rPr>
      </w:pPr>
    </w:p>
    <w:p w14:paraId="02A292BE" w14:textId="77777777" w:rsidR="001412F5" w:rsidRDefault="001412F5" w:rsidP="00F85AC0"/>
    <w:p w14:paraId="31E441E4" w14:textId="77777777" w:rsidR="001412F5" w:rsidRDefault="001412F5" w:rsidP="00F85AC0"/>
    <w:p w14:paraId="1CC08A85" w14:textId="77777777" w:rsidR="001412F5" w:rsidRDefault="001412F5" w:rsidP="00F85AC0"/>
    <w:p w14:paraId="218ECDC3" w14:textId="77777777" w:rsidR="001412F5" w:rsidRDefault="001412F5" w:rsidP="00F85AC0"/>
    <w:p w14:paraId="7E786337" w14:textId="77777777" w:rsidR="001412F5" w:rsidRDefault="001412F5" w:rsidP="00F85AC0"/>
    <w:p w14:paraId="6B8329B7" w14:textId="77777777" w:rsidR="001412F5" w:rsidRDefault="001412F5" w:rsidP="00F85AC0"/>
    <w:p w14:paraId="21E451AF" w14:textId="77777777" w:rsidR="001412F5" w:rsidRDefault="001412F5" w:rsidP="00F85AC0"/>
    <w:p w14:paraId="4F1E7852" w14:textId="77777777" w:rsidR="00C36AB6" w:rsidRDefault="00C36AB6" w:rsidP="00C36AB6">
      <w:pPr>
        <w:pStyle w:val="Title"/>
      </w:pPr>
      <w:r>
        <w:t>Behavioral Energy Savings Programs:</w:t>
      </w:r>
    </w:p>
    <w:p w14:paraId="5B63D753" w14:textId="77777777" w:rsidR="005F1566" w:rsidRDefault="00C36AB6" w:rsidP="00C36AB6">
      <w:pPr>
        <w:pStyle w:val="Title"/>
      </w:pPr>
      <w:r>
        <w:t xml:space="preserve">Home Energy Reports Persistence Study Part 2 – </w:t>
      </w:r>
    </w:p>
    <w:p w14:paraId="5EFAC225" w14:textId="204871E2" w:rsidR="00C36AB6" w:rsidRPr="00C36AB6" w:rsidRDefault="00C36AB6" w:rsidP="00C36AB6">
      <w:pPr>
        <w:pStyle w:val="Title"/>
      </w:pPr>
      <w:r>
        <w:t>April 2015 to September 2015</w:t>
      </w:r>
    </w:p>
    <w:p w14:paraId="54F6F5E8" w14:textId="77777777" w:rsidR="00C36AB6" w:rsidRPr="00A90B62" w:rsidRDefault="00C36AB6" w:rsidP="00C36AB6">
      <w:pPr>
        <w:jc w:val="center"/>
      </w:pPr>
    </w:p>
    <w:p w14:paraId="2144B7C6" w14:textId="77777777" w:rsidR="001412F5" w:rsidRPr="00927139" w:rsidRDefault="001412F5" w:rsidP="001412F5"/>
    <w:p w14:paraId="644AEF62" w14:textId="77777777" w:rsidR="001412F5" w:rsidRPr="006E11D3" w:rsidRDefault="00C36AB6" w:rsidP="001412F5">
      <w:pPr>
        <w:pStyle w:val="Subtitle"/>
        <w:rPr>
          <w:color w:val="555759" w:themeColor="accent2"/>
        </w:rPr>
      </w:pPr>
      <w:r>
        <w:rPr>
          <w:noProof/>
          <w:color w:val="555759" w:themeColor="accent2"/>
        </w:rPr>
        <w:t>Draft</w:t>
      </w:r>
    </w:p>
    <w:p w14:paraId="29CE753E" w14:textId="77777777" w:rsidR="001412F5" w:rsidRPr="006E11D3" w:rsidRDefault="001412F5" w:rsidP="001412F5">
      <w:pPr>
        <w:rPr>
          <w:color w:val="555759" w:themeColor="accent2"/>
        </w:rPr>
      </w:pPr>
    </w:p>
    <w:p w14:paraId="7074A1EA" w14:textId="77777777" w:rsidR="001412F5" w:rsidRPr="006E11D3" w:rsidRDefault="001412F5" w:rsidP="001412F5">
      <w:pPr>
        <w:pStyle w:val="Subtitle"/>
        <w:rPr>
          <w:color w:val="555759" w:themeColor="accent2"/>
        </w:rPr>
      </w:pPr>
      <w:r w:rsidRPr="006E11D3">
        <w:rPr>
          <w:color w:val="555759" w:themeColor="accent2"/>
        </w:rPr>
        <w:t>Prepared for:</w:t>
      </w:r>
    </w:p>
    <w:p w14:paraId="45747868" w14:textId="77777777" w:rsidR="001412F5" w:rsidRPr="006E11D3" w:rsidRDefault="00C36AB6" w:rsidP="001412F5">
      <w:pPr>
        <w:pStyle w:val="Subtitle"/>
        <w:rPr>
          <w:color w:val="555759" w:themeColor="accent2"/>
        </w:rPr>
      </w:pPr>
      <w:r>
        <w:rPr>
          <w:color w:val="555759" w:themeColor="accent2"/>
        </w:rPr>
        <w:t>Nicor Gas</w:t>
      </w:r>
    </w:p>
    <w:p w14:paraId="203C04ED" w14:textId="77777777" w:rsidR="001412F5" w:rsidRPr="00D92AA8" w:rsidRDefault="001412F5" w:rsidP="001412F5">
      <w:pPr>
        <w:rPr>
          <w:b/>
          <w:bCs/>
          <w:color w:val="6F6754"/>
        </w:rPr>
      </w:pPr>
    </w:p>
    <w:p w14:paraId="3995B517" w14:textId="77777777" w:rsidR="001412F5" w:rsidRPr="00D92AA8" w:rsidRDefault="001412F5" w:rsidP="001412F5">
      <w:pPr>
        <w:rPr>
          <w:b/>
          <w:bCs/>
          <w:color w:val="6F6754"/>
        </w:rPr>
      </w:pPr>
    </w:p>
    <w:p w14:paraId="3F5107A6" w14:textId="77777777" w:rsidR="001412F5" w:rsidRPr="00D92AA8" w:rsidRDefault="001412F5" w:rsidP="001412F5">
      <w:pPr>
        <w:rPr>
          <w:b/>
          <w:bCs/>
          <w:color w:val="6F6754"/>
        </w:rPr>
      </w:pPr>
    </w:p>
    <w:p w14:paraId="229F5268" w14:textId="77777777" w:rsidR="001412F5" w:rsidRPr="00D92AA8" w:rsidRDefault="001412F5" w:rsidP="001412F5">
      <w:pPr>
        <w:rPr>
          <w:b/>
          <w:bCs/>
          <w:color w:val="6F6754"/>
        </w:rPr>
      </w:pPr>
    </w:p>
    <w:p w14:paraId="55293739" w14:textId="3538C6C0" w:rsidR="00C36AB6" w:rsidRPr="006E11D3" w:rsidRDefault="00C36AB6" w:rsidP="00C36AB6">
      <w:pPr>
        <w:pStyle w:val="Subtitle"/>
        <w:rPr>
          <w:color w:val="555759" w:themeColor="accent2"/>
        </w:rPr>
      </w:pPr>
      <w:r>
        <w:rPr>
          <w:color w:val="555759" w:themeColor="accent2"/>
        </w:rPr>
        <w:t xml:space="preserve">January </w:t>
      </w:r>
      <w:r w:rsidR="009E2A5F">
        <w:rPr>
          <w:color w:val="555759" w:themeColor="accent2"/>
        </w:rPr>
        <w:t>2</w:t>
      </w:r>
      <w:r w:rsidR="00EF2378">
        <w:rPr>
          <w:color w:val="555759" w:themeColor="accent2"/>
        </w:rPr>
        <w:t>8</w:t>
      </w:r>
      <w:r>
        <w:rPr>
          <w:color w:val="555759" w:themeColor="accent2"/>
        </w:rPr>
        <w:t>, 2016</w:t>
      </w:r>
    </w:p>
    <w:p w14:paraId="29385E93" w14:textId="77777777" w:rsidR="001412F5" w:rsidRDefault="001412F5" w:rsidP="001412F5">
      <w:pPr>
        <w:rPr>
          <w:rStyle w:val="CoverText"/>
        </w:rPr>
      </w:pPr>
    </w:p>
    <w:p w14:paraId="7290F136" w14:textId="77777777" w:rsidR="001412F5" w:rsidRDefault="001412F5" w:rsidP="001412F5">
      <w:pPr>
        <w:rPr>
          <w:rStyle w:val="CoverText"/>
        </w:rPr>
      </w:pPr>
    </w:p>
    <w:p w14:paraId="7720B432" w14:textId="77777777" w:rsidR="001412F5" w:rsidRDefault="001412F5" w:rsidP="001412F5">
      <w:pPr>
        <w:rPr>
          <w:rStyle w:val="CoverText"/>
        </w:rPr>
      </w:pPr>
    </w:p>
    <w:p w14:paraId="3CADD3D5" w14:textId="77777777" w:rsidR="001412F5" w:rsidRDefault="001412F5" w:rsidP="001412F5">
      <w:pPr>
        <w:rPr>
          <w:rStyle w:val="CoverText"/>
        </w:rPr>
      </w:pPr>
    </w:p>
    <w:p w14:paraId="73A45AFB" w14:textId="77777777" w:rsidR="001412F5" w:rsidRDefault="001412F5" w:rsidP="001412F5">
      <w:pPr>
        <w:rPr>
          <w:rStyle w:val="CoverText"/>
        </w:rPr>
      </w:pPr>
    </w:p>
    <w:p w14:paraId="03434FC4" w14:textId="77777777" w:rsidR="000D3D04" w:rsidRDefault="000D3D04" w:rsidP="001412F5">
      <w:pPr>
        <w:rPr>
          <w:rStyle w:val="CoverText"/>
        </w:rPr>
      </w:pPr>
    </w:p>
    <w:p w14:paraId="4857B9FD" w14:textId="77777777" w:rsidR="000D3D04" w:rsidRDefault="000D3D04" w:rsidP="001412F5">
      <w:pPr>
        <w:rPr>
          <w:rStyle w:val="CoverText"/>
        </w:rPr>
      </w:pPr>
    </w:p>
    <w:p w14:paraId="68870A0F" w14:textId="77777777" w:rsidR="001412F5" w:rsidRPr="006E11D3" w:rsidRDefault="00AF6C48" w:rsidP="001412F5">
      <w:pPr>
        <w:rPr>
          <w:rStyle w:val="CoverText"/>
          <w:b/>
          <w:i/>
          <w:color w:val="555759" w:themeColor="accent2"/>
        </w:rPr>
      </w:pPr>
      <w:r w:rsidRPr="006E11D3">
        <w:rPr>
          <w:rStyle w:val="CoverText"/>
          <w:b/>
          <w:i/>
          <w:color w:val="555759" w:themeColor="accent2"/>
        </w:rPr>
        <w:t>Submitted by:</w:t>
      </w:r>
    </w:p>
    <w:p w14:paraId="1F99C88E" w14:textId="4A419E0E" w:rsidR="001412F5" w:rsidRDefault="001412F5" w:rsidP="001412F5">
      <w:pPr>
        <w:rPr>
          <w:rStyle w:val="CoverText"/>
          <w:color w:val="555759" w:themeColor="accent2"/>
        </w:rPr>
      </w:pPr>
      <w:r w:rsidRPr="006E11D3">
        <w:rPr>
          <w:rStyle w:val="CoverText"/>
          <w:color w:val="555759" w:themeColor="accent2"/>
        </w:rPr>
        <w:t xml:space="preserve">Navigant Consulting, </w:t>
      </w:r>
      <w:proofErr w:type="spellStart"/>
      <w:r w:rsidRPr="006E11D3">
        <w:rPr>
          <w:rStyle w:val="CoverText"/>
          <w:color w:val="555759" w:themeColor="accent2"/>
        </w:rPr>
        <w:t>Inc</w:t>
      </w:r>
      <w:proofErr w:type="spellEnd"/>
    </w:p>
    <w:p w14:paraId="525955A1" w14:textId="77777777" w:rsidR="003971DF" w:rsidRPr="006E11D3" w:rsidRDefault="003971DF" w:rsidP="001412F5">
      <w:pPr>
        <w:rPr>
          <w:rStyle w:val="CoverText"/>
          <w:color w:val="555759" w:themeColor="accent2"/>
        </w:rPr>
      </w:pPr>
    </w:p>
    <w:p w14:paraId="69AFA0A9" w14:textId="77777777" w:rsidR="00C36AB6" w:rsidRPr="00C36AB6" w:rsidRDefault="00C36AB6" w:rsidP="00C36AB6">
      <w:pPr>
        <w:pStyle w:val="Contactinfo"/>
        <w:rPr>
          <w:rStyle w:val="CoverText"/>
          <w:color w:val="555759" w:themeColor="accent2"/>
        </w:rPr>
      </w:pPr>
      <w:r w:rsidRPr="00C36AB6">
        <w:rPr>
          <w:rStyle w:val="CoverText"/>
          <w:color w:val="555759" w:themeColor="accent2"/>
        </w:rPr>
        <w:t>Carly Olig, Managing Consultant</w:t>
      </w:r>
    </w:p>
    <w:p w14:paraId="11B372A0" w14:textId="77777777" w:rsidR="00C36AB6" w:rsidRPr="00C36AB6" w:rsidRDefault="00C36AB6" w:rsidP="00C36AB6">
      <w:pPr>
        <w:pStyle w:val="Contactinfo"/>
        <w:rPr>
          <w:rStyle w:val="CoverText"/>
          <w:color w:val="555759" w:themeColor="accent2"/>
        </w:rPr>
      </w:pPr>
      <w:r w:rsidRPr="00C36AB6">
        <w:rPr>
          <w:rStyle w:val="CoverText"/>
          <w:color w:val="555759" w:themeColor="accent2"/>
        </w:rPr>
        <w:t>608.497.2344</w:t>
      </w:r>
    </w:p>
    <w:p w14:paraId="2C4127F0" w14:textId="741D54A6" w:rsidR="001412F5" w:rsidRPr="00C36AB6" w:rsidRDefault="00851D29" w:rsidP="00C36AB6">
      <w:pPr>
        <w:rPr>
          <w:rStyle w:val="CoverText"/>
          <w:color w:val="555759" w:themeColor="accent2"/>
          <w:szCs w:val="20"/>
        </w:rPr>
      </w:pPr>
      <w:hyperlink r:id="rId9" w:history="1">
        <w:r w:rsidR="00C36AB6" w:rsidRPr="00C36AB6">
          <w:rPr>
            <w:rStyle w:val="Hyperlink"/>
            <w:szCs w:val="20"/>
          </w:rPr>
          <w:t>carly.olig@navigant.com</w:t>
        </w:r>
      </w:hyperlink>
    </w:p>
    <w:p w14:paraId="5AA5E46C" w14:textId="77777777" w:rsidR="00C36AB6" w:rsidRPr="006E11D3" w:rsidRDefault="00C36AB6" w:rsidP="00C36AB6">
      <w:pPr>
        <w:rPr>
          <w:rStyle w:val="CoverText"/>
          <w:color w:val="555759" w:themeColor="accent2"/>
        </w:rPr>
      </w:pPr>
    </w:p>
    <w:p w14:paraId="2938F2F4" w14:textId="77777777" w:rsidR="00C36AB6" w:rsidRPr="002207CD" w:rsidRDefault="00C36AB6" w:rsidP="00C36AB6">
      <w:pPr>
        <w:pStyle w:val="Contactinfo"/>
        <w:rPr>
          <w:color w:val="555759" w:themeColor="accent2"/>
          <w:sz w:val="20"/>
          <w:szCs w:val="20"/>
        </w:rPr>
      </w:pPr>
      <w:r w:rsidRPr="002207CD">
        <w:rPr>
          <w:color w:val="555759" w:themeColor="accent2"/>
          <w:sz w:val="20"/>
          <w:szCs w:val="20"/>
        </w:rPr>
        <w:t>Daniel Layton, Consultant</w:t>
      </w:r>
    </w:p>
    <w:p w14:paraId="08CD4DD1" w14:textId="77777777" w:rsidR="00C36AB6" w:rsidRPr="002207CD" w:rsidRDefault="00C36AB6" w:rsidP="00C36AB6">
      <w:pPr>
        <w:pStyle w:val="Contactinfo"/>
        <w:rPr>
          <w:color w:val="555759" w:themeColor="accent2"/>
          <w:sz w:val="20"/>
          <w:szCs w:val="20"/>
        </w:rPr>
      </w:pPr>
      <w:r w:rsidRPr="002207CD">
        <w:rPr>
          <w:color w:val="555759" w:themeColor="accent2"/>
          <w:sz w:val="20"/>
          <w:szCs w:val="20"/>
        </w:rPr>
        <w:t>303.728.2515</w:t>
      </w:r>
    </w:p>
    <w:p w14:paraId="472EEFDE" w14:textId="77777777" w:rsidR="001412F5" w:rsidRDefault="00851D29" w:rsidP="00C36AB6">
      <w:pPr>
        <w:rPr>
          <w:rStyle w:val="Hyperlink"/>
          <w:szCs w:val="20"/>
        </w:rPr>
      </w:pPr>
      <w:hyperlink r:id="rId10" w:history="1">
        <w:r w:rsidR="00C36AB6" w:rsidRPr="00C36AB6">
          <w:rPr>
            <w:rStyle w:val="Hyperlink"/>
            <w:szCs w:val="20"/>
          </w:rPr>
          <w:t>daniel.layton@navigant.com</w:t>
        </w:r>
      </w:hyperlink>
    </w:p>
    <w:p w14:paraId="6EB4E02D" w14:textId="77777777" w:rsidR="001412F5" w:rsidRDefault="001412F5" w:rsidP="001412F5">
      <w:pPr>
        <w:rPr>
          <w:rStyle w:val="CoverText"/>
          <w:color w:val="555759" w:themeColor="accent2"/>
          <w:szCs w:val="20"/>
        </w:rPr>
      </w:pPr>
    </w:p>
    <w:p w14:paraId="7A5B24C3" w14:textId="159E574F" w:rsidR="003971DF" w:rsidRPr="003971DF" w:rsidRDefault="003971DF" w:rsidP="001412F5">
      <w:pPr>
        <w:rPr>
          <w:rStyle w:val="Hyperlink"/>
          <w:szCs w:val="20"/>
        </w:rPr>
      </w:pPr>
      <w:r w:rsidRPr="003971DF">
        <w:rPr>
          <w:rStyle w:val="Hyperlink"/>
        </w:rPr>
        <w:t>www.navigant.com</w:t>
      </w:r>
    </w:p>
    <w:p w14:paraId="2C0917F5" w14:textId="77777777" w:rsidR="001412F5" w:rsidRDefault="00C36AB6" w:rsidP="001412F5">
      <w:pPr>
        <w:rPr>
          <w:rStyle w:val="CoverText"/>
        </w:rPr>
        <w:sectPr w:rsidR="001412F5" w:rsidSect="000C4628">
          <w:headerReference w:type="even" r:id="rId11"/>
          <w:headerReference w:type="default" r:id="rId12"/>
          <w:footerReference w:type="even" r:id="rId13"/>
          <w:footerReference w:type="default" r:id="rId14"/>
          <w:headerReference w:type="first" r:id="rId15"/>
          <w:footerReference w:type="first" r:id="rId16"/>
          <w:pgSz w:w="12240" w:h="15840" w:code="1"/>
          <w:pgMar w:top="720" w:right="1440" w:bottom="720" w:left="1800" w:header="720" w:footer="720" w:gutter="0"/>
          <w:cols w:space="720"/>
          <w:docGrid w:linePitch="360"/>
        </w:sectPr>
      </w:pPr>
      <w:r w:rsidRPr="006E11D3">
        <w:rPr>
          <w:rStyle w:val="CoverText"/>
          <w:color w:val="555759" w:themeColor="accent2"/>
        </w:rPr>
        <w:t xml:space="preserve"> </w:t>
      </w:r>
    </w:p>
    <w:p w14:paraId="73E8E459" w14:textId="77777777" w:rsidR="00C36AB6" w:rsidRPr="00A90B62" w:rsidRDefault="00C36AB6" w:rsidP="00C36AB6">
      <w:pPr>
        <w:pStyle w:val="Contactinfo"/>
        <w:rPr>
          <w:b/>
          <w:szCs w:val="22"/>
        </w:rPr>
      </w:pPr>
      <w:bookmarkStart w:id="1" w:name="_Toc62272964"/>
    </w:p>
    <w:p w14:paraId="488D1C13" w14:textId="77777777" w:rsidR="00C36AB6" w:rsidRDefault="00C36AB6" w:rsidP="00C36AB6">
      <w:pPr>
        <w:pStyle w:val="Contactinfo"/>
        <w:rPr>
          <w:b/>
          <w:szCs w:val="22"/>
        </w:rPr>
      </w:pPr>
    </w:p>
    <w:p w14:paraId="365D40BF" w14:textId="77777777" w:rsidR="003971DF" w:rsidRDefault="003971DF" w:rsidP="00C36AB6">
      <w:pPr>
        <w:pStyle w:val="Contactinfo"/>
        <w:rPr>
          <w:b/>
          <w:szCs w:val="22"/>
        </w:rPr>
      </w:pPr>
    </w:p>
    <w:p w14:paraId="3289A2F9" w14:textId="77777777" w:rsidR="003971DF" w:rsidRPr="00A90B62" w:rsidRDefault="003971DF" w:rsidP="00C36AB6">
      <w:pPr>
        <w:pStyle w:val="Contactinfo"/>
        <w:rPr>
          <w:b/>
          <w:szCs w:val="22"/>
        </w:rPr>
      </w:pPr>
    </w:p>
    <w:p w14:paraId="687AD48D" w14:textId="77777777" w:rsidR="00C36AB6" w:rsidRPr="00A90B62" w:rsidRDefault="00C36AB6" w:rsidP="00C36AB6">
      <w:pPr>
        <w:pStyle w:val="Contactinfo"/>
        <w:rPr>
          <w:b/>
          <w:szCs w:val="22"/>
        </w:rPr>
      </w:pPr>
    </w:p>
    <w:p w14:paraId="4B390249" w14:textId="77777777" w:rsidR="00C36AB6" w:rsidRPr="00A90B62" w:rsidRDefault="00C36AB6" w:rsidP="00C36AB6">
      <w:pPr>
        <w:pStyle w:val="Contactinfo"/>
        <w:rPr>
          <w:b/>
          <w:szCs w:val="22"/>
        </w:rPr>
      </w:pPr>
      <w:r w:rsidRPr="00A90B62">
        <w:rPr>
          <w:b/>
          <w:szCs w:val="22"/>
        </w:rPr>
        <w:t xml:space="preserve">Submitted to: </w:t>
      </w:r>
    </w:p>
    <w:p w14:paraId="651974EC" w14:textId="77777777" w:rsidR="00C36AB6" w:rsidRDefault="00C36AB6" w:rsidP="00C36AB6">
      <w:pPr>
        <w:pStyle w:val="Contactinfo"/>
        <w:rPr>
          <w:szCs w:val="22"/>
        </w:rPr>
      </w:pPr>
    </w:p>
    <w:p w14:paraId="1CA769BD" w14:textId="77777777" w:rsidR="00C36AB6" w:rsidRPr="005C14D8" w:rsidRDefault="00C36AB6" w:rsidP="00C36AB6">
      <w:pPr>
        <w:pStyle w:val="Contactinfo"/>
        <w:rPr>
          <w:szCs w:val="22"/>
        </w:rPr>
      </w:pPr>
      <w:r>
        <w:rPr>
          <w:szCs w:val="22"/>
        </w:rPr>
        <w:t>Nicor Gas</w:t>
      </w:r>
    </w:p>
    <w:p w14:paraId="5D902FA1" w14:textId="77777777" w:rsidR="00C36AB6" w:rsidRPr="00C05ADB" w:rsidRDefault="00C36AB6" w:rsidP="00C36AB6">
      <w:pPr>
        <w:pStyle w:val="Contactinfo"/>
        <w:rPr>
          <w:szCs w:val="22"/>
        </w:rPr>
      </w:pPr>
      <w:r w:rsidRPr="00C05ADB">
        <w:rPr>
          <w:szCs w:val="22"/>
        </w:rPr>
        <w:t>1844 Ferry Road</w:t>
      </w:r>
    </w:p>
    <w:p w14:paraId="7F8027A0" w14:textId="77777777" w:rsidR="00C36AB6" w:rsidRPr="00C05ADB" w:rsidRDefault="00C36AB6" w:rsidP="00C36AB6">
      <w:pPr>
        <w:pStyle w:val="Contactinfo"/>
        <w:rPr>
          <w:szCs w:val="22"/>
        </w:rPr>
      </w:pPr>
      <w:r w:rsidRPr="00C05ADB">
        <w:rPr>
          <w:szCs w:val="22"/>
        </w:rPr>
        <w:t>Naperville, IL 60563</w:t>
      </w:r>
    </w:p>
    <w:p w14:paraId="727D13CB" w14:textId="77777777" w:rsidR="00C36AB6" w:rsidRDefault="00C36AB6" w:rsidP="00C36AB6">
      <w:pPr>
        <w:pStyle w:val="Contactinfo"/>
        <w:rPr>
          <w:szCs w:val="22"/>
        </w:rPr>
      </w:pPr>
    </w:p>
    <w:p w14:paraId="3BFED973" w14:textId="77777777" w:rsidR="00361187" w:rsidRDefault="00361187" w:rsidP="00C36AB6">
      <w:pPr>
        <w:pStyle w:val="Contactinfo"/>
        <w:rPr>
          <w:szCs w:val="22"/>
        </w:rPr>
      </w:pPr>
    </w:p>
    <w:p w14:paraId="3AE8EA04" w14:textId="77777777" w:rsidR="00361187" w:rsidRPr="00A90B62" w:rsidRDefault="00361187" w:rsidP="00C36AB6">
      <w:pPr>
        <w:pStyle w:val="Contactinfo"/>
        <w:rPr>
          <w:szCs w:val="22"/>
        </w:rPr>
      </w:pPr>
    </w:p>
    <w:p w14:paraId="436D3786" w14:textId="77777777" w:rsidR="00C36AB6" w:rsidRPr="00A90B62" w:rsidRDefault="00C36AB6" w:rsidP="00C36AB6">
      <w:pPr>
        <w:pStyle w:val="Contactinfo"/>
        <w:rPr>
          <w:b/>
          <w:szCs w:val="22"/>
        </w:rPr>
      </w:pPr>
      <w:r w:rsidRPr="00A90B62">
        <w:rPr>
          <w:b/>
          <w:szCs w:val="22"/>
        </w:rPr>
        <w:t xml:space="preserve">Submitted by: </w:t>
      </w:r>
    </w:p>
    <w:p w14:paraId="4FF7F55B" w14:textId="77777777" w:rsidR="00C36AB6" w:rsidRPr="00A90B62" w:rsidRDefault="00C36AB6" w:rsidP="00C36AB6">
      <w:pPr>
        <w:pStyle w:val="Contactinfo"/>
        <w:rPr>
          <w:szCs w:val="22"/>
        </w:rPr>
      </w:pPr>
      <w:r w:rsidRPr="00A90B62">
        <w:rPr>
          <w:szCs w:val="22"/>
        </w:rPr>
        <w:t>Navigant Consulting, Inc.</w:t>
      </w:r>
    </w:p>
    <w:p w14:paraId="768C908D" w14:textId="77777777" w:rsidR="00C36AB6" w:rsidRPr="00A90B62" w:rsidRDefault="00C36AB6" w:rsidP="00C36AB6">
      <w:pPr>
        <w:pStyle w:val="Contactinfo"/>
        <w:rPr>
          <w:szCs w:val="22"/>
        </w:rPr>
      </w:pPr>
      <w:r w:rsidRPr="00A90B62">
        <w:rPr>
          <w:szCs w:val="22"/>
        </w:rPr>
        <w:t>30 S. Wacker Drive, Suite 3100</w:t>
      </w:r>
    </w:p>
    <w:p w14:paraId="09927207" w14:textId="77777777" w:rsidR="00C36AB6" w:rsidRPr="00A90B62" w:rsidRDefault="00C36AB6" w:rsidP="00C36AB6">
      <w:pPr>
        <w:pStyle w:val="Contactinfo"/>
        <w:rPr>
          <w:szCs w:val="22"/>
        </w:rPr>
      </w:pPr>
      <w:r w:rsidRPr="00A90B62">
        <w:rPr>
          <w:szCs w:val="22"/>
        </w:rPr>
        <w:t>Chicago, IL 60606</w:t>
      </w:r>
    </w:p>
    <w:p w14:paraId="522D334F" w14:textId="77777777" w:rsidR="00C36AB6" w:rsidRPr="00A90B62" w:rsidRDefault="00C36AB6" w:rsidP="00C36AB6">
      <w:pPr>
        <w:pStyle w:val="Contactinfo"/>
        <w:rPr>
          <w:szCs w:val="22"/>
        </w:rPr>
      </w:pPr>
      <w:r w:rsidRPr="00A90B62">
        <w:rPr>
          <w:szCs w:val="22"/>
        </w:rPr>
        <w:t>Phone 312.583.5700</w:t>
      </w:r>
    </w:p>
    <w:p w14:paraId="2B164374" w14:textId="77777777" w:rsidR="00C36AB6" w:rsidRPr="00A90B62" w:rsidRDefault="00C36AB6" w:rsidP="00C36AB6">
      <w:pPr>
        <w:pStyle w:val="Contactinfo"/>
        <w:rPr>
          <w:szCs w:val="22"/>
        </w:rPr>
      </w:pPr>
      <w:r w:rsidRPr="00A90B62">
        <w:rPr>
          <w:szCs w:val="22"/>
        </w:rPr>
        <w:t>Fax 312.583.5701</w:t>
      </w:r>
    </w:p>
    <w:p w14:paraId="1026863F" w14:textId="77777777" w:rsidR="00C36AB6" w:rsidRDefault="00C36AB6" w:rsidP="00C36AB6">
      <w:pPr>
        <w:pStyle w:val="Contactinfo"/>
        <w:rPr>
          <w:szCs w:val="22"/>
        </w:rPr>
      </w:pPr>
    </w:p>
    <w:p w14:paraId="0C31BC74" w14:textId="77777777" w:rsidR="00361187" w:rsidRDefault="00361187" w:rsidP="00C36AB6">
      <w:pPr>
        <w:pStyle w:val="Contactinfo"/>
        <w:rPr>
          <w:szCs w:val="22"/>
        </w:rPr>
      </w:pPr>
    </w:p>
    <w:p w14:paraId="55ADF05F" w14:textId="77777777" w:rsidR="00361187" w:rsidRDefault="00361187" w:rsidP="00C36AB6">
      <w:pPr>
        <w:pStyle w:val="Contactinfo"/>
        <w:rPr>
          <w:szCs w:val="22"/>
        </w:rPr>
      </w:pPr>
    </w:p>
    <w:p w14:paraId="0CEB5A96" w14:textId="77777777" w:rsidR="00361187" w:rsidRPr="00A90B62" w:rsidRDefault="00361187" w:rsidP="00C36AB6">
      <w:pPr>
        <w:pStyle w:val="Contactinfo"/>
        <w:rPr>
          <w:szCs w:val="22"/>
        </w:rPr>
      </w:pPr>
    </w:p>
    <w:p w14:paraId="30F8CED8" w14:textId="77777777" w:rsidR="00C36AB6" w:rsidRPr="00A90B62" w:rsidRDefault="00C36AB6" w:rsidP="00C36AB6">
      <w:pPr>
        <w:pStyle w:val="Contactinfo"/>
        <w:rPr>
          <w:szCs w:val="22"/>
        </w:rPr>
      </w:pPr>
      <w:r w:rsidRPr="00A90B62">
        <w:rPr>
          <w:b/>
          <w:szCs w:val="22"/>
        </w:rPr>
        <w:t>Contact:</w:t>
      </w:r>
      <w:r w:rsidRPr="00A90B62">
        <w:rPr>
          <w:szCs w:val="22"/>
        </w:rPr>
        <w:t xml:space="preserve"> </w:t>
      </w:r>
    </w:p>
    <w:p w14:paraId="5423F189" w14:textId="77777777" w:rsidR="00C36AB6" w:rsidRPr="00A90B62" w:rsidRDefault="00C36AB6" w:rsidP="00C36AB6">
      <w:pPr>
        <w:pStyle w:val="Contactinfo"/>
        <w:rPr>
          <w:szCs w:val="22"/>
        </w:rPr>
      </w:pPr>
    </w:p>
    <w:tbl>
      <w:tblPr>
        <w:tblW w:w="0" w:type="auto"/>
        <w:tblLook w:val="04A0" w:firstRow="1" w:lastRow="0" w:firstColumn="1" w:lastColumn="0" w:noHBand="0" w:noVBand="1"/>
      </w:tblPr>
      <w:tblGrid>
        <w:gridCol w:w="4752"/>
        <w:gridCol w:w="4752"/>
      </w:tblGrid>
      <w:tr w:rsidR="00C36AB6" w:rsidRPr="00AF590B" w14:paraId="24CCBEF9" w14:textId="77777777" w:rsidTr="00C36AB6">
        <w:tc>
          <w:tcPr>
            <w:tcW w:w="4752" w:type="dxa"/>
          </w:tcPr>
          <w:p w14:paraId="01F5F009" w14:textId="77777777" w:rsidR="00C36AB6" w:rsidRDefault="00C36AB6" w:rsidP="00C36AB6">
            <w:pPr>
              <w:pStyle w:val="Contactinfo"/>
            </w:pPr>
            <w:r>
              <w:t>Randy Gunn, Managing Director</w:t>
            </w:r>
          </w:p>
          <w:p w14:paraId="530645E3" w14:textId="77777777" w:rsidR="00C36AB6" w:rsidRDefault="00C36AB6" w:rsidP="00C36AB6">
            <w:pPr>
              <w:pStyle w:val="Contactinfo"/>
            </w:pPr>
            <w:r w:rsidRPr="00D82CA7">
              <w:t>312</w:t>
            </w:r>
            <w:r>
              <w:t>.</w:t>
            </w:r>
            <w:r w:rsidRPr="00D82CA7">
              <w:t>583</w:t>
            </w:r>
            <w:r>
              <w:t>.</w:t>
            </w:r>
            <w:r w:rsidRPr="00D82CA7">
              <w:t>5714</w:t>
            </w:r>
          </w:p>
          <w:p w14:paraId="32B3ED49" w14:textId="77777777" w:rsidR="00C36AB6" w:rsidRDefault="00851D29" w:rsidP="00C36AB6">
            <w:pPr>
              <w:pStyle w:val="Contactinfo"/>
            </w:pPr>
            <w:hyperlink r:id="rId17" w:history="1">
              <w:r w:rsidR="00C36AB6" w:rsidRPr="0005597B">
                <w:rPr>
                  <w:rStyle w:val="Hyperlink"/>
                  <w:sz w:val="22"/>
                </w:rPr>
                <w:t>randy.gunn@navigant.com</w:t>
              </w:r>
            </w:hyperlink>
            <w:r w:rsidR="00C36AB6">
              <w:t xml:space="preserve"> </w:t>
            </w:r>
          </w:p>
          <w:p w14:paraId="3BA2CF81" w14:textId="77777777" w:rsidR="00C36AB6" w:rsidRPr="00AF590B" w:rsidRDefault="00C36AB6" w:rsidP="00C36AB6">
            <w:pPr>
              <w:pStyle w:val="Contactinfo"/>
            </w:pPr>
            <w:r>
              <w:t xml:space="preserve"> </w:t>
            </w:r>
          </w:p>
        </w:tc>
        <w:tc>
          <w:tcPr>
            <w:tcW w:w="4752" w:type="dxa"/>
          </w:tcPr>
          <w:p w14:paraId="6FFF545D" w14:textId="77777777" w:rsidR="00C36AB6" w:rsidRDefault="00C36AB6" w:rsidP="00C36AB6">
            <w:pPr>
              <w:pStyle w:val="Contactinfo"/>
            </w:pPr>
            <w:r>
              <w:t>Charley Budd,</w:t>
            </w:r>
            <w:r w:rsidRPr="00A37724">
              <w:t xml:space="preserve"> </w:t>
            </w:r>
            <w:r>
              <w:t>Director</w:t>
            </w:r>
          </w:p>
          <w:p w14:paraId="31545F15" w14:textId="77777777" w:rsidR="00C36AB6" w:rsidRDefault="00C36AB6" w:rsidP="00C36AB6">
            <w:pPr>
              <w:pStyle w:val="Contactinfo"/>
            </w:pPr>
            <w:r>
              <w:t>312.583.4135</w:t>
            </w:r>
          </w:p>
          <w:p w14:paraId="0CD086AB" w14:textId="77777777" w:rsidR="00C36AB6" w:rsidRDefault="00851D29" w:rsidP="00C36AB6">
            <w:pPr>
              <w:pStyle w:val="Contactinfo"/>
            </w:pPr>
            <w:hyperlink r:id="rId18" w:history="1">
              <w:r w:rsidR="00C36AB6" w:rsidRPr="00392E49">
                <w:rPr>
                  <w:rStyle w:val="Hyperlink"/>
                  <w:sz w:val="22"/>
                </w:rPr>
                <w:t>charley.budd@navigant.com</w:t>
              </w:r>
            </w:hyperlink>
            <w:r w:rsidR="00C36AB6">
              <w:t xml:space="preserve"> </w:t>
            </w:r>
          </w:p>
          <w:p w14:paraId="36CB0006" w14:textId="77777777" w:rsidR="00C36AB6" w:rsidRPr="00AF590B" w:rsidRDefault="00C36AB6" w:rsidP="00C36AB6">
            <w:pPr>
              <w:pStyle w:val="Contactinfo"/>
            </w:pPr>
          </w:p>
        </w:tc>
      </w:tr>
    </w:tbl>
    <w:p w14:paraId="5DC7134C" w14:textId="77777777" w:rsidR="00C36AB6" w:rsidRDefault="00C36AB6" w:rsidP="00C36AB6"/>
    <w:p w14:paraId="393C3755" w14:textId="77777777" w:rsidR="00C36AB6" w:rsidRDefault="00C36AB6" w:rsidP="00C36AB6"/>
    <w:p w14:paraId="562380DC" w14:textId="77777777" w:rsidR="00C36AB6" w:rsidRDefault="00C36AB6" w:rsidP="00C36AB6"/>
    <w:p w14:paraId="2B134E9E" w14:textId="77777777" w:rsidR="00C36AB6" w:rsidRDefault="00C36AB6" w:rsidP="00C36AB6"/>
    <w:p w14:paraId="1EBBBCF2" w14:textId="77777777" w:rsidR="00C36AB6" w:rsidRDefault="00C36AB6" w:rsidP="00C36AB6"/>
    <w:p w14:paraId="234C5693" w14:textId="77777777" w:rsidR="00C36AB6" w:rsidRPr="00A90B62" w:rsidRDefault="00C36AB6" w:rsidP="00C36AB6">
      <w:pPr>
        <w:rPr>
          <w:szCs w:val="22"/>
        </w:rPr>
      </w:pPr>
      <w:r w:rsidRPr="005921AF">
        <w:t xml:space="preserve">Disclaimer: This report was prepared by Navigant Consulting, Inc. (“Navigant”) for </w:t>
      </w:r>
      <w:r>
        <w:t xml:space="preserve">Nicor Gas </w:t>
      </w:r>
      <w:r w:rsidRPr="005921AF">
        <w:t xml:space="preserve">based upon information provided by </w:t>
      </w:r>
      <w:r>
        <w:t xml:space="preserve">Nicor Gas </w:t>
      </w:r>
      <w:r w:rsidRPr="005921AF">
        <w:t>and from other sources. Use of this report by any other party for whatever purpose should not, and does not, absolve such party from using due diligence in verifying the report’s contents. Neither Navigant nor any of its subsidiaries or affiliates assumes any liability or duty of care to such parties, and hereby disclaims any such liability.</w:t>
      </w:r>
    </w:p>
    <w:p w14:paraId="42A203E5" w14:textId="77777777" w:rsidR="001412F5" w:rsidRPr="00702CC6" w:rsidRDefault="001412F5" w:rsidP="00B67238">
      <w:pPr>
        <w:pStyle w:val="TOCHeading"/>
        <w:rPr>
          <w:bCs/>
        </w:rPr>
      </w:pPr>
      <w:r w:rsidRPr="00702CC6">
        <w:lastRenderedPageBreak/>
        <w:t xml:space="preserve">Table of </w:t>
      </w:r>
      <w:r w:rsidRPr="00B67238">
        <w:t>Contents</w:t>
      </w:r>
      <w:bookmarkEnd w:id="1"/>
    </w:p>
    <w:p w14:paraId="67DA9AD9" w14:textId="77777777" w:rsidR="00361187" w:rsidRDefault="007B2FBD">
      <w:pPr>
        <w:pStyle w:val="TOC1"/>
        <w:rPr>
          <w:rFonts w:asciiTheme="minorHAnsi" w:eastAsiaTheme="minorEastAsia" w:hAnsiTheme="minorHAnsi" w:cstheme="minorBidi"/>
          <w:b w:val="0"/>
          <w:snapToGrid/>
          <w:sz w:val="22"/>
          <w:szCs w:val="22"/>
        </w:rPr>
      </w:pPr>
      <w:r>
        <w:fldChar w:fldCharType="begin"/>
      </w:r>
      <w:r>
        <w:instrText xml:space="preserve"> TOC \o "1-3" \h \z \t "Heading 5,1,Heading 6,2,Heading 7,1,Heading 8,2,Heading 9,3" </w:instrText>
      </w:r>
      <w:r>
        <w:fldChar w:fldCharType="separate"/>
      </w:r>
      <w:hyperlink w:anchor="_Toc440983210" w:history="1">
        <w:r w:rsidR="00361187" w:rsidRPr="005E3AFD">
          <w:rPr>
            <w:rStyle w:val="Hyperlink"/>
          </w:rPr>
          <w:t xml:space="preserve">E </w:t>
        </w:r>
        <w:r w:rsidR="00361187">
          <w:rPr>
            <w:rFonts w:asciiTheme="minorHAnsi" w:eastAsiaTheme="minorEastAsia" w:hAnsiTheme="minorHAnsi" w:cstheme="minorBidi"/>
            <w:b w:val="0"/>
            <w:snapToGrid/>
            <w:sz w:val="22"/>
            <w:szCs w:val="22"/>
          </w:rPr>
          <w:tab/>
        </w:r>
        <w:r w:rsidR="00361187" w:rsidRPr="005E3AFD">
          <w:rPr>
            <w:rStyle w:val="Hyperlink"/>
          </w:rPr>
          <w:t>Executive Summary</w:t>
        </w:r>
        <w:r w:rsidR="00361187">
          <w:rPr>
            <w:webHidden/>
          </w:rPr>
          <w:tab/>
        </w:r>
        <w:r w:rsidR="00361187">
          <w:rPr>
            <w:webHidden/>
          </w:rPr>
          <w:fldChar w:fldCharType="begin"/>
        </w:r>
        <w:r w:rsidR="00361187">
          <w:rPr>
            <w:webHidden/>
          </w:rPr>
          <w:instrText xml:space="preserve"> PAGEREF _Toc440983210 \h </w:instrText>
        </w:r>
        <w:r w:rsidR="00361187">
          <w:rPr>
            <w:webHidden/>
          </w:rPr>
        </w:r>
        <w:r w:rsidR="00361187">
          <w:rPr>
            <w:webHidden/>
          </w:rPr>
          <w:fldChar w:fldCharType="separate"/>
        </w:r>
        <w:r w:rsidR="00717B0E">
          <w:rPr>
            <w:webHidden/>
          </w:rPr>
          <w:t>1</w:t>
        </w:r>
        <w:r w:rsidR="00361187">
          <w:rPr>
            <w:webHidden/>
          </w:rPr>
          <w:fldChar w:fldCharType="end"/>
        </w:r>
      </w:hyperlink>
    </w:p>
    <w:p w14:paraId="4873620E" w14:textId="77777777" w:rsidR="00361187" w:rsidRDefault="00851D29">
      <w:pPr>
        <w:pStyle w:val="TOC2"/>
        <w:rPr>
          <w:rFonts w:asciiTheme="minorHAnsi" w:eastAsiaTheme="minorEastAsia" w:hAnsiTheme="minorHAnsi" w:cstheme="minorBidi"/>
          <w:sz w:val="22"/>
          <w:szCs w:val="22"/>
        </w:rPr>
      </w:pPr>
      <w:hyperlink w:anchor="_Toc440983211" w:history="1">
        <w:r w:rsidR="00361187" w:rsidRPr="005E3AFD">
          <w:rPr>
            <w:rStyle w:val="Hyperlink"/>
          </w:rPr>
          <w:t>E.1.</w:t>
        </w:r>
        <w:r w:rsidR="00361187">
          <w:rPr>
            <w:rFonts w:asciiTheme="minorHAnsi" w:eastAsiaTheme="minorEastAsia" w:hAnsiTheme="minorHAnsi" w:cstheme="minorBidi"/>
            <w:sz w:val="22"/>
            <w:szCs w:val="22"/>
          </w:rPr>
          <w:tab/>
        </w:r>
        <w:r w:rsidR="00361187" w:rsidRPr="005E3AFD">
          <w:rPr>
            <w:rStyle w:val="Hyperlink"/>
          </w:rPr>
          <w:t>Study Description</w:t>
        </w:r>
        <w:r w:rsidR="00361187">
          <w:rPr>
            <w:webHidden/>
          </w:rPr>
          <w:tab/>
        </w:r>
        <w:r w:rsidR="00361187">
          <w:rPr>
            <w:webHidden/>
          </w:rPr>
          <w:fldChar w:fldCharType="begin"/>
        </w:r>
        <w:r w:rsidR="00361187">
          <w:rPr>
            <w:webHidden/>
          </w:rPr>
          <w:instrText xml:space="preserve"> PAGEREF _Toc440983211 \h </w:instrText>
        </w:r>
        <w:r w:rsidR="00361187">
          <w:rPr>
            <w:webHidden/>
          </w:rPr>
        </w:r>
        <w:r w:rsidR="00361187">
          <w:rPr>
            <w:webHidden/>
          </w:rPr>
          <w:fldChar w:fldCharType="separate"/>
        </w:r>
        <w:r w:rsidR="00717B0E">
          <w:rPr>
            <w:webHidden/>
          </w:rPr>
          <w:t>1</w:t>
        </w:r>
        <w:r w:rsidR="00361187">
          <w:rPr>
            <w:webHidden/>
          </w:rPr>
          <w:fldChar w:fldCharType="end"/>
        </w:r>
      </w:hyperlink>
    </w:p>
    <w:p w14:paraId="0D858A28" w14:textId="77777777" w:rsidR="00361187" w:rsidRDefault="00851D29">
      <w:pPr>
        <w:pStyle w:val="TOC2"/>
        <w:rPr>
          <w:rFonts w:asciiTheme="minorHAnsi" w:eastAsiaTheme="minorEastAsia" w:hAnsiTheme="minorHAnsi" w:cstheme="minorBidi"/>
          <w:sz w:val="22"/>
          <w:szCs w:val="22"/>
        </w:rPr>
      </w:pPr>
      <w:hyperlink w:anchor="_Toc440983212" w:history="1">
        <w:r w:rsidR="00361187" w:rsidRPr="005E3AFD">
          <w:rPr>
            <w:rStyle w:val="Hyperlink"/>
          </w:rPr>
          <w:t>E.2.</w:t>
        </w:r>
        <w:r w:rsidR="00361187">
          <w:rPr>
            <w:rFonts w:asciiTheme="minorHAnsi" w:eastAsiaTheme="minorEastAsia" w:hAnsiTheme="minorHAnsi" w:cstheme="minorBidi"/>
            <w:sz w:val="22"/>
            <w:szCs w:val="22"/>
          </w:rPr>
          <w:tab/>
        </w:r>
        <w:r w:rsidR="00361187" w:rsidRPr="005E3AFD">
          <w:rPr>
            <w:rStyle w:val="Hyperlink"/>
          </w:rPr>
          <w:t>Summary of GPY3 Findings – October 2013 to September 2014</w:t>
        </w:r>
        <w:r w:rsidR="00361187">
          <w:rPr>
            <w:webHidden/>
          </w:rPr>
          <w:tab/>
        </w:r>
        <w:r w:rsidR="00361187">
          <w:rPr>
            <w:webHidden/>
          </w:rPr>
          <w:fldChar w:fldCharType="begin"/>
        </w:r>
        <w:r w:rsidR="00361187">
          <w:rPr>
            <w:webHidden/>
          </w:rPr>
          <w:instrText xml:space="preserve"> PAGEREF _Toc440983212 \h </w:instrText>
        </w:r>
        <w:r w:rsidR="00361187">
          <w:rPr>
            <w:webHidden/>
          </w:rPr>
        </w:r>
        <w:r w:rsidR="00361187">
          <w:rPr>
            <w:webHidden/>
          </w:rPr>
          <w:fldChar w:fldCharType="separate"/>
        </w:r>
        <w:r w:rsidR="00717B0E">
          <w:rPr>
            <w:webHidden/>
          </w:rPr>
          <w:t>1</w:t>
        </w:r>
        <w:r w:rsidR="00361187">
          <w:rPr>
            <w:webHidden/>
          </w:rPr>
          <w:fldChar w:fldCharType="end"/>
        </w:r>
      </w:hyperlink>
    </w:p>
    <w:p w14:paraId="5711D68E" w14:textId="77777777" w:rsidR="00361187" w:rsidRDefault="00851D29">
      <w:pPr>
        <w:pStyle w:val="TOC2"/>
        <w:rPr>
          <w:rFonts w:asciiTheme="minorHAnsi" w:eastAsiaTheme="minorEastAsia" w:hAnsiTheme="minorHAnsi" w:cstheme="minorBidi"/>
          <w:sz w:val="22"/>
          <w:szCs w:val="22"/>
        </w:rPr>
      </w:pPr>
      <w:hyperlink w:anchor="_Toc440983213" w:history="1">
        <w:r w:rsidR="00361187" w:rsidRPr="005E3AFD">
          <w:rPr>
            <w:rStyle w:val="Hyperlink"/>
          </w:rPr>
          <w:t>E.3.</w:t>
        </w:r>
        <w:r w:rsidR="00361187">
          <w:rPr>
            <w:rFonts w:asciiTheme="minorHAnsi" w:eastAsiaTheme="minorEastAsia" w:hAnsiTheme="minorHAnsi" w:cstheme="minorBidi"/>
            <w:sz w:val="22"/>
            <w:szCs w:val="22"/>
          </w:rPr>
          <w:tab/>
        </w:r>
        <w:r w:rsidR="00361187" w:rsidRPr="005E3AFD">
          <w:rPr>
            <w:rStyle w:val="Hyperlink"/>
          </w:rPr>
          <w:t>Part 1 Study Savings – October 2014 to March 2015</w:t>
        </w:r>
        <w:r w:rsidR="00361187">
          <w:rPr>
            <w:webHidden/>
          </w:rPr>
          <w:tab/>
        </w:r>
        <w:r w:rsidR="00361187">
          <w:rPr>
            <w:webHidden/>
          </w:rPr>
          <w:fldChar w:fldCharType="begin"/>
        </w:r>
        <w:r w:rsidR="00361187">
          <w:rPr>
            <w:webHidden/>
          </w:rPr>
          <w:instrText xml:space="preserve"> PAGEREF _Toc440983213 \h </w:instrText>
        </w:r>
        <w:r w:rsidR="00361187">
          <w:rPr>
            <w:webHidden/>
          </w:rPr>
        </w:r>
        <w:r w:rsidR="00361187">
          <w:rPr>
            <w:webHidden/>
          </w:rPr>
          <w:fldChar w:fldCharType="separate"/>
        </w:r>
        <w:r w:rsidR="00717B0E">
          <w:rPr>
            <w:webHidden/>
          </w:rPr>
          <w:t>2</w:t>
        </w:r>
        <w:r w:rsidR="00361187">
          <w:rPr>
            <w:webHidden/>
          </w:rPr>
          <w:fldChar w:fldCharType="end"/>
        </w:r>
      </w:hyperlink>
    </w:p>
    <w:p w14:paraId="6260DE00" w14:textId="77777777" w:rsidR="00361187" w:rsidRDefault="00851D29">
      <w:pPr>
        <w:pStyle w:val="TOC2"/>
        <w:rPr>
          <w:rFonts w:asciiTheme="minorHAnsi" w:eastAsiaTheme="minorEastAsia" w:hAnsiTheme="minorHAnsi" w:cstheme="minorBidi"/>
          <w:sz w:val="22"/>
          <w:szCs w:val="22"/>
        </w:rPr>
      </w:pPr>
      <w:hyperlink w:anchor="_Toc440983214" w:history="1">
        <w:r w:rsidR="00361187" w:rsidRPr="005E3AFD">
          <w:rPr>
            <w:rStyle w:val="Hyperlink"/>
          </w:rPr>
          <w:t>E.4.</w:t>
        </w:r>
        <w:r w:rsidR="00361187">
          <w:rPr>
            <w:rFonts w:asciiTheme="minorHAnsi" w:eastAsiaTheme="minorEastAsia" w:hAnsiTheme="minorHAnsi" w:cstheme="minorBidi"/>
            <w:sz w:val="22"/>
            <w:szCs w:val="22"/>
          </w:rPr>
          <w:tab/>
        </w:r>
        <w:r w:rsidR="00361187" w:rsidRPr="005E3AFD">
          <w:rPr>
            <w:rStyle w:val="Hyperlink"/>
          </w:rPr>
          <w:t>Part 2 Study Savings – April 2015 to September 2015</w:t>
        </w:r>
        <w:r w:rsidR="00361187">
          <w:rPr>
            <w:webHidden/>
          </w:rPr>
          <w:tab/>
        </w:r>
        <w:r w:rsidR="00361187">
          <w:rPr>
            <w:webHidden/>
          </w:rPr>
          <w:fldChar w:fldCharType="begin"/>
        </w:r>
        <w:r w:rsidR="00361187">
          <w:rPr>
            <w:webHidden/>
          </w:rPr>
          <w:instrText xml:space="preserve"> PAGEREF _Toc440983214 \h </w:instrText>
        </w:r>
        <w:r w:rsidR="00361187">
          <w:rPr>
            <w:webHidden/>
          </w:rPr>
        </w:r>
        <w:r w:rsidR="00361187">
          <w:rPr>
            <w:webHidden/>
          </w:rPr>
          <w:fldChar w:fldCharType="separate"/>
        </w:r>
        <w:r w:rsidR="00717B0E">
          <w:rPr>
            <w:webHidden/>
          </w:rPr>
          <w:t>2</w:t>
        </w:r>
        <w:r w:rsidR="00361187">
          <w:rPr>
            <w:webHidden/>
          </w:rPr>
          <w:fldChar w:fldCharType="end"/>
        </w:r>
      </w:hyperlink>
    </w:p>
    <w:p w14:paraId="39318CBA" w14:textId="77777777" w:rsidR="00361187" w:rsidRDefault="00851D29">
      <w:pPr>
        <w:pStyle w:val="TOC2"/>
        <w:rPr>
          <w:rFonts w:asciiTheme="minorHAnsi" w:eastAsiaTheme="minorEastAsia" w:hAnsiTheme="minorHAnsi" w:cstheme="minorBidi"/>
          <w:sz w:val="22"/>
          <w:szCs w:val="22"/>
        </w:rPr>
      </w:pPr>
      <w:hyperlink w:anchor="_Toc440983215" w:history="1">
        <w:r w:rsidR="00361187" w:rsidRPr="005E3AFD">
          <w:rPr>
            <w:rStyle w:val="Hyperlink"/>
          </w:rPr>
          <w:t>E.5. Annual Savings Decay Rate</w:t>
        </w:r>
        <w:r w:rsidR="00361187">
          <w:rPr>
            <w:webHidden/>
          </w:rPr>
          <w:tab/>
        </w:r>
        <w:r w:rsidR="00361187">
          <w:rPr>
            <w:webHidden/>
          </w:rPr>
          <w:fldChar w:fldCharType="begin"/>
        </w:r>
        <w:r w:rsidR="00361187">
          <w:rPr>
            <w:webHidden/>
          </w:rPr>
          <w:instrText xml:space="preserve"> PAGEREF _Toc440983215 \h </w:instrText>
        </w:r>
        <w:r w:rsidR="00361187">
          <w:rPr>
            <w:webHidden/>
          </w:rPr>
        </w:r>
        <w:r w:rsidR="00361187">
          <w:rPr>
            <w:webHidden/>
          </w:rPr>
          <w:fldChar w:fldCharType="separate"/>
        </w:r>
        <w:r w:rsidR="00717B0E">
          <w:rPr>
            <w:webHidden/>
          </w:rPr>
          <w:t>3</w:t>
        </w:r>
        <w:r w:rsidR="00361187">
          <w:rPr>
            <w:webHidden/>
          </w:rPr>
          <w:fldChar w:fldCharType="end"/>
        </w:r>
      </w:hyperlink>
    </w:p>
    <w:p w14:paraId="3CF09689" w14:textId="77777777" w:rsidR="00361187" w:rsidRDefault="00851D29">
      <w:pPr>
        <w:pStyle w:val="TOC2"/>
        <w:rPr>
          <w:rFonts w:asciiTheme="minorHAnsi" w:eastAsiaTheme="minorEastAsia" w:hAnsiTheme="minorHAnsi" w:cstheme="minorBidi"/>
          <w:sz w:val="22"/>
          <w:szCs w:val="22"/>
        </w:rPr>
      </w:pPr>
      <w:hyperlink w:anchor="_Toc440983216" w:history="1">
        <w:r w:rsidR="00361187" w:rsidRPr="005E3AFD">
          <w:rPr>
            <w:rStyle w:val="Hyperlink"/>
          </w:rPr>
          <w:t>E.6 Key Findings and Recommendations</w:t>
        </w:r>
        <w:r w:rsidR="00361187">
          <w:rPr>
            <w:webHidden/>
          </w:rPr>
          <w:tab/>
        </w:r>
        <w:r w:rsidR="00361187">
          <w:rPr>
            <w:webHidden/>
          </w:rPr>
          <w:fldChar w:fldCharType="begin"/>
        </w:r>
        <w:r w:rsidR="00361187">
          <w:rPr>
            <w:webHidden/>
          </w:rPr>
          <w:instrText xml:space="preserve"> PAGEREF _Toc440983216 \h </w:instrText>
        </w:r>
        <w:r w:rsidR="00361187">
          <w:rPr>
            <w:webHidden/>
          </w:rPr>
        </w:r>
        <w:r w:rsidR="00361187">
          <w:rPr>
            <w:webHidden/>
          </w:rPr>
          <w:fldChar w:fldCharType="separate"/>
        </w:r>
        <w:r w:rsidR="00717B0E">
          <w:rPr>
            <w:webHidden/>
          </w:rPr>
          <w:t>3</w:t>
        </w:r>
        <w:r w:rsidR="00361187">
          <w:rPr>
            <w:webHidden/>
          </w:rPr>
          <w:fldChar w:fldCharType="end"/>
        </w:r>
      </w:hyperlink>
    </w:p>
    <w:p w14:paraId="74CBCCE0" w14:textId="77777777" w:rsidR="00361187" w:rsidRDefault="00851D29">
      <w:pPr>
        <w:pStyle w:val="TOC1"/>
        <w:rPr>
          <w:rFonts w:asciiTheme="minorHAnsi" w:eastAsiaTheme="minorEastAsia" w:hAnsiTheme="minorHAnsi" w:cstheme="minorBidi"/>
          <w:b w:val="0"/>
          <w:snapToGrid/>
          <w:sz w:val="22"/>
          <w:szCs w:val="22"/>
        </w:rPr>
      </w:pPr>
      <w:hyperlink w:anchor="_Toc440983217" w:history="1">
        <w:r w:rsidR="00361187" w:rsidRPr="005E3AFD">
          <w:rPr>
            <w:rStyle w:val="Hyperlink"/>
          </w:rPr>
          <w:t>1. Introduction</w:t>
        </w:r>
        <w:r w:rsidR="00361187">
          <w:rPr>
            <w:webHidden/>
          </w:rPr>
          <w:tab/>
        </w:r>
        <w:r w:rsidR="00361187">
          <w:rPr>
            <w:webHidden/>
          </w:rPr>
          <w:fldChar w:fldCharType="begin"/>
        </w:r>
        <w:r w:rsidR="00361187">
          <w:rPr>
            <w:webHidden/>
          </w:rPr>
          <w:instrText xml:space="preserve"> PAGEREF _Toc440983217 \h </w:instrText>
        </w:r>
        <w:r w:rsidR="00361187">
          <w:rPr>
            <w:webHidden/>
          </w:rPr>
        </w:r>
        <w:r w:rsidR="00361187">
          <w:rPr>
            <w:webHidden/>
          </w:rPr>
          <w:fldChar w:fldCharType="separate"/>
        </w:r>
        <w:r w:rsidR="00717B0E">
          <w:rPr>
            <w:webHidden/>
          </w:rPr>
          <w:t>4</w:t>
        </w:r>
        <w:r w:rsidR="00361187">
          <w:rPr>
            <w:webHidden/>
          </w:rPr>
          <w:fldChar w:fldCharType="end"/>
        </w:r>
      </w:hyperlink>
    </w:p>
    <w:p w14:paraId="497F95AD" w14:textId="77777777" w:rsidR="00361187" w:rsidRDefault="00851D29">
      <w:pPr>
        <w:pStyle w:val="TOC2"/>
        <w:rPr>
          <w:rFonts w:asciiTheme="minorHAnsi" w:eastAsiaTheme="minorEastAsia" w:hAnsiTheme="minorHAnsi" w:cstheme="minorBidi"/>
          <w:sz w:val="22"/>
          <w:szCs w:val="22"/>
        </w:rPr>
      </w:pPr>
      <w:hyperlink w:anchor="_Toc440983218" w:history="1">
        <w:r w:rsidR="00361187" w:rsidRPr="005E3AFD">
          <w:rPr>
            <w:rStyle w:val="Hyperlink"/>
          </w:rPr>
          <w:t>1.1 Study Description</w:t>
        </w:r>
        <w:r w:rsidR="00361187">
          <w:rPr>
            <w:webHidden/>
          </w:rPr>
          <w:tab/>
        </w:r>
        <w:r w:rsidR="00361187">
          <w:rPr>
            <w:webHidden/>
          </w:rPr>
          <w:fldChar w:fldCharType="begin"/>
        </w:r>
        <w:r w:rsidR="00361187">
          <w:rPr>
            <w:webHidden/>
          </w:rPr>
          <w:instrText xml:space="preserve"> PAGEREF _Toc440983218 \h </w:instrText>
        </w:r>
        <w:r w:rsidR="00361187">
          <w:rPr>
            <w:webHidden/>
          </w:rPr>
        </w:r>
        <w:r w:rsidR="00361187">
          <w:rPr>
            <w:webHidden/>
          </w:rPr>
          <w:fldChar w:fldCharType="separate"/>
        </w:r>
        <w:r w:rsidR="00717B0E">
          <w:rPr>
            <w:webHidden/>
          </w:rPr>
          <w:t>4</w:t>
        </w:r>
        <w:r w:rsidR="00361187">
          <w:rPr>
            <w:webHidden/>
          </w:rPr>
          <w:fldChar w:fldCharType="end"/>
        </w:r>
      </w:hyperlink>
    </w:p>
    <w:p w14:paraId="3E9DE1B1" w14:textId="77777777" w:rsidR="00361187" w:rsidRDefault="00851D29">
      <w:pPr>
        <w:pStyle w:val="TOC3"/>
        <w:rPr>
          <w:rFonts w:asciiTheme="minorHAnsi" w:hAnsiTheme="minorHAnsi"/>
          <w:sz w:val="22"/>
          <w:szCs w:val="22"/>
        </w:rPr>
      </w:pPr>
      <w:hyperlink w:anchor="_Toc440983219" w:history="1">
        <w:r w:rsidR="00361187" w:rsidRPr="005E3AFD">
          <w:rPr>
            <w:rStyle w:val="Hyperlink"/>
            <w:rFonts w:ascii="Arial Bold" w:hAnsi="Arial Bold"/>
          </w:rPr>
          <w:t>1.1.1</w:t>
        </w:r>
        <w:r w:rsidR="00361187" w:rsidRPr="005E3AFD">
          <w:rPr>
            <w:rStyle w:val="Hyperlink"/>
          </w:rPr>
          <w:t xml:space="preserve"> Home Energy Report Persistence Study Description</w:t>
        </w:r>
        <w:r w:rsidR="00361187">
          <w:rPr>
            <w:webHidden/>
          </w:rPr>
          <w:tab/>
        </w:r>
        <w:r w:rsidR="00361187">
          <w:rPr>
            <w:webHidden/>
          </w:rPr>
          <w:fldChar w:fldCharType="begin"/>
        </w:r>
        <w:r w:rsidR="00361187">
          <w:rPr>
            <w:webHidden/>
          </w:rPr>
          <w:instrText xml:space="preserve"> PAGEREF _Toc440983219 \h </w:instrText>
        </w:r>
        <w:r w:rsidR="00361187">
          <w:rPr>
            <w:webHidden/>
          </w:rPr>
        </w:r>
        <w:r w:rsidR="00361187">
          <w:rPr>
            <w:webHidden/>
          </w:rPr>
          <w:fldChar w:fldCharType="separate"/>
        </w:r>
        <w:r w:rsidR="00717B0E">
          <w:rPr>
            <w:webHidden/>
          </w:rPr>
          <w:t>4</w:t>
        </w:r>
        <w:r w:rsidR="00361187">
          <w:rPr>
            <w:webHidden/>
          </w:rPr>
          <w:fldChar w:fldCharType="end"/>
        </w:r>
      </w:hyperlink>
    </w:p>
    <w:p w14:paraId="49E826F5" w14:textId="77777777" w:rsidR="00361187" w:rsidRDefault="00851D29">
      <w:pPr>
        <w:pStyle w:val="TOC2"/>
        <w:rPr>
          <w:rFonts w:asciiTheme="minorHAnsi" w:eastAsiaTheme="minorEastAsia" w:hAnsiTheme="minorHAnsi" w:cstheme="minorBidi"/>
          <w:sz w:val="22"/>
          <w:szCs w:val="22"/>
        </w:rPr>
      </w:pPr>
      <w:hyperlink w:anchor="_Toc440983220" w:history="1">
        <w:r w:rsidR="00361187" w:rsidRPr="005E3AFD">
          <w:rPr>
            <w:rStyle w:val="Hyperlink"/>
          </w:rPr>
          <w:t>1.2 Summary of GPY3 Findings</w:t>
        </w:r>
        <w:r w:rsidR="00361187">
          <w:rPr>
            <w:webHidden/>
          </w:rPr>
          <w:tab/>
        </w:r>
        <w:r w:rsidR="00361187">
          <w:rPr>
            <w:webHidden/>
          </w:rPr>
          <w:fldChar w:fldCharType="begin"/>
        </w:r>
        <w:r w:rsidR="00361187">
          <w:rPr>
            <w:webHidden/>
          </w:rPr>
          <w:instrText xml:space="preserve"> PAGEREF _Toc440983220 \h </w:instrText>
        </w:r>
        <w:r w:rsidR="00361187">
          <w:rPr>
            <w:webHidden/>
          </w:rPr>
        </w:r>
        <w:r w:rsidR="00361187">
          <w:rPr>
            <w:webHidden/>
          </w:rPr>
          <w:fldChar w:fldCharType="separate"/>
        </w:r>
        <w:r w:rsidR="00717B0E">
          <w:rPr>
            <w:webHidden/>
          </w:rPr>
          <w:t>4</w:t>
        </w:r>
        <w:r w:rsidR="00361187">
          <w:rPr>
            <w:webHidden/>
          </w:rPr>
          <w:fldChar w:fldCharType="end"/>
        </w:r>
      </w:hyperlink>
    </w:p>
    <w:p w14:paraId="6A2B4ECE" w14:textId="77777777" w:rsidR="00361187" w:rsidRDefault="00851D29">
      <w:pPr>
        <w:pStyle w:val="TOC2"/>
        <w:rPr>
          <w:rFonts w:asciiTheme="minorHAnsi" w:eastAsiaTheme="minorEastAsia" w:hAnsiTheme="minorHAnsi" w:cstheme="minorBidi"/>
          <w:sz w:val="22"/>
          <w:szCs w:val="22"/>
        </w:rPr>
      </w:pPr>
      <w:hyperlink w:anchor="_Toc440983221" w:history="1">
        <w:r w:rsidR="00361187" w:rsidRPr="005E3AFD">
          <w:rPr>
            <w:rStyle w:val="Hyperlink"/>
          </w:rPr>
          <w:t>1.3 Part 1 Study Savings – October 2014 to March 2015</w:t>
        </w:r>
        <w:r w:rsidR="00361187">
          <w:rPr>
            <w:webHidden/>
          </w:rPr>
          <w:tab/>
        </w:r>
        <w:r w:rsidR="00361187">
          <w:rPr>
            <w:webHidden/>
          </w:rPr>
          <w:fldChar w:fldCharType="begin"/>
        </w:r>
        <w:r w:rsidR="00361187">
          <w:rPr>
            <w:webHidden/>
          </w:rPr>
          <w:instrText xml:space="preserve"> PAGEREF _Toc440983221 \h </w:instrText>
        </w:r>
        <w:r w:rsidR="00361187">
          <w:rPr>
            <w:webHidden/>
          </w:rPr>
        </w:r>
        <w:r w:rsidR="00361187">
          <w:rPr>
            <w:webHidden/>
          </w:rPr>
          <w:fldChar w:fldCharType="separate"/>
        </w:r>
        <w:r w:rsidR="00717B0E">
          <w:rPr>
            <w:webHidden/>
          </w:rPr>
          <w:t>5</w:t>
        </w:r>
        <w:r w:rsidR="00361187">
          <w:rPr>
            <w:webHidden/>
          </w:rPr>
          <w:fldChar w:fldCharType="end"/>
        </w:r>
      </w:hyperlink>
    </w:p>
    <w:p w14:paraId="1A7B31D2" w14:textId="77777777" w:rsidR="00361187" w:rsidRDefault="00851D29">
      <w:pPr>
        <w:pStyle w:val="TOC2"/>
        <w:rPr>
          <w:rFonts w:asciiTheme="minorHAnsi" w:eastAsiaTheme="minorEastAsia" w:hAnsiTheme="minorHAnsi" w:cstheme="minorBidi"/>
          <w:sz w:val="22"/>
          <w:szCs w:val="22"/>
        </w:rPr>
      </w:pPr>
      <w:hyperlink w:anchor="_Toc440983222" w:history="1">
        <w:r w:rsidR="00361187" w:rsidRPr="005E3AFD">
          <w:rPr>
            <w:rStyle w:val="Hyperlink"/>
          </w:rPr>
          <w:t>1.4 Study Objectives</w:t>
        </w:r>
        <w:r w:rsidR="00361187">
          <w:rPr>
            <w:webHidden/>
          </w:rPr>
          <w:tab/>
        </w:r>
        <w:r w:rsidR="00361187">
          <w:rPr>
            <w:webHidden/>
          </w:rPr>
          <w:fldChar w:fldCharType="begin"/>
        </w:r>
        <w:r w:rsidR="00361187">
          <w:rPr>
            <w:webHidden/>
          </w:rPr>
          <w:instrText xml:space="preserve"> PAGEREF _Toc440983222 \h </w:instrText>
        </w:r>
        <w:r w:rsidR="00361187">
          <w:rPr>
            <w:webHidden/>
          </w:rPr>
        </w:r>
        <w:r w:rsidR="00361187">
          <w:rPr>
            <w:webHidden/>
          </w:rPr>
          <w:fldChar w:fldCharType="separate"/>
        </w:r>
        <w:r w:rsidR="00717B0E">
          <w:rPr>
            <w:webHidden/>
          </w:rPr>
          <w:t>5</w:t>
        </w:r>
        <w:r w:rsidR="00361187">
          <w:rPr>
            <w:webHidden/>
          </w:rPr>
          <w:fldChar w:fldCharType="end"/>
        </w:r>
      </w:hyperlink>
    </w:p>
    <w:p w14:paraId="0332F7DF" w14:textId="77777777" w:rsidR="00361187" w:rsidRDefault="00851D29">
      <w:pPr>
        <w:pStyle w:val="TOC1"/>
        <w:rPr>
          <w:rFonts w:asciiTheme="minorHAnsi" w:eastAsiaTheme="minorEastAsia" w:hAnsiTheme="minorHAnsi" w:cstheme="minorBidi"/>
          <w:b w:val="0"/>
          <w:snapToGrid/>
          <w:sz w:val="22"/>
          <w:szCs w:val="22"/>
        </w:rPr>
      </w:pPr>
      <w:hyperlink w:anchor="_Toc440983223" w:history="1">
        <w:r w:rsidR="00361187" w:rsidRPr="005E3AFD">
          <w:rPr>
            <w:rStyle w:val="Hyperlink"/>
          </w:rPr>
          <w:t>2. Study Approach</w:t>
        </w:r>
        <w:r w:rsidR="00361187">
          <w:rPr>
            <w:webHidden/>
          </w:rPr>
          <w:tab/>
        </w:r>
        <w:r w:rsidR="00361187">
          <w:rPr>
            <w:webHidden/>
          </w:rPr>
          <w:fldChar w:fldCharType="begin"/>
        </w:r>
        <w:r w:rsidR="00361187">
          <w:rPr>
            <w:webHidden/>
          </w:rPr>
          <w:instrText xml:space="preserve"> PAGEREF _Toc440983223 \h </w:instrText>
        </w:r>
        <w:r w:rsidR="00361187">
          <w:rPr>
            <w:webHidden/>
          </w:rPr>
        </w:r>
        <w:r w:rsidR="00361187">
          <w:rPr>
            <w:webHidden/>
          </w:rPr>
          <w:fldChar w:fldCharType="separate"/>
        </w:r>
        <w:r w:rsidR="00717B0E">
          <w:rPr>
            <w:webHidden/>
          </w:rPr>
          <w:t>6</w:t>
        </w:r>
        <w:r w:rsidR="00361187">
          <w:rPr>
            <w:webHidden/>
          </w:rPr>
          <w:fldChar w:fldCharType="end"/>
        </w:r>
      </w:hyperlink>
    </w:p>
    <w:p w14:paraId="555BCA6D" w14:textId="77777777" w:rsidR="00361187" w:rsidRDefault="00851D29">
      <w:pPr>
        <w:pStyle w:val="TOC2"/>
        <w:rPr>
          <w:rFonts w:asciiTheme="minorHAnsi" w:eastAsiaTheme="minorEastAsia" w:hAnsiTheme="minorHAnsi" w:cstheme="minorBidi"/>
          <w:sz w:val="22"/>
          <w:szCs w:val="22"/>
        </w:rPr>
      </w:pPr>
      <w:hyperlink w:anchor="_Toc440983224" w:history="1">
        <w:r w:rsidR="00361187" w:rsidRPr="005E3AFD">
          <w:rPr>
            <w:rStyle w:val="Hyperlink"/>
          </w:rPr>
          <w:t>2.1 Home Energy Report Persistence Study Approach</w:t>
        </w:r>
        <w:r w:rsidR="00361187">
          <w:rPr>
            <w:webHidden/>
          </w:rPr>
          <w:tab/>
        </w:r>
        <w:r w:rsidR="00361187">
          <w:rPr>
            <w:webHidden/>
          </w:rPr>
          <w:fldChar w:fldCharType="begin"/>
        </w:r>
        <w:r w:rsidR="00361187">
          <w:rPr>
            <w:webHidden/>
          </w:rPr>
          <w:instrText xml:space="preserve"> PAGEREF _Toc440983224 \h </w:instrText>
        </w:r>
        <w:r w:rsidR="00361187">
          <w:rPr>
            <w:webHidden/>
          </w:rPr>
        </w:r>
        <w:r w:rsidR="00361187">
          <w:rPr>
            <w:webHidden/>
          </w:rPr>
          <w:fldChar w:fldCharType="separate"/>
        </w:r>
        <w:r w:rsidR="00717B0E">
          <w:rPr>
            <w:webHidden/>
          </w:rPr>
          <w:t>6</w:t>
        </w:r>
        <w:r w:rsidR="00361187">
          <w:rPr>
            <w:webHidden/>
          </w:rPr>
          <w:fldChar w:fldCharType="end"/>
        </w:r>
      </w:hyperlink>
    </w:p>
    <w:p w14:paraId="3D719C14" w14:textId="77777777" w:rsidR="00361187" w:rsidRDefault="00851D29">
      <w:pPr>
        <w:pStyle w:val="TOC3"/>
        <w:rPr>
          <w:rFonts w:asciiTheme="minorHAnsi" w:hAnsiTheme="minorHAnsi"/>
          <w:sz w:val="22"/>
          <w:szCs w:val="22"/>
        </w:rPr>
      </w:pPr>
      <w:hyperlink w:anchor="_Toc440983225" w:history="1">
        <w:r w:rsidR="00361187" w:rsidRPr="005E3AFD">
          <w:rPr>
            <w:rStyle w:val="Hyperlink"/>
            <w:rFonts w:ascii="Arial Bold" w:hAnsi="Arial Bold"/>
          </w:rPr>
          <w:t>2.1.1</w:t>
        </w:r>
        <w:r w:rsidR="00361187" w:rsidRPr="005E3AFD">
          <w:rPr>
            <w:rStyle w:val="Hyperlink"/>
          </w:rPr>
          <w:t xml:space="preserve"> Validation of Randomization</w:t>
        </w:r>
        <w:r w:rsidR="00361187">
          <w:rPr>
            <w:webHidden/>
          </w:rPr>
          <w:tab/>
        </w:r>
        <w:r w:rsidR="00361187">
          <w:rPr>
            <w:webHidden/>
          </w:rPr>
          <w:fldChar w:fldCharType="begin"/>
        </w:r>
        <w:r w:rsidR="00361187">
          <w:rPr>
            <w:webHidden/>
          </w:rPr>
          <w:instrText xml:space="preserve"> PAGEREF _Toc440983225 \h </w:instrText>
        </w:r>
        <w:r w:rsidR="00361187">
          <w:rPr>
            <w:webHidden/>
          </w:rPr>
        </w:r>
        <w:r w:rsidR="00361187">
          <w:rPr>
            <w:webHidden/>
          </w:rPr>
          <w:fldChar w:fldCharType="separate"/>
        </w:r>
        <w:r w:rsidR="00717B0E">
          <w:rPr>
            <w:webHidden/>
          </w:rPr>
          <w:t>6</w:t>
        </w:r>
        <w:r w:rsidR="00361187">
          <w:rPr>
            <w:webHidden/>
          </w:rPr>
          <w:fldChar w:fldCharType="end"/>
        </w:r>
      </w:hyperlink>
    </w:p>
    <w:p w14:paraId="4A7D8BFF" w14:textId="77777777" w:rsidR="00361187" w:rsidRDefault="00851D29">
      <w:pPr>
        <w:pStyle w:val="TOC3"/>
        <w:rPr>
          <w:rFonts w:asciiTheme="minorHAnsi" w:hAnsiTheme="minorHAnsi"/>
          <w:sz w:val="22"/>
          <w:szCs w:val="22"/>
        </w:rPr>
      </w:pPr>
      <w:hyperlink w:anchor="_Toc440983226" w:history="1">
        <w:r w:rsidR="00361187" w:rsidRPr="005E3AFD">
          <w:rPr>
            <w:rStyle w:val="Hyperlink"/>
            <w:rFonts w:ascii="Arial Bold" w:hAnsi="Arial Bold"/>
          </w:rPr>
          <w:t>2.1.2</w:t>
        </w:r>
        <w:r w:rsidR="00361187" w:rsidRPr="005E3AFD">
          <w:rPr>
            <w:rStyle w:val="Hyperlink"/>
          </w:rPr>
          <w:t xml:space="preserve"> Statistical Models used in the Impact Findings</w:t>
        </w:r>
        <w:r w:rsidR="00361187">
          <w:rPr>
            <w:webHidden/>
          </w:rPr>
          <w:tab/>
        </w:r>
        <w:r w:rsidR="00361187">
          <w:rPr>
            <w:webHidden/>
          </w:rPr>
          <w:fldChar w:fldCharType="begin"/>
        </w:r>
        <w:r w:rsidR="00361187">
          <w:rPr>
            <w:webHidden/>
          </w:rPr>
          <w:instrText xml:space="preserve"> PAGEREF _Toc440983226 \h </w:instrText>
        </w:r>
        <w:r w:rsidR="00361187">
          <w:rPr>
            <w:webHidden/>
          </w:rPr>
        </w:r>
        <w:r w:rsidR="00361187">
          <w:rPr>
            <w:webHidden/>
          </w:rPr>
          <w:fldChar w:fldCharType="separate"/>
        </w:r>
        <w:r w:rsidR="00717B0E">
          <w:rPr>
            <w:webHidden/>
          </w:rPr>
          <w:t>6</w:t>
        </w:r>
        <w:r w:rsidR="00361187">
          <w:rPr>
            <w:webHidden/>
          </w:rPr>
          <w:fldChar w:fldCharType="end"/>
        </w:r>
      </w:hyperlink>
    </w:p>
    <w:p w14:paraId="4D70A295" w14:textId="77777777" w:rsidR="00361187" w:rsidRDefault="00851D29">
      <w:pPr>
        <w:pStyle w:val="TOC3"/>
        <w:rPr>
          <w:rFonts w:asciiTheme="minorHAnsi" w:hAnsiTheme="minorHAnsi"/>
          <w:sz w:val="22"/>
          <w:szCs w:val="22"/>
        </w:rPr>
      </w:pPr>
      <w:hyperlink w:anchor="_Toc440983227" w:history="1">
        <w:r w:rsidR="00361187" w:rsidRPr="005E3AFD">
          <w:rPr>
            <w:rStyle w:val="Hyperlink"/>
            <w:rFonts w:ascii="Arial Bold" w:hAnsi="Arial Bold"/>
          </w:rPr>
          <w:t>2.1.3</w:t>
        </w:r>
        <w:r w:rsidR="00361187" w:rsidRPr="005E3AFD">
          <w:rPr>
            <w:rStyle w:val="Hyperlink"/>
          </w:rPr>
          <w:t xml:space="preserve"> Accounting for Uplift</w:t>
        </w:r>
        <w:r w:rsidR="00361187">
          <w:rPr>
            <w:webHidden/>
          </w:rPr>
          <w:tab/>
        </w:r>
        <w:r w:rsidR="00361187">
          <w:rPr>
            <w:webHidden/>
          </w:rPr>
          <w:fldChar w:fldCharType="begin"/>
        </w:r>
        <w:r w:rsidR="00361187">
          <w:rPr>
            <w:webHidden/>
          </w:rPr>
          <w:instrText xml:space="preserve"> PAGEREF _Toc440983227 \h </w:instrText>
        </w:r>
        <w:r w:rsidR="00361187">
          <w:rPr>
            <w:webHidden/>
          </w:rPr>
        </w:r>
        <w:r w:rsidR="00361187">
          <w:rPr>
            <w:webHidden/>
          </w:rPr>
          <w:fldChar w:fldCharType="separate"/>
        </w:r>
        <w:r w:rsidR="00717B0E">
          <w:rPr>
            <w:webHidden/>
          </w:rPr>
          <w:t>8</w:t>
        </w:r>
        <w:r w:rsidR="00361187">
          <w:rPr>
            <w:webHidden/>
          </w:rPr>
          <w:fldChar w:fldCharType="end"/>
        </w:r>
      </w:hyperlink>
    </w:p>
    <w:p w14:paraId="751A0C03" w14:textId="77777777" w:rsidR="00361187" w:rsidRDefault="00851D29">
      <w:pPr>
        <w:pStyle w:val="TOC3"/>
        <w:rPr>
          <w:rFonts w:asciiTheme="minorHAnsi" w:hAnsiTheme="minorHAnsi"/>
          <w:sz w:val="22"/>
          <w:szCs w:val="22"/>
        </w:rPr>
      </w:pPr>
      <w:hyperlink w:anchor="_Toc440983228" w:history="1">
        <w:r w:rsidR="00361187" w:rsidRPr="005E3AFD">
          <w:rPr>
            <w:rStyle w:val="Hyperlink"/>
            <w:rFonts w:ascii="Arial Bold" w:hAnsi="Arial Bold"/>
          </w:rPr>
          <w:t>2.1.4</w:t>
        </w:r>
        <w:r w:rsidR="00361187" w:rsidRPr="005E3AFD">
          <w:rPr>
            <w:rStyle w:val="Hyperlink"/>
          </w:rPr>
          <w:t xml:space="preserve"> Estimating Decay</w:t>
        </w:r>
        <w:r w:rsidR="00361187">
          <w:rPr>
            <w:webHidden/>
          </w:rPr>
          <w:tab/>
        </w:r>
        <w:r w:rsidR="00361187">
          <w:rPr>
            <w:webHidden/>
          </w:rPr>
          <w:fldChar w:fldCharType="begin"/>
        </w:r>
        <w:r w:rsidR="00361187">
          <w:rPr>
            <w:webHidden/>
          </w:rPr>
          <w:instrText xml:space="preserve"> PAGEREF _Toc440983228 \h </w:instrText>
        </w:r>
        <w:r w:rsidR="00361187">
          <w:rPr>
            <w:webHidden/>
          </w:rPr>
        </w:r>
        <w:r w:rsidR="00361187">
          <w:rPr>
            <w:webHidden/>
          </w:rPr>
          <w:fldChar w:fldCharType="separate"/>
        </w:r>
        <w:r w:rsidR="00717B0E">
          <w:rPr>
            <w:webHidden/>
          </w:rPr>
          <w:t>8</w:t>
        </w:r>
        <w:r w:rsidR="00361187">
          <w:rPr>
            <w:webHidden/>
          </w:rPr>
          <w:fldChar w:fldCharType="end"/>
        </w:r>
      </w:hyperlink>
    </w:p>
    <w:p w14:paraId="034BBFC9" w14:textId="77777777" w:rsidR="00361187" w:rsidRDefault="00851D29">
      <w:pPr>
        <w:pStyle w:val="TOC3"/>
        <w:rPr>
          <w:rFonts w:asciiTheme="minorHAnsi" w:hAnsiTheme="minorHAnsi"/>
          <w:sz w:val="22"/>
          <w:szCs w:val="22"/>
        </w:rPr>
      </w:pPr>
      <w:hyperlink w:anchor="_Toc440983229" w:history="1">
        <w:r w:rsidR="00361187" w:rsidRPr="005E3AFD">
          <w:rPr>
            <w:rStyle w:val="Hyperlink"/>
            <w:rFonts w:ascii="Arial Bold" w:hAnsi="Arial Bold"/>
          </w:rPr>
          <w:t>2.1.5</w:t>
        </w:r>
        <w:r w:rsidR="00361187" w:rsidRPr="005E3AFD">
          <w:rPr>
            <w:rStyle w:val="Hyperlink"/>
          </w:rPr>
          <w:t xml:space="preserve"> Data</w:t>
        </w:r>
        <w:r w:rsidR="00361187">
          <w:rPr>
            <w:webHidden/>
          </w:rPr>
          <w:tab/>
        </w:r>
        <w:r w:rsidR="00361187">
          <w:rPr>
            <w:webHidden/>
          </w:rPr>
          <w:fldChar w:fldCharType="begin"/>
        </w:r>
        <w:r w:rsidR="00361187">
          <w:rPr>
            <w:webHidden/>
          </w:rPr>
          <w:instrText xml:space="preserve"> PAGEREF _Toc440983229 \h </w:instrText>
        </w:r>
        <w:r w:rsidR="00361187">
          <w:rPr>
            <w:webHidden/>
          </w:rPr>
        </w:r>
        <w:r w:rsidR="00361187">
          <w:rPr>
            <w:webHidden/>
          </w:rPr>
          <w:fldChar w:fldCharType="separate"/>
        </w:r>
        <w:r w:rsidR="00717B0E">
          <w:rPr>
            <w:webHidden/>
          </w:rPr>
          <w:t>9</w:t>
        </w:r>
        <w:r w:rsidR="00361187">
          <w:rPr>
            <w:webHidden/>
          </w:rPr>
          <w:fldChar w:fldCharType="end"/>
        </w:r>
      </w:hyperlink>
    </w:p>
    <w:p w14:paraId="0C093CB1" w14:textId="77777777" w:rsidR="00361187" w:rsidRDefault="00851D29">
      <w:pPr>
        <w:pStyle w:val="TOC1"/>
        <w:rPr>
          <w:rFonts w:asciiTheme="minorHAnsi" w:eastAsiaTheme="minorEastAsia" w:hAnsiTheme="minorHAnsi" w:cstheme="minorBidi"/>
          <w:b w:val="0"/>
          <w:snapToGrid/>
          <w:sz w:val="22"/>
          <w:szCs w:val="22"/>
        </w:rPr>
      </w:pPr>
      <w:hyperlink w:anchor="_Toc440983230" w:history="1">
        <w:r w:rsidR="00361187" w:rsidRPr="005E3AFD">
          <w:rPr>
            <w:rStyle w:val="Hyperlink"/>
          </w:rPr>
          <w:t>3. Gross Impact Findings</w:t>
        </w:r>
        <w:r w:rsidR="00361187">
          <w:rPr>
            <w:webHidden/>
          </w:rPr>
          <w:tab/>
        </w:r>
        <w:r w:rsidR="00361187">
          <w:rPr>
            <w:webHidden/>
          </w:rPr>
          <w:fldChar w:fldCharType="begin"/>
        </w:r>
        <w:r w:rsidR="00361187">
          <w:rPr>
            <w:webHidden/>
          </w:rPr>
          <w:instrText xml:space="preserve"> PAGEREF _Toc440983230 \h </w:instrText>
        </w:r>
        <w:r w:rsidR="00361187">
          <w:rPr>
            <w:webHidden/>
          </w:rPr>
        </w:r>
        <w:r w:rsidR="00361187">
          <w:rPr>
            <w:webHidden/>
          </w:rPr>
          <w:fldChar w:fldCharType="separate"/>
        </w:r>
        <w:r w:rsidR="00717B0E">
          <w:rPr>
            <w:webHidden/>
          </w:rPr>
          <w:t>11</w:t>
        </w:r>
        <w:r w:rsidR="00361187">
          <w:rPr>
            <w:webHidden/>
          </w:rPr>
          <w:fldChar w:fldCharType="end"/>
        </w:r>
      </w:hyperlink>
    </w:p>
    <w:p w14:paraId="596A0E65" w14:textId="77777777" w:rsidR="00361187" w:rsidRDefault="00851D29">
      <w:pPr>
        <w:pStyle w:val="TOC2"/>
        <w:rPr>
          <w:rFonts w:asciiTheme="minorHAnsi" w:eastAsiaTheme="minorEastAsia" w:hAnsiTheme="minorHAnsi" w:cstheme="minorBidi"/>
          <w:sz w:val="22"/>
          <w:szCs w:val="22"/>
        </w:rPr>
      </w:pPr>
      <w:hyperlink w:anchor="_Toc440983231" w:history="1">
        <w:r w:rsidR="00361187" w:rsidRPr="005E3AFD">
          <w:rPr>
            <w:rStyle w:val="Hyperlink"/>
          </w:rPr>
          <w:t>3.1 Home Energy Report Impact Findings</w:t>
        </w:r>
        <w:r w:rsidR="00361187">
          <w:rPr>
            <w:webHidden/>
          </w:rPr>
          <w:tab/>
        </w:r>
        <w:r w:rsidR="00361187">
          <w:rPr>
            <w:webHidden/>
          </w:rPr>
          <w:fldChar w:fldCharType="begin"/>
        </w:r>
        <w:r w:rsidR="00361187">
          <w:rPr>
            <w:webHidden/>
          </w:rPr>
          <w:instrText xml:space="preserve"> PAGEREF _Toc440983231 \h </w:instrText>
        </w:r>
        <w:r w:rsidR="00361187">
          <w:rPr>
            <w:webHidden/>
          </w:rPr>
        </w:r>
        <w:r w:rsidR="00361187">
          <w:rPr>
            <w:webHidden/>
          </w:rPr>
          <w:fldChar w:fldCharType="separate"/>
        </w:r>
        <w:r w:rsidR="00717B0E">
          <w:rPr>
            <w:webHidden/>
          </w:rPr>
          <w:t>11</w:t>
        </w:r>
        <w:r w:rsidR="00361187">
          <w:rPr>
            <w:webHidden/>
          </w:rPr>
          <w:fldChar w:fldCharType="end"/>
        </w:r>
      </w:hyperlink>
    </w:p>
    <w:p w14:paraId="54B71D16" w14:textId="77777777" w:rsidR="00361187" w:rsidRDefault="00851D29">
      <w:pPr>
        <w:pStyle w:val="TOC3"/>
        <w:rPr>
          <w:rFonts w:asciiTheme="minorHAnsi" w:hAnsiTheme="minorHAnsi"/>
          <w:sz w:val="22"/>
          <w:szCs w:val="22"/>
        </w:rPr>
      </w:pPr>
      <w:hyperlink w:anchor="_Toc440983232" w:history="1">
        <w:r w:rsidR="00361187" w:rsidRPr="005E3AFD">
          <w:rPr>
            <w:rStyle w:val="Hyperlink"/>
            <w:rFonts w:ascii="Arial Bold" w:hAnsi="Arial Bold"/>
          </w:rPr>
          <w:t>3.1.1</w:t>
        </w:r>
        <w:r w:rsidR="00361187" w:rsidRPr="005E3AFD">
          <w:rPr>
            <w:rStyle w:val="Hyperlink"/>
          </w:rPr>
          <w:t xml:space="preserve"> Validation of Randomization</w:t>
        </w:r>
        <w:r w:rsidR="00361187">
          <w:rPr>
            <w:webHidden/>
          </w:rPr>
          <w:tab/>
        </w:r>
        <w:r w:rsidR="00361187">
          <w:rPr>
            <w:webHidden/>
          </w:rPr>
          <w:fldChar w:fldCharType="begin"/>
        </w:r>
        <w:r w:rsidR="00361187">
          <w:rPr>
            <w:webHidden/>
          </w:rPr>
          <w:instrText xml:space="preserve"> PAGEREF _Toc440983232 \h </w:instrText>
        </w:r>
        <w:r w:rsidR="00361187">
          <w:rPr>
            <w:webHidden/>
          </w:rPr>
        </w:r>
        <w:r w:rsidR="00361187">
          <w:rPr>
            <w:webHidden/>
          </w:rPr>
          <w:fldChar w:fldCharType="separate"/>
        </w:r>
        <w:r w:rsidR="00717B0E">
          <w:rPr>
            <w:webHidden/>
          </w:rPr>
          <w:t>11</w:t>
        </w:r>
        <w:r w:rsidR="00361187">
          <w:rPr>
            <w:webHidden/>
          </w:rPr>
          <w:fldChar w:fldCharType="end"/>
        </w:r>
      </w:hyperlink>
    </w:p>
    <w:p w14:paraId="0FE3AED6" w14:textId="77777777" w:rsidR="00361187" w:rsidRDefault="00851D29">
      <w:pPr>
        <w:pStyle w:val="TOC3"/>
        <w:rPr>
          <w:rFonts w:asciiTheme="minorHAnsi" w:hAnsiTheme="minorHAnsi"/>
          <w:sz w:val="22"/>
          <w:szCs w:val="22"/>
        </w:rPr>
      </w:pPr>
      <w:hyperlink w:anchor="_Toc440983233" w:history="1">
        <w:r w:rsidR="00361187" w:rsidRPr="005E3AFD">
          <w:rPr>
            <w:rStyle w:val="Hyperlink"/>
            <w:rFonts w:ascii="Arial Bold" w:hAnsi="Arial Bold"/>
          </w:rPr>
          <w:t>3.1.2</w:t>
        </w:r>
        <w:r w:rsidR="00361187" w:rsidRPr="005E3AFD">
          <w:rPr>
            <w:rStyle w:val="Hyperlink"/>
          </w:rPr>
          <w:t xml:space="preserve"> Savings Estimates</w:t>
        </w:r>
        <w:r w:rsidR="00361187">
          <w:rPr>
            <w:webHidden/>
          </w:rPr>
          <w:tab/>
        </w:r>
        <w:r w:rsidR="00361187">
          <w:rPr>
            <w:webHidden/>
          </w:rPr>
          <w:fldChar w:fldCharType="begin"/>
        </w:r>
        <w:r w:rsidR="00361187">
          <w:rPr>
            <w:webHidden/>
          </w:rPr>
          <w:instrText xml:space="preserve"> PAGEREF _Toc440983233 \h </w:instrText>
        </w:r>
        <w:r w:rsidR="00361187">
          <w:rPr>
            <w:webHidden/>
          </w:rPr>
        </w:r>
        <w:r w:rsidR="00361187">
          <w:rPr>
            <w:webHidden/>
          </w:rPr>
          <w:fldChar w:fldCharType="separate"/>
        </w:r>
        <w:r w:rsidR="00717B0E">
          <w:rPr>
            <w:webHidden/>
          </w:rPr>
          <w:t>11</w:t>
        </w:r>
        <w:r w:rsidR="00361187">
          <w:rPr>
            <w:webHidden/>
          </w:rPr>
          <w:fldChar w:fldCharType="end"/>
        </w:r>
      </w:hyperlink>
    </w:p>
    <w:p w14:paraId="2CB6F30D" w14:textId="77777777" w:rsidR="00361187" w:rsidRDefault="00851D29">
      <w:pPr>
        <w:pStyle w:val="TOC3"/>
        <w:rPr>
          <w:rFonts w:asciiTheme="minorHAnsi" w:hAnsiTheme="minorHAnsi"/>
          <w:sz w:val="22"/>
          <w:szCs w:val="22"/>
        </w:rPr>
      </w:pPr>
      <w:hyperlink w:anchor="_Toc440983234" w:history="1">
        <w:r w:rsidR="00361187" w:rsidRPr="005E3AFD">
          <w:rPr>
            <w:rStyle w:val="Hyperlink"/>
            <w:rFonts w:ascii="Arial Bold" w:hAnsi="Arial Bold"/>
          </w:rPr>
          <w:t>3.1.3</w:t>
        </w:r>
        <w:r w:rsidR="00361187" w:rsidRPr="005E3AFD">
          <w:rPr>
            <w:rStyle w:val="Hyperlink"/>
          </w:rPr>
          <w:t xml:space="preserve"> Monthly Savings Estimates</w:t>
        </w:r>
        <w:r w:rsidR="00361187">
          <w:rPr>
            <w:webHidden/>
          </w:rPr>
          <w:tab/>
        </w:r>
        <w:r w:rsidR="00361187">
          <w:rPr>
            <w:webHidden/>
          </w:rPr>
          <w:fldChar w:fldCharType="begin"/>
        </w:r>
        <w:r w:rsidR="00361187">
          <w:rPr>
            <w:webHidden/>
          </w:rPr>
          <w:instrText xml:space="preserve"> PAGEREF _Toc440983234 \h </w:instrText>
        </w:r>
        <w:r w:rsidR="00361187">
          <w:rPr>
            <w:webHidden/>
          </w:rPr>
        </w:r>
        <w:r w:rsidR="00361187">
          <w:rPr>
            <w:webHidden/>
          </w:rPr>
          <w:fldChar w:fldCharType="separate"/>
        </w:r>
        <w:r w:rsidR="00717B0E">
          <w:rPr>
            <w:webHidden/>
          </w:rPr>
          <w:t>12</w:t>
        </w:r>
        <w:r w:rsidR="00361187">
          <w:rPr>
            <w:webHidden/>
          </w:rPr>
          <w:fldChar w:fldCharType="end"/>
        </w:r>
      </w:hyperlink>
    </w:p>
    <w:p w14:paraId="0197131E" w14:textId="77777777" w:rsidR="00361187" w:rsidRDefault="00851D29">
      <w:pPr>
        <w:pStyle w:val="TOC3"/>
        <w:rPr>
          <w:rFonts w:asciiTheme="minorHAnsi" w:hAnsiTheme="minorHAnsi"/>
          <w:sz w:val="22"/>
          <w:szCs w:val="22"/>
        </w:rPr>
      </w:pPr>
      <w:hyperlink w:anchor="_Toc440983235" w:history="1">
        <w:r w:rsidR="00361187" w:rsidRPr="005E3AFD">
          <w:rPr>
            <w:rStyle w:val="Hyperlink"/>
            <w:rFonts w:ascii="Arial Bold" w:hAnsi="Arial Bold"/>
          </w:rPr>
          <w:t>3.1.4</w:t>
        </w:r>
        <w:r w:rsidR="00361187" w:rsidRPr="005E3AFD">
          <w:rPr>
            <w:rStyle w:val="Hyperlink"/>
          </w:rPr>
          <w:t xml:space="preserve"> Verified Net Persistence Impact Results</w:t>
        </w:r>
        <w:r w:rsidR="00361187">
          <w:rPr>
            <w:webHidden/>
          </w:rPr>
          <w:tab/>
        </w:r>
        <w:r w:rsidR="00361187">
          <w:rPr>
            <w:webHidden/>
          </w:rPr>
          <w:fldChar w:fldCharType="begin"/>
        </w:r>
        <w:r w:rsidR="00361187">
          <w:rPr>
            <w:webHidden/>
          </w:rPr>
          <w:instrText xml:space="preserve"> PAGEREF _Toc440983235 \h </w:instrText>
        </w:r>
        <w:r w:rsidR="00361187">
          <w:rPr>
            <w:webHidden/>
          </w:rPr>
        </w:r>
        <w:r w:rsidR="00361187">
          <w:rPr>
            <w:webHidden/>
          </w:rPr>
          <w:fldChar w:fldCharType="separate"/>
        </w:r>
        <w:r w:rsidR="00717B0E">
          <w:rPr>
            <w:webHidden/>
          </w:rPr>
          <w:t>14</w:t>
        </w:r>
        <w:r w:rsidR="00361187">
          <w:rPr>
            <w:webHidden/>
          </w:rPr>
          <w:fldChar w:fldCharType="end"/>
        </w:r>
      </w:hyperlink>
    </w:p>
    <w:p w14:paraId="1BC50DC3" w14:textId="77777777" w:rsidR="00361187" w:rsidRDefault="00851D29">
      <w:pPr>
        <w:pStyle w:val="TOC3"/>
        <w:rPr>
          <w:rFonts w:asciiTheme="minorHAnsi" w:hAnsiTheme="minorHAnsi"/>
          <w:sz w:val="22"/>
          <w:szCs w:val="22"/>
        </w:rPr>
      </w:pPr>
      <w:hyperlink w:anchor="_Toc440983236" w:history="1">
        <w:r w:rsidR="00361187" w:rsidRPr="005E3AFD">
          <w:rPr>
            <w:rStyle w:val="Hyperlink"/>
            <w:rFonts w:ascii="Arial Bold" w:hAnsi="Arial Bold"/>
          </w:rPr>
          <w:t>3.1.5</w:t>
        </w:r>
        <w:r w:rsidR="00361187" w:rsidRPr="005E3AFD">
          <w:rPr>
            <w:rStyle w:val="Hyperlink"/>
          </w:rPr>
          <w:t xml:space="preserve"> Estimating Decay</w:t>
        </w:r>
        <w:r w:rsidR="00361187">
          <w:rPr>
            <w:webHidden/>
          </w:rPr>
          <w:tab/>
        </w:r>
        <w:r w:rsidR="00361187">
          <w:rPr>
            <w:webHidden/>
          </w:rPr>
          <w:fldChar w:fldCharType="begin"/>
        </w:r>
        <w:r w:rsidR="00361187">
          <w:rPr>
            <w:webHidden/>
          </w:rPr>
          <w:instrText xml:space="preserve"> PAGEREF _Toc440983236 \h </w:instrText>
        </w:r>
        <w:r w:rsidR="00361187">
          <w:rPr>
            <w:webHidden/>
          </w:rPr>
        </w:r>
        <w:r w:rsidR="00361187">
          <w:rPr>
            <w:webHidden/>
          </w:rPr>
          <w:fldChar w:fldCharType="separate"/>
        </w:r>
        <w:r w:rsidR="00717B0E">
          <w:rPr>
            <w:webHidden/>
          </w:rPr>
          <w:t>14</w:t>
        </w:r>
        <w:r w:rsidR="00361187">
          <w:rPr>
            <w:webHidden/>
          </w:rPr>
          <w:fldChar w:fldCharType="end"/>
        </w:r>
      </w:hyperlink>
    </w:p>
    <w:p w14:paraId="71ADBD97" w14:textId="77777777" w:rsidR="00361187" w:rsidRDefault="00851D29">
      <w:pPr>
        <w:pStyle w:val="TOC1"/>
        <w:rPr>
          <w:rFonts w:asciiTheme="minorHAnsi" w:eastAsiaTheme="minorEastAsia" w:hAnsiTheme="minorHAnsi" w:cstheme="minorBidi"/>
          <w:b w:val="0"/>
          <w:snapToGrid/>
          <w:sz w:val="22"/>
          <w:szCs w:val="22"/>
        </w:rPr>
      </w:pPr>
      <w:hyperlink w:anchor="_Toc440983237" w:history="1">
        <w:r w:rsidR="00361187" w:rsidRPr="005E3AFD">
          <w:rPr>
            <w:rStyle w:val="Hyperlink"/>
          </w:rPr>
          <w:t>4. Findings and Recommendations</w:t>
        </w:r>
        <w:r w:rsidR="00361187">
          <w:rPr>
            <w:webHidden/>
          </w:rPr>
          <w:tab/>
        </w:r>
        <w:r w:rsidR="00361187">
          <w:rPr>
            <w:webHidden/>
          </w:rPr>
          <w:fldChar w:fldCharType="begin"/>
        </w:r>
        <w:r w:rsidR="00361187">
          <w:rPr>
            <w:webHidden/>
          </w:rPr>
          <w:instrText xml:space="preserve"> PAGEREF _Toc440983237 \h </w:instrText>
        </w:r>
        <w:r w:rsidR="00361187">
          <w:rPr>
            <w:webHidden/>
          </w:rPr>
        </w:r>
        <w:r w:rsidR="00361187">
          <w:rPr>
            <w:webHidden/>
          </w:rPr>
          <w:fldChar w:fldCharType="separate"/>
        </w:r>
        <w:r w:rsidR="00717B0E">
          <w:rPr>
            <w:webHidden/>
          </w:rPr>
          <w:t>16</w:t>
        </w:r>
        <w:r w:rsidR="00361187">
          <w:rPr>
            <w:webHidden/>
          </w:rPr>
          <w:fldChar w:fldCharType="end"/>
        </w:r>
      </w:hyperlink>
    </w:p>
    <w:p w14:paraId="314F47B3" w14:textId="77777777" w:rsidR="00361187" w:rsidRDefault="00851D29">
      <w:pPr>
        <w:pStyle w:val="TOC1"/>
        <w:rPr>
          <w:rFonts w:asciiTheme="minorHAnsi" w:eastAsiaTheme="minorEastAsia" w:hAnsiTheme="minorHAnsi" w:cstheme="minorBidi"/>
          <w:b w:val="0"/>
          <w:snapToGrid/>
          <w:sz w:val="22"/>
          <w:szCs w:val="22"/>
        </w:rPr>
      </w:pPr>
      <w:hyperlink w:anchor="_Toc440983238" w:history="1">
        <w:r w:rsidR="00361187" w:rsidRPr="005E3AFD">
          <w:rPr>
            <w:rStyle w:val="Hyperlink"/>
          </w:rPr>
          <w:t>5. APPENDIX</w:t>
        </w:r>
        <w:r w:rsidR="00361187">
          <w:rPr>
            <w:webHidden/>
          </w:rPr>
          <w:tab/>
        </w:r>
        <w:r w:rsidR="00361187">
          <w:rPr>
            <w:webHidden/>
          </w:rPr>
          <w:fldChar w:fldCharType="begin"/>
        </w:r>
        <w:r w:rsidR="00361187">
          <w:rPr>
            <w:webHidden/>
          </w:rPr>
          <w:instrText xml:space="preserve"> PAGEREF _Toc440983238 \h </w:instrText>
        </w:r>
        <w:r w:rsidR="00361187">
          <w:rPr>
            <w:webHidden/>
          </w:rPr>
        </w:r>
        <w:r w:rsidR="00361187">
          <w:rPr>
            <w:webHidden/>
          </w:rPr>
          <w:fldChar w:fldCharType="separate"/>
        </w:r>
        <w:r w:rsidR="00717B0E">
          <w:rPr>
            <w:webHidden/>
          </w:rPr>
          <w:t>17</w:t>
        </w:r>
        <w:r w:rsidR="00361187">
          <w:rPr>
            <w:webHidden/>
          </w:rPr>
          <w:fldChar w:fldCharType="end"/>
        </w:r>
      </w:hyperlink>
    </w:p>
    <w:p w14:paraId="497E673B" w14:textId="77777777" w:rsidR="00361187" w:rsidRDefault="00851D29">
      <w:pPr>
        <w:pStyle w:val="TOC2"/>
        <w:rPr>
          <w:rFonts w:asciiTheme="minorHAnsi" w:eastAsiaTheme="minorEastAsia" w:hAnsiTheme="minorHAnsi" w:cstheme="minorBidi"/>
          <w:sz w:val="22"/>
          <w:szCs w:val="22"/>
        </w:rPr>
      </w:pPr>
      <w:hyperlink w:anchor="_Toc440983239" w:history="1">
        <w:r w:rsidR="00361187" w:rsidRPr="005E3AFD">
          <w:rPr>
            <w:rStyle w:val="Hyperlink"/>
          </w:rPr>
          <w:t>5.1 RCT MEMO</w:t>
        </w:r>
        <w:r w:rsidR="00361187">
          <w:rPr>
            <w:webHidden/>
          </w:rPr>
          <w:tab/>
        </w:r>
        <w:r w:rsidR="00361187">
          <w:rPr>
            <w:webHidden/>
          </w:rPr>
          <w:fldChar w:fldCharType="begin"/>
        </w:r>
        <w:r w:rsidR="00361187">
          <w:rPr>
            <w:webHidden/>
          </w:rPr>
          <w:instrText xml:space="preserve"> PAGEREF _Toc440983239 \h </w:instrText>
        </w:r>
        <w:r w:rsidR="00361187">
          <w:rPr>
            <w:webHidden/>
          </w:rPr>
        </w:r>
        <w:r w:rsidR="00361187">
          <w:rPr>
            <w:webHidden/>
          </w:rPr>
          <w:fldChar w:fldCharType="separate"/>
        </w:r>
        <w:r w:rsidR="00717B0E">
          <w:rPr>
            <w:webHidden/>
          </w:rPr>
          <w:t>17</w:t>
        </w:r>
        <w:r w:rsidR="00361187">
          <w:rPr>
            <w:webHidden/>
          </w:rPr>
          <w:fldChar w:fldCharType="end"/>
        </w:r>
      </w:hyperlink>
    </w:p>
    <w:p w14:paraId="114B2E09" w14:textId="77777777" w:rsidR="00361187" w:rsidRDefault="00851D29">
      <w:pPr>
        <w:pStyle w:val="TOC2"/>
        <w:rPr>
          <w:rFonts w:asciiTheme="minorHAnsi" w:eastAsiaTheme="minorEastAsia" w:hAnsiTheme="minorHAnsi" w:cstheme="minorBidi"/>
          <w:sz w:val="22"/>
          <w:szCs w:val="22"/>
        </w:rPr>
      </w:pPr>
      <w:hyperlink w:anchor="_Toc440983240" w:history="1">
        <w:r w:rsidR="00361187" w:rsidRPr="005E3AFD">
          <w:rPr>
            <w:rStyle w:val="Hyperlink"/>
          </w:rPr>
          <w:t>5.2 – Model Results</w:t>
        </w:r>
        <w:r w:rsidR="00361187">
          <w:rPr>
            <w:webHidden/>
          </w:rPr>
          <w:tab/>
        </w:r>
        <w:r w:rsidR="00361187">
          <w:rPr>
            <w:webHidden/>
          </w:rPr>
          <w:fldChar w:fldCharType="begin"/>
        </w:r>
        <w:r w:rsidR="00361187">
          <w:rPr>
            <w:webHidden/>
          </w:rPr>
          <w:instrText xml:space="preserve"> PAGEREF _Toc440983240 \h </w:instrText>
        </w:r>
        <w:r w:rsidR="00361187">
          <w:rPr>
            <w:webHidden/>
          </w:rPr>
        </w:r>
        <w:r w:rsidR="00361187">
          <w:rPr>
            <w:webHidden/>
          </w:rPr>
          <w:fldChar w:fldCharType="separate"/>
        </w:r>
        <w:r w:rsidR="00717B0E">
          <w:rPr>
            <w:webHidden/>
          </w:rPr>
          <w:t>19</w:t>
        </w:r>
        <w:r w:rsidR="00361187">
          <w:rPr>
            <w:webHidden/>
          </w:rPr>
          <w:fldChar w:fldCharType="end"/>
        </w:r>
      </w:hyperlink>
    </w:p>
    <w:p w14:paraId="571395F3" w14:textId="6F60E48F" w:rsidR="00717B0E" w:rsidRDefault="007B2FBD" w:rsidP="00063548">
      <w:r>
        <w:rPr>
          <w:b/>
          <w:noProof/>
          <w:snapToGrid w:val="0"/>
          <w:sz w:val="24"/>
        </w:rPr>
        <w:fldChar w:fldCharType="end"/>
      </w:r>
    </w:p>
    <w:p w14:paraId="256C79B9" w14:textId="62F90D15" w:rsidR="00717B0E" w:rsidRDefault="00063548" w:rsidP="00063548">
      <w:pPr>
        <w:pStyle w:val="TOCHeading"/>
      </w:pPr>
      <w:r>
        <w:lastRenderedPageBreak/>
        <w:t>List of figures and tables</w:t>
      </w:r>
    </w:p>
    <w:p w14:paraId="4D867E01" w14:textId="0777CF40" w:rsidR="00717B0E" w:rsidRPr="00063548" w:rsidRDefault="00063548">
      <w:pPr>
        <w:pStyle w:val="TableofFigures"/>
        <w:rPr>
          <w:b/>
        </w:rPr>
      </w:pPr>
      <w:r w:rsidRPr="00063548">
        <w:rPr>
          <w:b/>
        </w:rPr>
        <w:t>List of Figures</w:t>
      </w:r>
    </w:p>
    <w:p w14:paraId="729625CD" w14:textId="77777777" w:rsidR="00717B0E" w:rsidRDefault="00717B0E">
      <w:pPr>
        <w:pStyle w:val="TableofFigures"/>
        <w:rPr>
          <w:rFonts w:asciiTheme="minorHAnsi" w:eastAsiaTheme="minorEastAsia" w:hAnsiTheme="minorHAnsi" w:cstheme="minorBidi"/>
          <w:noProof/>
          <w:sz w:val="22"/>
          <w:szCs w:val="22"/>
        </w:rPr>
      </w:pPr>
      <w:r>
        <w:fldChar w:fldCharType="begin"/>
      </w:r>
      <w:r>
        <w:instrText xml:space="preserve"> TOC \h \z \c "Figure" </w:instrText>
      </w:r>
      <w:r>
        <w:fldChar w:fldCharType="separate"/>
      </w:r>
      <w:hyperlink w:anchor="_Toc441752063" w:history="1">
        <w:r w:rsidRPr="00470B91">
          <w:rPr>
            <w:rStyle w:val="Hyperlink"/>
            <w:noProof/>
          </w:rPr>
          <w:t>Figure 3</w:t>
        </w:r>
        <w:r w:rsidRPr="00470B91">
          <w:rPr>
            <w:rStyle w:val="Hyperlink"/>
            <w:noProof/>
          </w:rPr>
          <w:noBreakHyphen/>
          <w:t>1. Monthly Absolute HER Persistence Savings, October 2014 – September 2015</w:t>
        </w:r>
        <w:r>
          <w:rPr>
            <w:noProof/>
            <w:webHidden/>
          </w:rPr>
          <w:tab/>
        </w:r>
        <w:r>
          <w:rPr>
            <w:noProof/>
            <w:webHidden/>
          </w:rPr>
          <w:fldChar w:fldCharType="begin"/>
        </w:r>
        <w:r>
          <w:rPr>
            <w:noProof/>
            <w:webHidden/>
          </w:rPr>
          <w:instrText xml:space="preserve"> PAGEREF _Toc441752063 \h </w:instrText>
        </w:r>
        <w:r>
          <w:rPr>
            <w:noProof/>
            <w:webHidden/>
          </w:rPr>
        </w:r>
        <w:r>
          <w:rPr>
            <w:noProof/>
            <w:webHidden/>
          </w:rPr>
          <w:fldChar w:fldCharType="separate"/>
        </w:r>
        <w:r>
          <w:rPr>
            <w:noProof/>
            <w:webHidden/>
          </w:rPr>
          <w:t>13</w:t>
        </w:r>
        <w:r>
          <w:rPr>
            <w:noProof/>
            <w:webHidden/>
          </w:rPr>
          <w:fldChar w:fldCharType="end"/>
        </w:r>
      </w:hyperlink>
    </w:p>
    <w:p w14:paraId="05350C3B" w14:textId="77777777" w:rsidR="00717B0E" w:rsidRDefault="00851D29">
      <w:pPr>
        <w:pStyle w:val="TableofFigures"/>
        <w:rPr>
          <w:rFonts w:asciiTheme="minorHAnsi" w:eastAsiaTheme="minorEastAsia" w:hAnsiTheme="minorHAnsi" w:cstheme="minorBidi"/>
          <w:noProof/>
          <w:sz w:val="22"/>
          <w:szCs w:val="22"/>
        </w:rPr>
      </w:pPr>
      <w:hyperlink w:anchor="_Toc441752064" w:history="1">
        <w:r w:rsidR="00717B0E" w:rsidRPr="00470B91">
          <w:rPr>
            <w:rStyle w:val="Hyperlink"/>
            <w:noProof/>
          </w:rPr>
          <w:t>Figure 3</w:t>
        </w:r>
        <w:r w:rsidR="00717B0E" w:rsidRPr="00470B91">
          <w:rPr>
            <w:rStyle w:val="Hyperlink"/>
            <w:noProof/>
          </w:rPr>
          <w:noBreakHyphen/>
          <w:t>2. Monthly Percentage HER Persistence Savings, October 2014 – September 2015</w:t>
        </w:r>
        <w:r w:rsidR="00717B0E">
          <w:rPr>
            <w:noProof/>
            <w:webHidden/>
          </w:rPr>
          <w:tab/>
        </w:r>
        <w:r w:rsidR="00717B0E">
          <w:rPr>
            <w:noProof/>
            <w:webHidden/>
          </w:rPr>
          <w:fldChar w:fldCharType="begin"/>
        </w:r>
        <w:r w:rsidR="00717B0E">
          <w:rPr>
            <w:noProof/>
            <w:webHidden/>
          </w:rPr>
          <w:instrText xml:space="preserve"> PAGEREF _Toc441752064 \h </w:instrText>
        </w:r>
        <w:r w:rsidR="00717B0E">
          <w:rPr>
            <w:noProof/>
            <w:webHidden/>
          </w:rPr>
        </w:r>
        <w:r w:rsidR="00717B0E">
          <w:rPr>
            <w:noProof/>
            <w:webHidden/>
          </w:rPr>
          <w:fldChar w:fldCharType="separate"/>
        </w:r>
        <w:r w:rsidR="00717B0E">
          <w:rPr>
            <w:noProof/>
            <w:webHidden/>
          </w:rPr>
          <w:t>13</w:t>
        </w:r>
        <w:r w:rsidR="00717B0E">
          <w:rPr>
            <w:noProof/>
            <w:webHidden/>
          </w:rPr>
          <w:fldChar w:fldCharType="end"/>
        </w:r>
      </w:hyperlink>
    </w:p>
    <w:p w14:paraId="5F22F67E" w14:textId="77777777" w:rsidR="00717B0E" w:rsidRDefault="00851D29">
      <w:pPr>
        <w:pStyle w:val="TableofFigures"/>
        <w:rPr>
          <w:rFonts w:asciiTheme="minorHAnsi" w:eastAsiaTheme="minorEastAsia" w:hAnsiTheme="minorHAnsi" w:cstheme="minorBidi"/>
          <w:noProof/>
          <w:sz w:val="22"/>
          <w:szCs w:val="22"/>
        </w:rPr>
      </w:pPr>
      <w:hyperlink w:anchor="_Toc441752065" w:history="1">
        <w:r w:rsidR="00717B0E" w:rsidRPr="00470B91">
          <w:rPr>
            <w:rStyle w:val="Hyperlink"/>
            <w:noProof/>
          </w:rPr>
          <w:t>Figure 5</w:t>
        </w:r>
        <w:r w:rsidR="00717B0E" w:rsidRPr="00470B91">
          <w:rPr>
            <w:rStyle w:val="Hyperlink"/>
            <w:noProof/>
          </w:rPr>
          <w:noBreakHyphen/>
          <w:t>1. Mean Energy Usage for Treatment and Control Households, by Month</w:t>
        </w:r>
        <w:r w:rsidR="00717B0E">
          <w:rPr>
            <w:noProof/>
            <w:webHidden/>
          </w:rPr>
          <w:tab/>
        </w:r>
        <w:r w:rsidR="00717B0E">
          <w:rPr>
            <w:noProof/>
            <w:webHidden/>
          </w:rPr>
          <w:fldChar w:fldCharType="begin"/>
        </w:r>
        <w:r w:rsidR="00717B0E">
          <w:rPr>
            <w:noProof/>
            <w:webHidden/>
          </w:rPr>
          <w:instrText xml:space="preserve"> PAGEREF _Toc441752065 \h </w:instrText>
        </w:r>
        <w:r w:rsidR="00717B0E">
          <w:rPr>
            <w:noProof/>
            <w:webHidden/>
          </w:rPr>
        </w:r>
        <w:r w:rsidR="00717B0E">
          <w:rPr>
            <w:noProof/>
            <w:webHidden/>
          </w:rPr>
          <w:fldChar w:fldCharType="separate"/>
        </w:r>
        <w:r w:rsidR="00717B0E">
          <w:rPr>
            <w:noProof/>
            <w:webHidden/>
          </w:rPr>
          <w:t>18</w:t>
        </w:r>
        <w:r w:rsidR="00717B0E">
          <w:rPr>
            <w:noProof/>
            <w:webHidden/>
          </w:rPr>
          <w:fldChar w:fldCharType="end"/>
        </w:r>
      </w:hyperlink>
    </w:p>
    <w:p w14:paraId="1A567DF4" w14:textId="77777777" w:rsidR="00063548" w:rsidRDefault="00717B0E">
      <w:r>
        <w:fldChar w:fldCharType="end"/>
      </w:r>
    </w:p>
    <w:p w14:paraId="1312F5D4" w14:textId="1928D396" w:rsidR="00063548" w:rsidRPr="00063548" w:rsidRDefault="00063548">
      <w:pPr>
        <w:rPr>
          <w:b/>
          <w:noProof/>
        </w:rPr>
      </w:pPr>
      <w:r w:rsidRPr="00063548">
        <w:rPr>
          <w:b/>
        </w:rPr>
        <w:t>List of Tables</w:t>
      </w:r>
      <w:r>
        <w:rPr>
          <w:b/>
        </w:rPr>
        <w:fldChar w:fldCharType="begin"/>
      </w:r>
      <w:r w:rsidRPr="00063548">
        <w:rPr>
          <w:b/>
        </w:rPr>
        <w:instrText xml:space="preserve"> TOC \h \z \c "Table-E" </w:instrText>
      </w:r>
      <w:r>
        <w:rPr>
          <w:b/>
        </w:rPr>
        <w:fldChar w:fldCharType="separate"/>
      </w:r>
    </w:p>
    <w:p w14:paraId="596D92F7" w14:textId="77777777" w:rsidR="00063548" w:rsidRDefault="00851D29">
      <w:pPr>
        <w:pStyle w:val="TableofFigures"/>
        <w:rPr>
          <w:rFonts w:asciiTheme="minorHAnsi" w:eastAsiaTheme="minorEastAsia" w:hAnsiTheme="minorHAnsi" w:cstheme="minorBidi"/>
          <w:noProof/>
          <w:sz w:val="22"/>
          <w:szCs w:val="22"/>
        </w:rPr>
      </w:pPr>
      <w:hyperlink w:anchor="_Toc441752588" w:history="1">
        <w:r w:rsidR="00063548" w:rsidRPr="00804F31">
          <w:rPr>
            <w:rStyle w:val="Hyperlink"/>
            <w:noProof/>
          </w:rPr>
          <w:t>Table-E 1.  HER Total Program Gas Savings during its First Year</w:t>
        </w:r>
        <w:r w:rsidR="00063548">
          <w:rPr>
            <w:noProof/>
            <w:webHidden/>
          </w:rPr>
          <w:tab/>
        </w:r>
        <w:r w:rsidR="00063548">
          <w:rPr>
            <w:noProof/>
            <w:webHidden/>
          </w:rPr>
          <w:fldChar w:fldCharType="begin"/>
        </w:r>
        <w:r w:rsidR="00063548">
          <w:rPr>
            <w:noProof/>
            <w:webHidden/>
          </w:rPr>
          <w:instrText xml:space="preserve"> PAGEREF _Toc441752588 \h </w:instrText>
        </w:r>
        <w:r w:rsidR="00063548">
          <w:rPr>
            <w:noProof/>
            <w:webHidden/>
          </w:rPr>
        </w:r>
        <w:r w:rsidR="00063548">
          <w:rPr>
            <w:noProof/>
            <w:webHidden/>
          </w:rPr>
          <w:fldChar w:fldCharType="separate"/>
        </w:r>
        <w:r w:rsidR="00063548">
          <w:rPr>
            <w:noProof/>
            <w:webHidden/>
          </w:rPr>
          <w:t>2</w:t>
        </w:r>
        <w:r w:rsidR="00063548">
          <w:rPr>
            <w:noProof/>
            <w:webHidden/>
          </w:rPr>
          <w:fldChar w:fldCharType="end"/>
        </w:r>
      </w:hyperlink>
    </w:p>
    <w:p w14:paraId="5BABFC79" w14:textId="77777777" w:rsidR="00063548" w:rsidRDefault="00851D29">
      <w:pPr>
        <w:pStyle w:val="TableofFigures"/>
        <w:rPr>
          <w:rFonts w:asciiTheme="minorHAnsi" w:eastAsiaTheme="minorEastAsia" w:hAnsiTheme="minorHAnsi" w:cstheme="minorBidi"/>
          <w:noProof/>
          <w:sz w:val="22"/>
          <w:szCs w:val="22"/>
        </w:rPr>
      </w:pPr>
      <w:hyperlink w:anchor="_Toc441752589" w:history="1">
        <w:r w:rsidR="00063548" w:rsidRPr="00804F31">
          <w:rPr>
            <w:rStyle w:val="Hyperlink"/>
            <w:noProof/>
          </w:rPr>
          <w:t>Table-E 2. HER Total Gas Savings from October 2014 – March 2015</w:t>
        </w:r>
        <w:r w:rsidR="00063548">
          <w:rPr>
            <w:noProof/>
            <w:webHidden/>
          </w:rPr>
          <w:tab/>
        </w:r>
        <w:r w:rsidR="00063548">
          <w:rPr>
            <w:noProof/>
            <w:webHidden/>
          </w:rPr>
          <w:fldChar w:fldCharType="begin"/>
        </w:r>
        <w:r w:rsidR="00063548">
          <w:rPr>
            <w:noProof/>
            <w:webHidden/>
          </w:rPr>
          <w:instrText xml:space="preserve"> PAGEREF _Toc441752589 \h </w:instrText>
        </w:r>
        <w:r w:rsidR="00063548">
          <w:rPr>
            <w:noProof/>
            <w:webHidden/>
          </w:rPr>
        </w:r>
        <w:r w:rsidR="00063548">
          <w:rPr>
            <w:noProof/>
            <w:webHidden/>
          </w:rPr>
          <w:fldChar w:fldCharType="separate"/>
        </w:r>
        <w:r w:rsidR="00063548">
          <w:rPr>
            <w:noProof/>
            <w:webHidden/>
          </w:rPr>
          <w:t>2</w:t>
        </w:r>
        <w:r w:rsidR="00063548">
          <w:rPr>
            <w:noProof/>
            <w:webHidden/>
          </w:rPr>
          <w:fldChar w:fldCharType="end"/>
        </w:r>
      </w:hyperlink>
    </w:p>
    <w:p w14:paraId="700199A0" w14:textId="77777777" w:rsidR="00063548" w:rsidRDefault="00851D29">
      <w:pPr>
        <w:pStyle w:val="TableofFigures"/>
        <w:rPr>
          <w:rFonts w:asciiTheme="minorHAnsi" w:eastAsiaTheme="minorEastAsia" w:hAnsiTheme="minorHAnsi" w:cstheme="minorBidi"/>
          <w:noProof/>
          <w:sz w:val="22"/>
          <w:szCs w:val="22"/>
        </w:rPr>
      </w:pPr>
      <w:hyperlink w:anchor="_Toc441752590" w:history="1">
        <w:r w:rsidR="00063548" w:rsidRPr="00804F31">
          <w:rPr>
            <w:rStyle w:val="Hyperlink"/>
            <w:noProof/>
          </w:rPr>
          <w:t>Table-E 3. HER Total Gas Savings from April 2015 – September 2015</w:t>
        </w:r>
        <w:r w:rsidR="00063548">
          <w:rPr>
            <w:noProof/>
            <w:webHidden/>
          </w:rPr>
          <w:tab/>
        </w:r>
        <w:r w:rsidR="00063548">
          <w:rPr>
            <w:noProof/>
            <w:webHidden/>
          </w:rPr>
          <w:fldChar w:fldCharType="begin"/>
        </w:r>
        <w:r w:rsidR="00063548">
          <w:rPr>
            <w:noProof/>
            <w:webHidden/>
          </w:rPr>
          <w:instrText xml:space="preserve"> PAGEREF _Toc441752590 \h </w:instrText>
        </w:r>
        <w:r w:rsidR="00063548">
          <w:rPr>
            <w:noProof/>
            <w:webHidden/>
          </w:rPr>
        </w:r>
        <w:r w:rsidR="00063548">
          <w:rPr>
            <w:noProof/>
            <w:webHidden/>
          </w:rPr>
          <w:fldChar w:fldCharType="separate"/>
        </w:r>
        <w:r w:rsidR="00063548">
          <w:rPr>
            <w:noProof/>
            <w:webHidden/>
          </w:rPr>
          <w:t>2</w:t>
        </w:r>
        <w:r w:rsidR="00063548">
          <w:rPr>
            <w:noProof/>
            <w:webHidden/>
          </w:rPr>
          <w:fldChar w:fldCharType="end"/>
        </w:r>
      </w:hyperlink>
    </w:p>
    <w:p w14:paraId="1CA31244" w14:textId="3DBDAC4F" w:rsidR="00B9017B" w:rsidRDefault="00851D29" w:rsidP="00063548">
      <w:pPr>
        <w:pStyle w:val="TableofFigures"/>
      </w:pPr>
      <w:hyperlink w:anchor="_Toc441752591" w:history="1">
        <w:r w:rsidR="00063548" w:rsidRPr="00804F31">
          <w:rPr>
            <w:rStyle w:val="Hyperlink"/>
            <w:noProof/>
          </w:rPr>
          <w:t>Table-E 4. HER Total Gas Savings from October 2014 – September 2015</w:t>
        </w:r>
        <w:r w:rsidR="00063548">
          <w:rPr>
            <w:noProof/>
            <w:webHidden/>
          </w:rPr>
          <w:tab/>
        </w:r>
        <w:r w:rsidR="00063548">
          <w:rPr>
            <w:noProof/>
            <w:webHidden/>
          </w:rPr>
          <w:fldChar w:fldCharType="begin"/>
        </w:r>
        <w:r w:rsidR="00063548">
          <w:rPr>
            <w:noProof/>
            <w:webHidden/>
          </w:rPr>
          <w:instrText xml:space="preserve"> PAGEREF _Toc441752591 \h </w:instrText>
        </w:r>
        <w:r w:rsidR="00063548">
          <w:rPr>
            <w:noProof/>
            <w:webHidden/>
          </w:rPr>
        </w:r>
        <w:r w:rsidR="00063548">
          <w:rPr>
            <w:noProof/>
            <w:webHidden/>
          </w:rPr>
          <w:fldChar w:fldCharType="separate"/>
        </w:r>
        <w:r w:rsidR="00063548">
          <w:rPr>
            <w:noProof/>
            <w:webHidden/>
          </w:rPr>
          <w:t>3</w:t>
        </w:r>
        <w:r w:rsidR="00063548">
          <w:rPr>
            <w:noProof/>
            <w:webHidden/>
          </w:rPr>
          <w:fldChar w:fldCharType="end"/>
        </w:r>
      </w:hyperlink>
      <w:r w:rsidR="00063548">
        <w:fldChar w:fldCharType="end"/>
      </w:r>
      <w:r w:rsidR="00063548">
        <w:t>`</w:t>
      </w:r>
    </w:p>
    <w:p w14:paraId="27174AEB" w14:textId="77777777" w:rsidR="00063548" w:rsidRDefault="00717B0E">
      <w:pPr>
        <w:pStyle w:val="TableofFigures"/>
        <w:rPr>
          <w:rFonts w:asciiTheme="minorHAnsi" w:eastAsiaTheme="minorEastAsia" w:hAnsiTheme="minorHAnsi" w:cstheme="minorBidi"/>
          <w:noProof/>
          <w:sz w:val="22"/>
          <w:szCs w:val="22"/>
        </w:rPr>
      </w:pPr>
      <w:r>
        <w:fldChar w:fldCharType="begin"/>
      </w:r>
      <w:r>
        <w:instrText xml:space="preserve"> TOC \h \z \c "Table" </w:instrText>
      </w:r>
      <w:r>
        <w:fldChar w:fldCharType="separate"/>
      </w:r>
      <w:hyperlink w:anchor="_Toc441752597" w:history="1">
        <w:r w:rsidR="00063548" w:rsidRPr="003E163A">
          <w:rPr>
            <w:rStyle w:val="Hyperlink"/>
            <w:noProof/>
          </w:rPr>
          <w:t>Table 1</w:t>
        </w:r>
        <w:r w:rsidR="00063548" w:rsidRPr="003E163A">
          <w:rPr>
            <w:rStyle w:val="Hyperlink"/>
            <w:noProof/>
          </w:rPr>
          <w:noBreakHyphen/>
          <w:t>1. HER Total Program Gas Savings during its First Year</w:t>
        </w:r>
        <w:r w:rsidR="00063548">
          <w:rPr>
            <w:noProof/>
            <w:webHidden/>
          </w:rPr>
          <w:tab/>
        </w:r>
        <w:r w:rsidR="00063548">
          <w:rPr>
            <w:noProof/>
            <w:webHidden/>
          </w:rPr>
          <w:fldChar w:fldCharType="begin"/>
        </w:r>
        <w:r w:rsidR="00063548">
          <w:rPr>
            <w:noProof/>
            <w:webHidden/>
          </w:rPr>
          <w:instrText xml:space="preserve"> PAGEREF _Toc441752597 \h </w:instrText>
        </w:r>
        <w:r w:rsidR="00063548">
          <w:rPr>
            <w:noProof/>
            <w:webHidden/>
          </w:rPr>
        </w:r>
        <w:r w:rsidR="00063548">
          <w:rPr>
            <w:noProof/>
            <w:webHidden/>
          </w:rPr>
          <w:fldChar w:fldCharType="separate"/>
        </w:r>
        <w:r w:rsidR="00063548">
          <w:rPr>
            <w:noProof/>
            <w:webHidden/>
          </w:rPr>
          <w:t>5</w:t>
        </w:r>
        <w:r w:rsidR="00063548">
          <w:rPr>
            <w:noProof/>
            <w:webHidden/>
          </w:rPr>
          <w:fldChar w:fldCharType="end"/>
        </w:r>
      </w:hyperlink>
    </w:p>
    <w:p w14:paraId="43A1DB60" w14:textId="77777777" w:rsidR="00063548" w:rsidRDefault="00851D29">
      <w:pPr>
        <w:pStyle w:val="TableofFigures"/>
        <w:rPr>
          <w:rFonts w:asciiTheme="minorHAnsi" w:eastAsiaTheme="minorEastAsia" w:hAnsiTheme="minorHAnsi" w:cstheme="minorBidi"/>
          <w:noProof/>
          <w:sz w:val="22"/>
          <w:szCs w:val="22"/>
        </w:rPr>
      </w:pPr>
      <w:hyperlink w:anchor="_Toc441752598" w:history="1">
        <w:r w:rsidR="00063548" w:rsidRPr="003E163A">
          <w:rPr>
            <w:rStyle w:val="Hyperlink"/>
            <w:noProof/>
          </w:rPr>
          <w:t>Table 1</w:t>
        </w:r>
        <w:r w:rsidR="00063548" w:rsidRPr="003E163A">
          <w:rPr>
            <w:rStyle w:val="Hyperlink"/>
            <w:noProof/>
          </w:rPr>
          <w:noBreakHyphen/>
          <w:t>2. HER Total Gas Savings from October 2014 – March 2015</w:t>
        </w:r>
        <w:r w:rsidR="00063548">
          <w:rPr>
            <w:noProof/>
            <w:webHidden/>
          </w:rPr>
          <w:tab/>
        </w:r>
        <w:r w:rsidR="00063548">
          <w:rPr>
            <w:noProof/>
            <w:webHidden/>
          </w:rPr>
          <w:fldChar w:fldCharType="begin"/>
        </w:r>
        <w:r w:rsidR="00063548">
          <w:rPr>
            <w:noProof/>
            <w:webHidden/>
          </w:rPr>
          <w:instrText xml:space="preserve"> PAGEREF _Toc441752598 \h </w:instrText>
        </w:r>
        <w:r w:rsidR="00063548">
          <w:rPr>
            <w:noProof/>
            <w:webHidden/>
          </w:rPr>
        </w:r>
        <w:r w:rsidR="00063548">
          <w:rPr>
            <w:noProof/>
            <w:webHidden/>
          </w:rPr>
          <w:fldChar w:fldCharType="separate"/>
        </w:r>
        <w:r w:rsidR="00063548">
          <w:rPr>
            <w:noProof/>
            <w:webHidden/>
          </w:rPr>
          <w:t>5</w:t>
        </w:r>
        <w:r w:rsidR="00063548">
          <w:rPr>
            <w:noProof/>
            <w:webHidden/>
          </w:rPr>
          <w:fldChar w:fldCharType="end"/>
        </w:r>
      </w:hyperlink>
    </w:p>
    <w:p w14:paraId="3369BD71" w14:textId="77777777" w:rsidR="00063548" w:rsidRDefault="00851D29">
      <w:pPr>
        <w:pStyle w:val="TableofFigures"/>
        <w:rPr>
          <w:rFonts w:asciiTheme="minorHAnsi" w:eastAsiaTheme="minorEastAsia" w:hAnsiTheme="minorHAnsi" w:cstheme="minorBidi"/>
          <w:noProof/>
          <w:sz w:val="22"/>
          <w:szCs w:val="22"/>
        </w:rPr>
      </w:pPr>
      <w:hyperlink w:anchor="_Toc441752599" w:history="1">
        <w:r w:rsidR="00063548" w:rsidRPr="003E163A">
          <w:rPr>
            <w:rStyle w:val="Hyperlink"/>
            <w:noProof/>
          </w:rPr>
          <w:t>Table 2</w:t>
        </w:r>
        <w:r w:rsidR="00063548" w:rsidRPr="003E163A">
          <w:rPr>
            <w:rStyle w:val="Hyperlink"/>
            <w:noProof/>
          </w:rPr>
          <w:noBreakHyphen/>
          <w:t>1. Data Sources</w:t>
        </w:r>
        <w:r w:rsidR="00063548">
          <w:rPr>
            <w:noProof/>
            <w:webHidden/>
          </w:rPr>
          <w:tab/>
        </w:r>
        <w:r w:rsidR="00063548">
          <w:rPr>
            <w:noProof/>
            <w:webHidden/>
          </w:rPr>
          <w:fldChar w:fldCharType="begin"/>
        </w:r>
        <w:r w:rsidR="00063548">
          <w:rPr>
            <w:noProof/>
            <w:webHidden/>
          </w:rPr>
          <w:instrText xml:space="preserve"> PAGEREF _Toc441752599 \h </w:instrText>
        </w:r>
        <w:r w:rsidR="00063548">
          <w:rPr>
            <w:noProof/>
            <w:webHidden/>
          </w:rPr>
        </w:r>
        <w:r w:rsidR="00063548">
          <w:rPr>
            <w:noProof/>
            <w:webHidden/>
          </w:rPr>
          <w:fldChar w:fldCharType="separate"/>
        </w:r>
        <w:r w:rsidR="00063548">
          <w:rPr>
            <w:noProof/>
            <w:webHidden/>
          </w:rPr>
          <w:t>10</w:t>
        </w:r>
        <w:r w:rsidR="00063548">
          <w:rPr>
            <w:noProof/>
            <w:webHidden/>
          </w:rPr>
          <w:fldChar w:fldCharType="end"/>
        </w:r>
      </w:hyperlink>
    </w:p>
    <w:p w14:paraId="7A9565D3" w14:textId="77777777" w:rsidR="00063548" w:rsidRDefault="00851D29">
      <w:pPr>
        <w:pStyle w:val="TableofFigures"/>
        <w:rPr>
          <w:rFonts w:asciiTheme="minorHAnsi" w:eastAsiaTheme="minorEastAsia" w:hAnsiTheme="minorHAnsi" w:cstheme="minorBidi"/>
          <w:noProof/>
          <w:sz w:val="22"/>
          <w:szCs w:val="22"/>
        </w:rPr>
      </w:pPr>
      <w:hyperlink w:anchor="_Toc441752600" w:history="1">
        <w:r w:rsidR="00063548" w:rsidRPr="003E163A">
          <w:rPr>
            <w:rStyle w:val="Hyperlink"/>
            <w:noProof/>
          </w:rPr>
          <w:t>Table 3</w:t>
        </w:r>
        <w:r w:rsidR="00063548" w:rsidRPr="003E163A">
          <w:rPr>
            <w:rStyle w:val="Hyperlink"/>
            <w:noProof/>
          </w:rPr>
          <w:noBreakHyphen/>
          <w:t>1. Savings Estimates, April 2015 – September 2015</w:t>
        </w:r>
        <w:r w:rsidR="00063548">
          <w:rPr>
            <w:noProof/>
            <w:webHidden/>
          </w:rPr>
          <w:tab/>
        </w:r>
        <w:r w:rsidR="00063548">
          <w:rPr>
            <w:noProof/>
            <w:webHidden/>
          </w:rPr>
          <w:fldChar w:fldCharType="begin"/>
        </w:r>
        <w:r w:rsidR="00063548">
          <w:rPr>
            <w:noProof/>
            <w:webHidden/>
          </w:rPr>
          <w:instrText xml:space="preserve"> PAGEREF _Toc441752600 \h </w:instrText>
        </w:r>
        <w:r w:rsidR="00063548">
          <w:rPr>
            <w:noProof/>
            <w:webHidden/>
          </w:rPr>
        </w:r>
        <w:r w:rsidR="00063548">
          <w:rPr>
            <w:noProof/>
            <w:webHidden/>
          </w:rPr>
          <w:fldChar w:fldCharType="separate"/>
        </w:r>
        <w:r w:rsidR="00063548">
          <w:rPr>
            <w:noProof/>
            <w:webHidden/>
          </w:rPr>
          <w:t>11</w:t>
        </w:r>
        <w:r w:rsidR="00063548">
          <w:rPr>
            <w:noProof/>
            <w:webHidden/>
          </w:rPr>
          <w:fldChar w:fldCharType="end"/>
        </w:r>
      </w:hyperlink>
    </w:p>
    <w:p w14:paraId="50703E52" w14:textId="77777777" w:rsidR="00063548" w:rsidRDefault="00851D29">
      <w:pPr>
        <w:pStyle w:val="TableofFigures"/>
        <w:rPr>
          <w:rFonts w:asciiTheme="minorHAnsi" w:eastAsiaTheme="minorEastAsia" w:hAnsiTheme="minorHAnsi" w:cstheme="minorBidi"/>
          <w:noProof/>
          <w:sz w:val="22"/>
          <w:szCs w:val="22"/>
        </w:rPr>
      </w:pPr>
      <w:hyperlink w:anchor="_Toc441752601" w:history="1">
        <w:r w:rsidR="00063548" w:rsidRPr="003E163A">
          <w:rPr>
            <w:rStyle w:val="Hyperlink"/>
            <w:noProof/>
          </w:rPr>
          <w:t>Table 3</w:t>
        </w:r>
        <w:r w:rsidR="00063548" w:rsidRPr="003E163A">
          <w:rPr>
            <w:rStyle w:val="Hyperlink"/>
            <w:noProof/>
          </w:rPr>
          <w:noBreakHyphen/>
          <w:t>2. Savings Estimates, October 2014 – March 2015</w:t>
        </w:r>
        <w:r w:rsidR="00063548">
          <w:rPr>
            <w:noProof/>
            <w:webHidden/>
          </w:rPr>
          <w:tab/>
        </w:r>
        <w:r w:rsidR="00063548">
          <w:rPr>
            <w:noProof/>
            <w:webHidden/>
          </w:rPr>
          <w:fldChar w:fldCharType="begin"/>
        </w:r>
        <w:r w:rsidR="00063548">
          <w:rPr>
            <w:noProof/>
            <w:webHidden/>
          </w:rPr>
          <w:instrText xml:space="preserve"> PAGEREF _Toc441752601 \h </w:instrText>
        </w:r>
        <w:r w:rsidR="00063548">
          <w:rPr>
            <w:noProof/>
            <w:webHidden/>
          </w:rPr>
        </w:r>
        <w:r w:rsidR="00063548">
          <w:rPr>
            <w:noProof/>
            <w:webHidden/>
          </w:rPr>
          <w:fldChar w:fldCharType="separate"/>
        </w:r>
        <w:r w:rsidR="00063548">
          <w:rPr>
            <w:noProof/>
            <w:webHidden/>
          </w:rPr>
          <w:t>12</w:t>
        </w:r>
        <w:r w:rsidR="00063548">
          <w:rPr>
            <w:noProof/>
            <w:webHidden/>
          </w:rPr>
          <w:fldChar w:fldCharType="end"/>
        </w:r>
      </w:hyperlink>
    </w:p>
    <w:p w14:paraId="7D13B490" w14:textId="77777777" w:rsidR="00063548" w:rsidRDefault="00851D29">
      <w:pPr>
        <w:pStyle w:val="TableofFigures"/>
        <w:rPr>
          <w:rFonts w:asciiTheme="minorHAnsi" w:eastAsiaTheme="minorEastAsia" w:hAnsiTheme="minorHAnsi" w:cstheme="minorBidi"/>
          <w:noProof/>
          <w:sz w:val="22"/>
          <w:szCs w:val="22"/>
        </w:rPr>
      </w:pPr>
      <w:hyperlink w:anchor="_Toc441752602" w:history="1">
        <w:r w:rsidR="00063548" w:rsidRPr="003E163A">
          <w:rPr>
            <w:rStyle w:val="Hyperlink"/>
            <w:noProof/>
          </w:rPr>
          <w:t>Table 3</w:t>
        </w:r>
        <w:r w:rsidR="00063548" w:rsidRPr="003E163A">
          <w:rPr>
            <w:rStyle w:val="Hyperlink"/>
            <w:noProof/>
          </w:rPr>
          <w:noBreakHyphen/>
          <w:t>3. HER Net Persistence Savings</w:t>
        </w:r>
        <w:r w:rsidR="00063548">
          <w:rPr>
            <w:noProof/>
            <w:webHidden/>
          </w:rPr>
          <w:tab/>
        </w:r>
        <w:r w:rsidR="00063548">
          <w:rPr>
            <w:noProof/>
            <w:webHidden/>
          </w:rPr>
          <w:fldChar w:fldCharType="begin"/>
        </w:r>
        <w:r w:rsidR="00063548">
          <w:rPr>
            <w:noProof/>
            <w:webHidden/>
          </w:rPr>
          <w:instrText xml:space="preserve"> PAGEREF _Toc441752602 \h </w:instrText>
        </w:r>
        <w:r w:rsidR="00063548">
          <w:rPr>
            <w:noProof/>
            <w:webHidden/>
          </w:rPr>
        </w:r>
        <w:r w:rsidR="00063548">
          <w:rPr>
            <w:noProof/>
            <w:webHidden/>
          </w:rPr>
          <w:fldChar w:fldCharType="separate"/>
        </w:r>
        <w:r w:rsidR="00063548">
          <w:rPr>
            <w:noProof/>
            <w:webHidden/>
          </w:rPr>
          <w:t>14</w:t>
        </w:r>
        <w:r w:rsidR="00063548">
          <w:rPr>
            <w:noProof/>
            <w:webHidden/>
          </w:rPr>
          <w:fldChar w:fldCharType="end"/>
        </w:r>
      </w:hyperlink>
    </w:p>
    <w:p w14:paraId="78030447" w14:textId="77777777" w:rsidR="00063548" w:rsidRDefault="00851D29">
      <w:pPr>
        <w:pStyle w:val="TableofFigures"/>
        <w:rPr>
          <w:rFonts w:asciiTheme="minorHAnsi" w:eastAsiaTheme="minorEastAsia" w:hAnsiTheme="minorHAnsi" w:cstheme="minorBidi"/>
          <w:noProof/>
          <w:sz w:val="22"/>
          <w:szCs w:val="22"/>
        </w:rPr>
      </w:pPr>
      <w:hyperlink w:anchor="_Toc441752603" w:history="1">
        <w:r w:rsidR="00063548" w:rsidRPr="003E163A">
          <w:rPr>
            <w:rStyle w:val="Hyperlink"/>
            <w:noProof/>
          </w:rPr>
          <w:t>Table 3</w:t>
        </w:r>
        <w:r w:rsidR="00063548" w:rsidRPr="003E163A">
          <w:rPr>
            <w:rStyle w:val="Hyperlink"/>
            <w:noProof/>
          </w:rPr>
          <w:noBreakHyphen/>
          <w:t>4. HER Decay Estimations</w:t>
        </w:r>
        <w:r w:rsidR="00063548">
          <w:rPr>
            <w:noProof/>
            <w:webHidden/>
          </w:rPr>
          <w:tab/>
        </w:r>
        <w:r w:rsidR="00063548">
          <w:rPr>
            <w:noProof/>
            <w:webHidden/>
          </w:rPr>
          <w:fldChar w:fldCharType="begin"/>
        </w:r>
        <w:r w:rsidR="00063548">
          <w:rPr>
            <w:noProof/>
            <w:webHidden/>
          </w:rPr>
          <w:instrText xml:space="preserve"> PAGEREF _Toc441752603 \h </w:instrText>
        </w:r>
        <w:r w:rsidR="00063548">
          <w:rPr>
            <w:noProof/>
            <w:webHidden/>
          </w:rPr>
        </w:r>
        <w:r w:rsidR="00063548">
          <w:rPr>
            <w:noProof/>
            <w:webHidden/>
          </w:rPr>
          <w:fldChar w:fldCharType="separate"/>
        </w:r>
        <w:r w:rsidR="00063548">
          <w:rPr>
            <w:noProof/>
            <w:webHidden/>
          </w:rPr>
          <w:t>14</w:t>
        </w:r>
        <w:r w:rsidR="00063548">
          <w:rPr>
            <w:noProof/>
            <w:webHidden/>
          </w:rPr>
          <w:fldChar w:fldCharType="end"/>
        </w:r>
      </w:hyperlink>
    </w:p>
    <w:p w14:paraId="26C7FD53" w14:textId="77777777" w:rsidR="00063548" w:rsidRDefault="00851D29">
      <w:pPr>
        <w:pStyle w:val="TableofFigures"/>
        <w:rPr>
          <w:rFonts w:asciiTheme="minorHAnsi" w:eastAsiaTheme="minorEastAsia" w:hAnsiTheme="minorHAnsi" w:cstheme="minorBidi"/>
          <w:noProof/>
          <w:sz w:val="22"/>
          <w:szCs w:val="22"/>
        </w:rPr>
      </w:pPr>
      <w:hyperlink w:anchor="_Toc441752604" w:history="1">
        <w:r w:rsidR="00063548" w:rsidRPr="003E163A">
          <w:rPr>
            <w:rStyle w:val="Hyperlink"/>
            <w:noProof/>
          </w:rPr>
          <w:t>Table 5</w:t>
        </w:r>
        <w:r w:rsidR="00063548" w:rsidRPr="003E163A">
          <w:rPr>
            <w:rStyle w:val="Hyperlink"/>
            <w:noProof/>
          </w:rPr>
          <w:noBreakHyphen/>
          <w:t>1. PPR Detailed Model Output: October 2014 – March 2015</w:t>
        </w:r>
        <w:r w:rsidR="00063548">
          <w:rPr>
            <w:noProof/>
            <w:webHidden/>
          </w:rPr>
          <w:tab/>
        </w:r>
        <w:r w:rsidR="00063548">
          <w:rPr>
            <w:noProof/>
            <w:webHidden/>
          </w:rPr>
          <w:fldChar w:fldCharType="begin"/>
        </w:r>
        <w:r w:rsidR="00063548">
          <w:rPr>
            <w:noProof/>
            <w:webHidden/>
          </w:rPr>
          <w:instrText xml:space="preserve"> PAGEREF _Toc441752604 \h </w:instrText>
        </w:r>
        <w:r w:rsidR="00063548">
          <w:rPr>
            <w:noProof/>
            <w:webHidden/>
          </w:rPr>
        </w:r>
        <w:r w:rsidR="00063548">
          <w:rPr>
            <w:noProof/>
            <w:webHidden/>
          </w:rPr>
          <w:fldChar w:fldCharType="separate"/>
        </w:r>
        <w:r w:rsidR="00063548">
          <w:rPr>
            <w:noProof/>
            <w:webHidden/>
          </w:rPr>
          <w:t>19</w:t>
        </w:r>
        <w:r w:rsidR="00063548">
          <w:rPr>
            <w:noProof/>
            <w:webHidden/>
          </w:rPr>
          <w:fldChar w:fldCharType="end"/>
        </w:r>
      </w:hyperlink>
    </w:p>
    <w:p w14:paraId="614E116C" w14:textId="77777777" w:rsidR="00063548" w:rsidRDefault="00851D29">
      <w:pPr>
        <w:pStyle w:val="TableofFigures"/>
        <w:rPr>
          <w:rFonts w:asciiTheme="minorHAnsi" w:eastAsiaTheme="minorEastAsia" w:hAnsiTheme="minorHAnsi" w:cstheme="minorBidi"/>
          <w:noProof/>
          <w:sz w:val="22"/>
          <w:szCs w:val="22"/>
        </w:rPr>
      </w:pPr>
      <w:hyperlink w:anchor="_Toc441752605" w:history="1">
        <w:r w:rsidR="00063548" w:rsidRPr="003E163A">
          <w:rPr>
            <w:rStyle w:val="Hyperlink"/>
            <w:noProof/>
          </w:rPr>
          <w:t>Table 5</w:t>
        </w:r>
        <w:r w:rsidR="00063548" w:rsidRPr="003E163A">
          <w:rPr>
            <w:rStyle w:val="Hyperlink"/>
            <w:noProof/>
          </w:rPr>
          <w:noBreakHyphen/>
          <w:t>2. LFER Detailed Model Output: October 2014 – March 2015</w:t>
        </w:r>
        <w:r w:rsidR="00063548">
          <w:rPr>
            <w:noProof/>
            <w:webHidden/>
          </w:rPr>
          <w:tab/>
        </w:r>
        <w:r w:rsidR="00063548">
          <w:rPr>
            <w:noProof/>
            <w:webHidden/>
          </w:rPr>
          <w:fldChar w:fldCharType="begin"/>
        </w:r>
        <w:r w:rsidR="00063548">
          <w:rPr>
            <w:noProof/>
            <w:webHidden/>
          </w:rPr>
          <w:instrText xml:space="preserve"> PAGEREF _Toc441752605 \h </w:instrText>
        </w:r>
        <w:r w:rsidR="00063548">
          <w:rPr>
            <w:noProof/>
            <w:webHidden/>
          </w:rPr>
        </w:r>
        <w:r w:rsidR="00063548">
          <w:rPr>
            <w:noProof/>
            <w:webHidden/>
          </w:rPr>
          <w:fldChar w:fldCharType="separate"/>
        </w:r>
        <w:r w:rsidR="00063548">
          <w:rPr>
            <w:noProof/>
            <w:webHidden/>
          </w:rPr>
          <w:t>20</w:t>
        </w:r>
        <w:r w:rsidR="00063548">
          <w:rPr>
            <w:noProof/>
            <w:webHidden/>
          </w:rPr>
          <w:fldChar w:fldCharType="end"/>
        </w:r>
      </w:hyperlink>
    </w:p>
    <w:p w14:paraId="0AFF45E3" w14:textId="77777777" w:rsidR="00063548" w:rsidRDefault="00851D29">
      <w:pPr>
        <w:pStyle w:val="TableofFigures"/>
        <w:rPr>
          <w:rFonts w:asciiTheme="minorHAnsi" w:eastAsiaTheme="minorEastAsia" w:hAnsiTheme="minorHAnsi" w:cstheme="minorBidi"/>
          <w:noProof/>
          <w:sz w:val="22"/>
          <w:szCs w:val="22"/>
        </w:rPr>
      </w:pPr>
      <w:hyperlink w:anchor="_Toc441752606" w:history="1">
        <w:r w:rsidR="00063548" w:rsidRPr="003E163A">
          <w:rPr>
            <w:rStyle w:val="Hyperlink"/>
            <w:noProof/>
          </w:rPr>
          <w:t>Table 5</w:t>
        </w:r>
        <w:r w:rsidR="00063548" w:rsidRPr="003E163A">
          <w:rPr>
            <w:rStyle w:val="Hyperlink"/>
            <w:noProof/>
          </w:rPr>
          <w:noBreakHyphen/>
          <w:t>3. Monthly PPR Detailed Model Output: October 2014 – March 2015</w:t>
        </w:r>
        <w:r w:rsidR="00063548">
          <w:rPr>
            <w:noProof/>
            <w:webHidden/>
          </w:rPr>
          <w:tab/>
        </w:r>
        <w:r w:rsidR="00063548">
          <w:rPr>
            <w:noProof/>
            <w:webHidden/>
          </w:rPr>
          <w:fldChar w:fldCharType="begin"/>
        </w:r>
        <w:r w:rsidR="00063548">
          <w:rPr>
            <w:noProof/>
            <w:webHidden/>
          </w:rPr>
          <w:instrText xml:space="preserve"> PAGEREF _Toc441752606 \h </w:instrText>
        </w:r>
        <w:r w:rsidR="00063548">
          <w:rPr>
            <w:noProof/>
            <w:webHidden/>
          </w:rPr>
        </w:r>
        <w:r w:rsidR="00063548">
          <w:rPr>
            <w:noProof/>
            <w:webHidden/>
          </w:rPr>
          <w:fldChar w:fldCharType="separate"/>
        </w:r>
        <w:r w:rsidR="00063548">
          <w:rPr>
            <w:noProof/>
            <w:webHidden/>
          </w:rPr>
          <w:t>21</w:t>
        </w:r>
        <w:r w:rsidR="00063548">
          <w:rPr>
            <w:noProof/>
            <w:webHidden/>
          </w:rPr>
          <w:fldChar w:fldCharType="end"/>
        </w:r>
      </w:hyperlink>
    </w:p>
    <w:p w14:paraId="7E28CD48" w14:textId="77777777" w:rsidR="00063548" w:rsidRDefault="00851D29">
      <w:pPr>
        <w:pStyle w:val="TableofFigures"/>
        <w:rPr>
          <w:rFonts w:asciiTheme="minorHAnsi" w:eastAsiaTheme="minorEastAsia" w:hAnsiTheme="minorHAnsi" w:cstheme="minorBidi"/>
          <w:noProof/>
          <w:sz w:val="22"/>
          <w:szCs w:val="22"/>
        </w:rPr>
      </w:pPr>
      <w:hyperlink w:anchor="_Toc441752607" w:history="1">
        <w:r w:rsidR="00063548" w:rsidRPr="003E163A">
          <w:rPr>
            <w:rStyle w:val="Hyperlink"/>
            <w:noProof/>
          </w:rPr>
          <w:t>Table 5</w:t>
        </w:r>
        <w:r w:rsidR="00063548" w:rsidRPr="003E163A">
          <w:rPr>
            <w:rStyle w:val="Hyperlink"/>
            <w:noProof/>
          </w:rPr>
          <w:noBreakHyphen/>
          <w:t>4. PPR Detailed Model Output: April 2015 – September 2015</w:t>
        </w:r>
        <w:r w:rsidR="00063548">
          <w:rPr>
            <w:noProof/>
            <w:webHidden/>
          </w:rPr>
          <w:tab/>
        </w:r>
        <w:r w:rsidR="00063548">
          <w:rPr>
            <w:noProof/>
            <w:webHidden/>
          </w:rPr>
          <w:fldChar w:fldCharType="begin"/>
        </w:r>
        <w:r w:rsidR="00063548">
          <w:rPr>
            <w:noProof/>
            <w:webHidden/>
          </w:rPr>
          <w:instrText xml:space="preserve"> PAGEREF _Toc441752607 \h </w:instrText>
        </w:r>
        <w:r w:rsidR="00063548">
          <w:rPr>
            <w:noProof/>
            <w:webHidden/>
          </w:rPr>
        </w:r>
        <w:r w:rsidR="00063548">
          <w:rPr>
            <w:noProof/>
            <w:webHidden/>
          </w:rPr>
          <w:fldChar w:fldCharType="separate"/>
        </w:r>
        <w:r w:rsidR="00063548">
          <w:rPr>
            <w:noProof/>
            <w:webHidden/>
          </w:rPr>
          <w:t>22</w:t>
        </w:r>
        <w:r w:rsidR="00063548">
          <w:rPr>
            <w:noProof/>
            <w:webHidden/>
          </w:rPr>
          <w:fldChar w:fldCharType="end"/>
        </w:r>
      </w:hyperlink>
    </w:p>
    <w:p w14:paraId="7E584FB8" w14:textId="77777777" w:rsidR="00063548" w:rsidRDefault="00851D29">
      <w:pPr>
        <w:pStyle w:val="TableofFigures"/>
        <w:rPr>
          <w:rFonts w:asciiTheme="minorHAnsi" w:eastAsiaTheme="minorEastAsia" w:hAnsiTheme="minorHAnsi" w:cstheme="minorBidi"/>
          <w:noProof/>
          <w:sz w:val="22"/>
          <w:szCs w:val="22"/>
        </w:rPr>
      </w:pPr>
      <w:hyperlink w:anchor="_Toc441752608" w:history="1">
        <w:r w:rsidR="00063548" w:rsidRPr="003E163A">
          <w:rPr>
            <w:rStyle w:val="Hyperlink"/>
            <w:noProof/>
          </w:rPr>
          <w:t>Table 5</w:t>
        </w:r>
        <w:r w:rsidR="00063548" w:rsidRPr="003E163A">
          <w:rPr>
            <w:rStyle w:val="Hyperlink"/>
            <w:noProof/>
          </w:rPr>
          <w:noBreakHyphen/>
          <w:t>5. LFER Detailed Model Output: April 2015 – September 2015</w:t>
        </w:r>
        <w:r w:rsidR="00063548">
          <w:rPr>
            <w:noProof/>
            <w:webHidden/>
          </w:rPr>
          <w:tab/>
        </w:r>
        <w:r w:rsidR="00063548">
          <w:rPr>
            <w:noProof/>
            <w:webHidden/>
          </w:rPr>
          <w:fldChar w:fldCharType="begin"/>
        </w:r>
        <w:r w:rsidR="00063548">
          <w:rPr>
            <w:noProof/>
            <w:webHidden/>
          </w:rPr>
          <w:instrText xml:space="preserve"> PAGEREF _Toc441752608 \h </w:instrText>
        </w:r>
        <w:r w:rsidR="00063548">
          <w:rPr>
            <w:noProof/>
            <w:webHidden/>
          </w:rPr>
        </w:r>
        <w:r w:rsidR="00063548">
          <w:rPr>
            <w:noProof/>
            <w:webHidden/>
          </w:rPr>
          <w:fldChar w:fldCharType="separate"/>
        </w:r>
        <w:r w:rsidR="00063548">
          <w:rPr>
            <w:noProof/>
            <w:webHidden/>
          </w:rPr>
          <w:t>22</w:t>
        </w:r>
        <w:r w:rsidR="00063548">
          <w:rPr>
            <w:noProof/>
            <w:webHidden/>
          </w:rPr>
          <w:fldChar w:fldCharType="end"/>
        </w:r>
      </w:hyperlink>
    </w:p>
    <w:p w14:paraId="1CF73CC2" w14:textId="77777777" w:rsidR="00063548" w:rsidRDefault="00851D29">
      <w:pPr>
        <w:pStyle w:val="TableofFigures"/>
        <w:rPr>
          <w:rFonts w:asciiTheme="minorHAnsi" w:eastAsiaTheme="minorEastAsia" w:hAnsiTheme="minorHAnsi" w:cstheme="minorBidi"/>
          <w:noProof/>
          <w:sz w:val="22"/>
          <w:szCs w:val="22"/>
        </w:rPr>
      </w:pPr>
      <w:hyperlink w:anchor="_Toc441752609" w:history="1">
        <w:r w:rsidR="00063548" w:rsidRPr="003E163A">
          <w:rPr>
            <w:rStyle w:val="Hyperlink"/>
            <w:noProof/>
          </w:rPr>
          <w:t>Table 5</w:t>
        </w:r>
        <w:r w:rsidR="00063548" w:rsidRPr="003E163A">
          <w:rPr>
            <w:rStyle w:val="Hyperlink"/>
            <w:noProof/>
          </w:rPr>
          <w:noBreakHyphen/>
          <w:t>6. Monthly PPR Detailed Model Output: April 2015 – September 2015</w:t>
        </w:r>
        <w:r w:rsidR="00063548">
          <w:rPr>
            <w:noProof/>
            <w:webHidden/>
          </w:rPr>
          <w:tab/>
        </w:r>
        <w:r w:rsidR="00063548">
          <w:rPr>
            <w:noProof/>
            <w:webHidden/>
          </w:rPr>
          <w:fldChar w:fldCharType="begin"/>
        </w:r>
        <w:r w:rsidR="00063548">
          <w:rPr>
            <w:noProof/>
            <w:webHidden/>
          </w:rPr>
          <w:instrText xml:space="preserve"> PAGEREF _Toc441752609 \h </w:instrText>
        </w:r>
        <w:r w:rsidR="00063548">
          <w:rPr>
            <w:noProof/>
            <w:webHidden/>
          </w:rPr>
        </w:r>
        <w:r w:rsidR="00063548">
          <w:rPr>
            <w:noProof/>
            <w:webHidden/>
          </w:rPr>
          <w:fldChar w:fldCharType="separate"/>
        </w:r>
        <w:r w:rsidR="00063548">
          <w:rPr>
            <w:noProof/>
            <w:webHidden/>
          </w:rPr>
          <w:t>23</w:t>
        </w:r>
        <w:r w:rsidR="00063548">
          <w:rPr>
            <w:noProof/>
            <w:webHidden/>
          </w:rPr>
          <w:fldChar w:fldCharType="end"/>
        </w:r>
      </w:hyperlink>
    </w:p>
    <w:p w14:paraId="642B801E" w14:textId="77777777" w:rsidR="00681B72" w:rsidRDefault="00717B0E" w:rsidP="002D7723">
      <w:r>
        <w:fldChar w:fldCharType="end"/>
      </w:r>
    </w:p>
    <w:p w14:paraId="73DEEC12" w14:textId="77777777" w:rsidR="00BF3438" w:rsidRDefault="00BF3438" w:rsidP="002D7723">
      <w:pPr>
        <w:sectPr w:rsidR="00BF3438" w:rsidSect="00361187">
          <w:headerReference w:type="default" r:id="rId19"/>
          <w:footerReference w:type="default" r:id="rId20"/>
          <w:pgSz w:w="12240" w:h="15840" w:code="1"/>
          <w:pgMar w:top="720" w:right="1152" w:bottom="792" w:left="1800" w:header="720" w:footer="720" w:gutter="0"/>
          <w:pgNumType w:fmt="lowerRoman" w:start="1"/>
          <w:cols w:space="720"/>
          <w:docGrid w:linePitch="360"/>
        </w:sectPr>
      </w:pPr>
    </w:p>
    <w:p w14:paraId="1B1B0FF4" w14:textId="77777777" w:rsidR="00A9061E" w:rsidRPr="00B033D1" w:rsidRDefault="001E6048" w:rsidP="00A9061E">
      <w:pPr>
        <w:pStyle w:val="Heading7"/>
      </w:pPr>
      <w:bookmarkStart w:id="2" w:name="_Toc440983210"/>
      <w:r w:rsidRPr="001C5559">
        <w:lastRenderedPageBreak/>
        <w:t>E</w:t>
      </w:r>
      <w:r w:rsidR="00A9061E" w:rsidRPr="00A9061E">
        <w:t xml:space="preserve"> </w:t>
      </w:r>
      <w:r w:rsidR="00A9061E" w:rsidRPr="00B033D1">
        <w:tab/>
        <w:t>Executive Summary</w:t>
      </w:r>
      <w:bookmarkEnd w:id="2"/>
      <w:r w:rsidR="00A9061E" w:rsidRPr="00B033D1">
        <w:t xml:space="preserve"> </w:t>
      </w:r>
    </w:p>
    <w:p w14:paraId="783FB52A" w14:textId="77777777" w:rsidR="00A9061E" w:rsidRDefault="00A9061E" w:rsidP="00A9061E">
      <w:pPr>
        <w:pStyle w:val="Heading8"/>
      </w:pPr>
      <w:bookmarkStart w:id="3" w:name="_Toc440983211"/>
      <w:r w:rsidRPr="00A90B62">
        <w:t>E.</w:t>
      </w:r>
      <w:r>
        <w:t>1.</w:t>
      </w:r>
      <w:r w:rsidRPr="00A90B62">
        <w:tab/>
      </w:r>
      <w:r>
        <w:t>Study Description</w:t>
      </w:r>
      <w:bookmarkEnd w:id="3"/>
    </w:p>
    <w:p w14:paraId="60D0B988" w14:textId="5B4E6A94" w:rsidR="009E2A5F" w:rsidRDefault="00A9061E" w:rsidP="00A9061E">
      <w:r>
        <w:t>The Nicor Gas Behavioral Energy Savings Programs (BESP) included a</w:t>
      </w:r>
      <w:r w:rsidRPr="00356E69">
        <w:t xml:space="preserve"> </w:t>
      </w:r>
      <w:r>
        <w:t>Home Energy Report (HER) program during GPY3</w:t>
      </w:r>
      <w:r w:rsidR="009E2A5F">
        <w:t>.</w:t>
      </w:r>
      <w:r>
        <w:rPr>
          <w:rStyle w:val="FootnoteReference"/>
        </w:rPr>
        <w:footnoteReference w:id="2"/>
      </w:r>
      <w:r>
        <w:t xml:space="preserve"> </w:t>
      </w:r>
      <w:r w:rsidR="009E2A5F">
        <w:t>This report presents the findings associated with the persistence of savings for the Nicor Gas HER program beyond the initial year of the program in GPY3. Specifically, this report addresses Part 2 of the persistence study, which is associated with the second 6-month period (April 2015 – September 2015) after GPY3 operations. Over the past several years there has been a growing interest in the persistence of savings from HER programs after reports have been stopped. If savings persist after the cessation of reports, it has important implications for the lifetime measure savings and cost-effectiveness of HER programs. This is an important study for Nicor Gas because little evidence exists on the persistence of savings for gas HER programs.</w:t>
      </w:r>
    </w:p>
    <w:p w14:paraId="091EAA07" w14:textId="77777777" w:rsidR="009E2A5F" w:rsidRDefault="009E2A5F" w:rsidP="00A9061E"/>
    <w:p w14:paraId="3F160EEF" w14:textId="6DD602FD" w:rsidR="00A9061E" w:rsidRDefault="00A9061E" w:rsidP="00A9061E">
      <w:r>
        <w:t>In the GPY3 evaluation report, Navigant estimated savings from the HER program during the first year that it was run, covering the period from October 2013 to September 2014.</w:t>
      </w:r>
      <w:r>
        <w:rPr>
          <w:rStyle w:val="FootnoteReference"/>
        </w:rPr>
        <w:footnoteReference w:id="3"/>
      </w:r>
      <w:r>
        <w:t xml:space="preserve"> Navigant found savings of 4.1 million therms in the GPY3 evaluation. For the purposes of assessing the persistence of savings beyond </w:t>
      </w:r>
      <w:r w:rsidR="00E51E80">
        <w:t>GPY3</w:t>
      </w:r>
      <w:r>
        <w:t>, Navigant broke the year after the original program was offered into two six-month parts. During Part 1, covering the period from October 2014 to March 2015, Navigant found that the program generated 1.9 million therms of savings in the first six months after it was discontinued (in September 2014).</w:t>
      </w:r>
      <w:r>
        <w:rPr>
          <w:rStyle w:val="FootnoteReference"/>
        </w:rPr>
        <w:footnoteReference w:id="4"/>
      </w:r>
      <w:r>
        <w:t xml:space="preserve"> Part 2 of this study looks at savings for the remainder of the first year after the program was discontinued, from April 2015 to September 2015. Additionally, this study will estimate an annual decay rate and measure life for the program based on the savings found.</w:t>
      </w:r>
    </w:p>
    <w:p w14:paraId="4C47B845" w14:textId="77777777" w:rsidR="00A9061E" w:rsidRDefault="00A9061E" w:rsidP="00A9061E"/>
    <w:p w14:paraId="767519E9" w14:textId="2B99BF88" w:rsidR="00A9061E" w:rsidRDefault="00A9061E" w:rsidP="00A9061E">
      <w:r>
        <w:t xml:space="preserve">The HER program was an opt-out program designed to generate natural gas savings by providing residential customers with information about their specific gas use and related conservation suggestions and tips. The information was provided in the form of reports that illustrate: a) how customers’ recent gas </w:t>
      </w:r>
      <w:r w:rsidR="00CA75B7">
        <w:t xml:space="preserve">consumption </w:t>
      </w:r>
      <w:r>
        <w:t xml:space="preserve">compares to their </w:t>
      </w:r>
      <w:r w:rsidR="00CA75B7">
        <w:t xml:space="preserve">gas consumption </w:t>
      </w:r>
      <w:r>
        <w:t xml:space="preserve">in the past; b) tips on how the customers can reduce gas consumption, some of which are tailored to each customer’s unique circumstances; and c) information on how the customers’ gas </w:t>
      </w:r>
      <w:r w:rsidR="00CA75B7">
        <w:t xml:space="preserve">consumption </w:t>
      </w:r>
      <w:r>
        <w:t xml:space="preserve">compares to that of neighbors with similar homes. In other studies, this type of information has stimulated customers to reduce their gas </w:t>
      </w:r>
      <w:r w:rsidR="00C05E15">
        <w:t>consumption</w:t>
      </w:r>
      <w:r>
        <w:t xml:space="preserve">, creating average savings of around 1%, depending on local gas </w:t>
      </w:r>
      <w:r w:rsidR="00CA75B7">
        <w:t xml:space="preserve">consumption </w:t>
      </w:r>
      <w:r>
        <w:t>patterns.</w:t>
      </w:r>
    </w:p>
    <w:p w14:paraId="0570009A" w14:textId="77777777" w:rsidR="00A9061E" w:rsidRDefault="00A9061E" w:rsidP="00A9061E"/>
    <w:p w14:paraId="34D3B849" w14:textId="07B4062F" w:rsidR="00A9061E" w:rsidRDefault="00A9061E" w:rsidP="00A9061E">
      <w:r>
        <w:t>The HER program was discontinued for all participants in September 2014 after running for one year. Although the program ran for one year, the last reports were sent in March 2014 as reports were sent only during the heating season. The current study looks at persistence savings from this program that accrued in the second half of the year after the program ended, April 2015 to September 2015.</w:t>
      </w:r>
      <w:r w:rsidRPr="00356E69">
        <w:t xml:space="preserve"> </w:t>
      </w:r>
    </w:p>
    <w:p w14:paraId="3951A608" w14:textId="77777777" w:rsidR="00A9061E" w:rsidRDefault="00A9061E" w:rsidP="00A9061E">
      <w:pPr>
        <w:pStyle w:val="Heading8"/>
      </w:pPr>
      <w:bookmarkStart w:id="4" w:name="_Toc440983212"/>
      <w:r w:rsidRPr="00A90B62">
        <w:t>E.</w:t>
      </w:r>
      <w:r>
        <w:t>2.</w:t>
      </w:r>
      <w:r w:rsidRPr="00A90B62">
        <w:tab/>
      </w:r>
      <w:r>
        <w:t>Summary of GPY3 Findings – October 2013 to September 2014</w:t>
      </w:r>
      <w:bookmarkEnd w:id="4"/>
    </w:p>
    <w:p w14:paraId="0C5B4EC3" w14:textId="465BB5D0" w:rsidR="00A9061E" w:rsidRDefault="00A9061E" w:rsidP="00A9061E">
      <w:r>
        <w:t xml:space="preserve">In GPY3 Navigant evaluated savings from the first year of the HER program covering the period from October 2013 to September 2014. </w:t>
      </w:r>
      <w:r w:rsidRPr="003971DF">
        <w:fldChar w:fldCharType="begin"/>
      </w:r>
      <w:r w:rsidRPr="003971DF">
        <w:instrText xml:space="preserve"> REF _Ref423343953 \h </w:instrText>
      </w:r>
      <w:r w:rsidR="003971DF" w:rsidRPr="003971DF">
        <w:instrText xml:space="preserve"> \* MERGEFORMAT </w:instrText>
      </w:r>
      <w:r w:rsidRPr="003971DF">
        <w:fldChar w:fldCharType="separate"/>
      </w:r>
      <w:r w:rsidR="003971DF" w:rsidRPr="003971DF">
        <w:rPr>
          <w:bCs/>
        </w:rPr>
        <w:t>Table E-1</w:t>
      </w:r>
      <w:r w:rsidRPr="003971DF">
        <w:fldChar w:fldCharType="end"/>
      </w:r>
      <w:r>
        <w:t xml:space="preserve"> summarizes Navigant’s finding from the GPY3 report.</w:t>
      </w:r>
    </w:p>
    <w:p w14:paraId="25E937C1" w14:textId="77777777" w:rsidR="00A9061E" w:rsidRDefault="00A9061E" w:rsidP="00A9061E"/>
    <w:p w14:paraId="0D71B2BB" w14:textId="77777777" w:rsidR="00717B0E" w:rsidRDefault="00717B0E" w:rsidP="00A9061E">
      <w:pPr>
        <w:pStyle w:val="Caption"/>
      </w:pPr>
    </w:p>
    <w:p w14:paraId="7F0CA154" w14:textId="6B78588A" w:rsidR="00A9061E" w:rsidRPr="00374983" w:rsidRDefault="00063548" w:rsidP="00A9061E">
      <w:pPr>
        <w:pStyle w:val="Caption"/>
      </w:pPr>
      <w:bookmarkStart w:id="5" w:name="_Toc441752588"/>
      <w:r>
        <w:t xml:space="preserve">Table-E </w:t>
      </w:r>
      <w:r w:rsidR="00851D29">
        <w:fldChar w:fldCharType="begin"/>
      </w:r>
      <w:r w:rsidR="00851D29">
        <w:instrText xml:space="preserve"> SEQ Table-E \* ARABIC </w:instrText>
      </w:r>
      <w:r w:rsidR="00851D29">
        <w:fldChar w:fldCharType="separate"/>
      </w:r>
      <w:r>
        <w:rPr>
          <w:noProof/>
        </w:rPr>
        <w:t>1</w:t>
      </w:r>
      <w:r w:rsidR="00851D29">
        <w:rPr>
          <w:noProof/>
        </w:rPr>
        <w:fldChar w:fldCharType="end"/>
      </w:r>
      <w:r>
        <w:t xml:space="preserve">. </w:t>
      </w:r>
      <w:r w:rsidR="00A9061E" w:rsidRPr="00374983">
        <w:t xml:space="preserve"> HER Total Program Gas Savings during its First Year</w:t>
      </w:r>
      <w:bookmarkEnd w:id="5"/>
    </w:p>
    <w:tbl>
      <w:tblPr>
        <w:tblStyle w:val="EnergyTable"/>
        <w:tblW w:w="0" w:type="auto"/>
        <w:tblLayout w:type="fixed"/>
        <w:tblLook w:val="04A0" w:firstRow="1" w:lastRow="0" w:firstColumn="1" w:lastColumn="0" w:noHBand="0" w:noVBand="1"/>
      </w:tblPr>
      <w:tblGrid>
        <w:gridCol w:w="3870"/>
        <w:gridCol w:w="2565"/>
      </w:tblGrid>
      <w:tr w:rsidR="00A9061E" w:rsidRPr="00B71D78" w14:paraId="517B6ACC" w14:textId="77777777" w:rsidTr="004468B2">
        <w:trPr>
          <w:cnfStyle w:val="100000000000" w:firstRow="1" w:lastRow="0" w:firstColumn="0" w:lastColumn="0" w:oddVBand="0" w:evenVBand="0" w:oddHBand="0"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3870" w:type="dxa"/>
            <w:hideMark/>
          </w:tcPr>
          <w:p w14:paraId="229618E4" w14:textId="77777777" w:rsidR="00A9061E" w:rsidRPr="00D32380" w:rsidRDefault="00A9061E" w:rsidP="000B26EA">
            <w:pPr>
              <w:keepNext/>
              <w:keepLines/>
              <w:jc w:val="left"/>
              <w:rPr>
                <w:rFonts w:eastAsia="Calibri"/>
                <w:szCs w:val="20"/>
              </w:rPr>
            </w:pPr>
            <w:r w:rsidRPr="00D32380">
              <w:rPr>
                <w:szCs w:val="20"/>
              </w:rPr>
              <w:t>Savings Category</w:t>
            </w:r>
          </w:p>
        </w:tc>
        <w:tc>
          <w:tcPr>
            <w:tcW w:w="2565" w:type="dxa"/>
            <w:hideMark/>
          </w:tcPr>
          <w:p w14:paraId="7345A297" w14:textId="77777777" w:rsidR="00A9061E" w:rsidRPr="00D32380" w:rsidRDefault="00A9061E" w:rsidP="000B26EA">
            <w:pPr>
              <w:keepNext/>
              <w:keepLines/>
              <w:cnfStyle w:val="100000000000" w:firstRow="1" w:lastRow="0" w:firstColumn="0" w:lastColumn="0" w:oddVBand="0" w:evenVBand="0" w:oddHBand="0" w:evenHBand="0" w:firstRowFirstColumn="0" w:firstRowLastColumn="0" w:lastRowFirstColumn="0" w:lastRowLastColumn="0"/>
              <w:rPr>
                <w:rFonts w:eastAsia="Calibri"/>
                <w:szCs w:val="20"/>
              </w:rPr>
            </w:pPr>
            <w:r w:rsidRPr="00D32380">
              <w:rPr>
                <w:szCs w:val="20"/>
              </w:rPr>
              <w:t xml:space="preserve"> Savings (Therms)</w:t>
            </w:r>
          </w:p>
        </w:tc>
      </w:tr>
      <w:tr w:rsidR="00A9061E" w:rsidRPr="00B71D78" w14:paraId="17F432AD" w14:textId="77777777" w:rsidTr="004468B2">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3870" w:type="dxa"/>
            <w:noWrap/>
          </w:tcPr>
          <w:p w14:paraId="06BCFC57" w14:textId="77777777" w:rsidR="00A9061E" w:rsidRPr="008A4E58" w:rsidRDefault="00A9061E" w:rsidP="003971DF">
            <w:pPr>
              <w:keepNext/>
              <w:keepLines/>
              <w:jc w:val="left"/>
              <w:rPr>
                <w:szCs w:val="20"/>
              </w:rPr>
            </w:pPr>
            <w:r>
              <w:rPr>
                <w:szCs w:val="20"/>
              </w:rPr>
              <w:t>N</w:t>
            </w:r>
            <w:r w:rsidRPr="008A4E58">
              <w:rPr>
                <w:szCs w:val="20"/>
              </w:rPr>
              <w:t>et Savings Goal</w:t>
            </w:r>
          </w:p>
        </w:tc>
        <w:tc>
          <w:tcPr>
            <w:tcW w:w="2565" w:type="dxa"/>
            <w:noWrap/>
          </w:tcPr>
          <w:p w14:paraId="1B293C1F" w14:textId="77777777" w:rsidR="00A9061E" w:rsidRPr="008A4E58" w:rsidRDefault="00A9061E" w:rsidP="000B26EA">
            <w:pPr>
              <w:keepNext/>
              <w:keepLines/>
              <w:cnfStyle w:val="000000100000" w:firstRow="0" w:lastRow="0" w:firstColumn="0" w:lastColumn="0" w:oddVBand="0" w:evenVBand="0" w:oddHBand="1" w:evenHBand="0" w:firstRowFirstColumn="0" w:firstRowLastColumn="0" w:lastRowFirstColumn="0" w:lastRowLastColumn="0"/>
              <w:rPr>
                <w:szCs w:val="20"/>
              </w:rPr>
            </w:pPr>
            <w:r>
              <w:rPr>
                <w:szCs w:val="20"/>
              </w:rPr>
              <w:t>3,327,435</w:t>
            </w:r>
          </w:p>
        </w:tc>
      </w:tr>
      <w:tr w:rsidR="00A9061E" w:rsidRPr="00B71D78" w14:paraId="13DEE102" w14:textId="77777777" w:rsidTr="004468B2">
        <w:trPr>
          <w:cnfStyle w:val="000000010000" w:firstRow="0" w:lastRow="0" w:firstColumn="0" w:lastColumn="0" w:oddVBand="0" w:evenVBand="0" w:oddHBand="0" w:evenHBand="1"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3870" w:type="dxa"/>
            <w:noWrap/>
          </w:tcPr>
          <w:p w14:paraId="0E48E048" w14:textId="77777777" w:rsidR="00A9061E" w:rsidRPr="008A4E58" w:rsidRDefault="00A9061E" w:rsidP="003971DF">
            <w:pPr>
              <w:keepNext/>
              <w:keepLines/>
              <w:jc w:val="left"/>
              <w:rPr>
                <w:szCs w:val="20"/>
              </w:rPr>
            </w:pPr>
            <w:r w:rsidRPr="008A4E58">
              <w:rPr>
                <w:szCs w:val="20"/>
              </w:rPr>
              <w:t>Ex Ante Net Savings</w:t>
            </w:r>
            <w:r>
              <w:rPr>
                <w:szCs w:val="20"/>
              </w:rPr>
              <w:t>*</w:t>
            </w:r>
          </w:p>
        </w:tc>
        <w:tc>
          <w:tcPr>
            <w:tcW w:w="2565" w:type="dxa"/>
            <w:noWrap/>
          </w:tcPr>
          <w:p w14:paraId="1CD0DDEF" w14:textId="77777777" w:rsidR="00A9061E" w:rsidRPr="008A4E58" w:rsidRDefault="00A9061E" w:rsidP="000B26EA">
            <w:pPr>
              <w:keepNext/>
              <w:keepLines/>
              <w:cnfStyle w:val="000000010000" w:firstRow="0" w:lastRow="0" w:firstColumn="0" w:lastColumn="0" w:oddVBand="0" w:evenVBand="0" w:oddHBand="0" w:evenHBand="1" w:firstRowFirstColumn="0" w:firstRowLastColumn="0" w:lastRowFirstColumn="0" w:lastRowLastColumn="0"/>
              <w:rPr>
                <w:szCs w:val="20"/>
              </w:rPr>
            </w:pPr>
            <w:r>
              <w:rPr>
                <w:szCs w:val="20"/>
              </w:rPr>
              <w:t>4,140,321</w:t>
            </w:r>
          </w:p>
        </w:tc>
      </w:tr>
      <w:tr w:rsidR="00A9061E" w:rsidRPr="00B71D78" w14:paraId="7FC8CB6E" w14:textId="77777777" w:rsidTr="004468B2">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3870" w:type="dxa"/>
            <w:noWrap/>
            <w:hideMark/>
          </w:tcPr>
          <w:p w14:paraId="686AD2A1" w14:textId="77777777" w:rsidR="00A9061E" w:rsidRPr="008A4E58" w:rsidRDefault="00A9061E" w:rsidP="003971DF">
            <w:pPr>
              <w:keepNext/>
              <w:keepLines/>
              <w:jc w:val="left"/>
              <w:rPr>
                <w:rFonts w:eastAsia="Calibri"/>
                <w:szCs w:val="20"/>
              </w:rPr>
            </w:pPr>
            <w:r w:rsidRPr="008A4E58">
              <w:rPr>
                <w:szCs w:val="20"/>
              </w:rPr>
              <w:t>Verified Net Savings, Before Uplift Adjustment</w:t>
            </w:r>
          </w:p>
        </w:tc>
        <w:tc>
          <w:tcPr>
            <w:tcW w:w="2565" w:type="dxa"/>
            <w:noWrap/>
          </w:tcPr>
          <w:p w14:paraId="651F6093" w14:textId="77777777" w:rsidR="00A9061E" w:rsidRPr="008A4E58" w:rsidRDefault="00A9061E" w:rsidP="000B26EA">
            <w:pPr>
              <w:keepNext/>
              <w:keepLines/>
              <w:cnfStyle w:val="000000100000" w:firstRow="0" w:lastRow="0" w:firstColumn="0" w:lastColumn="0" w:oddVBand="0" w:evenVBand="0" w:oddHBand="1" w:evenHBand="0" w:firstRowFirstColumn="0" w:firstRowLastColumn="0" w:lastRowFirstColumn="0" w:lastRowLastColumn="0"/>
              <w:rPr>
                <w:szCs w:val="20"/>
              </w:rPr>
            </w:pPr>
            <w:r>
              <w:rPr>
                <w:szCs w:val="20"/>
              </w:rPr>
              <w:t>4,264,371</w:t>
            </w:r>
          </w:p>
        </w:tc>
      </w:tr>
      <w:tr w:rsidR="00A9061E" w:rsidRPr="0014550C" w14:paraId="1ABBCD22" w14:textId="77777777" w:rsidTr="004468B2">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870" w:type="dxa"/>
            <w:noWrap/>
            <w:hideMark/>
          </w:tcPr>
          <w:p w14:paraId="5531279B" w14:textId="77777777" w:rsidR="00A9061E" w:rsidRPr="008A4E58" w:rsidRDefault="00A9061E" w:rsidP="003971DF">
            <w:pPr>
              <w:keepNext/>
              <w:keepLines/>
              <w:jc w:val="left"/>
              <w:rPr>
                <w:rFonts w:eastAsia="Calibri"/>
                <w:szCs w:val="20"/>
              </w:rPr>
            </w:pPr>
            <w:r w:rsidRPr="008A4E58">
              <w:rPr>
                <w:szCs w:val="20"/>
              </w:rPr>
              <w:t>Verified Net Savings, After Uplift Adjustment</w:t>
            </w:r>
          </w:p>
        </w:tc>
        <w:tc>
          <w:tcPr>
            <w:tcW w:w="2565" w:type="dxa"/>
            <w:noWrap/>
          </w:tcPr>
          <w:p w14:paraId="59C94DD5" w14:textId="77777777" w:rsidR="00A9061E" w:rsidRPr="008A4E58" w:rsidRDefault="00A9061E" w:rsidP="000B26EA">
            <w:pPr>
              <w:keepNext/>
              <w:keepLines/>
              <w:cnfStyle w:val="000000010000" w:firstRow="0" w:lastRow="0" w:firstColumn="0" w:lastColumn="0" w:oddVBand="0" w:evenVBand="0" w:oddHBand="0" w:evenHBand="1" w:firstRowFirstColumn="0" w:firstRowLastColumn="0" w:lastRowFirstColumn="0" w:lastRowLastColumn="0"/>
              <w:rPr>
                <w:szCs w:val="20"/>
                <w:highlight w:val="yellow"/>
              </w:rPr>
            </w:pPr>
            <w:r>
              <w:rPr>
                <w:szCs w:val="20"/>
              </w:rPr>
              <w:t>4,111,100</w:t>
            </w:r>
          </w:p>
        </w:tc>
      </w:tr>
    </w:tbl>
    <w:p w14:paraId="31B94248" w14:textId="77777777" w:rsidR="00A9061E" w:rsidRDefault="00A9061E" w:rsidP="003971DF">
      <w:pPr>
        <w:pStyle w:val="Source"/>
        <w:spacing w:after="0"/>
        <w:ind w:left="1530" w:hanging="90"/>
      </w:pPr>
      <w:r w:rsidRPr="00651E3A">
        <w:t xml:space="preserve">Source: </w:t>
      </w:r>
      <w:r>
        <w:t xml:space="preserve">Nicor Gas billing </w:t>
      </w:r>
      <w:r w:rsidRPr="00651E3A">
        <w:t>data</w:t>
      </w:r>
      <w:r>
        <w:t>, Opower implementation data, and Navigant analysis</w:t>
      </w:r>
    </w:p>
    <w:p w14:paraId="2B308F16" w14:textId="77777777" w:rsidR="00A9061E" w:rsidRPr="008E060E" w:rsidRDefault="00A9061E" w:rsidP="003971DF">
      <w:pPr>
        <w:keepNext/>
        <w:keepLines/>
        <w:ind w:firstLine="1440"/>
        <w:rPr>
          <w:sz w:val="18"/>
          <w:szCs w:val="18"/>
        </w:rPr>
      </w:pPr>
      <w:r w:rsidRPr="008A5D47">
        <w:rPr>
          <w:sz w:val="18"/>
          <w:szCs w:val="18"/>
        </w:rPr>
        <w:t>* Savings results reported by Opower through October 31, 2014.</w:t>
      </w:r>
    </w:p>
    <w:p w14:paraId="00EE0B0C" w14:textId="77777777" w:rsidR="00A9061E" w:rsidRDefault="00A9061E" w:rsidP="00A9061E">
      <w:pPr>
        <w:pStyle w:val="Heading8"/>
      </w:pPr>
      <w:bookmarkStart w:id="6" w:name="_Toc440983213"/>
      <w:r w:rsidRPr="00A90B62">
        <w:t>E.</w:t>
      </w:r>
      <w:r>
        <w:t>3.</w:t>
      </w:r>
      <w:r w:rsidRPr="00A90B62">
        <w:tab/>
      </w:r>
      <w:r>
        <w:t>Part 1 Study Savings – October 2014 to March 2015</w:t>
      </w:r>
      <w:bookmarkEnd w:id="6"/>
    </w:p>
    <w:p w14:paraId="472A8CD9" w14:textId="1D014010" w:rsidR="00A9061E" w:rsidRDefault="00A9061E" w:rsidP="00A9061E">
      <w:r>
        <w:fldChar w:fldCharType="begin"/>
      </w:r>
      <w:r>
        <w:instrText xml:space="preserve"> REF _Ref423343967 \h </w:instrText>
      </w:r>
      <w:r w:rsidR="003971DF">
        <w:instrText xml:space="preserve"> \* MERGEFORMAT </w:instrText>
      </w:r>
      <w:r>
        <w:fldChar w:fldCharType="separate"/>
      </w:r>
      <w:r w:rsidR="003971DF" w:rsidRPr="003971DF">
        <w:rPr>
          <w:bCs/>
        </w:rPr>
        <w:t>Table E-2</w:t>
      </w:r>
      <w:r>
        <w:fldChar w:fldCharType="end"/>
      </w:r>
      <w:r>
        <w:t xml:space="preserve"> </w:t>
      </w:r>
      <w:r w:rsidRPr="00A90B62">
        <w:t>summarize</w:t>
      </w:r>
      <w:r>
        <w:t>s</w:t>
      </w:r>
      <w:r w:rsidRPr="00A90B62">
        <w:t xml:space="preserve"> the </w:t>
      </w:r>
      <w:r>
        <w:t xml:space="preserve">gas </w:t>
      </w:r>
      <w:r w:rsidRPr="00A90B62">
        <w:t xml:space="preserve">savings from </w:t>
      </w:r>
      <w:r w:rsidRPr="00BE51A6">
        <w:t>the HER</w:t>
      </w:r>
      <w:r>
        <w:rPr>
          <w:szCs w:val="22"/>
        </w:rPr>
        <w:t xml:space="preserve"> p</w:t>
      </w:r>
      <w:r w:rsidRPr="00A90B62">
        <w:rPr>
          <w:szCs w:val="22"/>
        </w:rPr>
        <w:t>rogram</w:t>
      </w:r>
      <w:r>
        <w:rPr>
          <w:szCs w:val="22"/>
        </w:rPr>
        <w:t xml:space="preserve"> for the first six months after it was discontinued</w:t>
      </w:r>
      <w:r w:rsidRPr="00A90B62">
        <w:t>.</w:t>
      </w:r>
      <w:r>
        <w:t xml:space="preserve"> The HER program ended in September 2014 after running for one year, and the Part 1 study evaluated savings in the period from October 1, 2014 to March 31, 2015</w:t>
      </w:r>
      <w:r w:rsidR="00CA75B7">
        <w:t xml:space="preserve"> (i.e. the heating season)</w:t>
      </w:r>
      <w:r>
        <w:t>. Navigant was unable to consider double-counted savings due to uplift in this study because other energy efficiency program tracking data was unavailable.</w:t>
      </w:r>
      <w:r>
        <w:rPr>
          <w:rStyle w:val="FootnoteReference"/>
        </w:rPr>
        <w:footnoteReference w:id="5"/>
      </w:r>
    </w:p>
    <w:p w14:paraId="466A313B" w14:textId="77777777" w:rsidR="00A9061E" w:rsidRDefault="00A9061E" w:rsidP="00A9061E"/>
    <w:p w14:paraId="72EF85EA" w14:textId="6788F474" w:rsidR="00A9061E" w:rsidRDefault="00063548" w:rsidP="00063548">
      <w:pPr>
        <w:pStyle w:val="Caption"/>
      </w:pPr>
      <w:bookmarkStart w:id="7" w:name="_Toc441752589"/>
      <w:r>
        <w:t xml:space="preserve">Table-E </w:t>
      </w:r>
      <w:r w:rsidR="00851D29">
        <w:fldChar w:fldCharType="begin"/>
      </w:r>
      <w:r w:rsidR="00851D29">
        <w:instrText xml:space="preserve"> SEQ Table-E \* ARABIC </w:instrText>
      </w:r>
      <w:r w:rsidR="00851D29">
        <w:fldChar w:fldCharType="separate"/>
      </w:r>
      <w:r>
        <w:rPr>
          <w:noProof/>
        </w:rPr>
        <w:t>2</w:t>
      </w:r>
      <w:r w:rsidR="00851D29">
        <w:rPr>
          <w:noProof/>
        </w:rPr>
        <w:fldChar w:fldCharType="end"/>
      </w:r>
      <w:r>
        <w:t>. H</w:t>
      </w:r>
      <w:r w:rsidR="00A9061E">
        <w:t>ER Total Gas Savings from October 2014 – March 2015</w:t>
      </w:r>
      <w:bookmarkEnd w:id="7"/>
    </w:p>
    <w:tbl>
      <w:tblPr>
        <w:tblStyle w:val="EnergyTable"/>
        <w:tblW w:w="0" w:type="auto"/>
        <w:tblLayout w:type="fixed"/>
        <w:tblLook w:val="04A0" w:firstRow="1" w:lastRow="0" w:firstColumn="1" w:lastColumn="0" w:noHBand="0" w:noVBand="1"/>
      </w:tblPr>
      <w:tblGrid>
        <w:gridCol w:w="3870"/>
        <w:gridCol w:w="2565"/>
      </w:tblGrid>
      <w:tr w:rsidR="00A9061E" w:rsidRPr="00B71D78" w14:paraId="5B9B57A6" w14:textId="77777777" w:rsidTr="004468B2">
        <w:trPr>
          <w:cnfStyle w:val="100000000000" w:firstRow="1" w:lastRow="0" w:firstColumn="0" w:lastColumn="0" w:oddVBand="0" w:evenVBand="0" w:oddHBand="0"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3870" w:type="dxa"/>
            <w:hideMark/>
          </w:tcPr>
          <w:p w14:paraId="69F147E8" w14:textId="77777777" w:rsidR="00A9061E" w:rsidRPr="00D32380" w:rsidRDefault="00A9061E" w:rsidP="000B26EA">
            <w:pPr>
              <w:keepNext/>
              <w:keepLines/>
              <w:jc w:val="left"/>
              <w:rPr>
                <w:rFonts w:eastAsia="Calibri"/>
                <w:szCs w:val="20"/>
              </w:rPr>
            </w:pPr>
            <w:r w:rsidRPr="00D32380">
              <w:rPr>
                <w:szCs w:val="20"/>
              </w:rPr>
              <w:t>Savings Category</w:t>
            </w:r>
          </w:p>
        </w:tc>
        <w:tc>
          <w:tcPr>
            <w:tcW w:w="2565" w:type="dxa"/>
            <w:hideMark/>
          </w:tcPr>
          <w:p w14:paraId="686090AE" w14:textId="77777777" w:rsidR="00A9061E" w:rsidRPr="00D32380" w:rsidRDefault="00A9061E" w:rsidP="000B26EA">
            <w:pPr>
              <w:keepNext/>
              <w:keepLines/>
              <w:cnfStyle w:val="100000000000" w:firstRow="1" w:lastRow="0" w:firstColumn="0" w:lastColumn="0" w:oddVBand="0" w:evenVBand="0" w:oddHBand="0" w:evenHBand="0" w:firstRowFirstColumn="0" w:firstRowLastColumn="0" w:lastRowFirstColumn="0" w:lastRowLastColumn="0"/>
              <w:rPr>
                <w:rFonts w:eastAsia="Calibri"/>
                <w:szCs w:val="20"/>
              </w:rPr>
            </w:pPr>
            <w:r w:rsidRPr="00D32380">
              <w:rPr>
                <w:szCs w:val="20"/>
              </w:rPr>
              <w:t xml:space="preserve"> Savings (Therms)</w:t>
            </w:r>
          </w:p>
        </w:tc>
      </w:tr>
      <w:tr w:rsidR="00A9061E" w:rsidRPr="0014550C" w14:paraId="6871CCD5" w14:textId="77777777" w:rsidTr="004468B2">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870" w:type="dxa"/>
            <w:noWrap/>
            <w:hideMark/>
          </w:tcPr>
          <w:p w14:paraId="717E5F7B" w14:textId="77777777" w:rsidR="00A9061E" w:rsidRPr="008A4E58" w:rsidRDefault="00A9061E" w:rsidP="003971DF">
            <w:pPr>
              <w:keepNext/>
              <w:keepLines/>
              <w:jc w:val="left"/>
              <w:rPr>
                <w:rFonts w:eastAsia="Calibri"/>
                <w:szCs w:val="20"/>
              </w:rPr>
            </w:pPr>
            <w:r w:rsidRPr="008A4E58">
              <w:rPr>
                <w:szCs w:val="20"/>
              </w:rPr>
              <w:t>Verified Net Savings</w:t>
            </w:r>
            <w:r>
              <w:rPr>
                <w:szCs w:val="20"/>
              </w:rPr>
              <w:t>, Before Uplift Adjustment</w:t>
            </w:r>
          </w:p>
        </w:tc>
        <w:tc>
          <w:tcPr>
            <w:tcW w:w="2565" w:type="dxa"/>
            <w:noWrap/>
          </w:tcPr>
          <w:p w14:paraId="1821EC45" w14:textId="77777777" w:rsidR="00A9061E" w:rsidRPr="00356E69" w:rsidRDefault="00A9061E" w:rsidP="000B26EA">
            <w:pPr>
              <w:cnfStyle w:val="000000100000" w:firstRow="0" w:lastRow="0" w:firstColumn="0" w:lastColumn="0" w:oddVBand="0" w:evenVBand="0" w:oddHBand="1" w:evenHBand="0" w:firstRowFirstColumn="0" w:firstRowLastColumn="0" w:lastRowFirstColumn="0" w:lastRowLastColumn="0"/>
              <w:rPr>
                <w:color w:val="000000"/>
                <w:szCs w:val="22"/>
              </w:rPr>
            </w:pPr>
            <w:r w:rsidRPr="00356E69">
              <w:rPr>
                <w:color w:val="000000"/>
                <w:szCs w:val="22"/>
              </w:rPr>
              <w:t>1,924,321</w:t>
            </w:r>
          </w:p>
        </w:tc>
      </w:tr>
    </w:tbl>
    <w:p w14:paraId="70CC094D" w14:textId="77777777" w:rsidR="00A9061E" w:rsidRDefault="00A9061E" w:rsidP="003971DF">
      <w:pPr>
        <w:pStyle w:val="Source"/>
        <w:ind w:left="1260" w:firstLine="180"/>
      </w:pPr>
      <w:r w:rsidRPr="00651E3A">
        <w:t xml:space="preserve">Source: </w:t>
      </w:r>
      <w:r>
        <w:t xml:space="preserve">Nicor Gas billing </w:t>
      </w:r>
      <w:r w:rsidRPr="00651E3A">
        <w:t>data</w:t>
      </w:r>
      <w:r>
        <w:t>, Opower implementation data, and Navigant analysis</w:t>
      </w:r>
    </w:p>
    <w:p w14:paraId="5E8DCDD3" w14:textId="77777777" w:rsidR="00A9061E" w:rsidRDefault="00A9061E" w:rsidP="00A9061E">
      <w:pPr>
        <w:pStyle w:val="Heading8"/>
      </w:pPr>
      <w:bookmarkStart w:id="8" w:name="_Toc440983214"/>
      <w:r>
        <w:t>E.4.</w:t>
      </w:r>
      <w:r>
        <w:tab/>
        <w:t>Part 2</w:t>
      </w:r>
      <w:r w:rsidRPr="007A5A19">
        <w:t xml:space="preserve"> Study Savings – </w:t>
      </w:r>
      <w:r>
        <w:t>April</w:t>
      </w:r>
      <w:r w:rsidRPr="007A5A19">
        <w:t xml:space="preserve"> 201</w:t>
      </w:r>
      <w:r>
        <w:t>5</w:t>
      </w:r>
      <w:r w:rsidRPr="007A5A19">
        <w:t xml:space="preserve"> to </w:t>
      </w:r>
      <w:r>
        <w:t>September</w:t>
      </w:r>
      <w:r w:rsidRPr="007A5A19">
        <w:t xml:space="preserve"> 2015</w:t>
      </w:r>
      <w:bookmarkEnd w:id="8"/>
    </w:p>
    <w:p w14:paraId="011E056D" w14:textId="11C3C84B" w:rsidR="00A9061E" w:rsidRDefault="00A9061E" w:rsidP="00A9061E">
      <w:r>
        <w:fldChar w:fldCharType="begin"/>
      </w:r>
      <w:r>
        <w:instrText xml:space="preserve"> REF _Ref439864040 \h </w:instrText>
      </w:r>
      <w:r w:rsidR="003971DF">
        <w:instrText xml:space="preserve"> \* MERGEFORMAT </w:instrText>
      </w:r>
      <w:r>
        <w:fldChar w:fldCharType="separate"/>
      </w:r>
      <w:r w:rsidR="003971DF" w:rsidRPr="003971DF">
        <w:rPr>
          <w:bCs/>
        </w:rPr>
        <w:t>Table E-3</w:t>
      </w:r>
      <w:r>
        <w:fldChar w:fldCharType="end"/>
      </w:r>
      <w:r>
        <w:t xml:space="preserve"> </w:t>
      </w:r>
      <w:r w:rsidRPr="00A90B62">
        <w:t>summarize</w:t>
      </w:r>
      <w:r>
        <w:t>s</w:t>
      </w:r>
      <w:r w:rsidRPr="00A90B62">
        <w:t xml:space="preserve"> the </w:t>
      </w:r>
      <w:r>
        <w:t xml:space="preserve">gas </w:t>
      </w:r>
      <w:r w:rsidRPr="00A90B62">
        <w:t xml:space="preserve">savings from </w:t>
      </w:r>
      <w:r w:rsidRPr="00BE51A6">
        <w:t>the HER</w:t>
      </w:r>
      <w:r>
        <w:rPr>
          <w:szCs w:val="22"/>
        </w:rPr>
        <w:t xml:space="preserve"> p</w:t>
      </w:r>
      <w:r w:rsidRPr="00A90B62">
        <w:rPr>
          <w:szCs w:val="22"/>
        </w:rPr>
        <w:t>rogram</w:t>
      </w:r>
      <w:r>
        <w:rPr>
          <w:szCs w:val="22"/>
        </w:rPr>
        <w:t xml:space="preserve"> for the latter half of the year after it was discontinued</w:t>
      </w:r>
      <w:r w:rsidRPr="00A90B62">
        <w:t>.</w:t>
      </w:r>
      <w:r>
        <w:t xml:space="preserve"> The HER program was ended in September 2014 after running for one year, and this Part 2 study evaluates savings in the period from April 1, 2015 to September 30, 2015. Navigant was again unable to consider double-counted savings due to uplift in this draft because other energy efficiency program tracking data was unavailable.</w:t>
      </w:r>
      <w:r>
        <w:rPr>
          <w:rStyle w:val="FootnoteReference"/>
        </w:rPr>
        <w:footnoteReference w:id="6"/>
      </w:r>
      <w:r>
        <w:t xml:space="preserve"> An updated draft with savings after uplift will be provided when the data are available.</w:t>
      </w:r>
    </w:p>
    <w:p w14:paraId="77C2DE0B" w14:textId="77777777" w:rsidR="00A9061E" w:rsidRDefault="00A9061E" w:rsidP="00A9061E"/>
    <w:p w14:paraId="09CD35BA" w14:textId="69C24673" w:rsidR="00A9061E" w:rsidRDefault="00063548" w:rsidP="00063548">
      <w:pPr>
        <w:pStyle w:val="Caption"/>
      </w:pPr>
      <w:bookmarkStart w:id="9" w:name="_Toc441752590"/>
      <w:r>
        <w:lastRenderedPageBreak/>
        <w:t xml:space="preserve">Table-E </w:t>
      </w:r>
      <w:r w:rsidR="00851D29">
        <w:fldChar w:fldCharType="begin"/>
      </w:r>
      <w:r w:rsidR="00851D29">
        <w:instrText xml:space="preserve"> SEQ Table-E \* ARABIC </w:instrText>
      </w:r>
      <w:r w:rsidR="00851D29">
        <w:fldChar w:fldCharType="separate"/>
      </w:r>
      <w:r>
        <w:rPr>
          <w:noProof/>
        </w:rPr>
        <w:t>3</w:t>
      </w:r>
      <w:r w:rsidR="00851D29">
        <w:rPr>
          <w:noProof/>
        </w:rPr>
        <w:fldChar w:fldCharType="end"/>
      </w:r>
      <w:r w:rsidR="00A9061E">
        <w:t>. HER Total Gas Savings from April 2015 – September 2015</w:t>
      </w:r>
      <w:bookmarkEnd w:id="9"/>
    </w:p>
    <w:tbl>
      <w:tblPr>
        <w:tblStyle w:val="EnergyTable"/>
        <w:tblW w:w="0" w:type="auto"/>
        <w:jc w:val="left"/>
        <w:tblInd w:w="1522" w:type="dxa"/>
        <w:tblLayout w:type="fixed"/>
        <w:tblLook w:val="04A0" w:firstRow="1" w:lastRow="0" w:firstColumn="1" w:lastColumn="0" w:noHBand="0" w:noVBand="1"/>
      </w:tblPr>
      <w:tblGrid>
        <w:gridCol w:w="3870"/>
        <w:gridCol w:w="2565"/>
      </w:tblGrid>
      <w:tr w:rsidR="00A9061E" w:rsidRPr="00B71D78" w14:paraId="03F4B0D3" w14:textId="77777777" w:rsidTr="00063548">
        <w:trPr>
          <w:cnfStyle w:val="100000000000" w:firstRow="1" w:lastRow="0" w:firstColumn="0" w:lastColumn="0" w:oddVBand="0" w:evenVBand="0" w:oddHBand="0" w:evenHBand="0" w:firstRowFirstColumn="0" w:firstRowLastColumn="0" w:lastRowFirstColumn="0" w:lastRowLastColumn="0"/>
          <w:trHeight w:val="603"/>
          <w:jc w:val="left"/>
        </w:trPr>
        <w:tc>
          <w:tcPr>
            <w:cnfStyle w:val="001000000000" w:firstRow="0" w:lastRow="0" w:firstColumn="1" w:lastColumn="0" w:oddVBand="0" w:evenVBand="0" w:oddHBand="0" w:evenHBand="0" w:firstRowFirstColumn="0" w:firstRowLastColumn="0" w:lastRowFirstColumn="0" w:lastRowLastColumn="0"/>
            <w:tcW w:w="3870" w:type="dxa"/>
            <w:hideMark/>
          </w:tcPr>
          <w:p w14:paraId="2092C49D" w14:textId="77777777" w:rsidR="00A9061E" w:rsidRPr="00D32380" w:rsidRDefault="00A9061E" w:rsidP="000B26EA">
            <w:pPr>
              <w:keepNext/>
              <w:keepLines/>
              <w:jc w:val="left"/>
              <w:rPr>
                <w:rFonts w:eastAsia="Calibri"/>
                <w:szCs w:val="20"/>
              </w:rPr>
            </w:pPr>
            <w:r w:rsidRPr="00D32380">
              <w:rPr>
                <w:szCs w:val="20"/>
              </w:rPr>
              <w:t>Savings Category</w:t>
            </w:r>
          </w:p>
        </w:tc>
        <w:tc>
          <w:tcPr>
            <w:tcW w:w="2565" w:type="dxa"/>
            <w:hideMark/>
          </w:tcPr>
          <w:p w14:paraId="398D7CAC" w14:textId="77777777" w:rsidR="00A9061E" w:rsidRPr="00D32380" w:rsidRDefault="00A9061E" w:rsidP="000B26EA">
            <w:pPr>
              <w:keepNext/>
              <w:keepLines/>
              <w:cnfStyle w:val="100000000000" w:firstRow="1" w:lastRow="0" w:firstColumn="0" w:lastColumn="0" w:oddVBand="0" w:evenVBand="0" w:oddHBand="0" w:evenHBand="0" w:firstRowFirstColumn="0" w:firstRowLastColumn="0" w:lastRowFirstColumn="0" w:lastRowLastColumn="0"/>
              <w:rPr>
                <w:rFonts w:eastAsia="Calibri"/>
                <w:szCs w:val="20"/>
              </w:rPr>
            </w:pPr>
            <w:r w:rsidRPr="00D32380">
              <w:rPr>
                <w:szCs w:val="20"/>
              </w:rPr>
              <w:t xml:space="preserve"> Savings (Therms)</w:t>
            </w:r>
          </w:p>
        </w:tc>
      </w:tr>
      <w:tr w:rsidR="00A9061E" w:rsidRPr="0014550C" w14:paraId="42E13D63" w14:textId="77777777" w:rsidTr="00063548">
        <w:trPr>
          <w:cnfStyle w:val="000000100000" w:firstRow="0" w:lastRow="0" w:firstColumn="0" w:lastColumn="0" w:oddVBand="0" w:evenVBand="0" w:oddHBand="1" w:evenHBand="0" w:firstRowFirstColumn="0" w:firstRowLastColumn="0" w:lastRowFirstColumn="0" w:lastRowLastColumn="0"/>
          <w:trHeight w:val="315"/>
          <w:jc w:val="left"/>
        </w:trPr>
        <w:tc>
          <w:tcPr>
            <w:cnfStyle w:val="001000000000" w:firstRow="0" w:lastRow="0" w:firstColumn="1" w:lastColumn="0" w:oddVBand="0" w:evenVBand="0" w:oddHBand="0" w:evenHBand="0" w:firstRowFirstColumn="0" w:firstRowLastColumn="0" w:lastRowFirstColumn="0" w:lastRowLastColumn="0"/>
            <w:tcW w:w="3870" w:type="dxa"/>
            <w:noWrap/>
            <w:hideMark/>
          </w:tcPr>
          <w:p w14:paraId="5D303610" w14:textId="77777777" w:rsidR="00A9061E" w:rsidRPr="008A4E58" w:rsidRDefault="00A9061E" w:rsidP="003971DF">
            <w:pPr>
              <w:keepNext/>
              <w:keepLines/>
              <w:jc w:val="left"/>
              <w:rPr>
                <w:rFonts w:eastAsia="Calibri"/>
                <w:szCs w:val="20"/>
              </w:rPr>
            </w:pPr>
            <w:r w:rsidRPr="008A4E58">
              <w:rPr>
                <w:szCs w:val="20"/>
              </w:rPr>
              <w:t>Verified Net Savings</w:t>
            </w:r>
            <w:r>
              <w:rPr>
                <w:szCs w:val="20"/>
              </w:rPr>
              <w:t>, Before Uplift Adjustment</w:t>
            </w:r>
          </w:p>
        </w:tc>
        <w:tc>
          <w:tcPr>
            <w:tcW w:w="2565" w:type="dxa"/>
            <w:noWrap/>
          </w:tcPr>
          <w:p w14:paraId="1D96F27C" w14:textId="77777777" w:rsidR="00A9061E" w:rsidRPr="00356E69" w:rsidRDefault="00A9061E" w:rsidP="000B26EA">
            <w:pPr>
              <w:cnfStyle w:val="000000100000" w:firstRow="0" w:lastRow="0" w:firstColumn="0" w:lastColumn="0" w:oddVBand="0" w:evenVBand="0" w:oddHBand="1" w:evenHBand="0" w:firstRowFirstColumn="0" w:firstRowLastColumn="0" w:lastRowFirstColumn="0" w:lastRowLastColumn="0"/>
              <w:rPr>
                <w:color w:val="000000"/>
                <w:szCs w:val="22"/>
              </w:rPr>
            </w:pPr>
            <w:r>
              <w:rPr>
                <w:color w:val="000000"/>
                <w:szCs w:val="22"/>
              </w:rPr>
              <w:t>509,559</w:t>
            </w:r>
          </w:p>
        </w:tc>
      </w:tr>
    </w:tbl>
    <w:p w14:paraId="55FCDD99" w14:textId="77777777" w:rsidR="00A9061E" w:rsidRDefault="00A9061E" w:rsidP="003971DF">
      <w:pPr>
        <w:pStyle w:val="Source"/>
        <w:ind w:left="1260" w:firstLine="180"/>
      </w:pPr>
      <w:r w:rsidRPr="00651E3A">
        <w:t xml:space="preserve">Source: </w:t>
      </w:r>
      <w:r>
        <w:t xml:space="preserve">Nicor Gas billing </w:t>
      </w:r>
      <w:r w:rsidRPr="00651E3A">
        <w:t>data</w:t>
      </w:r>
      <w:r>
        <w:t>, Opower implementation data, and Navigant analysis</w:t>
      </w:r>
    </w:p>
    <w:p w14:paraId="60CE203B" w14:textId="77777777" w:rsidR="00A9061E" w:rsidRDefault="00A9061E" w:rsidP="00A9061E"/>
    <w:p w14:paraId="5EB7559E" w14:textId="77777777" w:rsidR="00A9061E" w:rsidRDefault="00A9061E" w:rsidP="00A9061E"/>
    <w:p w14:paraId="3A5C749A" w14:textId="77777777" w:rsidR="00A9061E" w:rsidRDefault="00A9061E" w:rsidP="00A9061E">
      <w:pPr>
        <w:pStyle w:val="Heading8"/>
      </w:pPr>
      <w:bookmarkStart w:id="10" w:name="_Toc440983215"/>
      <w:r>
        <w:t>E.5. Annual Savings Decay Rate</w:t>
      </w:r>
      <w:bookmarkEnd w:id="10"/>
    </w:p>
    <w:p w14:paraId="07F2087F" w14:textId="6781D846" w:rsidR="00A9061E" w:rsidRDefault="00A9061E" w:rsidP="00A9061E">
      <w:pPr>
        <w:pStyle w:val="FootnoteText"/>
        <w:rPr>
          <w:sz w:val="20"/>
        </w:rPr>
      </w:pPr>
      <w:r w:rsidRPr="00902AC7">
        <w:rPr>
          <w:sz w:val="20"/>
        </w:rPr>
        <w:fldChar w:fldCharType="begin"/>
      </w:r>
      <w:r w:rsidRPr="00902AC7">
        <w:rPr>
          <w:sz w:val="20"/>
        </w:rPr>
        <w:instrText xml:space="preserve"> REF _Ref440553851 \h  \* MERGEFORMAT </w:instrText>
      </w:r>
      <w:r w:rsidRPr="00902AC7">
        <w:rPr>
          <w:sz w:val="20"/>
        </w:rPr>
      </w:r>
      <w:r w:rsidRPr="00902AC7">
        <w:rPr>
          <w:sz w:val="20"/>
        </w:rPr>
        <w:fldChar w:fldCharType="separate"/>
      </w:r>
      <w:r w:rsidR="003971DF" w:rsidRPr="00902AC7">
        <w:rPr>
          <w:sz w:val="20"/>
        </w:rPr>
        <w:t>Table E-4</w:t>
      </w:r>
      <w:r w:rsidRPr="00902AC7">
        <w:rPr>
          <w:sz w:val="20"/>
        </w:rPr>
        <w:fldChar w:fldCharType="end"/>
      </w:r>
      <w:r w:rsidRPr="00840211">
        <w:t xml:space="preserve"> </w:t>
      </w:r>
      <w:r>
        <w:rPr>
          <w:sz w:val="20"/>
        </w:rPr>
        <w:t>p</w:t>
      </w:r>
      <w:r w:rsidRPr="00DB2DC8">
        <w:rPr>
          <w:sz w:val="20"/>
        </w:rPr>
        <w:t xml:space="preserve">resents </w:t>
      </w:r>
      <w:r>
        <w:rPr>
          <w:sz w:val="20"/>
        </w:rPr>
        <w:t>the annual decay rate, the lifetime persistence savings, and the measure life for the HER program in the first year after reports were stopped, October 2014 to September 2015. These savings are before the uplift adjustment.</w:t>
      </w:r>
      <w:r>
        <w:rPr>
          <w:rStyle w:val="FootnoteReference"/>
          <w:sz w:val="20"/>
        </w:rPr>
        <w:footnoteReference w:id="7"/>
      </w:r>
      <w:r>
        <w:rPr>
          <w:sz w:val="20"/>
        </w:rPr>
        <w:t xml:space="preserve"> </w:t>
      </w:r>
    </w:p>
    <w:p w14:paraId="6B3CADBA" w14:textId="77777777" w:rsidR="00A9061E" w:rsidRDefault="00A9061E" w:rsidP="00A9061E">
      <w:pPr>
        <w:pStyle w:val="FootnoteText"/>
        <w:rPr>
          <w:sz w:val="20"/>
        </w:rPr>
      </w:pPr>
    </w:p>
    <w:p w14:paraId="11E19E40" w14:textId="360F5D9C" w:rsidR="00A9061E" w:rsidRDefault="00063548" w:rsidP="00063548">
      <w:pPr>
        <w:pStyle w:val="Caption"/>
      </w:pPr>
      <w:bookmarkStart w:id="11" w:name="_Toc441752591"/>
      <w:r>
        <w:t xml:space="preserve">Table-E </w:t>
      </w:r>
      <w:r w:rsidR="00851D29">
        <w:fldChar w:fldCharType="begin"/>
      </w:r>
      <w:r w:rsidR="00851D29">
        <w:instrText xml:space="preserve"> SEQ Table-E \* ARABIC </w:instrText>
      </w:r>
      <w:r w:rsidR="00851D29">
        <w:fldChar w:fldCharType="separate"/>
      </w:r>
      <w:r>
        <w:rPr>
          <w:noProof/>
        </w:rPr>
        <w:t>4</w:t>
      </w:r>
      <w:r w:rsidR="00851D29">
        <w:rPr>
          <w:noProof/>
        </w:rPr>
        <w:fldChar w:fldCharType="end"/>
      </w:r>
      <w:r w:rsidR="00A9061E">
        <w:t>. HER Total Gas Savings from October 2014 – September 2015</w:t>
      </w:r>
      <w:bookmarkEnd w:id="11"/>
    </w:p>
    <w:tbl>
      <w:tblPr>
        <w:tblStyle w:val="EnergyTable"/>
        <w:tblW w:w="0" w:type="auto"/>
        <w:tblLayout w:type="fixed"/>
        <w:tblLook w:val="04A0" w:firstRow="1" w:lastRow="0" w:firstColumn="1" w:lastColumn="0" w:noHBand="0" w:noVBand="1"/>
      </w:tblPr>
      <w:tblGrid>
        <w:gridCol w:w="3870"/>
        <w:gridCol w:w="2565"/>
      </w:tblGrid>
      <w:tr w:rsidR="00A9061E" w:rsidRPr="00B71D78" w14:paraId="6F9651EC" w14:textId="77777777" w:rsidTr="004468B2">
        <w:trPr>
          <w:cnfStyle w:val="100000000000" w:firstRow="1" w:lastRow="0" w:firstColumn="0" w:lastColumn="0" w:oddVBand="0" w:evenVBand="0" w:oddHBand="0"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3870" w:type="dxa"/>
            <w:hideMark/>
          </w:tcPr>
          <w:p w14:paraId="1780C376" w14:textId="77777777" w:rsidR="00A9061E" w:rsidRPr="00D32380" w:rsidRDefault="00A9061E" w:rsidP="000B26EA">
            <w:pPr>
              <w:keepNext/>
              <w:keepLines/>
              <w:jc w:val="left"/>
              <w:rPr>
                <w:rFonts w:eastAsia="Calibri"/>
                <w:szCs w:val="20"/>
              </w:rPr>
            </w:pPr>
            <w:r w:rsidRPr="00CB23F8">
              <w:rPr>
                <w:rFonts w:cs="Calibri"/>
                <w:b w:val="0"/>
                <w:bCs/>
              </w:rPr>
              <w:t>Type of Statistic</w:t>
            </w:r>
          </w:p>
        </w:tc>
        <w:tc>
          <w:tcPr>
            <w:tcW w:w="2565" w:type="dxa"/>
            <w:hideMark/>
          </w:tcPr>
          <w:p w14:paraId="41D740E9" w14:textId="77777777" w:rsidR="00A9061E" w:rsidRDefault="00A9061E" w:rsidP="000B26EA">
            <w:pPr>
              <w:pStyle w:val="FootnoteText"/>
              <w:widowControl w:val="0"/>
              <w:cnfStyle w:val="100000000000" w:firstRow="1" w:lastRow="0" w:firstColumn="0" w:lastColumn="0" w:oddVBand="0" w:evenVBand="0" w:oddHBand="0" w:evenHBand="0" w:firstRowFirstColumn="0" w:firstRowLastColumn="0" w:lastRowFirstColumn="0" w:lastRowLastColumn="0"/>
              <w:rPr>
                <w:rFonts w:cs="Calibri"/>
                <w:b w:val="0"/>
                <w:bCs/>
                <w:sz w:val="20"/>
              </w:rPr>
            </w:pPr>
            <w:r>
              <w:rPr>
                <w:rFonts w:cs="Calibri"/>
                <w:b w:val="0"/>
                <w:bCs/>
                <w:sz w:val="20"/>
              </w:rPr>
              <w:t>Annual</w:t>
            </w:r>
          </w:p>
          <w:p w14:paraId="79E20993" w14:textId="77777777" w:rsidR="00A9061E" w:rsidRPr="00D32380" w:rsidRDefault="00A9061E" w:rsidP="000B26EA">
            <w:pPr>
              <w:keepNext/>
              <w:keepLines/>
              <w:cnfStyle w:val="100000000000" w:firstRow="1" w:lastRow="0" w:firstColumn="0" w:lastColumn="0" w:oddVBand="0" w:evenVBand="0" w:oddHBand="0" w:evenHBand="0" w:firstRowFirstColumn="0" w:firstRowLastColumn="0" w:lastRowFirstColumn="0" w:lastRowLastColumn="0"/>
              <w:rPr>
                <w:rFonts w:eastAsia="Calibri"/>
                <w:szCs w:val="20"/>
              </w:rPr>
            </w:pPr>
            <w:r>
              <w:rPr>
                <w:rFonts w:cs="Calibri"/>
                <w:b w:val="0"/>
                <w:bCs/>
              </w:rPr>
              <w:t>October 2014 – September 2015</w:t>
            </w:r>
          </w:p>
        </w:tc>
      </w:tr>
      <w:tr w:rsidR="00A9061E" w:rsidRPr="0014550C" w14:paraId="1E70C4C1" w14:textId="77777777" w:rsidTr="004468B2">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870" w:type="dxa"/>
            <w:noWrap/>
            <w:hideMark/>
          </w:tcPr>
          <w:p w14:paraId="74D1BEF2" w14:textId="77777777" w:rsidR="00A9061E" w:rsidRPr="008A4E58" w:rsidRDefault="00A9061E" w:rsidP="003971DF">
            <w:pPr>
              <w:keepNext/>
              <w:keepLines/>
              <w:jc w:val="left"/>
              <w:rPr>
                <w:rFonts w:eastAsia="Calibri"/>
                <w:szCs w:val="20"/>
              </w:rPr>
            </w:pPr>
            <w:r>
              <w:rPr>
                <w:rFonts w:cs="Calibri"/>
                <w:color w:val="000000"/>
                <w:szCs w:val="20"/>
              </w:rPr>
              <w:t>Annual Decay Rate</w:t>
            </w:r>
          </w:p>
        </w:tc>
        <w:tc>
          <w:tcPr>
            <w:tcW w:w="2565" w:type="dxa"/>
            <w:noWrap/>
          </w:tcPr>
          <w:p w14:paraId="2D973FA1" w14:textId="77777777" w:rsidR="00A9061E" w:rsidRPr="00356E69" w:rsidRDefault="00A9061E" w:rsidP="000B26EA">
            <w:pPr>
              <w:cnfStyle w:val="000000100000" w:firstRow="0" w:lastRow="0" w:firstColumn="0" w:lastColumn="0" w:oddVBand="0" w:evenVBand="0" w:oddHBand="1" w:evenHBand="0" w:firstRowFirstColumn="0" w:firstRowLastColumn="0" w:lastRowFirstColumn="0" w:lastRowLastColumn="0"/>
              <w:rPr>
                <w:color w:val="000000"/>
                <w:szCs w:val="22"/>
              </w:rPr>
            </w:pPr>
            <w:r>
              <w:rPr>
                <w:rFonts w:cs="Calibri"/>
                <w:color w:val="000000"/>
                <w:szCs w:val="20"/>
              </w:rPr>
              <w:t>46%</w:t>
            </w:r>
          </w:p>
        </w:tc>
      </w:tr>
      <w:tr w:rsidR="00A9061E" w:rsidRPr="0014550C" w14:paraId="3DC06BBC" w14:textId="77777777" w:rsidTr="004468B2">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870" w:type="dxa"/>
            <w:noWrap/>
          </w:tcPr>
          <w:p w14:paraId="6738DB9B" w14:textId="77777777" w:rsidR="00A9061E" w:rsidRPr="008A4E58" w:rsidRDefault="00A9061E" w:rsidP="003971DF">
            <w:pPr>
              <w:keepNext/>
              <w:keepLines/>
              <w:jc w:val="left"/>
              <w:rPr>
                <w:szCs w:val="20"/>
              </w:rPr>
            </w:pPr>
            <w:r>
              <w:rPr>
                <w:rFonts w:cs="Calibri"/>
                <w:color w:val="000000"/>
                <w:szCs w:val="20"/>
              </w:rPr>
              <w:t>Lifetime Persistence Savings, Therms</w:t>
            </w:r>
          </w:p>
        </w:tc>
        <w:tc>
          <w:tcPr>
            <w:tcW w:w="2565" w:type="dxa"/>
            <w:noWrap/>
          </w:tcPr>
          <w:p w14:paraId="0B4DABB1" w14:textId="77777777" w:rsidR="00A9061E" w:rsidRDefault="00A9061E" w:rsidP="000B26EA">
            <w:pPr>
              <w:cnfStyle w:val="000000010000" w:firstRow="0" w:lastRow="0" w:firstColumn="0" w:lastColumn="0" w:oddVBand="0" w:evenVBand="0" w:oddHBand="0" w:evenHBand="1" w:firstRowFirstColumn="0" w:firstRowLastColumn="0" w:lastRowFirstColumn="0" w:lastRowLastColumn="0"/>
              <w:rPr>
                <w:color w:val="000000"/>
                <w:szCs w:val="22"/>
              </w:rPr>
            </w:pPr>
            <w:r w:rsidRPr="004D75E4">
              <w:rPr>
                <w:rFonts w:cs="Calibri"/>
                <w:color w:val="000000"/>
                <w:szCs w:val="20"/>
              </w:rPr>
              <w:t>8,8</w:t>
            </w:r>
            <w:r>
              <w:rPr>
                <w:rFonts w:cs="Calibri"/>
                <w:color w:val="000000"/>
                <w:szCs w:val="20"/>
              </w:rPr>
              <w:t>61,472</w:t>
            </w:r>
          </w:p>
        </w:tc>
      </w:tr>
      <w:tr w:rsidR="00A9061E" w:rsidRPr="0014550C" w14:paraId="12BAB2CA" w14:textId="77777777" w:rsidTr="004468B2">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870" w:type="dxa"/>
            <w:noWrap/>
          </w:tcPr>
          <w:p w14:paraId="19F1DB3F" w14:textId="77777777" w:rsidR="00A9061E" w:rsidRPr="008A4E58" w:rsidRDefault="00A9061E" w:rsidP="003971DF">
            <w:pPr>
              <w:keepNext/>
              <w:keepLines/>
              <w:jc w:val="left"/>
              <w:rPr>
                <w:szCs w:val="20"/>
              </w:rPr>
            </w:pPr>
            <w:r>
              <w:rPr>
                <w:rFonts w:cs="Calibri"/>
                <w:color w:val="000000"/>
                <w:szCs w:val="20"/>
              </w:rPr>
              <w:t>HER Measure Life</w:t>
            </w:r>
          </w:p>
        </w:tc>
        <w:tc>
          <w:tcPr>
            <w:tcW w:w="2565" w:type="dxa"/>
            <w:noWrap/>
          </w:tcPr>
          <w:p w14:paraId="6E74D275" w14:textId="77777777" w:rsidR="00A9061E" w:rsidRDefault="00A9061E" w:rsidP="000B26EA">
            <w:pPr>
              <w:cnfStyle w:val="000000100000" w:firstRow="0" w:lastRow="0" w:firstColumn="0" w:lastColumn="0" w:oddVBand="0" w:evenVBand="0" w:oddHBand="1" w:evenHBand="0" w:firstRowFirstColumn="0" w:firstRowLastColumn="0" w:lastRowFirstColumn="0" w:lastRowLastColumn="0"/>
              <w:rPr>
                <w:color w:val="000000"/>
                <w:szCs w:val="22"/>
              </w:rPr>
            </w:pPr>
            <w:r>
              <w:rPr>
                <w:rFonts w:cs="Calibri"/>
                <w:color w:val="000000"/>
                <w:szCs w:val="20"/>
              </w:rPr>
              <w:t>3.08 years</w:t>
            </w:r>
          </w:p>
        </w:tc>
      </w:tr>
    </w:tbl>
    <w:p w14:paraId="1F69B299" w14:textId="77777777" w:rsidR="00A9061E" w:rsidRPr="00C750CB" w:rsidRDefault="00A9061E" w:rsidP="003971DF">
      <w:pPr>
        <w:pStyle w:val="Source"/>
        <w:ind w:left="1260" w:firstLine="90"/>
      </w:pPr>
      <w:r w:rsidRPr="00651E3A">
        <w:t xml:space="preserve">Source: </w:t>
      </w:r>
      <w:r>
        <w:t xml:space="preserve">Nicor Gas billing </w:t>
      </w:r>
      <w:r w:rsidRPr="00651E3A">
        <w:t>data</w:t>
      </w:r>
      <w:r>
        <w:t>, Opower implementation data, and Navigant analysis</w:t>
      </w:r>
    </w:p>
    <w:p w14:paraId="34F54870" w14:textId="77777777" w:rsidR="00A9061E" w:rsidRDefault="00A9061E" w:rsidP="00A9061E">
      <w:pPr>
        <w:pStyle w:val="Heading8"/>
      </w:pPr>
      <w:bookmarkStart w:id="12" w:name="_Toc440983216"/>
      <w:r>
        <w:t xml:space="preserve">E.6 </w:t>
      </w:r>
      <w:r w:rsidRPr="00502402">
        <w:t>Key Findings and Recommendations</w:t>
      </w:r>
      <w:bookmarkEnd w:id="12"/>
    </w:p>
    <w:p w14:paraId="40E8B4A6" w14:textId="77777777" w:rsidR="00A9061E" w:rsidRPr="00640F6C" w:rsidRDefault="00A9061E" w:rsidP="00A9061E">
      <w:pPr>
        <w:rPr>
          <w:b/>
        </w:rPr>
      </w:pPr>
      <w:r>
        <w:t xml:space="preserve">This section summarizes the key impact findings and recommendations. </w:t>
      </w:r>
    </w:p>
    <w:p w14:paraId="3A67147B" w14:textId="77777777" w:rsidR="00A9061E" w:rsidRDefault="00A9061E" w:rsidP="00A9061E">
      <w:pPr>
        <w:rPr>
          <w:b/>
        </w:rPr>
      </w:pPr>
    </w:p>
    <w:p w14:paraId="1F8973CC" w14:textId="4978321A" w:rsidR="00A9061E" w:rsidRDefault="00A9061E" w:rsidP="00A9061E">
      <w:pPr>
        <w:ind w:left="540"/>
      </w:pPr>
      <w:r w:rsidRPr="00C33AE0">
        <w:rPr>
          <w:b/>
        </w:rPr>
        <w:t xml:space="preserve">Finding </w:t>
      </w:r>
      <w:r>
        <w:rPr>
          <w:b/>
        </w:rPr>
        <w:t>1</w:t>
      </w:r>
      <w:r w:rsidRPr="00C33AE0">
        <w:rPr>
          <w:b/>
        </w:rPr>
        <w:t>.</w:t>
      </w:r>
      <w:r w:rsidRPr="00C33AE0">
        <w:t xml:space="preserve"> </w:t>
      </w:r>
      <w:r>
        <w:t>The utility</w:t>
      </w:r>
      <w:r w:rsidR="00394E01">
        <w:t>-</w:t>
      </w:r>
      <w:r>
        <w:t xml:space="preserve">specific annual decay rate for the Nicor </w:t>
      </w:r>
      <w:r w:rsidR="008D6F3F">
        <w:t xml:space="preserve">Gas </w:t>
      </w:r>
      <w:r>
        <w:t>HER program is 46% one year after reports were stopped. This implies a persistence factor of 54% for the first year after reports are stopped, meaning that 54% of the program savings persist after one year.</w:t>
      </w:r>
    </w:p>
    <w:p w14:paraId="772C2D07" w14:textId="77777777" w:rsidR="00A9061E" w:rsidRDefault="00A9061E" w:rsidP="00A9061E">
      <w:pPr>
        <w:ind w:left="540"/>
      </w:pPr>
    </w:p>
    <w:p w14:paraId="74C8502A" w14:textId="2326F7AC" w:rsidR="00A9061E" w:rsidRDefault="00A9061E" w:rsidP="00A9061E">
      <w:pPr>
        <w:ind w:left="540"/>
      </w:pPr>
      <w:r>
        <w:rPr>
          <w:b/>
        </w:rPr>
        <w:t xml:space="preserve">Finding 2. </w:t>
      </w:r>
      <w:r>
        <w:t xml:space="preserve">The estimated measure life for the Nicor </w:t>
      </w:r>
      <w:r w:rsidR="008D6F3F">
        <w:t xml:space="preserve">Gas </w:t>
      </w:r>
      <w:r>
        <w:t>HER program is three years. This means that if reports are sent for one year, treatment customers will continue to achieve savings for two more years after reports are stopped.</w:t>
      </w:r>
    </w:p>
    <w:p w14:paraId="43B84761" w14:textId="77777777" w:rsidR="00A9061E" w:rsidRDefault="00A9061E" w:rsidP="00A9061E">
      <w:pPr>
        <w:ind w:left="540"/>
      </w:pPr>
    </w:p>
    <w:p w14:paraId="0F973247" w14:textId="5DE0A06F" w:rsidR="00A9061E" w:rsidRDefault="00A9061E" w:rsidP="00A9061E">
      <w:pPr>
        <w:ind w:left="540"/>
      </w:pPr>
      <w:r w:rsidRPr="00422181">
        <w:rPr>
          <w:b/>
        </w:rPr>
        <w:t>Recommendation</w:t>
      </w:r>
      <w:r>
        <w:rPr>
          <w:b/>
        </w:rPr>
        <w:t xml:space="preserve"> 1</w:t>
      </w:r>
      <w:r w:rsidRPr="00422181">
        <w:rPr>
          <w:b/>
        </w:rPr>
        <w:t>.</w:t>
      </w:r>
      <w:r w:rsidRPr="00C33AE0">
        <w:t xml:space="preserve"> </w:t>
      </w:r>
      <w:r>
        <w:t>The results of this research, a decay rate of 46% and a measure life of three years, should be considered in determining persistence factors and measure life for the Illinois TRM. This study represents one data point in a broader literature and any values created for the Illinois TRM should also take the broader literature into account.</w:t>
      </w:r>
      <w:r w:rsidR="002232B6">
        <w:t xml:space="preserve"> Combining the results of this research and the GPY3 evaluation shows that lifetime savings from the GPY3 program were almost nine million therms or a bit more than double the therm savings achieved in GPY3.</w:t>
      </w:r>
    </w:p>
    <w:p w14:paraId="36707FB2" w14:textId="77777777" w:rsidR="00A9061E" w:rsidRDefault="00A9061E" w:rsidP="00A9061E">
      <w:pPr>
        <w:ind w:left="540"/>
      </w:pPr>
    </w:p>
    <w:p w14:paraId="14DFA875" w14:textId="28F84E5D" w:rsidR="00A9061E" w:rsidRPr="00871403" w:rsidRDefault="00A9061E" w:rsidP="00A9061E">
      <w:pPr>
        <w:ind w:left="540"/>
      </w:pPr>
      <w:r>
        <w:rPr>
          <w:b/>
        </w:rPr>
        <w:lastRenderedPageBreak/>
        <w:t xml:space="preserve">Recommendation 2. </w:t>
      </w:r>
      <w:r>
        <w:t xml:space="preserve">Nicor </w:t>
      </w:r>
      <w:r w:rsidR="008D6F3F">
        <w:t xml:space="preserve">Gas </w:t>
      </w:r>
      <w:r>
        <w:t>should continue this study for another year and look at savings in the second year after reports are stopped, from October 2015 to September 201</w:t>
      </w:r>
      <w:r w:rsidR="0068335F">
        <w:t>6</w:t>
      </w:r>
      <w:r>
        <w:t>. The continued study would estimate the decay rate in the second year after reports are stopped. This would add to research on whether decay rates remain constant, increase, or decrease in the second year after reports are stopped and the results could be used to inform second year persistence factors in the Illinois TRM.</w:t>
      </w:r>
    </w:p>
    <w:p w14:paraId="634E4D58" w14:textId="77777777" w:rsidR="00A9061E" w:rsidRDefault="00A9061E" w:rsidP="00A9061E">
      <w:pPr>
        <w:ind w:left="540"/>
      </w:pPr>
    </w:p>
    <w:p w14:paraId="4DFA15B0" w14:textId="77777777" w:rsidR="00A9061E" w:rsidRPr="009F6BFA" w:rsidRDefault="00A9061E" w:rsidP="00A9061E"/>
    <w:p w14:paraId="0E1EF049" w14:textId="77777777" w:rsidR="00A9061E" w:rsidRPr="00A90B62" w:rsidRDefault="00A9061E" w:rsidP="00A9061E">
      <w:pPr>
        <w:pStyle w:val="Heading1"/>
      </w:pPr>
      <w:bookmarkStart w:id="13" w:name="_Toc440983217"/>
      <w:r w:rsidRPr="00A90B62">
        <w:lastRenderedPageBreak/>
        <w:t>Introduction</w:t>
      </w:r>
      <w:bookmarkEnd w:id="13"/>
      <w:r w:rsidRPr="00A90B62">
        <w:t xml:space="preserve"> </w:t>
      </w:r>
    </w:p>
    <w:p w14:paraId="53F4D0D9" w14:textId="77777777" w:rsidR="00A9061E" w:rsidRDefault="00A9061E" w:rsidP="00A9061E">
      <w:pPr>
        <w:pStyle w:val="Heading2"/>
        <w:spacing w:after="240"/>
      </w:pPr>
      <w:bookmarkStart w:id="14" w:name="_Toc440983218"/>
      <w:r>
        <w:t>Study</w:t>
      </w:r>
      <w:r w:rsidRPr="00A90B62">
        <w:t xml:space="preserve"> Description</w:t>
      </w:r>
      <w:bookmarkEnd w:id="14"/>
    </w:p>
    <w:p w14:paraId="71FCF4BD" w14:textId="77777777" w:rsidR="00A9061E" w:rsidRPr="009B4BD4" w:rsidRDefault="00A9061E" w:rsidP="00A9061E">
      <w:pPr>
        <w:pStyle w:val="Heading3"/>
      </w:pPr>
      <w:bookmarkStart w:id="15" w:name="_Toc440983219"/>
      <w:r>
        <w:t>Home Energy Report Persistence Study Description</w:t>
      </w:r>
      <w:bookmarkEnd w:id="15"/>
    </w:p>
    <w:p w14:paraId="1045E3AF" w14:textId="62329C5B" w:rsidR="00A9061E" w:rsidRDefault="00A9061E" w:rsidP="00A9061E">
      <w:r>
        <w:t>The Nicor Gas Behavioral Energy Savings Programs (BESP) included a</w:t>
      </w:r>
      <w:r w:rsidRPr="00356E69">
        <w:t xml:space="preserve"> </w:t>
      </w:r>
      <w:r>
        <w:t>Home Energy Report (HER) program during GPY3</w:t>
      </w:r>
      <w:r>
        <w:rPr>
          <w:rStyle w:val="FootnoteReference"/>
        </w:rPr>
        <w:footnoteReference w:id="8"/>
      </w:r>
      <w:r>
        <w:t xml:space="preserve">. </w:t>
      </w:r>
      <w:r w:rsidR="002232B6">
        <w:t xml:space="preserve">This report presents the findings associated with the persistence of savings for the Nicor Gas HER program beyond the initial year of the program in GPY3. </w:t>
      </w:r>
      <w:r>
        <w:t>In the GPY3 evaluation report, Navigant estimated savings from the HER program during the first year that it was run, covering the period from October 2013 to September 2014.</w:t>
      </w:r>
      <w:r>
        <w:rPr>
          <w:rStyle w:val="FootnoteReference"/>
        </w:rPr>
        <w:footnoteReference w:id="9"/>
      </w:r>
      <w:r>
        <w:t xml:space="preserve"> Navigant found savings of 4.1 million therms in the GPY3 evaluation. Having already established savings of 1.9 million therms during the first six months after the HER program was discontinued, the purpose of this current study is to look at whether the HER program continued to generate savings in the second six months after it was discontinued, covering the period from April 2015 to September 2015. Additionally, this study estimate</w:t>
      </w:r>
      <w:r w:rsidR="002232B6">
        <w:t>s</w:t>
      </w:r>
      <w:r>
        <w:t xml:space="preserve"> an annual decay rate and measure life</w:t>
      </w:r>
      <w:r w:rsidR="00FB6A52">
        <w:t>time</w:t>
      </w:r>
      <w:r>
        <w:t xml:space="preserve"> for the program based on the savings found.</w:t>
      </w:r>
    </w:p>
    <w:p w14:paraId="643C6F23" w14:textId="77777777" w:rsidR="00A9061E" w:rsidRDefault="00A9061E" w:rsidP="00A9061E"/>
    <w:p w14:paraId="7D808540" w14:textId="17FF24B0" w:rsidR="00A9061E" w:rsidRDefault="00A9061E" w:rsidP="00A9061E">
      <w:r>
        <w:t xml:space="preserve">The Home Energy Report (HER) program was designed to generate gas savings by providing residential customers with sets of information about their specific gas </w:t>
      </w:r>
      <w:r w:rsidR="002232B6">
        <w:t>consumption</w:t>
      </w:r>
      <w:r>
        <w:t xml:space="preserve"> and related conservation suggestions and tips. The information was provided in the form of reports that give customers various types of information, including: a) how their recent gas </w:t>
      </w:r>
      <w:r w:rsidR="002232B6">
        <w:t xml:space="preserve">consumption </w:t>
      </w:r>
      <w:r>
        <w:t xml:space="preserve">compares to their use in the past; b) tips on how to reduce consumption, some of which are tailored to the customer’s circumstances; and c) information on how their gas </w:t>
      </w:r>
      <w:r w:rsidR="002232B6">
        <w:t>consumption</w:t>
      </w:r>
      <w:r>
        <w:t xml:space="preserve"> compares to that of neighbors with similar homes. This set of information has been shown in other studies to stimulate customers to reduce their gas </w:t>
      </w:r>
      <w:r w:rsidR="002232B6">
        <w:t>consumption</w:t>
      </w:r>
      <w:r>
        <w:t xml:space="preserve">, creating average savings around 1%, depending on local gas </w:t>
      </w:r>
      <w:r w:rsidR="002232B6">
        <w:t>consumption</w:t>
      </w:r>
      <w:r>
        <w:t xml:space="preserve"> patterns. </w:t>
      </w:r>
    </w:p>
    <w:p w14:paraId="4684EBE6" w14:textId="77777777" w:rsidR="00A9061E" w:rsidRDefault="00A9061E" w:rsidP="00A9061E"/>
    <w:p w14:paraId="745AB5EF" w14:textId="322F4503" w:rsidR="00A9061E" w:rsidRDefault="00A9061E" w:rsidP="00A9061E">
      <w:r>
        <w:t xml:space="preserve">An important feature of the program is that it was a randomized controlled trial (RCT). Customers in the program were randomly assigned to a treatment (participant) group and a control (non-participant) group, for the purpose of estimating changes in gas </w:t>
      </w:r>
      <w:r w:rsidR="002232B6">
        <w:t>consumption</w:t>
      </w:r>
      <w:r>
        <w:t xml:space="preserve"> due to the program. </w:t>
      </w:r>
    </w:p>
    <w:p w14:paraId="57029ACB" w14:textId="77777777" w:rsidR="00A9061E" w:rsidRDefault="00A9061E" w:rsidP="00A9061E"/>
    <w:p w14:paraId="19F93916" w14:textId="77777777" w:rsidR="00A9061E" w:rsidRDefault="00A9061E" w:rsidP="00A9061E">
      <w:r>
        <w:t xml:space="preserve">The program was discontinued in September 2014 after running for one year. Because reports were only sent during the heating season, participants received their last report in March 2014. However, HER programs have been shown to cause lasting changes such that savings continue to accrue even after the program is stopped. Little evidence exists on the persistence of savings for gas HER programs. Due to the RCT nature of the program, these persistence savings can be causally assigned to the reports even though they are no longer being sent. </w:t>
      </w:r>
    </w:p>
    <w:p w14:paraId="090FC495" w14:textId="77777777" w:rsidR="00A9061E" w:rsidRDefault="00A9061E" w:rsidP="00A9061E">
      <w:pPr>
        <w:pStyle w:val="Heading2"/>
        <w:spacing w:after="240"/>
      </w:pPr>
      <w:bookmarkStart w:id="16" w:name="_Toc440983220"/>
      <w:r>
        <w:t>Summary of GPY3 Findings</w:t>
      </w:r>
      <w:bookmarkEnd w:id="16"/>
    </w:p>
    <w:p w14:paraId="3CF53576" w14:textId="2D3D1E0E" w:rsidR="00A9061E" w:rsidRDefault="00A9061E" w:rsidP="00A9061E">
      <w:r>
        <w:t xml:space="preserve">In GPY3 Navigant evaluated savings from the first year of the HER program covering the period from October 2013 to September 2014. </w:t>
      </w:r>
      <w:r>
        <w:fldChar w:fldCharType="begin"/>
      </w:r>
      <w:r>
        <w:instrText xml:space="preserve"> REF _Ref422997484 \h </w:instrText>
      </w:r>
      <w:r>
        <w:fldChar w:fldCharType="separate"/>
      </w:r>
      <w:r w:rsidR="003971DF">
        <w:rPr>
          <w:b/>
          <w:bCs/>
        </w:rPr>
        <w:fldChar w:fldCharType="begin"/>
      </w:r>
      <w:r w:rsidR="003971DF">
        <w:instrText xml:space="preserve"> REF _Ref440982274 \h </w:instrText>
      </w:r>
      <w:r w:rsidR="003971DF">
        <w:rPr>
          <w:b/>
          <w:bCs/>
        </w:rPr>
      </w:r>
      <w:r w:rsidR="003971DF">
        <w:rPr>
          <w:b/>
          <w:bCs/>
        </w:rPr>
        <w:fldChar w:fldCharType="separate"/>
      </w:r>
      <w:r w:rsidR="003971DF">
        <w:t xml:space="preserve">Table </w:t>
      </w:r>
      <w:r w:rsidR="003971DF">
        <w:rPr>
          <w:noProof/>
        </w:rPr>
        <w:t>1</w:t>
      </w:r>
      <w:r w:rsidR="003971DF">
        <w:noBreakHyphen/>
      </w:r>
      <w:r w:rsidR="003971DF">
        <w:rPr>
          <w:noProof/>
        </w:rPr>
        <w:t>1</w:t>
      </w:r>
      <w:r w:rsidR="003971DF">
        <w:rPr>
          <w:b/>
          <w:bCs/>
        </w:rPr>
        <w:fldChar w:fldCharType="end"/>
      </w:r>
      <w:r>
        <w:fldChar w:fldCharType="end"/>
      </w:r>
      <w:r w:rsidR="00902AC7">
        <w:t xml:space="preserve"> </w:t>
      </w:r>
      <w:r>
        <w:t>summarizes Navigant’s finding from the GPY3 report.</w:t>
      </w:r>
    </w:p>
    <w:p w14:paraId="2610C596" w14:textId="77777777" w:rsidR="00A9061E" w:rsidRDefault="00A9061E" w:rsidP="00A9061E"/>
    <w:p w14:paraId="6C78DD89" w14:textId="77777777" w:rsidR="00A9061E" w:rsidRDefault="00A9061E" w:rsidP="00A9061E">
      <w:pPr>
        <w:pStyle w:val="Caption"/>
      </w:pPr>
      <w:bookmarkStart w:id="17" w:name="_Ref440982274"/>
      <w:bookmarkStart w:id="18" w:name="_Toc441752597"/>
      <w:r>
        <w:lastRenderedPageBreak/>
        <w:t xml:space="preserve">Table </w:t>
      </w:r>
      <w:r w:rsidR="00851D29">
        <w:fldChar w:fldCharType="begin"/>
      </w:r>
      <w:r w:rsidR="00851D29">
        <w:instrText xml:space="preserve"> STYLEREF 1 \s </w:instrText>
      </w:r>
      <w:r w:rsidR="00851D29">
        <w:fldChar w:fldCharType="separate"/>
      </w:r>
      <w:r w:rsidR="003B38C3">
        <w:rPr>
          <w:noProof/>
        </w:rPr>
        <w:t>1</w:t>
      </w:r>
      <w:r w:rsidR="00851D29">
        <w:rPr>
          <w:noProof/>
        </w:rPr>
        <w:fldChar w:fldCharType="end"/>
      </w:r>
      <w:r>
        <w:noBreakHyphen/>
      </w:r>
      <w:r w:rsidR="00851D29">
        <w:fldChar w:fldCharType="begin"/>
      </w:r>
      <w:r w:rsidR="00851D29">
        <w:instrText xml:space="preserve"> SEQ Table \* ARABIC \s 1 </w:instrText>
      </w:r>
      <w:r w:rsidR="00851D29">
        <w:fldChar w:fldCharType="separate"/>
      </w:r>
      <w:r w:rsidR="003B38C3">
        <w:rPr>
          <w:noProof/>
        </w:rPr>
        <w:t>1</w:t>
      </w:r>
      <w:r w:rsidR="00851D29">
        <w:rPr>
          <w:noProof/>
        </w:rPr>
        <w:fldChar w:fldCharType="end"/>
      </w:r>
      <w:bookmarkEnd w:id="17"/>
      <w:r>
        <w:t>. HER Total Program Gas Savings during its First Year</w:t>
      </w:r>
      <w:bookmarkEnd w:id="18"/>
    </w:p>
    <w:tbl>
      <w:tblPr>
        <w:tblStyle w:val="EnergyTable"/>
        <w:tblW w:w="0" w:type="auto"/>
        <w:tblLayout w:type="fixed"/>
        <w:tblLook w:val="04A0" w:firstRow="1" w:lastRow="0" w:firstColumn="1" w:lastColumn="0" w:noHBand="0" w:noVBand="1"/>
      </w:tblPr>
      <w:tblGrid>
        <w:gridCol w:w="3870"/>
        <w:gridCol w:w="2565"/>
      </w:tblGrid>
      <w:tr w:rsidR="00A9061E" w:rsidRPr="00B71D78" w14:paraId="11C848FE" w14:textId="77777777" w:rsidTr="004468B2">
        <w:trPr>
          <w:cnfStyle w:val="100000000000" w:firstRow="1" w:lastRow="0" w:firstColumn="0" w:lastColumn="0" w:oddVBand="0" w:evenVBand="0" w:oddHBand="0"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3870" w:type="dxa"/>
            <w:hideMark/>
          </w:tcPr>
          <w:p w14:paraId="73D7CCFF" w14:textId="77777777" w:rsidR="00A9061E" w:rsidRPr="00D32380" w:rsidRDefault="00A9061E" w:rsidP="000B26EA">
            <w:pPr>
              <w:keepNext/>
              <w:keepLines/>
              <w:jc w:val="left"/>
              <w:rPr>
                <w:rFonts w:eastAsia="Calibri"/>
                <w:szCs w:val="20"/>
              </w:rPr>
            </w:pPr>
            <w:r w:rsidRPr="00D32380">
              <w:rPr>
                <w:szCs w:val="20"/>
              </w:rPr>
              <w:t>Savings Category</w:t>
            </w:r>
          </w:p>
        </w:tc>
        <w:tc>
          <w:tcPr>
            <w:tcW w:w="2565" w:type="dxa"/>
            <w:hideMark/>
          </w:tcPr>
          <w:p w14:paraId="38E05922" w14:textId="77777777" w:rsidR="00A9061E" w:rsidRPr="00D32380" w:rsidRDefault="00A9061E" w:rsidP="000B26EA">
            <w:pPr>
              <w:keepNext/>
              <w:keepLines/>
              <w:cnfStyle w:val="100000000000" w:firstRow="1" w:lastRow="0" w:firstColumn="0" w:lastColumn="0" w:oddVBand="0" w:evenVBand="0" w:oddHBand="0" w:evenHBand="0" w:firstRowFirstColumn="0" w:firstRowLastColumn="0" w:lastRowFirstColumn="0" w:lastRowLastColumn="0"/>
              <w:rPr>
                <w:rFonts w:eastAsia="Calibri"/>
                <w:szCs w:val="20"/>
              </w:rPr>
            </w:pPr>
            <w:r w:rsidRPr="00D32380">
              <w:rPr>
                <w:szCs w:val="20"/>
              </w:rPr>
              <w:t xml:space="preserve"> Savings (Therms)</w:t>
            </w:r>
          </w:p>
        </w:tc>
      </w:tr>
      <w:tr w:rsidR="00A9061E" w:rsidRPr="00B71D78" w14:paraId="6F3F6C6C" w14:textId="77777777" w:rsidTr="004468B2">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3870" w:type="dxa"/>
            <w:noWrap/>
          </w:tcPr>
          <w:p w14:paraId="4BA4F15E" w14:textId="77777777" w:rsidR="00A9061E" w:rsidRPr="008A4E58" w:rsidRDefault="00A9061E" w:rsidP="003971DF">
            <w:pPr>
              <w:keepNext/>
              <w:keepLines/>
              <w:jc w:val="left"/>
              <w:rPr>
                <w:szCs w:val="20"/>
              </w:rPr>
            </w:pPr>
            <w:r>
              <w:rPr>
                <w:szCs w:val="20"/>
              </w:rPr>
              <w:t>N</w:t>
            </w:r>
            <w:r w:rsidRPr="008A4E58">
              <w:rPr>
                <w:szCs w:val="20"/>
              </w:rPr>
              <w:t>et Savings Goal</w:t>
            </w:r>
          </w:p>
        </w:tc>
        <w:tc>
          <w:tcPr>
            <w:tcW w:w="2565" w:type="dxa"/>
            <w:noWrap/>
          </w:tcPr>
          <w:p w14:paraId="11CC8CBA" w14:textId="77777777" w:rsidR="00A9061E" w:rsidRPr="008A4E58" w:rsidRDefault="00A9061E" w:rsidP="000B26EA">
            <w:pPr>
              <w:keepNext/>
              <w:keepLines/>
              <w:cnfStyle w:val="000000100000" w:firstRow="0" w:lastRow="0" w:firstColumn="0" w:lastColumn="0" w:oddVBand="0" w:evenVBand="0" w:oddHBand="1" w:evenHBand="0" w:firstRowFirstColumn="0" w:firstRowLastColumn="0" w:lastRowFirstColumn="0" w:lastRowLastColumn="0"/>
              <w:rPr>
                <w:szCs w:val="20"/>
              </w:rPr>
            </w:pPr>
            <w:r>
              <w:rPr>
                <w:szCs w:val="20"/>
              </w:rPr>
              <w:t>3,327,435</w:t>
            </w:r>
          </w:p>
        </w:tc>
      </w:tr>
      <w:tr w:rsidR="00A9061E" w:rsidRPr="00B71D78" w14:paraId="34A3AFAF" w14:textId="77777777" w:rsidTr="004468B2">
        <w:trPr>
          <w:cnfStyle w:val="000000010000" w:firstRow="0" w:lastRow="0" w:firstColumn="0" w:lastColumn="0" w:oddVBand="0" w:evenVBand="0" w:oddHBand="0" w:evenHBand="1"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3870" w:type="dxa"/>
            <w:noWrap/>
          </w:tcPr>
          <w:p w14:paraId="6F2F558E" w14:textId="77777777" w:rsidR="00A9061E" w:rsidRPr="008A4E58" w:rsidRDefault="00A9061E" w:rsidP="003971DF">
            <w:pPr>
              <w:keepNext/>
              <w:keepLines/>
              <w:jc w:val="left"/>
              <w:rPr>
                <w:szCs w:val="20"/>
              </w:rPr>
            </w:pPr>
            <w:r w:rsidRPr="008A4E58">
              <w:rPr>
                <w:szCs w:val="20"/>
              </w:rPr>
              <w:t>Ex Ante Net Savings</w:t>
            </w:r>
            <w:r>
              <w:rPr>
                <w:szCs w:val="20"/>
              </w:rPr>
              <w:t>*</w:t>
            </w:r>
          </w:p>
        </w:tc>
        <w:tc>
          <w:tcPr>
            <w:tcW w:w="2565" w:type="dxa"/>
            <w:noWrap/>
          </w:tcPr>
          <w:p w14:paraId="05F21F34" w14:textId="77777777" w:rsidR="00A9061E" w:rsidRPr="008A4E58" w:rsidRDefault="00A9061E" w:rsidP="000B26EA">
            <w:pPr>
              <w:keepNext/>
              <w:keepLines/>
              <w:cnfStyle w:val="000000010000" w:firstRow="0" w:lastRow="0" w:firstColumn="0" w:lastColumn="0" w:oddVBand="0" w:evenVBand="0" w:oddHBand="0" w:evenHBand="1" w:firstRowFirstColumn="0" w:firstRowLastColumn="0" w:lastRowFirstColumn="0" w:lastRowLastColumn="0"/>
              <w:rPr>
                <w:szCs w:val="20"/>
              </w:rPr>
            </w:pPr>
            <w:r>
              <w:rPr>
                <w:szCs w:val="20"/>
              </w:rPr>
              <w:t>4,140,321</w:t>
            </w:r>
          </w:p>
        </w:tc>
      </w:tr>
      <w:tr w:rsidR="00A9061E" w:rsidRPr="00B71D78" w14:paraId="0A918296" w14:textId="77777777" w:rsidTr="004468B2">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3870" w:type="dxa"/>
            <w:noWrap/>
            <w:hideMark/>
          </w:tcPr>
          <w:p w14:paraId="0697A358" w14:textId="77777777" w:rsidR="00A9061E" w:rsidRPr="008A4E58" w:rsidRDefault="00A9061E" w:rsidP="003971DF">
            <w:pPr>
              <w:keepNext/>
              <w:keepLines/>
              <w:jc w:val="left"/>
              <w:rPr>
                <w:rFonts w:eastAsia="Calibri"/>
                <w:szCs w:val="20"/>
              </w:rPr>
            </w:pPr>
            <w:r w:rsidRPr="008A4E58">
              <w:rPr>
                <w:szCs w:val="20"/>
              </w:rPr>
              <w:t>Verified Net Savings, Before Uplift Adjustment</w:t>
            </w:r>
          </w:p>
        </w:tc>
        <w:tc>
          <w:tcPr>
            <w:tcW w:w="2565" w:type="dxa"/>
            <w:noWrap/>
          </w:tcPr>
          <w:p w14:paraId="0262277C" w14:textId="77777777" w:rsidR="00A9061E" w:rsidRPr="008A4E58" w:rsidRDefault="00A9061E" w:rsidP="000B26EA">
            <w:pPr>
              <w:keepNext/>
              <w:keepLines/>
              <w:cnfStyle w:val="000000100000" w:firstRow="0" w:lastRow="0" w:firstColumn="0" w:lastColumn="0" w:oddVBand="0" w:evenVBand="0" w:oddHBand="1" w:evenHBand="0" w:firstRowFirstColumn="0" w:firstRowLastColumn="0" w:lastRowFirstColumn="0" w:lastRowLastColumn="0"/>
              <w:rPr>
                <w:szCs w:val="20"/>
              </w:rPr>
            </w:pPr>
            <w:r>
              <w:rPr>
                <w:szCs w:val="20"/>
              </w:rPr>
              <w:t>4,264,371</w:t>
            </w:r>
          </w:p>
        </w:tc>
      </w:tr>
      <w:tr w:rsidR="00A9061E" w:rsidRPr="0014550C" w14:paraId="47144249" w14:textId="77777777" w:rsidTr="004468B2">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870" w:type="dxa"/>
            <w:noWrap/>
            <w:hideMark/>
          </w:tcPr>
          <w:p w14:paraId="0B4B735D" w14:textId="77777777" w:rsidR="00A9061E" w:rsidRPr="008A4E58" w:rsidRDefault="00A9061E" w:rsidP="003971DF">
            <w:pPr>
              <w:keepNext/>
              <w:keepLines/>
              <w:jc w:val="left"/>
              <w:rPr>
                <w:rFonts w:eastAsia="Calibri"/>
                <w:szCs w:val="20"/>
              </w:rPr>
            </w:pPr>
            <w:r w:rsidRPr="008A4E58">
              <w:rPr>
                <w:szCs w:val="20"/>
              </w:rPr>
              <w:t>Verified Net Savings, After Uplift Adjustment</w:t>
            </w:r>
          </w:p>
        </w:tc>
        <w:tc>
          <w:tcPr>
            <w:tcW w:w="2565" w:type="dxa"/>
            <w:noWrap/>
          </w:tcPr>
          <w:p w14:paraId="68956A19" w14:textId="77777777" w:rsidR="00A9061E" w:rsidRPr="008A4E58" w:rsidRDefault="00A9061E" w:rsidP="000B26EA">
            <w:pPr>
              <w:keepNext/>
              <w:keepLines/>
              <w:cnfStyle w:val="000000010000" w:firstRow="0" w:lastRow="0" w:firstColumn="0" w:lastColumn="0" w:oddVBand="0" w:evenVBand="0" w:oddHBand="0" w:evenHBand="1" w:firstRowFirstColumn="0" w:firstRowLastColumn="0" w:lastRowFirstColumn="0" w:lastRowLastColumn="0"/>
              <w:rPr>
                <w:szCs w:val="20"/>
                <w:highlight w:val="yellow"/>
              </w:rPr>
            </w:pPr>
            <w:r>
              <w:rPr>
                <w:szCs w:val="20"/>
              </w:rPr>
              <w:t>4,111,100</w:t>
            </w:r>
          </w:p>
        </w:tc>
      </w:tr>
    </w:tbl>
    <w:p w14:paraId="6F3FD178" w14:textId="77777777" w:rsidR="00A9061E" w:rsidRDefault="00A9061E" w:rsidP="003971DF">
      <w:pPr>
        <w:pStyle w:val="GraphFootnote"/>
        <w:keepNext/>
        <w:keepLines/>
        <w:ind w:firstLine="1440"/>
      </w:pPr>
      <w:r w:rsidRPr="00651E3A">
        <w:t xml:space="preserve">Source: </w:t>
      </w:r>
      <w:r>
        <w:t xml:space="preserve">Nicor Gas billing </w:t>
      </w:r>
      <w:r w:rsidRPr="00651E3A">
        <w:t>data</w:t>
      </w:r>
      <w:r>
        <w:t>, Opower implementation data,</w:t>
      </w:r>
      <w:r w:rsidRPr="00651E3A">
        <w:t xml:space="preserve"> and Navigant analysis.</w:t>
      </w:r>
    </w:p>
    <w:p w14:paraId="7E53D875" w14:textId="77777777" w:rsidR="00A9061E" w:rsidRPr="00AC0104" w:rsidRDefault="00A9061E" w:rsidP="003971DF">
      <w:pPr>
        <w:keepNext/>
        <w:keepLines/>
        <w:ind w:firstLine="1440"/>
        <w:rPr>
          <w:sz w:val="18"/>
          <w:szCs w:val="18"/>
        </w:rPr>
      </w:pPr>
      <w:r w:rsidRPr="008A5D47">
        <w:rPr>
          <w:sz w:val="18"/>
          <w:szCs w:val="18"/>
        </w:rPr>
        <w:t>* Savings results reported by Opower through October 31, 2014.</w:t>
      </w:r>
    </w:p>
    <w:p w14:paraId="71A4080C" w14:textId="77777777" w:rsidR="00A9061E" w:rsidRDefault="00A9061E" w:rsidP="00A9061E">
      <w:pPr>
        <w:pStyle w:val="Heading2"/>
      </w:pPr>
      <w:bookmarkStart w:id="19" w:name="_Toc440983221"/>
      <w:r>
        <w:t>Part 1 Study Savings – October 2014 to March 2015</w:t>
      </w:r>
      <w:bookmarkEnd w:id="19"/>
    </w:p>
    <w:p w14:paraId="3CD5A4D4" w14:textId="385E3CC2" w:rsidR="00A9061E" w:rsidRDefault="00A9061E" w:rsidP="00A9061E">
      <w:r>
        <w:fldChar w:fldCharType="begin"/>
      </w:r>
      <w:r>
        <w:instrText xml:space="preserve"> REF _Ref423343967 \h </w:instrText>
      </w:r>
      <w:r>
        <w:fldChar w:fldCharType="separate"/>
      </w:r>
      <w:r w:rsidR="003971DF">
        <w:rPr>
          <w:b/>
          <w:bCs/>
        </w:rPr>
        <w:fldChar w:fldCharType="begin"/>
      </w:r>
      <w:r w:rsidR="003971DF">
        <w:instrText xml:space="preserve"> REF _Ref440982294 \h </w:instrText>
      </w:r>
      <w:r w:rsidR="003971DF">
        <w:rPr>
          <w:b/>
          <w:bCs/>
        </w:rPr>
      </w:r>
      <w:r w:rsidR="003971DF">
        <w:rPr>
          <w:b/>
          <w:bCs/>
        </w:rPr>
        <w:fldChar w:fldCharType="separate"/>
      </w:r>
      <w:r w:rsidR="003971DF">
        <w:t xml:space="preserve">Table </w:t>
      </w:r>
      <w:r w:rsidR="003971DF">
        <w:rPr>
          <w:noProof/>
        </w:rPr>
        <w:t>1</w:t>
      </w:r>
      <w:r w:rsidR="003971DF">
        <w:noBreakHyphen/>
      </w:r>
      <w:r w:rsidR="003971DF">
        <w:rPr>
          <w:noProof/>
        </w:rPr>
        <w:t>2</w:t>
      </w:r>
      <w:r w:rsidR="003971DF">
        <w:rPr>
          <w:b/>
          <w:bCs/>
        </w:rPr>
        <w:fldChar w:fldCharType="end"/>
      </w:r>
      <w:r>
        <w:fldChar w:fldCharType="end"/>
      </w:r>
      <w:r>
        <w:t xml:space="preserve"> </w:t>
      </w:r>
      <w:r w:rsidRPr="00A90B62">
        <w:t>summarize</w:t>
      </w:r>
      <w:r>
        <w:t>s</w:t>
      </w:r>
      <w:r w:rsidRPr="00A90B62">
        <w:t xml:space="preserve"> the </w:t>
      </w:r>
      <w:r>
        <w:t xml:space="preserve">gas </w:t>
      </w:r>
      <w:r w:rsidRPr="00A90B62">
        <w:t xml:space="preserve">savings from </w:t>
      </w:r>
      <w:r w:rsidRPr="00BE51A6">
        <w:t>the HER</w:t>
      </w:r>
      <w:r>
        <w:rPr>
          <w:szCs w:val="22"/>
        </w:rPr>
        <w:t xml:space="preserve"> p</w:t>
      </w:r>
      <w:r w:rsidRPr="00A90B62">
        <w:rPr>
          <w:szCs w:val="22"/>
        </w:rPr>
        <w:t>rogram</w:t>
      </w:r>
      <w:r>
        <w:rPr>
          <w:szCs w:val="22"/>
        </w:rPr>
        <w:t xml:space="preserve"> for the first six months after it was discontinued</w:t>
      </w:r>
      <w:r w:rsidRPr="00A90B62">
        <w:t>.</w:t>
      </w:r>
      <w:r>
        <w:t xml:space="preserve"> The HER program ended in September 2014 after running for one year, and the Part 1 study evaluated savings in the period from October 1, 2014 to March 31, 2015. Navigant was unable to consider double-counted savings due to uplift in this part of the study because other energy efficiency program tracking data was unavailable.</w:t>
      </w:r>
      <w:r>
        <w:rPr>
          <w:rStyle w:val="FootnoteReference"/>
        </w:rPr>
        <w:footnoteReference w:id="10"/>
      </w:r>
    </w:p>
    <w:p w14:paraId="6B212537" w14:textId="77777777" w:rsidR="00A9061E" w:rsidRDefault="00A9061E" w:rsidP="00A9061E"/>
    <w:p w14:paraId="719DA4C4" w14:textId="77777777" w:rsidR="00A9061E" w:rsidRDefault="00A9061E" w:rsidP="00A9061E">
      <w:pPr>
        <w:pStyle w:val="Caption"/>
      </w:pPr>
      <w:bookmarkStart w:id="20" w:name="_Ref440982294"/>
      <w:bookmarkStart w:id="21" w:name="_Toc441752598"/>
      <w:r>
        <w:t xml:space="preserve">Table </w:t>
      </w:r>
      <w:r w:rsidR="00851D29">
        <w:fldChar w:fldCharType="begin"/>
      </w:r>
      <w:r w:rsidR="00851D29">
        <w:instrText xml:space="preserve"> STYLEREF 1 \s </w:instrText>
      </w:r>
      <w:r w:rsidR="00851D29">
        <w:fldChar w:fldCharType="separate"/>
      </w:r>
      <w:r w:rsidR="003B38C3">
        <w:rPr>
          <w:noProof/>
        </w:rPr>
        <w:t>1</w:t>
      </w:r>
      <w:r w:rsidR="00851D29">
        <w:rPr>
          <w:noProof/>
        </w:rPr>
        <w:fldChar w:fldCharType="end"/>
      </w:r>
      <w:r>
        <w:noBreakHyphen/>
      </w:r>
      <w:r w:rsidR="00851D29">
        <w:fldChar w:fldCharType="begin"/>
      </w:r>
      <w:r w:rsidR="00851D29">
        <w:instrText xml:space="preserve"> SEQ Table \* ARABIC \s 1 </w:instrText>
      </w:r>
      <w:r w:rsidR="00851D29">
        <w:fldChar w:fldCharType="separate"/>
      </w:r>
      <w:r w:rsidR="003B38C3">
        <w:rPr>
          <w:noProof/>
        </w:rPr>
        <w:t>2</w:t>
      </w:r>
      <w:r w:rsidR="00851D29">
        <w:rPr>
          <w:noProof/>
        </w:rPr>
        <w:fldChar w:fldCharType="end"/>
      </w:r>
      <w:bookmarkEnd w:id="20"/>
      <w:r>
        <w:t>. HER Total Gas Savings from October 2014 – March 2015</w:t>
      </w:r>
      <w:bookmarkEnd w:id="21"/>
    </w:p>
    <w:tbl>
      <w:tblPr>
        <w:tblStyle w:val="EnergyTable"/>
        <w:tblW w:w="0" w:type="auto"/>
        <w:tblLayout w:type="fixed"/>
        <w:tblLook w:val="04A0" w:firstRow="1" w:lastRow="0" w:firstColumn="1" w:lastColumn="0" w:noHBand="0" w:noVBand="1"/>
      </w:tblPr>
      <w:tblGrid>
        <w:gridCol w:w="3870"/>
        <w:gridCol w:w="2565"/>
      </w:tblGrid>
      <w:tr w:rsidR="00A9061E" w:rsidRPr="00B71D78" w14:paraId="0C6EB335" w14:textId="77777777" w:rsidTr="004468B2">
        <w:trPr>
          <w:cnfStyle w:val="100000000000" w:firstRow="1" w:lastRow="0" w:firstColumn="0" w:lastColumn="0" w:oddVBand="0" w:evenVBand="0" w:oddHBand="0"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3870" w:type="dxa"/>
            <w:hideMark/>
          </w:tcPr>
          <w:p w14:paraId="47C6E1B9" w14:textId="77777777" w:rsidR="00A9061E" w:rsidRPr="00D32380" w:rsidRDefault="00A9061E" w:rsidP="000B26EA">
            <w:pPr>
              <w:keepNext/>
              <w:keepLines/>
              <w:jc w:val="left"/>
              <w:rPr>
                <w:rFonts w:eastAsia="Calibri"/>
                <w:szCs w:val="20"/>
              </w:rPr>
            </w:pPr>
            <w:r w:rsidRPr="00D32380">
              <w:rPr>
                <w:szCs w:val="20"/>
              </w:rPr>
              <w:t>Savings Category</w:t>
            </w:r>
          </w:p>
        </w:tc>
        <w:tc>
          <w:tcPr>
            <w:tcW w:w="2565" w:type="dxa"/>
            <w:hideMark/>
          </w:tcPr>
          <w:p w14:paraId="33CE4D0D" w14:textId="77777777" w:rsidR="00A9061E" w:rsidRPr="00D32380" w:rsidRDefault="00A9061E" w:rsidP="000B26EA">
            <w:pPr>
              <w:keepNext/>
              <w:keepLines/>
              <w:cnfStyle w:val="100000000000" w:firstRow="1" w:lastRow="0" w:firstColumn="0" w:lastColumn="0" w:oddVBand="0" w:evenVBand="0" w:oddHBand="0" w:evenHBand="0" w:firstRowFirstColumn="0" w:firstRowLastColumn="0" w:lastRowFirstColumn="0" w:lastRowLastColumn="0"/>
              <w:rPr>
                <w:rFonts w:eastAsia="Calibri"/>
                <w:szCs w:val="20"/>
              </w:rPr>
            </w:pPr>
            <w:r w:rsidRPr="00D32380">
              <w:rPr>
                <w:szCs w:val="20"/>
              </w:rPr>
              <w:t xml:space="preserve"> Savings (Therms)</w:t>
            </w:r>
          </w:p>
        </w:tc>
      </w:tr>
      <w:tr w:rsidR="00A9061E" w:rsidRPr="0014550C" w14:paraId="0C56D5BD" w14:textId="77777777" w:rsidTr="004468B2">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870" w:type="dxa"/>
            <w:noWrap/>
            <w:hideMark/>
          </w:tcPr>
          <w:p w14:paraId="0DDDB6AC" w14:textId="77777777" w:rsidR="00A9061E" w:rsidRPr="008A4E58" w:rsidRDefault="00A9061E" w:rsidP="003971DF">
            <w:pPr>
              <w:keepNext/>
              <w:keepLines/>
              <w:jc w:val="left"/>
              <w:rPr>
                <w:rFonts w:eastAsia="Calibri"/>
                <w:szCs w:val="20"/>
              </w:rPr>
            </w:pPr>
            <w:r w:rsidRPr="008A4E58">
              <w:rPr>
                <w:szCs w:val="20"/>
              </w:rPr>
              <w:t>Verified Net Savings</w:t>
            </w:r>
            <w:r>
              <w:rPr>
                <w:szCs w:val="20"/>
              </w:rPr>
              <w:t>, Before Uplift Adjustment</w:t>
            </w:r>
          </w:p>
        </w:tc>
        <w:tc>
          <w:tcPr>
            <w:tcW w:w="2565" w:type="dxa"/>
            <w:noWrap/>
          </w:tcPr>
          <w:p w14:paraId="0DB5A3BA" w14:textId="77777777" w:rsidR="00A9061E" w:rsidRPr="00356E69" w:rsidRDefault="00A9061E" w:rsidP="000B26EA">
            <w:pPr>
              <w:cnfStyle w:val="000000100000" w:firstRow="0" w:lastRow="0" w:firstColumn="0" w:lastColumn="0" w:oddVBand="0" w:evenVBand="0" w:oddHBand="1" w:evenHBand="0" w:firstRowFirstColumn="0" w:firstRowLastColumn="0" w:lastRowFirstColumn="0" w:lastRowLastColumn="0"/>
              <w:rPr>
                <w:color w:val="000000"/>
                <w:szCs w:val="22"/>
              </w:rPr>
            </w:pPr>
            <w:r w:rsidRPr="00356E69">
              <w:rPr>
                <w:color w:val="000000"/>
                <w:szCs w:val="22"/>
              </w:rPr>
              <w:t>1,924,321</w:t>
            </w:r>
          </w:p>
        </w:tc>
      </w:tr>
    </w:tbl>
    <w:p w14:paraId="7A526BDA" w14:textId="77777777" w:rsidR="00A9061E" w:rsidRDefault="00A9061E" w:rsidP="00A9061E">
      <w:pPr>
        <w:pStyle w:val="GraphFootnote"/>
        <w:keepNext/>
        <w:keepLines/>
        <w:ind w:firstLine="1260"/>
      </w:pPr>
      <w:r w:rsidRPr="00651E3A">
        <w:t xml:space="preserve">Source: </w:t>
      </w:r>
      <w:r>
        <w:t xml:space="preserve">Nicor Gas billing </w:t>
      </w:r>
      <w:r w:rsidRPr="00651E3A">
        <w:t>data</w:t>
      </w:r>
      <w:r>
        <w:t>, Opower implementation data,</w:t>
      </w:r>
      <w:r w:rsidRPr="00651E3A">
        <w:t xml:space="preserve"> and Navigant analysis.</w:t>
      </w:r>
    </w:p>
    <w:p w14:paraId="4700933D" w14:textId="77777777" w:rsidR="00A9061E" w:rsidRPr="00A90B62" w:rsidRDefault="00A9061E" w:rsidP="00A9061E">
      <w:pPr>
        <w:pStyle w:val="Heading2"/>
        <w:spacing w:after="240"/>
      </w:pPr>
      <w:bookmarkStart w:id="22" w:name="_Toc440983222"/>
      <w:r>
        <w:t>Study</w:t>
      </w:r>
      <w:r w:rsidRPr="00A90B62">
        <w:t xml:space="preserve"> </w:t>
      </w:r>
      <w:r>
        <w:t>Objectives</w:t>
      </w:r>
      <w:bookmarkEnd w:id="22"/>
    </w:p>
    <w:p w14:paraId="7C1D6D8A" w14:textId="2DAF23EA" w:rsidR="00A9061E" w:rsidRPr="00F17A3F" w:rsidRDefault="00A9061E" w:rsidP="00A9061E">
      <w:r>
        <w:t xml:space="preserve">The primary objective of this study is to determine the extent to which participants in the HER program reduced their </w:t>
      </w:r>
      <w:r w:rsidR="002232B6">
        <w:t>gas</w:t>
      </w:r>
      <w:r>
        <w:t xml:space="preserve"> consumption in the year after the program’s cessation due to </w:t>
      </w:r>
      <w:r w:rsidR="00436E14">
        <w:t xml:space="preserve">their participation in </w:t>
      </w:r>
      <w:r w:rsidR="002232B6">
        <w:t xml:space="preserve">the </w:t>
      </w:r>
      <w:r w:rsidR="00436E14">
        <w:t xml:space="preserve">HER </w:t>
      </w:r>
      <w:r w:rsidR="002232B6">
        <w:t xml:space="preserve">program </w:t>
      </w:r>
      <w:r w:rsidR="00436E14">
        <w:t xml:space="preserve">during </w:t>
      </w:r>
      <w:r w:rsidR="002232B6">
        <w:t>G</w:t>
      </w:r>
      <w:r w:rsidR="00436E14">
        <w:t>PY3</w:t>
      </w:r>
      <w:r>
        <w:t xml:space="preserve">. As a secondary objective, </w:t>
      </w:r>
      <w:r>
        <w:rPr>
          <w:szCs w:val="20"/>
        </w:rPr>
        <w:t>Navigant estimated the annual savings decay rate for the HER program and the associated program measure life</w:t>
      </w:r>
      <w:r w:rsidR="00FB6A52">
        <w:rPr>
          <w:szCs w:val="20"/>
        </w:rPr>
        <w:t>time</w:t>
      </w:r>
      <w:r>
        <w:rPr>
          <w:szCs w:val="20"/>
        </w:rPr>
        <w:t>. In this evaluation, the savings decay is defined as the reduction is savings post-suspension of the HER program and thus answers the question “how much do savings persist following termination of the program as a per</w:t>
      </w:r>
      <w:r w:rsidR="003971DF">
        <w:rPr>
          <w:szCs w:val="20"/>
        </w:rPr>
        <w:t>centage of final year savings?”</w:t>
      </w:r>
      <w:r>
        <w:rPr>
          <w:szCs w:val="20"/>
        </w:rPr>
        <w:t xml:space="preserve"> Notably, this definition of savings decay does not include the opportunity cost of missed incremental savings from continuing the program.</w:t>
      </w:r>
    </w:p>
    <w:p w14:paraId="100033EF" w14:textId="77777777" w:rsidR="00A9061E" w:rsidRPr="00A90B62" w:rsidRDefault="00A9061E" w:rsidP="00A9061E">
      <w:pPr>
        <w:pStyle w:val="Heading1"/>
      </w:pPr>
      <w:bookmarkStart w:id="23" w:name="_Toc440983223"/>
      <w:r>
        <w:lastRenderedPageBreak/>
        <w:t>Study</w:t>
      </w:r>
      <w:r w:rsidRPr="00A90B62">
        <w:t xml:space="preserve"> </w:t>
      </w:r>
      <w:r>
        <w:t>Approach</w:t>
      </w:r>
      <w:bookmarkEnd w:id="23"/>
    </w:p>
    <w:p w14:paraId="72D50168" w14:textId="77777777" w:rsidR="00A9061E" w:rsidRDefault="00A9061E" w:rsidP="00A9061E">
      <w:pPr>
        <w:pStyle w:val="Heading2"/>
        <w:spacing w:after="240"/>
      </w:pPr>
      <w:bookmarkStart w:id="24" w:name="_Toc440983224"/>
      <w:r>
        <w:t>Home Energy Report Persistence Study Approach</w:t>
      </w:r>
      <w:bookmarkEnd w:id="24"/>
    </w:p>
    <w:p w14:paraId="70A3EBB6" w14:textId="0F879B57" w:rsidR="00A9061E" w:rsidRDefault="00A9061E" w:rsidP="00A9061E">
      <w:pPr>
        <w:spacing w:after="120"/>
        <w:rPr>
          <w:szCs w:val="22"/>
        </w:rPr>
      </w:pPr>
      <w:r>
        <w:rPr>
          <w:szCs w:val="22"/>
        </w:rPr>
        <w:t>The study approach for the persistence savings from the HER program relies on statistical analysis appropriate for a RCT. Navigant’s approach is identical to the GPY3 evaluation report except that we added a model to estimate savings by month to examine monthly decay as described in Section</w:t>
      </w:r>
      <w:r w:rsidR="00840211">
        <w:rPr>
          <w:szCs w:val="22"/>
        </w:rPr>
        <w:t xml:space="preserve"> </w:t>
      </w:r>
      <w:r w:rsidR="00840211">
        <w:rPr>
          <w:szCs w:val="22"/>
        </w:rPr>
        <w:fldChar w:fldCharType="begin"/>
      </w:r>
      <w:r w:rsidR="00840211">
        <w:rPr>
          <w:szCs w:val="22"/>
        </w:rPr>
        <w:instrText xml:space="preserve"> REF _Ref440982596 \r \h </w:instrText>
      </w:r>
      <w:r w:rsidR="00840211">
        <w:rPr>
          <w:szCs w:val="22"/>
        </w:rPr>
      </w:r>
      <w:r w:rsidR="00840211">
        <w:rPr>
          <w:szCs w:val="22"/>
        </w:rPr>
        <w:fldChar w:fldCharType="separate"/>
      </w:r>
      <w:r w:rsidR="00840211">
        <w:rPr>
          <w:szCs w:val="22"/>
        </w:rPr>
        <w:t>2.1.2</w:t>
      </w:r>
      <w:r w:rsidR="00840211">
        <w:rPr>
          <w:szCs w:val="22"/>
        </w:rPr>
        <w:fldChar w:fldCharType="end"/>
      </w:r>
      <w:r>
        <w:rPr>
          <w:szCs w:val="22"/>
        </w:rPr>
        <w:t>. In this section, Navigant presents the study approach for the following:</w:t>
      </w:r>
    </w:p>
    <w:p w14:paraId="5B96ABE9" w14:textId="77777777" w:rsidR="00A9061E" w:rsidRDefault="00A9061E" w:rsidP="00F10FAE">
      <w:pPr>
        <w:pStyle w:val="ListParagraph"/>
        <w:numPr>
          <w:ilvl w:val="0"/>
          <w:numId w:val="14"/>
        </w:numPr>
        <w:spacing w:after="120"/>
      </w:pPr>
      <w:r w:rsidRPr="008D66C9">
        <w:rPr>
          <w:b/>
        </w:rPr>
        <w:t>Validation of Randomization</w:t>
      </w:r>
      <w:r>
        <w:t xml:space="preserve"> identifies the approach used to confirm the program was implemented as a RCT,</w:t>
      </w:r>
    </w:p>
    <w:p w14:paraId="3E4E0128" w14:textId="77777777" w:rsidR="00A9061E" w:rsidRDefault="00A9061E" w:rsidP="00F10FAE">
      <w:pPr>
        <w:pStyle w:val="ListParagraph"/>
        <w:numPr>
          <w:ilvl w:val="0"/>
          <w:numId w:val="14"/>
        </w:numPr>
        <w:spacing w:after="120"/>
      </w:pPr>
      <w:r w:rsidRPr="008D66C9">
        <w:rPr>
          <w:b/>
        </w:rPr>
        <w:t>Statistical Models</w:t>
      </w:r>
      <w:r>
        <w:t xml:space="preserve"> </w:t>
      </w:r>
      <w:r w:rsidRPr="008D66C9">
        <w:rPr>
          <w:b/>
        </w:rPr>
        <w:t xml:space="preserve">used in the Impact </w:t>
      </w:r>
      <w:r>
        <w:rPr>
          <w:b/>
        </w:rPr>
        <w:t xml:space="preserve">Findings </w:t>
      </w:r>
      <w:r>
        <w:t xml:space="preserve">identifies the model specifications used to estimate persistence impacts, </w:t>
      </w:r>
    </w:p>
    <w:p w14:paraId="518F2A81" w14:textId="77777777" w:rsidR="00A9061E" w:rsidRDefault="00A9061E" w:rsidP="00F10FAE">
      <w:pPr>
        <w:pStyle w:val="ListParagraph"/>
        <w:numPr>
          <w:ilvl w:val="0"/>
          <w:numId w:val="14"/>
        </w:numPr>
        <w:spacing w:after="120"/>
      </w:pPr>
      <w:r w:rsidRPr="008D66C9">
        <w:rPr>
          <w:b/>
        </w:rPr>
        <w:t xml:space="preserve">Accounting for Uplift </w:t>
      </w:r>
      <w:r>
        <w:t xml:space="preserve">identifies the method used to estimate savings that may be double-counted due to increased participation in other energy efficiency programs as a result of the HER program, </w:t>
      </w:r>
    </w:p>
    <w:p w14:paraId="7C5E81EF" w14:textId="77777777" w:rsidR="00A9061E" w:rsidRDefault="00A9061E" w:rsidP="00F10FAE">
      <w:pPr>
        <w:pStyle w:val="ListParagraph"/>
        <w:numPr>
          <w:ilvl w:val="0"/>
          <w:numId w:val="14"/>
        </w:numPr>
        <w:spacing w:after="120"/>
      </w:pPr>
      <w:r>
        <w:rPr>
          <w:b/>
        </w:rPr>
        <w:t xml:space="preserve">Estimating Decay </w:t>
      </w:r>
      <w:r>
        <w:t>explains how Navigant estimated the annual savings decay rate and the associated program measure life, and</w:t>
      </w:r>
    </w:p>
    <w:p w14:paraId="50AB9D51" w14:textId="2036B7C8" w:rsidR="00A9061E" w:rsidRDefault="00A9061E" w:rsidP="00F10FAE">
      <w:pPr>
        <w:pStyle w:val="ListParagraph"/>
        <w:numPr>
          <w:ilvl w:val="0"/>
          <w:numId w:val="14"/>
        </w:numPr>
        <w:spacing w:after="120"/>
      </w:pPr>
      <w:r w:rsidRPr="008D66C9">
        <w:rPr>
          <w:b/>
        </w:rPr>
        <w:t>Data</w:t>
      </w:r>
      <w:r>
        <w:t xml:space="preserve"> describes the data used in the study. This section walks through the data we received from Nicor Gas, the verified number of participants and controls, and how we created the cleaned sample from these verified customers that is used in the impact analysis described in Section</w:t>
      </w:r>
      <w:r w:rsidR="00840211">
        <w:t xml:space="preserve"> </w:t>
      </w:r>
      <w:r w:rsidR="00840211">
        <w:fldChar w:fldCharType="begin"/>
      </w:r>
      <w:r w:rsidR="00840211">
        <w:instrText xml:space="preserve"> REF _Ref440982596 \r \h </w:instrText>
      </w:r>
      <w:r w:rsidR="00840211">
        <w:fldChar w:fldCharType="separate"/>
      </w:r>
      <w:r w:rsidR="00840211">
        <w:t>2.1.2</w:t>
      </w:r>
      <w:r w:rsidR="00840211">
        <w:fldChar w:fldCharType="end"/>
      </w:r>
      <w:r>
        <w:t>.</w:t>
      </w:r>
    </w:p>
    <w:p w14:paraId="62BF110D" w14:textId="77777777" w:rsidR="00A9061E" w:rsidRDefault="00A9061E" w:rsidP="00A9061E">
      <w:pPr>
        <w:pStyle w:val="Heading3"/>
      </w:pPr>
      <w:bookmarkStart w:id="25" w:name="_Toc440983225"/>
      <w:r>
        <w:t>Validation of Randomization</w:t>
      </w:r>
      <w:bookmarkEnd w:id="25"/>
    </w:p>
    <w:p w14:paraId="56FE1DC0" w14:textId="77F52ADE" w:rsidR="00A9061E" w:rsidRDefault="00A9061E" w:rsidP="00A9061E">
      <w:r>
        <w:t xml:space="preserve">The HER program was implemented by the program implementer, Opower, as a RCT. The study group for the HER program was selected from Nicor Gas’s residential customer base by Opower using their proprietary algorithm to determine customers with the highest potential to save, the primary driver being high usage. The customers in this study group were then randomly assigned to a treatment (participant) group and a control (non-participant) group. </w:t>
      </w:r>
      <w:r w:rsidRPr="009F0286">
        <w:t>If</w:t>
      </w:r>
      <w:r>
        <w:t xml:space="preserve"> the allocation of the households across the treatment and control groups is truly random, the two groups should have the same </w:t>
      </w:r>
      <w:r w:rsidRPr="009F0286">
        <w:t xml:space="preserve">distribution of energy usage for each of the </w:t>
      </w:r>
      <w:r>
        <w:t>1</w:t>
      </w:r>
      <w:r w:rsidRPr="009F0286">
        <w:t xml:space="preserve">2 months before the start of the program. For this analysis Navigant compared mean energy usage for the </w:t>
      </w:r>
      <w:r>
        <w:t xml:space="preserve">treatment and control groups </w:t>
      </w:r>
      <w:r w:rsidRPr="009F0286">
        <w:t xml:space="preserve">for each of the </w:t>
      </w:r>
      <w:r>
        <w:t>12</w:t>
      </w:r>
      <w:r w:rsidRPr="009F0286">
        <w:t xml:space="preserve"> months before the star</w:t>
      </w:r>
      <w:r>
        <w:t xml:space="preserve">t of the </w:t>
      </w:r>
      <w:r w:rsidRPr="009F0286">
        <w:t>program (</w:t>
      </w:r>
      <w:r>
        <w:t>September</w:t>
      </w:r>
      <w:r w:rsidRPr="009F0286">
        <w:t xml:space="preserve"> 2012 through </w:t>
      </w:r>
      <w:r>
        <w:t>August</w:t>
      </w:r>
      <w:r w:rsidRPr="009F0286">
        <w:t xml:space="preserve"> 2013)</w:t>
      </w:r>
      <w:r>
        <w:t>. Navigant conducted this analysis before the start of the HER program, and the results, showing that the assignment of customers was consistent with an RCT, were delivered to Nicor Gas via memo on September 20</w:t>
      </w:r>
      <w:r w:rsidRPr="00F64D0A">
        <w:rPr>
          <w:vertAlign w:val="superscript"/>
        </w:rPr>
        <w:t>th</w:t>
      </w:r>
      <w:r>
        <w:t>, 2013. For reference, this memo is provided in</w:t>
      </w:r>
      <w:r w:rsidR="00840211">
        <w:t xml:space="preserve"> Section </w:t>
      </w:r>
      <w:r w:rsidR="00840211">
        <w:fldChar w:fldCharType="begin"/>
      </w:r>
      <w:r w:rsidR="00840211">
        <w:instrText xml:space="preserve"> REF _Ref440982694 \r \h </w:instrText>
      </w:r>
      <w:r w:rsidR="00840211">
        <w:fldChar w:fldCharType="separate"/>
      </w:r>
      <w:r w:rsidR="00840211">
        <w:t>5.1</w:t>
      </w:r>
      <w:r w:rsidR="00840211">
        <w:fldChar w:fldCharType="end"/>
      </w:r>
      <w:r>
        <w:t>.</w:t>
      </w:r>
    </w:p>
    <w:p w14:paraId="6DC83C84" w14:textId="77777777" w:rsidR="00A9061E" w:rsidRDefault="00A9061E" w:rsidP="00A9061E">
      <w:pPr>
        <w:pStyle w:val="Heading3"/>
      </w:pPr>
      <w:bookmarkStart w:id="26" w:name="_Ref440982596"/>
      <w:bookmarkStart w:id="27" w:name="_Toc440983226"/>
      <w:r>
        <w:t>Statistical Models used in the Impact Findings</w:t>
      </w:r>
      <w:bookmarkEnd w:id="26"/>
      <w:bookmarkEnd w:id="27"/>
      <w:r>
        <w:t xml:space="preserve"> </w:t>
      </w:r>
    </w:p>
    <w:p w14:paraId="35C69821" w14:textId="77777777" w:rsidR="00A9061E" w:rsidRDefault="00A9061E" w:rsidP="00A9061E">
      <w:r>
        <w:t>Navigant estimates persistence impacts using two approaches applied to monthly billing data: a linear fixed effects regression (LFER) analysis and a simple post-program regression (PPR) analysis with lagged controls. We run both models as a robustness check. Although the two models are structurally very different, both generate unbiased estimates of persistence savings in a RCT, and assuming the RCT is well balanced with respect to the drivers of energy use, in a single sample the models generate very similar estimates of persistence savings.</w:t>
      </w:r>
    </w:p>
    <w:p w14:paraId="1EC6ED5A" w14:textId="77777777" w:rsidR="00A9061E" w:rsidRDefault="00A9061E" w:rsidP="00A9061E">
      <w:pPr>
        <w:pStyle w:val="Heading4"/>
      </w:pPr>
      <w:r>
        <w:lastRenderedPageBreak/>
        <w:t>LFER model</w:t>
      </w:r>
    </w:p>
    <w:p w14:paraId="508C547C" w14:textId="1CBF6E79" w:rsidR="00A9061E" w:rsidRDefault="00A9061E" w:rsidP="00A9061E">
      <w:r>
        <w:t xml:space="preserve">The simplest version of an LFER model convenient for exposition is one in which average daily consumption of therms by household </w:t>
      </w:r>
      <w:r>
        <w:rPr>
          <w:i/>
        </w:rPr>
        <w:t xml:space="preserve">k </w:t>
      </w:r>
      <w:r>
        <w:t xml:space="preserve">in bill period t, denoted by </w:t>
      </w:r>
      <w:proofErr w:type="spellStart"/>
      <w:r w:rsidRPr="006C0339">
        <w:rPr>
          <w:i/>
        </w:rPr>
        <w:t>ADC</w:t>
      </w:r>
      <w:r w:rsidRPr="006C0339">
        <w:rPr>
          <w:i/>
          <w:vertAlign w:val="subscript"/>
        </w:rPr>
        <w:t>kt</w:t>
      </w:r>
      <w:proofErr w:type="spellEnd"/>
      <w:r>
        <w:t xml:space="preserve">, is a function of the binary variable </w:t>
      </w:r>
      <w:proofErr w:type="spellStart"/>
      <w:r>
        <w:rPr>
          <w:i/>
        </w:rPr>
        <w:t>Post</w:t>
      </w:r>
      <w:r>
        <w:rPr>
          <w:i/>
          <w:vertAlign w:val="subscript"/>
        </w:rPr>
        <w:t>t</w:t>
      </w:r>
      <w:proofErr w:type="spellEnd"/>
      <w:r>
        <w:t xml:space="preserve">, taking a value of zero if month </w:t>
      </w:r>
      <w:r>
        <w:rPr>
          <w:i/>
        </w:rPr>
        <w:t xml:space="preserve">t </w:t>
      </w:r>
      <w:r>
        <w:t xml:space="preserve">is in the pre-treatment period, and one if in the post-treatment period and the interaction of </w:t>
      </w:r>
      <w:proofErr w:type="spellStart"/>
      <w:r>
        <w:rPr>
          <w:i/>
        </w:rPr>
        <w:t>Post</w:t>
      </w:r>
      <w:r>
        <w:rPr>
          <w:i/>
          <w:vertAlign w:val="subscript"/>
        </w:rPr>
        <w:t>t</w:t>
      </w:r>
      <w:proofErr w:type="spellEnd"/>
      <w:r>
        <w:rPr>
          <w:i/>
        </w:rPr>
        <w:t xml:space="preserve"> </w:t>
      </w:r>
      <w:r>
        <w:t>with</w:t>
      </w:r>
      <w:r>
        <w:rPr>
          <w:i/>
        </w:rPr>
        <w:t xml:space="preserve"> </w:t>
      </w:r>
      <w:r>
        <w:t xml:space="preserve">the binary variable </w:t>
      </w:r>
      <w:proofErr w:type="spellStart"/>
      <w:r>
        <w:rPr>
          <w:i/>
        </w:rPr>
        <w:t>Treatment</w:t>
      </w:r>
      <w:r>
        <w:rPr>
          <w:i/>
          <w:vertAlign w:val="subscript"/>
        </w:rPr>
        <w:t>k</w:t>
      </w:r>
      <w:proofErr w:type="spellEnd"/>
      <w:r>
        <w:t xml:space="preserve">, taking a value of zero if household </w:t>
      </w:r>
      <w:r>
        <w:rPr>
          <w:i/>
        </w:rPr>
        <w:t xml:space="preserve">k </w:t>
      </w:r>
      <w:r>
        <w:t xml:space="preserve">is assigned to the control group, and one if assigned to the treatment group. The interaction </w:t>
      </w:r>
      <w:proofErr w:type="spellStart"/>
      <w:r>
        <w:rPr>
          <w:i/>
        </w:rPr>
        <w:t>Post</w:t>
      </w:r>
      <w:r>
        <w:rPr>
          <w:i/>
          <w:vertAlign w:val="subscript"/>
        </w:rPr>
        <w:t>t</w:t>
      </w:r>
      <w:r>
        <w:rPr>
          <w:i/>
        </w:rPr>
        <w:t>·Treatment</w:t>
      </w:r>
      <w:r>
        <w:rPr>
          <w:i/>
          <w:vertAlign w:val="subscript"/>
        </w:rPr>
        <w:t>k</w:t>
      </w:r>
      <w:proofErr w:type="spellEnd"/>
      <w:r>
        <w:t xml:space="preserve"> takes a value of one when both </w:t>
      </w:r>
      <w:proofErr w:type="spellStart"/>
      <w:r>
        <w:rPr>
          <w:i/>
        </w:rPr>
        <w:t>Post</w:t>
      </w:r>
      <w:r>
        <w:rPr>
          <w:i/>
          <w:vertAlign w:val="subscript"/>
        </w:rPr>
        <w:t>t</w:t>
      </w:r>
      <w:proofErr w:type="spellEnd"/>
      <w:r>
        <w:rPr>
          <w:i/>
        </w:rPr>
        <w:t xml:space="preserve"> </w:t>
      </w:r>
      <w:r>
        <w:t xml:space="preserve">and </w:t>
      </w:r>
      <w:proofErr w:type="spellStart"/>
      <w:r>
        <w:rPr>
          <w:i/>
        </w:rPr>
        <w:t>Treatment</w:t>
      </w:r>
      <w:r>
        <w:rPr>
          <w:i/>
          <w:vertAlign w:val="subscript"/>
        </w:rPr>
        <w:t>k</w:t>
      </w:r>
      <w:proofErr w:type="spellEnd"/>
      <w:r>
        <w:rPr>
          <w:i/>
        </w:rPr>
        <w:t xml:space="preserve"> </w:t>
      </w:r>
      <w:r>
        <w:t>equal one, and zero otherwise. Formally, the LFER model is shown in</w:t>
      </w:r>
      <w:r w:rsidR="00840211">
        <w:t xml:space="preserve"> </w:t>
      </w:r>
      <w:r>
        <w:fldChar w:fldCharType="begin"/>
      </w:r>
      <w:r>
        <w:instrText xml:space="preserve"> REF _Ref440530990 \h </w:instrText>
      </w:r>
      <w:r>
        <w:fldChar w:fldCharType="separate"/>
      </w:r>
      <w:r w:rsidR="003971DF">
        <w:rPr>
          <w:b/>
          <w:bCs/>
        </w:rPr>
        <w:fldChar w:fldCharType="begin"/>
      </w:r>
      <w:r w:rsidR="003971DF">
        <w:instrText xml:space="preserve"> REF _Ref440982356 \h </w:instrText>
      </w:r>
      <w:r w:rsidR="003971DF">
        <w:rPr>
          <w:b/>
          <w:bCs/>
        </w:rPr>
      </w:r>
      <w:r w:rsidR="003971DF">
        <w:rPr>
          <w:b/>
          <w:bCs/>
        </w:rPr>
        <w:fldChar w:fldCharType="separate"/>
      </w:r>
      <w:r w:rsidR="003971DF">
        <w:t xml:space="preserve">Equation </w:t>
      </w:r>
      <w:r w:rsidR="003971DF">
        <w:rPr>
          <w:noProof/>
        </w:rPr>
        <w:t>2</w:t>
      </w:r>
      <w:r w:rsidR="003971DF">
        <w:noBreakHyphen/>
      </w:r>
      <w:r w:rsidR="003971DF">
        <w:rPr>
          <w:noProof/>
        </w:rPr>
        <w:t>1</w:t>
      </w:r>
      <w:r w:rsidR="003971DF">
        <w:rPr>
          <w:b/>
          <w:bCs/>
        </w:rPr>
        <w:fldChar w:fldCharType="end"/>
      </w:r>
      <w:r>
        <w:fldChar w:fldCharType="end"/>
      </w:r>
      <w:r>
        <w:t>.</w:t>
      </w:r>
    </w:p>
    <w:p w14:paraId="3291FB21" w14:textId="77777777" w:rsidR="00A9061E" w:rsidRDefault="00A9061E" w:rsidP="00A9061E"/>
    <w:p w14:paraId="255BF1EA" w14:textId="77777777" w:rsidR="00A9061E" w:rsidRDefault="00A9061E" w:rsidP="00A9061E">
      <w:pPr>
        <w:pStyle w:val="Caption"/>
      </w:pPr>
      <w:bookmarkStart w:id="28" w:name="_Ref440982356"/>
      <w:r>
        <w:t xml:space="preserve">Equation </w:t>
      </w:r>
      <w:r w:rsidR="00851D29">
        <w:fldChar w:fldCharType="begin"/>
      </w:r>
      <w:r w:rsidR="00851D29">
        <w:instrText xml:space="preserve"> STYLEREF 1 \s </w:instrText>
      </w:r>
      <w:r w:rsidR="00851D29">
        <w:fldChar w:fldCharType="separate"/>
      </w:r>
      <w:r w:rsidR="003B38C3">
        <w:rPr>
          <w:noProof/>
        </w:rPr>
        <w:t>2</w:t>
      </w:r>
      <w:r w:rsidR="00851D29">
        <w:rPr>
          <w:noProof/>
        </w:rPr>
        <w:fldChar w:fldCharType="end"/>
      </w:r>
      <w:r>
        <w:noBreakHyphen/>
      </w:r>
      <w:r w:rsidR="00851D29">
        <w:fldChar w:fldCharType="begin"/>
      </w:r>
      <w:r w:rsidR="00851D29">
        <w:instrText xml:space="preserve"> SEQ Equation \* ARABIC \s 1 </w:instrText>
      </w:r>
      <w:r w:rsidR="00851D29">
        <w:fldChar w:fldCharType="separate"/>
      </w:r>
      <w:r w:rsidR="003B38C3">
        <w:rPr>
          <w:noProof/>
        </w:rPr>
        <w:t>1</w:t>
      </w:r>
      <w:r w:rsidR="00851D29">
        <w:rPr>
          <w:noProof/>
        </w:rPr>
        <w:fldChar w:fldCharType="end"/>
      </w:r>
      <w:bookmarkEnd w:id="28"/>
      <w:r>
        <w:t>. LFER Model</w:t>
      </w:r>
    </w:p>
    <w:p w14:paraId="535C5814" w14:textId="77777777" w:rsidR="00A9061E" w:rsidRDefault="00A9061E" w:rsidP="00A9061E">
      <w:pPr>
        <w:pStyle w:val="MTDisplayEquation"/>
        <w:keepNext/>
        <w:spacing w:before="120" w:after="120"/>
        <w:jc w:val="center"/>
      </w:pPr>
      <w:r w:rsidRPr="00A814ED">
        <w:rPr>
          <w:position w:val="-12"/>
        </w:rPr>
        <w:object w:dxaOrig="4459" w:dyaOrig="360" w14:anchorId="02543C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3.45pt;height:21.75pt" o:ole="">
            <v:imagedata r:id="rId21" o:title=""/>
          </v:shape>
          <o:OLEObject Type="Embed" ProgID="Equation.DSMT4" ShapeID="_x0000_i1025" DrawAspect="Content" ObjectID="_1516706913" r:id="rId22"/>
        </w:object>
      </w:r>
      <w:r>
        <w:t>.</w:t>
      </w:r>
    </w:p>
    <w:p w14:paraId="18ABC857" w14:textId="77777777" w:rsidR="00A9061E" w:rsidRDefault="00A9061E" w:rsidP="00A9061E">
      <w:r>
        <w:t xml:space="preserve">Three observations about this specification deserve comment. First, the coefficient </w:t>
      </w:r>
      <w:r w:rsidRPr="006C0339">
        <w:rPr>
          <w:i/>
        </w:rPr>
        <w:t>α</w:t>
      </w:r>
      <w:r w:rsidRPr="006C0339">
        <w:rPr>
          <w:i/>
          <w:vertAlign w:val="subscript"/>
        </w:rPr>
        <w:t>0k</w:t>
      </w:r>
      <w:r>
        <w:t xml:space="preserve"> captures </w:t>
      </w:r>
      <w:r w:rsidRPr="006C0339">
        <w:t>all</w:t>
      </w:r>
      <w:r>
        <w:t xml:space="preserve"> household-specific effects on energy use that do not change over time, including those that are unobservable. Examples include the square footage of a residence, the presence of a pool, and the shell characteristics. Second, </w:t>
      </w:r>
      <w:r w:rsidRPr="006C0339">
        <w:rPr>
          <w:i/>
        </w:rPr>
        <w:t>α</w:t>
      </w:r>
      <w:r w:rsidRPr="006C0339">
        <w:rPr>
          <w:i/>
          <w:vertAlign w:val="subscript"/>
        </w:rPr>
        <w:t>1</w:t>
      </w:r>
      <w:r>
        <w:t xml:space="preserve"> captures the average effect </w:t>
      </w:r>
      <w:r w:rsidRPr="006C0339">
        <w:t>across all households</w:t>
      </w:r>
      <w:r>
        <w:t xml:space="preserve"> of being in the post-treatment period. </w:t>
      </w:r>
      <w:r w:rsidRPr="00485CDC">
        <w:t>Third, the effect of being both in the treatment group and in the post period –the effect directly attributable to the program—is captured by the coefficient</w:t>
      </w:r>
      <w:r>
        <w:t xml:space="preserve"> </w:t>
      </w:r>
      <w:r w:rsidRPr="006C0339">
        <w:rPr>
          <w:i/>
        </w:rPr>
        <w:t>α</w:t>
      </w:r>
      <w:r>
        <w:rPr>
          <w:i/>
          <w:vertAlign w:val="subscript"/>
        </w:rPr>
        <w:t>2</w:t>
      </w:r>
      <w:r w:rsidRPr="00485CDC">
        <w:t>.</w:t>
      </w:r>
      <w:r>
        <w:t xml:space="preserve"> In other words, whereas the coefficient </w:t>
      </w:r>
      <w:r w:rsidRPr="006C0339">
        <w:rPr>
          <w:i/>
        </w:rPr>
        <w:t>α</w:t>
      </w:r>
      <w:r w:rsidRPr="006C0339">
        <w:rPr>
          <w:i/>
          <w:vertAlign w:val="subscript"/>
        </w:rPr>
        <w:t>1</w:t>
      </w:r>
      <w:r>
        <w:t xml:space="preserve"> captures the change in average daily therms use across the pre- and post-treatment for the </w:t>
      </w:r>
      <w:r w:rsidRPr="00ED30F5">
        <w:rPr>
          <w:i/>
        </w:rPr>
        <w:t xml:space="preserve">control </w:t>
      </w:r>
      <w:r>
        <w:t xml:space="preserve">group, the sum </w:t>
      </w:r>
      <w:r w:rsidRPr="006C0339">
        <w:rPr>
          <w:i/>
        </w:rPr>
        <w:t>α</w:t>
      </w:r>
      <w:r w:rsidRPr="006C0339">
        <w:rPr>
          <w:i/>
          <w:vertAlign w:val="subscript"/>
        </w:rPr>
        <w:t>1</w:t>
      </w:r>
      <w:r w:rsidRPr="006C0339">
        <w:rPr>
          <w:i/>
        </w:rPr>
        <w:t>+α</w:t>
      </w:r>
      <w:r w:rsidRPr="006C0339">
        <w:rPr>
          <w:i/>
          <w:vertAlign w:val="subscript"/>
        </w:rPr>
        <w:t>2</w:t>
      </w:r>
      <w:r>
        <w:t xml:space="preserve"> captures this change for the treatment group, and so </w:t>
      </w:r>
      <w:r w:rsidRPr="006C0339">
        <w:rPr>
          <w:i/>
        </w:rPr>
        <w:t>α</w:t>
      </w:r>
      <w:r>
        <w:rPr>
          <w:i/>
          <w:vertAlign w:val="subscript"/>
        </w:rPr>
        <w:t>2</w:t>
      </w:r>
      <w:r>
        <w:t xml:space="preserve"> is the estimate of average daily therms savings due to the program from April 2015 to September 2015. </w:t>
      </w:r>
    </w:p>
    <w:p w14:paraId="1131799D" w14:textId="77777777" w:rsidR="00A9061E" w:rsidRDefault="00A9061E" w:rsidP="00A9061E">
      <w:pPr>
        <w:pStyle w:val="Heading4"/>
      </w:pPr>
      <w:bookmarkStart w:id="29" w:name="_Ref441129171"/>
      <w:r>
        <w:t>PPR Model</w:t>
      </w:r>
      <w:bookmarkEnd w:id="29"/>
    </w:p>
    <w:p w14:paraId="321344DE" w14:textId="76FDCB94" w:rsidR="00A9061E" w:rsidRDefault="00A9061E" w:rsidP="00A9061E">
      <w:r>
        <w:t xml:space="preserve">Whereas the LFER model controls for non-treatment differences in energy use between treatment and control customers using the customer-specific fixed effect, the PPR model controls for these differences using lagged energy use as an explanatory variable. In particular, energy use in calendar month </w:t>
      </w:r>
      <w:r>
        <w:rPr>
          <w:i/>
        </w:rPr>
        <w:t xml:space="preserve">m </w:t>
      </w:r>
      <w:r>
        <w:t xml:space="preserve">of the post-program period is framed as a function of the treatment variable, a set of monthly fixed effects, and the monthly fixed effects interacted with energy use in the same calendar month of the pre-program period. The underlying logic is that systematic differences between control and treatment customers will be reflected in differences in their past energy use, which is highly correlated with their current energy use. Formally, the model is shown in </w:t>
      </w:r>
      <w:r w:rsidR="003971DF">
        <w:fldChar w:fldCharType="begin"/>
      </w:r>
      <w:r w:rsidR="003971DF">
        <w:instrText xml:space="preserve"> REF _Ref440982372 \h </w:instrText>
      </w:r>
      <w:r w:rsidR="003971DF">
        <w:fldChar w:fldCharType="separate"/>
      </w:r>
      <w:r w:rsidR="003971DF">
        <w:t xml:space="preserve">Equation </w:t>
      </w:r>
      <w:r w:rsidR="003971DF">
        <w:rPr>
          <w:noProof/>
        </w:rPr>
        <w:t>2</w:t>
      </w:r>
      <w:r w:rsidR="003971DF">
        <w:noBreakHyphen/>
      </w:r>
      <w:r w:rsidR="003971DF">
        <w:rPr>
          <w:noProof/>
        </w:rPr>
        <w:t>2</w:t>
      </w:r>
      <w:r w:rsidR="003971DF">
        <w:fldChar w:fldCharType="end"/>
      </w:r>
      <w:r w:rsidR="00840211">
        <w:t>.</w:t>
      </w:r>
    </w:p>
    <w:p w14:paraId="2845C168" w14:textId="77777777" w:rsidR="00A9061E" w:rsidRDefault="00A9061E" w:rsidP="00A9061E">
      <w:r>
        <w:t xml:space="preserve"> </w:t>
      </w:r>
    </w:p>
    <w:p w14:paraId="17197492" w14:textId="77777777" w:rsidR="00A9061E" w:rsidRDefault="00A9061E" w:rsidP="00A9061E">
      <w:pPr>
        <w:pStyle w:val="Caption"/>
      </w:pPr>
      <w:bookmarkStart w:id="30" w:name="_Ref440982372"/>
      <w:r>
        <w:t xml:space="preserve">Equation </w:t>
      </w:r>
      <w:r w:rsidR="00851D29">
        <w:fldChar w:fldCharType="begin"/>
      </w:r>
      <w:r w:rsidR="00851D29">
        <w:instrText xml:space="preserve"> STYLEREF 1 \s </w:instrText>
      </w:r>
      <w:r w:rsidR="00851D29">
        <w:fldChar w:fldCharType="separate"/>
      </w:r>
      <w:r w:rsidR="003B38C3">
        <w:rPr>
          <w:noProof/>
        </w:rPr>
        <w:t>2</w:t>
      </w:r>
      <w:r w:rsidR="00851D29">
        <w:rPr>
          <w:noProof/>
        </w:rPr>
        <w:fldChar w:fldCharType="end"/>
      </w:r>
      <w:r>
        <w:noBreakHyphen/>
      </w:r>
      <w:r w:rsidR="00851D29">
        <w:fldChar w:fldCharType="begin"/>
      </w:r>
      <w:r w:rsidR="00851D29">
        <w:instrText xml:space="preserve"> SEQ Equation \* ARABIC \s 1 </w:instrText>
      </w:r>
      <w:r w:rsidR="00851D29">
        <w:fldChar w:fldCharType="separate"/>
      </w:r>
      <w:r w:rsidR="003B38C3">
        <w:rPr>
          <w:noProof/>
        </w:rPr>
        <w:t>2</w:t>
      </w:r>
      <w:r w:rsidR="00851D29">
        <w:rPr>
          <w:noProof/>
        </w:rPr>
        <w:fldChar w:fldCharType="end"/>
      </w:r>
      <w:bookmarkEnd w:id="30"/>
      <w:r>
        <w:t>. PPR Model</w:t>
      </w:r>
    </w:p>
    <w:p w14:paraId="4699CAF2" w14:textId="77777777" w:rsidR="00A9061E" w:rsidRPr="006C0339" w:rsidRDefault="00A9061E" w:rsidP="00A9061E">
      <w:pPr>
        <w:jc w:val="center"/>
      </w:pPr>
      <w:r>
        <w:rPr>
          <w:noProof/>
        </w:rPr>
        <w:drawing>
          <wp:inline distT="0" distB="0" distL="0" distR="0" wp14:anchorId="5BDDBB34" wp14:editId="64639959">
            <wp:extent cx="4335780" cy="427778"/>
            <wp:effectExtent l="0" t="0" r="0" b="0"/>
            <wp:docPr id="1036" name="Picture 1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383972" cy="432533"/>
                    </a:xfrm>
                    <a:prstGeom prst="rect">
                      <a:avLst/>
                    </a:prstGeom>
                    <a:noFill/>
                    <a:ln>
                      <a:noFill/>
                    </a:ln>
                  </pic:spPr>
                </pic:pic>
              </a:graphicData>
            </a:graphic>
          </wp:inline>
        </w:drawing>
      </w:r>
    </w:p>
    <w:p w14:paraId="150B91D0" w14:textId="77777777" w:rsidR="00A9061E" w:rsidRDefault="00A9061E" w:rsidP="00A9061E">
      <w:r>
        <w:t xml:space="preserve">In this specification </w:t>
      </w:r>
      <w:proofErr w:type="spellStart"/>
      <w:r w:rsidRPr="00250649">
        <w:rPr>
          <w:i/>
        </w:rPr>
        <w:t>Month</w:t>
      </w:r>
      <w:r w:rsidRPr="00250649">
        <w:rPr>
          <w:i/>
          <w:vertAlign w:val="subscript"/>
        </w:rPr>
        <w:t>jt</w:t>
      </w:r>
      <w:proofErr w:type="spellEnd"/>
      <w:r>
        <w:rPr>
          <w:i/>
          <w:vertAlign w:val="subscript"/>
        </w:rPr>
        <w:t xml:space="preserve"> </w:t>
      </w:r>
      <w:r>
        <w:t xml:space="preserve">is a binary variable taking a value of one when </w:t>
      </w:r>
      <w:r w:rsidRPr="0064120A">
        <w:rPr>
          <w:i/>
        </w:rPr>
        <w:t>j</w:t>
      </w:r>
      <w:r>
        <w:t>=</w:t>
      </w:r>
      <w:r w:rsidRPr="0064120A">
        <w:rPr>
          <w:i/>
        </w:rPr>
        <w:t>t</w:t>
      </w:r>
      <w:r>
        <w:t xml:space="preserve"> and zero otherwise</w:t>
      </w:r>
      <w:r>
        <w:rPr>
          <w:rStyle w:val="FootnoteReference"/>
        </w:rPr>
        <w:footnoteReference w:id="11"/>
      </w:r>
      <w:r>
        <w:t xml:space="preserve"> and </w:t>
      </w:r>
      <w:proofErr w:type="spellStart"/>
      <w:r w:rsidRPr="00250649">
        <w:rPr>
          <w:i/>
        </w:rPr>
        <w:t>ADClag</w:t>
      </w:r>
      <w:r w:rsidRPr="00250649">
        <w:rPr>
          <w:i/>
          <w:vertAlign w:val="subscript"/>
        </w:rPr>
        <w:t>kt</w:t>
      </w:r>
      <w:proofErr w:type="spellEnd"/>
      <w:r>
        <w:t xml:space="preserve"> is customer </w:t>
      </w:r>
      <w:r>
        <w:rPr>
          <w:i/>
        </w:rPr>
        <w:t>k</w:t>
      </w:r>
      <w:r>
        <w:t xml:space="preserve">’s energy use in the same calendar month of the pre-program year as the calendar month of month </w:t>
      </w:r>
      <w:r>
        <w:rPr>
          <w:i/>
        </w:rPr>
        <w:t>t</w:t>
      </w:r>
      <w:r>
        <w:t xml:space="preserve">. In this model, </w:t>
      </w:r>
      <w:r w:rsidRPr="00250649">
        <w:rPr>
          <w:i/>
        </w:rPr>
        <w:t>β</w:t>
      </w:r>
      <w:r w:rsidRPr="00250649">
        <w:rPr>
          <w:i/>
          <w:vertAlign w:val="subscript"/>
        </w:rPr>
        <w:t>3</w:t>
      </w:r>
      <w:r>
        <w:t xml:space="preserve"> is the estimate of average daily therms savings due to the program from April 2015 to September 2015.</w:t>
      </w:r>
    </w:p>
    <w:p w14:paraId="77E5A19D" w14:textId="77777777" w:rsidR="00A9061E" w:rsidRDefault="00A9061E" w:rsidP="00A9061E">
      <w:pPr>
        <w:pStyle w:val="Heading4"/>
      </w:pPr>
      <w:r>
        <w:t>Monthly Savings Model</w:t>
      </w:r>
    </w:p>
    <w:p w14:paraId="3F76080F" w14:textId="5FA85F8F" w:rsidR="00A9061E" w:rsidRDefault="00A9061E" w:rsidP="00A9061E">
      <w:r>
        <w:t xml:space="preserve">Navigant also estimated persistence savings by month using a variation on the PPR model. In this variant, the treatment indicator is interacted with the monthly dummies to get an estimate of savings in each month. Formally, the model is shown in </w:t>
      </w:r>
      <w:r>
        <w:fldChar w:fldCharType="begin"/>
      </w:r>
      <w:r>
        <w:instrText xml:space="preserve"> REF _Ref440531421 \h </w:instrText>
      </w:r>
      <w:r>
        <w:fldChar w:fldCharType="separate"/>
      </w:r>
      <w:r w:rsidR="003971DF">
        <w:rPr>
          <w:b/>
          <w:bCs/>
        </w:rPr>
        <w:fldChar w:fldCharType="begin"/>
      </w:r>
      <w:r w:rsidR="003971DF">
        <w:rPr>
          <w:b/>
          <w:bCs/>
        </w:rPr>
        <w:instrText xml:space="preserve"> REF _Ref440982400 \h </w:instrText>
      </w:r>
      <w:r w:rsidR="003971DF">
        <w:rPr>
          <w:b/>
          <w:bCs/>
        </w:rPr>
      </w:r>
      <w:r w:rsidR="003971DF">
        <w:rPr>
          <w:b/>
          <w:bCs/>
        </w:rPr>
        <w:fldChar w:fldCharType="separate"/>
      </w:r>
      <w:r w:rsidR="003971DF">
        <w:t xml:space="preserve">Equation </w:t>
      </w:r>
      <w:r w:rsidR="003971DF">
        <w:rPr>
          <w:noProof/>
        </w:rPr>
        <w:t>2</w:t>
      </w:r>
      <w:r w:rsidR="003971DF">
        <w:noBreakHyphen/>
      </w:r>
      <w:r w:rsidR="003971DF">
        <w:rPr>
          <w:noProof/>
        </w:rPr>
        <w:t>3</w:t>
      </w:r>
      <w:r w:rsidR="003971DF">
        <w:rPr>
          <w:b/>
          <w:bCs/>
        </w:rPr>
        <w:fldChar w:fldCharType="end"/>
      </w:r>
      <w:r>
        <w:fldChar w:fldCharType="end"/>
      </w:r>
      <w:r>
        <w:t>.</w:t>
      </w:r>
    </w:p>
    <w:p w14:paraId="2E200363" w14:textId="77777777" w:rsidR="00A9061E" w:rsidRDefault="00A9061E" w:rsidP="00A9061E"/>
    <w:p w14:paraId="1D2EC1F0" w14:textId="77777777" w:rsidR="00A9061E" w:rsidRDefault="00A9061E" w:rsidP="00A9061E">
      <w:pPr>
        <w:pStyle w:val="Caption"/>
      </w:pPr>
      <w:bookmarkStart w:id="31" w:name="_Ref440982400"/>
      <w:r>
        <w:lastRenderedPageBreak/>
        <w:t xml:space="preserve">Equation </w:t>
      </w:r>
      <w:r w:rsidR="00851D29">
        <w:fldChar w:fldCharType="begin"/>
      </w:r>
      <w:r w:rsidR="00851D29">
        <w:instrText xml:space="preserve"> STYLEREF 1 \s </w:instrText>
      </w:r>
      <w:r w:rsidR="00851D29">
        <w:fldChar w:fldCharType="separate"/>
      </w:r>
      <w:r w:rsidR="003B38C3">
        <w:rPr>
          <w:noProof/>
        </w:rPr>
        <w:t>2</w:t>
      </w:r>
      <w:r w:rsidR="00851D29">
        <w:rPr>
          <w:noProof/>
        </w:rPr>
        <w:fldChar w:fldCharType="end"/>
      </w:r>
      <w:r>
        <w:noBreakHyphen/>
      </w:r>
      <w:r w:rsidR="00851D29">
        <w:fldChar w:fldCharType="begin"/>
      </w:r>
      <w:r w:rsidR="00851D29">
        <w:instrText xml:space="preserve"> SEQ Equation \* ARABIC \s 1 </w:instrText>
      </w:r>
      <w:r w:rsidR="00851D29">
        <w:fldChar w:fldCharType="separate"/>
      </w:r>
      <w:r w:rsidR="003B38C3">
        <w:rPr>
          <w:noProof/>
        </w:rPr>
        <w:t>3</w:t>
      </w:r>
      <w:r w:rsidR="00851D29">
        <w:rPr>
          <w:noProof/>
        </w:rPr>
        <w:fldChar w:fldCharType="end"/>
      </w:r>
      <w:bookmarkEnd w:id="31"/>
      <w:r>
        <w:t>. Monthly PPR Model</w:t>
      </w:r>
    </w:p>
    <w:p w14:paraId="25D2C6EA" w14:textId="77777777" w:rsidR="00A9061E" w:rsidRDefault="00A9061E" w:rsidP="00A9061E">
      <w:pPr>
        <w:jc w:val="center"/>
      </w:pPr>
      <w:r>
        <w:rPr>
          <w:noProof/>
        </w:rPr>
        <w:drawing>
          <wp:inline distT="0" distB="0" distL="0" distR="0" wp14:anchorId="5BFED4E8" wp14:editId="5A3A9F7F">
            <wp:extent cx="4693920" cy="389978"/>
            <wp:effectExtent l="0" t="0" r="0" b="0"/>
            <wp:docPr id="1037" name="Picture 1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704575" cy="390863"/>
                    </a:xfrm>
                    <a:prstGeom prst="rect">
                      <a:avLst/>
                    </a:prstGeom>
                    <a:noFill/>
                    <a:ln>
                      <a:noFill/>
                    </a:ln>
                  </pic:spPr>
                </pic:pic>
              </a:graphicData>
            </a:graphic>
          </wp:inline>
        </w:drawing>
      </w:r>
    </w:p>
    <w:p w14:paraId="2225D7BA" w14:textId="77777777" w:rsidR="00A9061E" w:rsidRPr="00BD0C0C" w:rsidRDefault="00A9061E" w:rsidP="00A9061E">
      <w:r>
        <w:t xml:space="preserve">All variables are as defined above. The set of </w:t>
      </w:r>
      <w:r w:rsidRPr="00250649">
        <w:rPr>
          <w:i/>
        </w:rPr>
        <w:t>β</w:t>
      </w:r>
      <w:r w:rsidRPr="00250649">
        <w:rPr>
          <w:i/>
          <w:vertAlign w:val="subscript"/>
        </w:rPr>
        <w:t>3j</w:t>
      </w:r>
      <w:r>
        <w:t xml:space="preserve"> coefficients give the estimate of average daily therms savings due to the program in each month </w:t>
      </w:r>
      <w:r>
        <w:rPr>
          <w:i/>
        </w:rPr>
        <w:t>j</w:t>
      </w:r>
      <w:r>
        <w:t>.</w:t>
      </w:r>
    </w:p>
    <w:p w14:paraId="20D1B072" w14:textId="77777777" w:rsidR="00A9061E" w:rsidRDefault="00A9061E" w:rsidP="00A9061E">
      <w:pPr>
        <w:pStyle w:val="Heading3"/>
      </w:pPr>
      <w:bookmarkStart w:id="32" w:name="_Toc440983227"/>
      <w:r>
        <w:t>Accounting for Uplift</w:t>
      </w:r>
      <w:bookmarkEnd w:id="32"/>
      <w:r>
        <w:t xml:space="preserve"> </w:t>
      </w:r>
    </w:p>
    <w:p w14:paraId="276ACFE5" w14:textId="77777777" w:rsidR="00A9061E" w:rsidRDefault="00A9061E" w:rsidP="00A9061E">
      <w:pPr>
        <w:keepNext/>
        <w:keepLines/>
      </w:pPr>
      <w:r>
        <w:t xml:space="preserve">The HERs include energy saving tips, some of which encourage participants to enroll in other Nicor Gas energy efficiency programs. Uplift occurs when the HER program causes participants to enroll in other energy efficiency (EE) programs at a higher rate than they otherwise would have. If participation rates in other EE programs are the same for HER participants and controls, the savings estimates from the regression analysis are not attributable to other programs and there is no uplift, as this indicates the HER program had no effect on participation in the other EE programs. However, uplift occurs if the HER program affects participation rates in other energy efficiency programs, then savings across all programs are lower than indicated by the simple summation of savings in the HER and EE programs. For instance, if the HER program increases participation in other EE programs, the increase in savings may be allocated to either the HER program or the EE program, but cannot be allocated to both programs simultaneously. </w:t>
      </w:r>
    </w:p>
    <w:p w14:paraId="47B64CCC" w14:textId="77777777" w:rsidR="00A9061E" w:rsidRDefault="00A9061E" w:rsidP="00A9061E"/>
    <w:p w14:paraId="37AD0853" w14:textId="77777777" w:rsidR="00A9061E" w:rsidRDefault="00A9061E" w:rsidP="00A9061E">
      <w:pPr>
        <w:rPr>
          <w:rFonts w:cs="Arial"/>
        </w:rPr>
      </w:pPr>
      <w:commentRangeStart w:id="33"/>
      <w:r>
        <w:t>Navigant was again unable to consider double-counted savings due to uplift in this draft because other energy efficiency program tracking data was unavailable.</w:t>
      </w:r>
      <w:r>
        <w:rPr>
          <w:rStyle w:val="FootnoteReference"/>
        </w:rPr>
        <w:footnoteReference w:id="12"/>
      </w:r>
      <w:r>
        <w:t xml:space="preserve"> An updated draft with savings after uplift will be provided when the data are available.</w:t>
      </w:r>
      <w:commentRangeEnd w:id="33"/>
      <w:r>
        <w:rPr>
          <w:rStyle w:val="CommentReference"/>
        </w:rPr>
        <w:commentReference w:id="33"/>
      </w:r>
    </w:p>
    <w:p w14:paraId="0425264E" w14:textId="77777777" w:rsidR="00A9061E" w:rsidRDefault="00A9061E" w:rsidP="00A9061E">
      <w:pPr>
        <w:pStyle w:val="Heading3"/>
      </w:pPr>
      <w:bookmarkStart w:id="34" w:name="_Toc440983228"/>
      <w:r>
        <w:t>Estimating Decay</w:t>
      </w:r>
      <w:bookmarkEnd w:id="34"/>
    </w:p>
    <w:p w14:paraId="203B431F" w14:textId="6142FB12" w:rsidR="00A9061E" w:rsidRDefault="00A9061E" w:rsidP="00A9061E">
      <w:r>
        <w:t xml:space="preserve">Navigant combined the savings estimates from Part 1 and 2 of the persistence study to estimate the annual saving decay rate for the first year after reports were discontinued, which covers the period from October 2014 – September 2015. The decay rate is equal to one minus the ratio of the percentage savings in the first year after the reports were discontinued to percentage savings in the last year before the reports were discontinued. </w:t>
      </w:r>
      <w:r w:rsidR="003971DF">
        <w:fldChar w:fldCharType="begin"/>
      </w:r>
      <w:r w:rsidR="003971DF">
        <w:instrText xml:space="preserve"> REF _Ref440982427 \h </w:instrText>
      </w:r>
      <w:r w:rsidR="003971DF">
        <w:fldChar w:fldCharType="separate"/>
      </w:r>
      <w:r w:rsidR="003971DF">
        <w:t xml:space="preserve">Equation </w:t>
      </w:r>
      <w:r w:rsidR="003971DF">
        <w:rPr>
          <w:noProof/>
        </w:rPr>
        <w:t>2</w:t>
      </w:r>
      <w:r w:rsidR="003971DF">
        <w:noBreakHyphen/>
      </w:r>
      <w:r w:rsidR="003971DF">
        <w:rPr>
          <w:noProof/>
        </w:rPr>
        <w:t>4</w:t>
      </w:r>
      <w:r w:rsidR="003971DF">
        <w:fldChar w:fldCharType="end"/>
      </w:r>
      <w:r>
        <w:t xml:space="preserve"> shows this calculation where δ is the decay rate.</w:t>
      </w:r>
    </w:p>
    <w:p w14:paraId="1C8ACC5D" w14:textId="77777777" w:rsidR="00A9061E" w:rsidRDefault="00A9061E" w:rsidP="00A9061E"/>
    <w:p w14:paraId="13CEC5EF" w14:textId="77777777" w:rsidR="00A9061E" w:rsidRDefault="00A9061E" w:rsidP="00A9061E">
      <w:pPr>
        <w:pStyle w:val="Caption"/>
      </w:pPr>
      <w:bookmarkStart w:id="35" w:name="_Ref440982427"/>
      <w:r>
        <w:t xml:space="preserve">Equation </w:t>
      </w:r>
      <w:r w:rsidR="00851D29">
        <w:fldChar w:fldCharType="begin"/>
      </w:r>
      <w:r w:rsidR="00851D29">
        <w:instrText xml:space="preserve"> STYLEREF 1 \s </w:instrText>
      </w:r>
      <w:r w:rsidR="00851D29">
        <w:fldChar w:fldCharType="separate"/>
      </w:r>
      <w:r w:rsidR="003B38C3">
        <w:rPr>
          <w:noProof/>
        </w:rPr>
        <w:t>2</w:t>
      </w:r>
      <w:r w:rsidR="00851D29">
        <w:rPr>
          <w:noProof/>
        </w:rPr>
        <w:fldChar w:fldCharType="end"/>
      </w:r>
      <w:r>
        <w:noBreakHyphen/>
      </w:r>
      <w:r w:rsidR="00851D29">
        <w:fldChar w:fldCharType="begin"/>
      </w:r>
      <w:r w:rsidR="00851D29">
        <w:instrText xml:space="preserve"> SEQ Equation \* ARABIC \s 1 </w:instrText>
      </w:r>
      <w:r w:rsidR="00851D29">
        <w:fldChar w:fldCharType="separate"/>
      </w:r>
      <w:r w:rsidR="003B38C3">
        <w:rPr>
          <w:noProof/>
        </w:rPr>
        <w:t>4</w:t>
      </w:r>
      <w:r w:rsidR="00851D29">
        <w:rPr>
          <w:noProof/>
        </w:rPr>
        <w:fldChar w:fldCharType="end"/>
      </w:r>
      <w:bookmarkEnd w:id="35"/>
      <w:r>
        <w:t>. Decay Rate</w:t>
      </w:r>
    </w:p>
    <w:p w14:paraId="7E8C1380" w14:textId="77777777" w:rsidR="00A9061E" w:rsidRDefault="00A9061E" w:rsidP="00A9061E">
      <w:pPr>
        <w:spacing w:before="120"/>
      </w:pPr>
      <m:oMathPara>
        <m:oMath>
          <m:r>
            <w:rPr>
              <w:rFonts w:ascii="Cambria Math" w:hAnsi="Cambria Math"/>
            </w:rPr>
            <m:t>δ=1-</m:t>
          </m:r>
          <m:f>
            <m:fPr>
              <m:ctrlPr>
                <w:rPr>
                  <w:rFonts w:ascii="Cambria Math" w:hAnsi="Cambria Math"/>
                  <w:i/>
                </w:rPr>
              </m:ctrlPr>
            </m:fPr>
            <m:num>
              <m:r>
                <w:rPr>
                  <w:rFonts w:ascii="Cambria Math" w:hAnsi="Cambria Math"/>
                </w:rPr>
                <m:t>% Savings in first year after re</m:t>
              </m:r>
              <m:r>
                <w:rPr>
                  <w:rFonts w:ascii="Cambria Math" w:hAnsi="Cambria Math"/>
                </w:rPr>
                <m:t>ports stop</m:t>
              </m:r>
            </m:num>
            <m:den>
              <m:r>
                <w:rPr>
                  <w:rFonts w:ascii="Cambria Math" w:hAnsi="Cambria Math"/>
                </w:rPr>
                <m:t>% Savings in last year reports are sent</m:t>
              </m:r>
            </m:den>
          </m:f>
          <m:r>
            <w:rPr>
              <w:rFonts w:ascii="Cambria Math" w:hAnsi="Cambria Math"/>
            </w:rPr>
            <m:t>.</m:t>
          </m:r>
        </m:oMath>
      </m:oMathPara>
    </w:p>
    <w:p w14:paraId="5ED4FFBF" w14:textId="77777777" w:rsidR="00A9061E" w:rsidRDefault="00A9061E" w:rsidP="00A9061E"/>
    <w:p w14:paraId="2C64321B" w14:textId="0177F2BE" w:rsidR="00A9061E" w:rsidRDefault="00A9061E" w:rsidP="00A9061E">
      <w:r>
        <w:t xml:space="preserve">The decay rate can be used to measure the </w:t>
      </w:r>
      <w:r w:rsidRPr="00E55942">
        <w:t>lifetime persistence savings</w:t>
      </w:r>
      <w:r>
        <w:t xml:space="preserve">, which is the total savings attributable to the program after reports are stopped. The lifetime persistence savings are calculated via an infinite series which converges to </w:t>
      </w:r>
      <w:r>
        <w:fldChar w:fldCharType="begin"/>
      </w:r>
      <w:r>
        <w:instrText xml:space="preserve"> REF _Ref440032845 \h </w:instrText>
      </w:r>
      <w:r>
        <w:fldChar w:fldCharType="separate"/>
      </w:r>
      <w:r w:rsidR="003971DF">
        <w:rPr>
          <w:b/>
          <w:bCs/>
        </w:rPr>
        <w:fldChar w:fldCharType="begin"/>
      </w:r>
      <w:r w:rsidR="003971DF">
        <w:instrText xml:space="preserve"> REF _Ref440982442 \h </w:instrText>
      </w:r>
      <w:r w:rsidR="003971DF">
        <w:rPr>
          <w:b/>
          <w:bCs/>
        </w:rPr>
      </w:r>
      <w:r w:rsidR="003971DF">
        <w:rPr>
          <w:b/>
          <w:bCs/>
        </w:rPr>
        <w:fldChar w:fldCharType="separate"/>
      </w:r>
      <w:r w:rsidR="003971DF">
        <w:t xml:space="preserve">Equation </w:t>
      </w:r>
      <w:r w:rsidR="003971DF">
        <w:rPr>
          <w:noProof/>
        </w:rPr>
        <w:t>2</w:t>
      </w:r>
      <w:r w:rsidR="003971DF">
        <w:noBreakHyphen/>
      </w:r>
      <w:r w:rsidR="003971DF">
        <w:rPr>
          <w:noProof/>
        </w:rPr>
        <w:t>5</w:t>
      </w:r>
      <w:r w:rsidR="003971DF">
        <w:rPr>
          <w:b/>
          <w:bCs/>
        </w:rPr>
        <w:fldChar w:fldCharType="end"/>
      </w:r>
      <w:r>
        <w:fldChar w:fldCharType="end"/>
      </w:r>
      <w:r>
        <w:t>.</w:t>
      </w:r>
      <w:r>
        <w:rPr>
          <w:rStyle w:val="FootnoteReference"/>
        </w:rPr>
        <w:footnoteReference w:id="13"/>
      </w:r>
      <w:r w:rsidRPr="00E55942">
        <w:rPr>
          <w:vertAlign w:val="superscript"/>
        </w:rPr>
        <w:t>,</w:t>
      </w:r>
      <w:r>
        <w:rPr>
          <w:rStyle w:val="FootnoteReference"/>
        </w:rPr>
        <w:footnoteReference w:id="14"/>
      </w:r>
      <w:r>
        <w:rPr>
          <w:i/>
        </w:rPr>
        <w:t xml:space="preserve"> </w:t>
      </w:r>
    </w:p>
    <w:p w14:paraId="1AE308FB" w14:textId="77777777" w:rsidR="00A9061E" w:rsidRDefault="00A9061E" w:rsidP="00A9061E"/>
    <w:p w14:paraId="12DC507D" w14:textId="77777777" w:rsidR="00A9061E" w:rsidRDefault="00A9061E" w:rsidP="00A9061E">
      <w:pPr>
        <w:pStyle w:val="Caption"/>
      </w:pPr>
      <w:bookmarkStart w:id="36" w:name="_Ref440982442"/>
      <w:r>
        <w:t xml:space="preserve">Equation </w:t>
      </w:r>
      <w:r w:rsidR="00851D29">
        <w:fldChar w:fldCharType="begin"/>
      </w:r>
      <w:r w:rsidR="00851D29">
        <w:instrText xml:space="preserve"> STYLEREF 1 \s </w:instrText>
      </w:r>
      <w:r w:rsidR="00851D29">
        <w:fldChar w:fldCharType="separate"/>
      </w:r>
      <w:r w:rsidR="003B38C3">
        <w:rPr>
          <w:noProof/>
        </w:rPr>
        <w:t>2</w:t>
      </w:r>
      <w:r w:rsidR="00851D29">
        <w:rPr>
          <w:noProof/>
        </w:rPr>
        <w:fldChar w:fldCharType="end"/>
      </w:r>
      <w:r>
        <w:noBreakHyphen/>
      </w:r>
      <w:r w:rsidR="00851D29">
        <w:fldChar w:fldCharType="begin"/>
      </w:r>
      <w:r w:rsidR="00851D29">
        <w:instrText xml:space="preserve"> SEQ Equation \* ARABIC \s 1 </w:instrText>
      </w:r>
      <w:r w:rsidR="00851D29">
        <w:fldChar w:fldCharType="separate"/>
      </w:r>
      <w:r w:rsidR="003B38C3">
        <w:rPr>
          <w:noProof/>
        </w:rPr>
        <w:t>5</w:t>
      </w:r>
      <w:r w:rsidR="00851D29">
        <w:rPr>
          <w:noProof/>
        </w:rPr>
        <w:fldChar w:fldCharType="end"/>
      </w:r>
      <w:bookmarkEnd w:id="36"/>
      <w:r>
        <w:t>.</w:t>
      </w:r>
      <w:r w:rsidRPr="00577541">
        <w:t xml:space="preserve"> </w:t>
      </w:r>
      <w:r>
        <w:t xml:space="preserve">Lifetime </w:t>
      </w:r>
      <w:r w:rsidRPr="00577541">
        <w:t>Persistence Savings Convergence</w:t>
      </w:r>
    </w:p>
    <w:p w14:paraId="290893F1" w14:textId="77777777" w:rsidR="00A9061E" w:rsidRDefault="00A9061E" w:rsidP="00A9061E">
      <m:oMathPara>
        <m:oMath>
          <m:r>
            <w:rPr>
              <w:rFonts w:ascii="Cambria Math" w:hAnsi="Cambria Math"/>
            </w:rPr>
            <m:t>Lifetime Persistence Savings=</m:t>
          </m:r>
          <m:f>
            <m:fPr>
              <m:ctrlPr>
                <w:rPr>
                  <w:rFonts w:ascii="Cambria Math" w:hAnsi="Cambria Math"/>
                  <w:i/>
                </w:rPr>
              </m:ctrlPr>
            </m:fPr>
            <m:num>
              <m:r>
                <w:rPr>
                  <w:rFonts w:ascii="Cambria Math" w:hAnsi="Cambria Math"/>
                </w:rPr>
                <m:t>Final Year of Program Savings</m:t>
              </m:r>
            </m:num>
            <m:den>
              <m:r>
                <w:rPr>
                  <w:rFonts w:ascii="Cambria Math" w:hAnsi="Cambria Math"/>
                </w:rPr>
                <m:t>δ+α-(δ*α)</m:t>
              </m:r>
            </m:den>
          </m:f>
        </m:oMath>
      </m:oMathPara>
    </w:p>
    <w:p w14:paraId="492057CC" w14:textId="77777777" w:rsidR="00A9061E" w:rsidRDefault="00A9061E" w:rsidP="00A9061E"/>
    <w:p w14:paraId="78D4FF61" w14:textId="39070190" w:rsidR="00A9061E" w:rsidRDefault="00A9061E" w:rsidP="003971DF">
      <w:pPr>
        <w:keepNext/>
      </w:pPr>
      <w:r>
        <w:lastRenderedPageBreak/>
        <w:t xml:space="preserve">The lifetime persistence savings is then used to estimate the measure life of the HER program contingent on having received reports for one year, as shown in </w:t>
      </w:r>
      <w:r w:rsidR="003971DF">
        <w:fldChar w:fldCharType="begin"/>
      </w:r>
      <w:r w:rsidR="003971DF">
        <w:instrText xml:space="preserve"> REF _Ref440982454 \h </w:instrText>
      </w:r>
      <w:r w:rsidR="003971DF">
        <w:fldChar w:fldCharType="separate"/>
      </w:r>
      <w:r w:rsidR="003971DF">
        <w:t xml:space="preserve">Equation </w:t>
      </w:r>
      <w:r w:rsidR="003971DF">
        <w:rPr>
          <w:noProof/>
        </w:rPr>
        <w:t>2</w:t>
      </w:r>
      <w:r w:rsidR="003971DF">
        <w:noBreakHyphen/>
      </w:r>
      <w:r w:rsidR="003971DF">
        <w:rPr>
          <w:noProof/>
        </w:rPr>
        <w:t>6</w:t>
      </w:r>
      <w:r w:rsidR="003971DF">
        <w:fldChar w:fldCharType="end"/>
      </w:r>
      <w:r>
        <w:t xml:space="preserve">. </w:t>
      </w:r>
    </w:p>
    <w:p w14:paraId="1E561703" w14:textId="77777777" w:rsidR="00A9061E" w:rsidRDefault="00A9061E" w:rsidP="003971DF">
      <w:pPr>
        <w:keepNext/>
      </w:pPr>
    </w:p>
    <w:p w14:paraId="67BDA1C8" w14:textId="77777777" w:rsidR="00A9061E" w:rsidRDefault="00A9061E" w:rsidP="00A9061E">
      <w:pPr>
        <w:pStyle w:val="Caption"/>
      </w:pPr>
      <w:bookmarkStart w:id="37" w:name="_Ref440982454"/>
      <w:r>
        <w:t xml:space="preserve">Equation </w:t>
      </w:r>
      <w:r w:rsidR="00851D29">
        <w:fldChar w:fldCharType="begin"/>
      </w:r>
      <w:r w:rsidR="00851D29">
        <w:instrText xml:space="preserve"> STYLEREF 1 \s </w:instrText>
      </w:r>
      <w:r w:rsidR="00851D29">
        <w:fldChar w:fldCharType="separate"/>
      </w:r>
      <w:r w:rsidR="003B38C3">
        <w:rPr>
          <w:noProof/>
        </w:rPr>
        <w:t>2</w:t>
      </w:r>
      <w:r w:rsidR="00851D29">
        <w:rPr>
          <w:noProof/>
        </w:rPr>
        <w:fldChar w:fldCharType="end"/>
      </w:r>
      <w:r>
        <w:noBreakHyphen/>
      </w:r>
      <w:r w:rsidR="00851D29">
        <w:fldChar w:fldCharType="begin"/>
      </w:r>
      <w:r w:rsidR="00851D29">
        <w:instrText xml:space="preserve"> SEQ Equation \* ARABIC \s 1 </w:instrText>
      </w:r>
      <w:r w:rsidR="00851D29">
        <w:fldChar w:fldCharType="separate"/>
      </w:r>
      <w:r w:rsidR="003B38C3">
        <w:rPr>
          <w:noProof/>
        </w:rPr>
        <w:t>6</w:t>
      </w:r>
      <w:r w:rsidR="00851D29">
        <w:rPr>
          <w:noProof/>
        </w:rPr>
        <w:fldChar w:fldCharType="end"/>
      </w:r>
      <w:bookmarkEnd w:id="37"/>
      <w:r>
        <w:t>. Measure Life</w:t>
      </w:r>
    </w:p>
    <w:p w14:paraId="70F471BC" w14:textId="77777777" w:rsidR="00A9061E" w:rsidRDefault="00A9061E" w:rsidP="00A9061E">
      <w:pPr>
        <w:spacing w:before="120" w:after="120"/>
        <w:jc w:val="center"/>
      </w:pPr>
      <m:oMathPara>
        <m:oMath>
          <m:r>
            <w:rPr>
              <w:rFonts w:ascii="Cambria Math" w:hAnsi="Cambria Math"/>
            </w:rPr>
            <m:t>HER Measure Life=</m:t>
          </m:r>
          <m:f>
            <m:fPr>
              <m:ctrlPr>
                <w:rPr>
                  <w:rFonts w:ascii="Cambria Math" w:hAnsi="Cambria Math"/>
                  <w:i/>
                </w:rPr>
              </m:ctrlPr>
            </m:fPr>
            <m:num>
              <m:r>
                <w:rPr>
                  <w:rFonts w:ascii="Cambria Math" w:hAnsi="Cambria Math"/>
                </w:rPr>
                <m:t>Final Year of Program Saving+Lifetime Persistence Savings</m:t>
              </m:r>
            </m:num>
            <m:den>
              <m:r>
                <w:rPr>
                  <w:rFonts w:ascii="Cambria Math" w:hAnsi="Cambria Math"/>
                </w:rPr>
                <m:t>Final Year of Program Savings</m:t>
              </m:r>
            </m:den>
          </m:f>
          <m:r>
            <w:rPr>
              <w:rFonts w:ascii="Cambria Math" w:hAnsi="Cambria Math"/>
            </w:rPr>
            <m:t>.</m:t>
          </m:r>
        </m:oMath>
      </m:oMathPara>
    </w:p>
    <w:p w14:paraId="6CBC31B4" w14:textId="77777777" w:rsidR="00A9061E" w:rsidRDefault="00A9061E" w:rsidP="00A9061E">
      <w:pPr>
        <w:pStyle w:val="Heading3"/>
      </w:pPr>
      <w:bookmarkStart w:id="38" w:name="_Ref440982614"/>
      <w:bookmarkStart w:id="39" w:name="_Ref440982631"/>
      <w:bookmarkStart w:id="40" w:name="_Toc440983229"/>
      <w:r>
        <w:t>Data</w:t>
      </w:r>
      <w:bookmarkEnd w:id="38"/>
      <w:bookmarkEnd w:id="39"/>
      <w:bookmarkEnd w:id="40"/>
      <w:r>
        <w:t xml:space="preserve"> </w:t>
      </w:r>
    </w:p>
    <w:p w14:paraId="0ACBC2B3" w14:textId="77777777" w:rsidR="00A9061E" w:rsidRDefault="00A9061E" w:rsidP="00A9061E">
      <w:pPr>
        <w:rPr>
          <w:szCs w:val="22"/>
        </w:rPr>
      </w:pPr>
      <w:r>
        <w:t xml:space="preserve">For the GPY3 study, Navigant received program tracking data from Opower, the program implementer, and monthly billing data from Nicor Gas, covering the period of September 2012 to September 2014. In particular, Navigant received data </w:t>
      </w:r>
      <w:r w:rsidRPr="002B4E12">
        <w:t xml:space="preserve">for </w:t>
      </w:r>
      <w:r>
        <w:t xml:space="preserve">351,845 participants </w:t>
      </w:r>
      <w:r w:rsidRPr="00CB3DEE">
        <w:t>and 30,000 controls.</w:t>
      </w:r>
      <w:r>
        <w:t xml:space="preserve"> For the persistence study, Navigant received additional monthly billing data on the same participants and controls for the period of October 2014 to September 2015.</w:t>
      </w:r>
      <w:r w:rsidRPr="00CB3DEE">
        <w:t xml:space="preserve"> </w:t>
      </w:r>
      <w:r>
        <w:t xml:space="preserve">Some </w:t>
      </w:r>
      <w:r w:rsidRPr="00CB3DEE">
        <w:rPr>
          <w:szCs w:val="22"/>
        </w:rPr>
        <w:t>Nicor</w:t>
      </w:r>
      <w:r>
        <w:rPr>
          <w:szCs w:val="22"/>
        </w:rPr>
        <w:t xml:space="preserve"> Gas customers have their meters read every other month, with estimated reads between meter readings. For this reason, Navigant combined the estimated read with the following actual read to create an extended bill that represents actual usage for the impact analysis. This means that the average bill length for some customers is 60 days and about half of the customers have a bill ending in any given month.</w:t>
      </w:r>
    </w:p>
    <w:p w14:paraId="45F90DB1" w14:textId="77777777" w:rsidR="00A9061E" w:rsidRDefault="00A9061E" w:rsidP="00A9061E">
      <w:pPr>
        <w:rPr>
          <w:szCs w:val="22"/>
        </w:rPr>
      </w:pPr>
    </w:p>
    <w:p w14:paraId="7E8F0FC5" w14:textId="77777777" w:rsidR="00A9061E" w:rsidRDefault="00A9061E" w:rsidP="00A9061E">
      <w:pPr>
        <w:rPr>
          <w:szCs w:val="22"/>
        </w:rPr>
      </w:pPr>
      <w:r>
        <w:rPr>
          <w:szCs w:val="22"/>
        </w:rPr>
        <w:t>To find the number of verified participants and controls, Navigant removed the following customers from the data received:</w:t>
      </w:r>
    </w:p>
    <w:p w14:paraId="515CFBEA" w14:textId="77777777" w:rsidR="00A9061E" w:rsidRDefault="00A9061E" w:rsidP="00F10FAE">
      <w:pPr>
        <w:pStyle w:val="ListParagraph"/>
        <w:numPr>
          <w:ilvl w:val="0"/>
          <w:numId w:val="13"/>
        </w:numPr>
      </w:pPr>
      <w:r>
        <w:t>Customers marked for exclusion by the program implementer</w:t>
      </w:r>
      <w:r>
        <w:rPr>
          <w:rStyle w:val="FootnoteReference"/>
        </w:rPr>
        <w:footnoteReference w:id="15"/>
      </w:r>
      <w:r>
        <w:t xml:space="preserve"> </w:t>
      </w:r>
    </w:p>
    <w:p w14:paraId="773929E1" w14:textId="77777777" w:rsidR="00A9061E" w:rsidRDefault="00A9061E" w:rsidP="00F10FAE">
      <w:pPr>
        <w:pStyle w:val="ListParagraph"/>
        <w:numPr>
          <w:ilvl w:val="0"/>
          <w:numId w:val="13"/>
        </w:numPr>
      </w:pPr>
      <w:r>
        <w:t xml:space="preserve">Customers with no first report generation date </w:t>
      </w:r>
    </w:p>
    <w:p w14:paraId="67088FD3" w14:textId="77777777" w:rsidR="00A9061E" w:rsidRDefault="00A9061E" w:rsidP="00F10FAE">
      <w:pPr>
        <w:pStyle w:val="ListParagraph"/>
        <w:numPr>
          <w:ilvl w:val="0"/>
          <w:numId w:val="13"/>
        </w:numPr>
      </w:pPr>
      <w:r>
        <w:t>Customers with no bills in the analysis period</w:t>
      </w:r>
      <w:r>
        <w:rPr>
          <w:rStyle w:val="FootnoteReference"/>
        </w:rPr>
        <w:footnoteReference w:id="16"/>
      </w:r>
    </w:p>
    <w:p w14:paraId="4E8291DB" w14:textId="77777777" w:rsidR="00A9061E" w:rsidRDefault="00A9061E" w:rsidP="00A9061E">
      <w:pPr>
        <w:rPr>
          <w:szCs w:val="22"/>
        </w:rPr>
      </w:pPr>
      <w:r>
        <w:rPr>
          <w:szCs w:val="22"/>
        </w:rPr>
        <w:t>This results in 290,512 verified participants and 24,611 verified controls.</w:t>
      </w:r>
    </w:p>
    <w:p w14:paraId="0222503C" w14:textId="77777777" w:rsidR="00A9061E" w:rsidRDefault="00A9061E" w:rsidP="00A9061E">
      <w:r>
        <w:rPr>
          <w:szCs w:val="22"/>
        </w:rPr>
        <w:t xml:space="preserve"> </w:t>
      </w:r>
    </w:p>
    <w:p w14:paraId="796CC0D2" w14:textId="77777777" w:rsidR="00A9061E" w:rsidRDefault="00A9061E" w:rsidP="00A9061E">
      <w:r>
        <w:t>To create a cleaned sample for the impact analysis, Navigant removed the following customers and data points from the analysis:</w:t>
      </w:r>
    </w:p>
    <w:p w14:paraId="5C2E2CE1" w14:textId="77777777" w:rsidR="00A9061E" w:rsidRDefault="00A9061E" w:rsidP="00F10FAE">
      <w:pPr>
        <w:pStyle w:val="ListParagraph"/>
        <w:numPr>
          <w:ilvl w:val="0"/>
          <w:numId w:val="13"/>
        </w:numPr>
      </w:pPr>
      <w:r>
        <w:t>Customers with a delayed first report generation date</w:t>
      </w:r>
      <w:r>
        <w:rPr>
          <w:rStyle w:val="FootnoteReference"/>
        </w:rPr>
        <w:footnoteReference w:id="17"/>
      </w:r>
    </w:p>
    <w:p w14:paraId="727C9691" w14:textId="77777777" w:rsidR="00A9061E" w:rsidRDefault="00A9061E" w:rsidP="00F10FAE">
      <w:pPr>
        <w:pStyle w:val="ListParagraph"/>
        <w:numPr>
          <w:ilvl w:val="0"/>
          <w:numId w:val="13"/>
        </w:numPr>
      </w:pPr>
      <w:r>
        <w:t>Observations of bi-monthly bills with less than 50 or more than 70 days in the billing cycle</w:t>
      </w:r>
    </w:p>
    <w:p w14:paraId="30A928EB" w14:textId="77777777" w:rsidR="00A9061E" w:rsidRDefault="00A9061E" w:rsidP="00F10FAE">
      <w:pPr>
        <w:pStyle w:val="ListParagraph"/>
        <w:numPr>
          <w:ilvl w:val="0"/>
          <w:numId w:val="13"/>
        </w:numPr>
      </w:pPr>
      <w:proofErr w:type="spellStart"/>
      <w:r>
        <w:t>Obserations</w:t>
      </w:r>
      <w:proofErr w:type="spellEnd"/>
      <w:r>
        <w:t xml:space="preserve"> of monthly bills with less than 20 or more than 40 days in the billing cycle</w:t>
      </w:r>
    </w:p>
    <w:p w14:paraId="64939D1B" w14:textId="77777777" w:rsidR="00A9061E" w:rsidRDefault="00A9061E" w:rsidP="00F10FAE">
      <w:pPr>
        <w:pStyle w:val="ListParagraph"/>
        <w:numPr>
          <w:ilvl w:val="0"/>
          <w:numId w:val="13"/>
        </w:numPr>
      </w:pPr>
      <w:r>
        <w:t>Observations missing billing usage data</w:t>
      </w:r>
    </w:p>
    <w:p w14:paraId="0DFEF791" w14:textId="77777777" w:rsidR="00A9061E" w:rsidRDefault="00A9061E" w:rsidP="00F10FAE">
      <w:pPr>
        <w:pStyle w:val="ListParagraph"/>
        <w:numPr>
          <w:ilvl w:val="0"/>
          <w:numId w:val="13"/>
        </w:numPr>
      </w:pPr>
      <w:r>
        <w:t>Observations outside the twelve month pre-program period or the study period</w:t>
      </w:r>
    </w:p>
    <w:p w14:paraId="096C3897" w14:textId="77777777" w:rsidR="00A9061E" w:rsidRDefault="00A9061E" w:rsidP="00F10FAE">
      <w:pPr>
        <w:pStyle w:val="ListParagraph"/>
        <w:numPr>
          <w:ilvl w:val="0"/>
          <w:numId w:val="13"/>
        </w:numPr>
      </w:pPr>
      <w:r>
        <w:t>Outliers, defined as observations with average daily consumption more than one order of magnitude above the median usage in the heating season</w:t>
      </w:r>
      <w:r>
        <w:rPr>
          <w:rStyle w:val="FootnoteReference"/>
        </w:rPr>
        <w:footnoteReference w:id="18"/>
      </w:r>
    </w:p>
    <w:p w14:paraId="17C3B434" w14:textId="61807472" w:rsidR="00A9061E" w:rsidRDefault="00A9061E" w:rsidP="00F10FAE">
      <w:pPr>
        <w:pStyle w:val="ListParagraph"/>
        <w:numPr>
          <w:ilvl w:val="0"/>
          <w:numId w:val="13"/>
        </w:numPr>
      </w:pPr>
      <w:r>
        <w:t xml:space="preserve">For the PPR model, observations in the study period which did not have a corresponding value for the </w:t>
      </w:r>
      <w:proofErr w:type="spellStart"/>
      <w:r w:rsidRPr="003A3F6F">
        <w:rPr>
          <w:i/>
        </w:rPr>
        <w:t>ADClag</w:t>
      </w:r>
      <w:proofErr w:type="spellEnd"/>
      <w:r>
        <w:t xml:space="preserve"> variable, described in Section</w:t>
      </w:r>
      <w:r w:rsidR="00840211">
        <w:t xml:space="preserve"> </w:t>
      </w:r>
      <w:r w:rsidR="00840211">
        <w:fldChar w:fldCharType="begin"/>
      </w:r>
      <w:r w:rsidR="00840211">
        <w:instrText xml:space="preserve"> REF _Ref441129171 \r \h </w:instrText>
      </w:r>
      <w:r w:rsidR="00840211">
        <w:fldChar w:fldCharType="separate"/>
      </w:r>
      <w:r w:rsidR="00840211">
        <w:t>2.1.2.2</w:t>
      </w:r>
      <w:r w:rsidR="00840211">
        <w:fldChar w:fldCharType="end"/>
      </w:r>
      <w:r>
        <w:t>.</w:t>
      </w:r>
    </w:p>
    <w:p w14:paraId="49E4DCF9" w14:textId="77777777" w:rsidR="00A9061E" w:rsidRDefault="00A9061E" w:rsidP="00A9061E"/>
    <w:p w14:paraId="6BFE0B21" w14:textId="77777777" w:rsidR="00A9061E" w:rsidRDefault="00A9061E" w:rsidP="00A9061E">
      <w:r>
        <w:t>This results in a cleaned sample for the impact analysis containing 287,718 treatment and 24,393 controls; all together the cleaned sample includes 99% of the verified participants and controls. The cleaned sample</w:t>
      </w:r>
      <w:r w:rsidRPr="00E51649">
        <w:t xml:space="preserve"> includes participants </w:t>
      </w:r>
      <w:r>
        <w:t>who</w:t>
      </w:r>
      <w:r w:rsidRPr="00E51649">
        <w:t xml:space="preserve"> opt-out and customers whose accounts become inactive up until the point of inactivation</w:t>
      </w:r>
      <w:r>
        <w:t xml:space="preserve"> (meaning that if a customer’s account closed in June, their billing data are included up until June)</w:t>
      </w:r>
      <w:r w:rsidRPr="00E51649">
        <w:t>.</w:t>
      </w:r>
      <w:r>
        <w:t xml:space="preserve"> Including these two groups of participants in the analysis is in line with behavior-based program evaluation protocol. For opt-outs, the State and Local Energy Efficiency Action Network report explains that, “if the households that opt out are excluded from the treatment group…then the results will suffer from selection bias: the households in the control group are no longer the same types of households as those in the treatment group.”</w:t>
      </w:r>
      <w:r>
        <w:rPr>
          <w:rStyle w:val="FootnoteReference"/>
        </w:rPr>
        <w:footnoteReference w:id="19"/>
      </w:r>
      <w:r>
        <w:t xml:space="preserve"> For accounts that become inactive, “it is unlikely that </w:t>
      </w:r>
      <w:r>
        <w:rPr>
          <w:szCs w:val="20"/>
        </w:rPr>
        <w:t>households move or close their accounts because of an efficiency program; thus, we can safely assume that account closures are random and occur at the same rate for both the control and treatment group.”</w:t>
      </w:r>
      <w:r>
        <w:rPr>
          <w:rStyle w:val="FootnoteReference"/>
          <w:szCs w:val="20"/>
        </w:rPr>
        <w:footnoteReference w:id="20"/>
      </w:r>
      <w:r>
        <w:rPr>
          <w:szCs w:val="20"/>
        </w:rPr>
        <w:t xml:space="preserve"> We include customers whose accounts go inactive up until the inactive date to ensure that the results are not biased if certain types of customers are more likely to move than others (for example, if the younger population is more mobile).</w:t>
      </w:r>
    </w:p>
    <w:p w14:paraId="0BFDE68E" w14:textId="77777777" w:rsidR="00A9061E" w:rsidRDefault="00A9061E" w:rsidP="00A9061E"/>
    <w:p w14:paraId="268288EA" w14:textId="77777777" w:rsidR="00A9061E" w:rsidRDefault="00A9061E" w:rsidP="00A9061E">
      <w:r>
        <w:t>The service territory for Nicor Gas overlaps with the Commonwealth Edison (ComEd) electric service territory. ComEd also runs a HER program for their electric customers. The service territory overlap means that some customers in the Nicor Gas HER program control and treatment groups receive electric HERs from ComEd, and vice versa. It is possible that the ComEd electric HERs create cross-fuel effects that lower gas usage for those who receive them. However,</w:t>
      </w:r>
      <w:r>
        <w:rPr>
          <w:color w:val="000000"/>
        </w:rPr>
        <w:t xml:space="preserve"> this does not affect the estimate of the effect of the gas HER program </w:t>
      </w:r>
      <w:r w:rsidRPr="007C0FB7">
        <w:rPr>
          <w:iCs/>
          <w:color w:val="000000"/>
        </w:rPr>
        <w:t>conditional on the state of the world, which happens to include the electric program</w:t>
      </w:r>
      <w:r>
        <w:rPr>
          <w:color w:val="000000"/>
        </w:rPr>
        <w:t xml:space="preserve">. This is because, due to random assignment, the treatment group in the gas program is exposed to the electric program at the same rate as the control group for the gas program. Given that our study objective is to estimate gas savings </w:t>
      </w:r>
      <w:r w:rsidRPr="007C0FB7">
        <w:rPr>
          <w:iCs/>
          <w:color w:val="000000"/>
        </w:rPr>
        <w:t>due to the Nicor Gas HER program</w:t>
      </w:r>
      <w:r w:rsidRPr="007C0FB7">
        <w:rPr>
          <w:color w:val="000000"/>
        </w:rPr>
        <w:t xml:space="preserve">, </w:t>
      </w:r>
      <w:r>
        <w:rPr>
          <w:color w:val="000000"/>
        </w:rPr>
        <w:t>we do not need to remove customers receiving ComEd electric HERs, because the “all else equal” condition imposed by the RCT includes the fact that gas treatment and control customers are being exposed at equal rates to the electric treatment (and attendant spillovers to gas consumption) run by ComEd. Navigant verified this assumption in the GPY3 report by matching Nicor Gas and ComEd customers by name and address; we found that 8.7% of the Nicor Gas treatment group and 8.5% of the control group receives an electric HER from ComEd. Nicor Gas and ComEd are currently considering a study that would estimate cross-fuel savings across their two programs</w:t>
      </w:r>
      <w:r>
        <w:t xml:space="preserve"> </w:t>
      </w:r>
    </w:p>
    <w:p w14:paraId="78CB3CBD" w14:textId="77777777" w:rsidR="00A9061E" w:rsidRDefault="00A9061E" w:rsidP="00A9061E"/>
    <w:p w14:paraId="4365C895" w14:textId="29D35906" w:rsidR="00A9061E" w:rsidRDefault="00A9061E" w:rsidP="00A9061E">
      <w:r>
        <w:t xml:space="preserve">A summary of the data and data sources used in the study are provided in </w:t>
      </w:r>
      <w:r w:rsidR="003971DF">
        <w:fldChar w:fldCharType="begin"/>
      </w:r>
      <w:r w:rsidR="003971DF">
        <w:instrText xml:space="preserve"> REF _Ref440982499 \h </w:instrText>
      </w:r>
      <w:r w:rsidR="003971DF">
        <w:fldChar w:fldCharType="separate"/>
      </w:r>
      <w:r w:rsidR="003971DF">
        <w:t xml:space="preserve">Table </w:t>
      </w:r>
      <w:r w:rsidR="003971DF">
        <w:rPr>
          <w:noProof/>
        </w:rPr>
        <w:t>2</w:t>
      </w:r>
      <w:r w:rsidR="003971DF">
        <w:noBreakHyphen/>
      </w:r>
      <w:r w:rsidR="003971DF">
        <w:rPr>
          <w:noProof/>
        </w:rPr>
        <w:t>1</w:t>
      </w:r>
      <w:r w:rsidR="003971DF">
        <w:fldChar w:fldCharType="end"/>
      </w:r>
      <w:r w:rsidR="00840211">
        <w:t>.</w:t>
      </w:r>
    </w:p>
    <w:p w14:paraId="605EA456" w14:textId="77777777" w:rsidR="00840211" w:rsidRDefault="00840211" w:rsidP="00A9061E"/>
    <w:p w14:paraId="32CCD5E5" w14:textId="77777777" w:rsidR="00A9061E" w:rsidRDefault="00A9061E" w:rsidP="00A9061E">
      <w:pPr>
        <w:pStyle w:val="Caption"/>
      </w:pPr>
      <w:bookmarkStart w:id="41" w:name="_Ref440982499"/>
      <w:bookmarkStart w:id="42" w:name="_Toc441752599"/>
      <w:r>
        <w:t xml:space="preserve">Table </w:t>
      </w:r>
      <w:r w:rsidR="00851D29">
        <w:fldChar w:fldCharType="begin"/>
      </w:r>
      <w:r w:rsidR="00851D29">
        <w:instrText xml:space="preserve"> STYLEREF 1 \s </w:instrText>
      </w:r>
      <w:r w:rsidR="00851D29">
        <w:fldChar w:fldCharType="separate"/>
      </w:r>
      <w:r w:rsidR="003B38C3">
        <w:rPr>
          <w:noProof/>
        </w:rPr>
        <w:t>2</w:t>
      </w:r>
      <w:r w:rsidR="00851D29">
        <w:rPr>
          <w:noProof/>
        </w:rPr>
        <w:fldChar w:fldCharType="end"/>
      </w:r>
      <w:r>
        <w:noBreakHyphen/>
      </w:r>
      <w:r w:rsidR="00851D29">
        <w:fldChar w:fldCharType="begin"/>
      </w:r>
      <w:r w:rsidR="00851D29">
        <w:instrText xml:space="preserve"> SEQ Table \* ARABIC \s 1 </w:instrText>
      </w:r>
      <w:r w:rsidR="00851D29">
        <w:fldChar w:fldCharType="separate"/>
      </w:r>
      <w:r w:rsidR="003B38C3">
        <w:rPr>
          <w:noProof/>
        </w:rPr>
        <w:t>1</w:t>
      </w:r>
      <w:r w:rsidR="00851D29">
        <w:rPr>
          <w:noProof/>
        </w:rPr>
        <w:fldChar w:fldCharType="end"/>
      </w:r>
      <w:bookmarkEnd w:id="41"/>
      <w:r>
        <w:t>. Data Sources</w:t>
      </w:r>
      <w:bookmarkEnd w:id="42"/>
    </w:p>
    <w:tbl>
      <w:tblPr>
        <w:tblStyle w:val="EnergyTable"/>
        <w:tblW w:w="0" w:type="auto"/>
        <w:tblLook w:val="01E0" w:firstRow="1" w:lastRow="1" w:firstColumn="1" w:lastColumn="1" w:noHBand="0" w:noVBand="0"/>
      </w:tblPr>
      <w:tblGrid>
        <w:gridCol w:w="1870"/>
        <w:gridCol w:w="1118"/>
        <w:gridCol w:w="2448"/>
        <w:gridCol w:w="3744"/>
      </w:tblGrid>
      <w:tr w:rsidR="00A9061E" w:rsidRPr="00C65867" w14:paraId="7049F713" w14:textId="77777777" w:rsidTr="008402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0" w:type="dxa"/>
          </w:tcPr>
          <w:p w14:paraId="77367CE4" w14:textId="77777777" w:rsidR="00A9061E" w:rsidRPr="00C65867" w:rsidRDefault="00A9061E" w:rsidP="000B26EA">
            <w:pPr>
              <w:keepNext/>
              <w:keepLines/>
              <w:spacing w:before="60" w:after="60"/>
              <w:jc w:val="left"/>
              <w:rPr>
                <w:szCs w:val="20"/>
              </w:rPr>
            </w:pPr>
            <w:r w:rsidRPr="00C65867">
              <w:rPr>
                <w:szCs w:val="20"/>
              </w:rPr>
              <w:t>Data</w:t>
            </w:r>
          </w:p>
        </w:tc>
        <w:tc>
          <w:tcPr>
            <w:tcW w:w="1118" w:type="dxa"/>
          </w:tcPr>
          <w:p w14:paraId="00623AB5" w14:textId="77777777" w:rsidR="00A9061E" w:rsidRPr="00C65867" w:rsidRDefault="00A9061E" w:rsidP="000B26EA">
            <w:pPr>
              <w:keepNext/>
              <w:keepLines/>
              <w:spacing w:before="60" w:after="60"/>
              <w:ind w:left="19"/>
              <w:jc w:val="left"/>
              <w:cnfStyle w:val="100000000000" w:firstRow="1" w:lastRow="0" w:firstColumn="0" w:lastColumn="0" w:oddVBand="0" w:evenVBand="0" w:oddHBand="0" w:evenHBand="0" w:firstRowFirstColumn="0" w:firstRowLastColumn="0" w:lastRowFirstColumn="0" w:lastRowLastColumn="0"/>
              <w:rPr>
                <w:szCs w:val="20"/>
              </w:rPr>
            </w:pPr>
            <w:r w:rsidRPr="00C65867">
              <w:rPr>
                <w:szCs w:val="20"/>
              </w:rPr>
              <w:t>Source</w:t>
            </w:r>
          </w:p>
        </w:tc>
        <w:tc>
          <w:tcPr>
            <w:tcW w:w="2448" w:type="dxa"/>
          </w:tcPr>
          <w:p w14:paraId="5372D93E" w14:textId="77777777" w:rsidR="00A9061E" w:rsidRPr="00C65867" w:rsidRDefault="00A9061E" w:rsidP="000B26EA">
            <w:pPr>
              <w:keepNext/>
              <w:keepLines/>
              <w:spacing w:before="60" w:after="60"/>
              <w:ind w:left="19"/>
              <w:jc w:val="left"/>
              <w:cnfStyle w:val="100000000000" w:firstRow="1" w:lastRow="0" w:firstColumn="0" w:lastColumn="0" w:oddVBand="0" w:evenVBand="0" w:oddHBand="0" w:evenHBand="0" w:firstRowFirstColumn="0" w:firstRowLastColumn="0" w:lastRowFirstColumn="0" w:lastRowLastColumn="0"/>
              <w:rPr>
                <w:szCs w:val="20"/>
              </w:rPr>
            </w:pPr>
            <w:r w:rsidRPr="00C65867">
              <w:rPr>
                <w:szCs w:val="20"/>
              </w:rPr>
              <w:t>Time Period Covered</w:t>
            </w:r>
          </w:p>
        </w:tc>
        <w:tc>
          <w:tcPr>
            <w:tcW w:w="3744" w:type="dxa"/>
          </w:tcPr>
          <w:p w14:paraId="7804EECC" w14:textId="77777777" w:rsidR="00A9061E" w:rsidRPr="00C65867" w:rsidRDefault="00A9061E" w:rsidP="000B26EA">
            <w:pPr>
              <w:keepNext/>
              <w:keepLines/>
              <w:spacing w:before="60" w:after="60"/>
              <w:ind w:left="19"/>
              <w:jc w:val="left"/>
              <w:cnfStyle w:val="100000000000" w:firstRow="1" w:lastRow="0" w:firstColumn="0" w:lastColumn="0" w:oddVBand="0" w:evenVBand="0" w:oddHBand="0" w:evenHBand="0" w:firstRowFirstColumn="0" w:firstRowLastColumn="0" w:lastRowFirstColumn="0" w:lastRowLastColumn="0"/>
              <w:rPr>
                <w:szCs w:val="20"/>
              </w:rPr>
            </w:pPr>
            <w:r w:rsidRPr="00C65867">
              <w:rPr>
                <w:szCs w:val="20"/>
              </w:rPr>
              <w:t>Description</w:t>
            </w:r>
          </w:p>
        </w:tc>
      </w:tr>
      <w:tr w:rsidR="00A9061E" w:rsidRPr="003F5772" w14:paraId="246D723C" w14:textId="77777777" w:rsidTr="008402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0" w:type="dxa"/>
          </w:tcPr>
          <w:p w14:paraId="6098948D" w14:textId="77777777" w:rsidR="00A9061E" w:rsidRPr="00D32380" w:rsidRDefault="00A9061E" w:rsidP="003971DF">
            <w:pPr>
              <w:keepNext/>
              <w:keepLines/>
              <w:jc w:val="left"/>
              <w:rPr>
                <w:szCs w:val="20"/>
              </w:rPr>
            </w:pPr>
            <w:r w:rsidRPr="00D32380">
              <w:rPr>
                <w:szCs w:val="20"/>
              </w:rPr>
              <w:t>Billing Data</w:t>
            </w:r>
          </w:p>
        </w:tc>
        <w:tc>
          <w:tcPr>
            <w:tcW w:w="1118" w:type="dxa"/>
          </w:tcPr>
          <w:p w14:paraId="5887E0C7" w14:textId="75CCB63D" w:rsidR="00A9061E" w:rsidRPr="00D32380" w:rsidRDefault="00A9061E" w:rsidP="000B26EA">
            <w:pPr>
              <w:keepNext/>
              <w:keepLines/>
              <w:spacing w:before="60" w:after="60"/>
              <w:jc w:val="left"/>
              <w:cnfStyle w:val="000000100000" w:firstRow="0" w:lastRow="0" w:firstColumn="0" w:lastColumn="0" w:oddVBand="0" w:evenVBand="0" w:oddHBand="1" w:evenHBand="0" w:firstRowFirstColumn="0" w:firstRowLastColumn="0" w:lastRowFirstColumn="0" w:lastRowLastColumn="0"/>
              <w:rPr>
                <w:szCs w:val="20"/>
              </w:rPr>
            </w:pPr>
            <w:r>
              <w:rPr>
                <w:szCs w:val="20"/>
              </w:rPr>
              <w:t>Nicor</w:t>
            </w:r>
            <w:r w:rsidR="008D6F3F">
              <w:rPr>
                <w:szCs w:val="20"/>
              </w:rPr>
              <w:t xml:space="preserve"> Gas</w:t>
            </w:r>
          </w:p>
        </w:tc>
        <w:tc>
          <w:tcPr>
            <w:tcW w:w="2448" w:type="dxa"/>
          </w:tcPr>
          <w:p w14:paraId="6FC72049" w14:textId="77777777" w:rsidR="00A9061E" w:rsidRPr="00E4597B" w:rsidRDefault="00A9061E" w:rsidP="000B26EA">
            <w:pPr>
              <w:keepNext/>
              <w:keepLines/>
              <w:spacing w:before="60" w:after="60"/>
              <w:jc w:val="left"/>
              <w:cnfStyle w:val="000000100000" w:firstRow="0" w:lastRow="0" w:firstColumn="0" w:lastColumn="0" w:oddVBand="0" w:evenVBand="0" w:oddHBand="1" w:evenHBand="0" w:firstRowFirstColumn="0" w:firstRowLastColumn="0" w:lastRowFirstColumn="0" w:lastRowLastColumn="0"/>
              <w:rPr>
                <w:szCs w:val="20"/>
              </w:rPr>
            </w:pPr>
            <w:r>
              <w:rPr>
                <w:szCs w:val="20"/>
              </w:rPr>
              <w:t>September 2012 – September 2015</w:t>
            </w:r>
          </w:p>
        </w:tc>
        <w:tc>
          <w:tcPr>
            <w:tcW w:w="3744" w:type="dxa"/>
          </w:tcPr>
          <w:p w14:paraId="452E833C" w14:textId="77777777" w:rsidR="00A9061E" w:rsidRPr="00D32380" w:rsidRDefault="00A9061E" w:rsidP="000B26EA">
            <w:pPr>
              <w:keepNext/>
              <w:keepLines/>
              <w:spacing w:before="60" w:after="60"/>
              <w:jc w:val="left"/>
              <w:cnfStyle w:val="000000100000" w:firstRow="0" w:lastRow="0" w:firstColumn="0" w:lastColumn="0" w:oddVBand="0" w:evenVBand="0" w:oddHBand="1" w:evenHBand="0" w:firstRowFirstColumn="0" w:firstRowLastColumn="0" w:lastRowFirstColumn="0" w:lastRowLastColumn="0"/>
              <w:rPr>
                <w:szCs w:val="20"/>
              </w:rPr>
            </w:pPr>
            <w:r>
              <w:rPr>
                <w:szCs w:val="20"/>
              </w:rPr>
              <w:t>HER program</w:t>
            </w:r>
            <w:r w:rsidRPr="00D32380">
              <w:rPr>
                <w:szCs w:val="20"/>
              </w:rPr>
              <w:t xml:space="preserve"> participants and controls during the pre- and post-period.</w:t>
            </w:r>
          </w:p>
        </w:tc>
      </w:tr>
      <w:tr w:rsidR="00A9061E" w:rsidRPr="003F5772" w14:paraId="1CE1A17E" w14:textId="77777777" w:rsidTr="0084021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0" w:type="dxa"/>
          </w:tcPr>
          <w:p w14:paraId="15C42EAF" w14:textId="77777777" w:rsidR="00A9061E" w:rsidRPr="00840211" w:rsidRDefault="00A9061E" w:rsidP="003971DF">
            <w:pPr>
              <w:keepNext/>
              <w:keepLines/>
              <w:jc w:val="left"/>
              <w:rPr>
                <w:b w:val="0"/>
                <w:szCs w:val="20"/>
              </w:rPr>
            </w:pPr>
            <w:r w:rsidRPr="00840211">
              <w:rPr>
                <w:b w:val="0"/>
                <w:szCs w:val="20"/>
              </w:rPr>
              <w:t>Tracking Data</w:t>
            </w:r>
          </w:p>
        </w:tc>
        <w:tc>
          <w:tcPr>
            <w:tcW w:w="1118" w:type="dxa"/>
          </w:tcPr>
          <w:p w14:paraId="223F9C9C" w14:textId="77777777" w:rsidR="00A9061E" w:rsidRPr="00840211" w:rsidRDefault="00A9061E" w:rsidP="000B26EA">
            <w:pPr>
              <w:keepNext/>
              <w:keepLines/>
              <w:spacing w:before="60" w:after="60"/>
              <w:jc w:val="left"/>
              <w:cnfStyle w:val="010000000000" w:firstRow="0" w:lastRow="1" w:firstColumn="0" w:lastColumn="0" w:oddVBand="0" w:evenVBand="0" w:oddHBand="0" w:evenHBand="0" w:firstRowFirstColumn="0" w:firstRowLastColumn="0" w:lastRowFirstColumn="0" w:lastRowLastColumn="0"/>
              <w:rPr>
                <w:b w:val="0"/>
                <w:szCs w:val="20"/>
              </w:rPr>
            </w:pPr>
            <w:r w:rsidRPr="00840211">
              <w:rPr>
                <w:b w:val="0"/>
                <w:szCs w:val="20"/>
              </w:rPr>
              <w:t>Opower</w:t>
            </w:r>
          </w:p>
        </w:tc>
        <w:tc>
          <w:tcPr>
            <w:tcW w:w="2448" w:type="dxa"/>
          </w:tcPr>
          <w:p w14:paraId="7D67C683" w14:textId="77777777" w:rsidR="00A9061E" w:rsidRPr="00840211" w:rsidRDefault="00A9061E" w:rsidP="000B26EA">
            <w:pPr>
              <w:keepNext/>
              <w:keepLines/>
              <w:spacing w:before="60" w:after="60"/>
              <w:jc w:val="left"/>
              <w:cnfStyle w:val="010000000000" w:firstRow="0" w:lastRow="1" w:firstColumn="0" w:lastColumn="0" w:oddVBand="0" w:evenVBand="0" w:oddHBand="0" w:evenHBand="0" w:firstRowFirstColumn="0" w:firstRowLastColumn="0" w:lastRowFirstColumn="0" w:lastRowLastColumn="0"/>
              <w:rPr>
                <w:b w:val="0"/>
                <w:szCs w:val="20"/>
              </w:rPr>
            </w:pPr>
            <w:r w:rsidRPr="00840211">
              <w:rPr>
                <w:b w:val="0"/>
                <w:szCs w:val="20"/>
              </w:rPr>
              <w:t>September 2012 – September 2015</w:t>
            </w:r>
          </w:p>
        </w:tc>
        <w:tc>
          <w:tcPr>
            <w:tcW w:w="3744" w:type="dxa"/>
          </w:tcPr>
          <w:p w14:paraId="1137987D" w14:textId="77777777" w:rsidR="00A9061E" w:rsidRPr="00840211" w:rsidRDefault="00A9061E" w:rsidP="000B26EA">
            <w:pPr>
              <w:keepNext/>
              <w:keepLines/>
              <w:spacing w:before="60" w:after="60"/>
              <w:jc w:val="left"/>
              <w:cnfStyle w:val="010000000000" w:firstRow="0" w:lastRow="1" w:firstColumn="0" w:lastColumn="0" w:oddVBand="0" w:evenVBand="0" w:oddHBand="0" w:evenHBand="0" w:firstRowFirstColumn="0" w:firstRowLastColumn="0" w:lastRowFirstColumn="0" w:lastRowLastColumn="0"/>
              <w:rPr>
                <w:b w:val="0"/>
                <w:szCs w:val="20"/>
              </w:rPr>
            </w:pPr>
            <w:r w:rsidRPr="00840211">
              <w:rPr>
                <w:b w:val="0"/>
                <w:szCs w:val="20"/>
              </w:rPr>
              <w:t>HER program participants and controls during the pre- and post-period.</w:t>
            </w:r>
          </w:p>
        </w:tc>
      </w:tr>
    </w:tbl>
    <w:p w14:paraId="16FD2D73" w14:textId="77777777" w:rsidR="00A9061E" w:rsidRDefault="00A9061E" w:rsidP="003971DF">
      <w:pPr>
        <w:pStyle w:val="Source"/>
        <w:ind w:hanging="720"/>
      </w:pPr>
      <w:r>
        <w:t xml:space="preserve">Source: Nicor Gas billing </w:t>
      </w:r>
      <w:r w:rsidRPr="00651E3A">
        <w:t>data</w:t>
      </w:r>
      <w:r>
        <w:t xml:space="preserve"> and Opower implementation data</w:t>
      </w:r>
    </w:p>
    <w:p w14:paraId="09C563FB" w14:textId="77777777" w:rsidR="00A9061E" w:rsidRPr="00A90B62" w:rsidRDefault="00A9061E" w:rsidP="00A9061E">
      <w:pPr>
        <w:pStyle w:val="Heading1"/>
      </w:pPr>
      <w:bookmarkStart w:id="43" w:name="_Toc440983230"/>
      <w:r>
        <w:lastRenderedPageBreak/>
        <w:t xml:space="preserve">Gross </w:t>
      </w:r>
      <w:r w:rsidRPr="00142E79">
        <w:t>Impa</w:t>
      </w:r>
      <w:r>
        <w:t>ct Findings</w:t>
      </w:r>
      <w:bookmarkEnd w:id="43"/>
    </w:p>
    <w:p w14:paraId="7499476F" w14:textId="77777777" w:rsidR="00A9061E" w:rsidRDefault="00A9061E" w:rsidP="00A9061E">
      <w:pPr>
        <w:pStyle w:val="Heading2"/>
        <w:spacing w:after="240"/>
      </w:pPr>
      <w:bookmarkStart w:id="44" w:name="_Toc440983231"/>
      <w:r>
        <w:t>Home Energy Report Impact Findings</w:t>
      </w:r>
      <w:bookmarkEnd w:id="44"/>
    </w:p>
    <w:p w14:paraId="37565075" w14:textId="77777777" w:rsidR="00A9061E" w:rsidRDefault="00A9061E" w:rsidP="00A9061E">
      <w:r>
        <w:t>As detailed below, the LFER and PPR models generate very similar results for persistence savings. We use PPR results for reporting total persistence savings, g</w:t>
      </w:r>
      <w:r w:rsidRPr="002C16B8">
        <w:t>iven that gas usage is highly seasonal</w:t>
      </w:r>
      <w:r>
        <w:t xml:space="preserve">. Overall verified net savings were </w:t>
      </w:r>
      <w:r w:rsidRPr="00E15661">
        <w:t>581,174</w:t>
      </w:r>
      <w:r>
        <w:t xml:space="preserve"> therms for the period of April 2015 to September 2015, prior to adjusting for savings uplift. Adding this to the</w:t>
      </w:r>
      <w:r w:rsidRPr="009C43CB">
        <w:t xml:space="preserve"> 1,924,321</w:t>
      </w:r>
      <w:r>
        <w:t xml:space="preserve"> therms for the period of October 2014 to March 2015, gives total therm savings for the year from October 2014 to September 2015 of </w:t>
      </w:r>
      <w:r w:rsidRPr="00E15661">
        <w:t>2,505,494</w:t>
      </w:r>
      <w:r>
        <w:t xml:space="preserve"> therms.</w:t>
      </w:r>
      <w:r>
        <w:rPr>
          <w:rStyle w:val="FootnoteReference"/>
        </w:rPr>
        <w:footnoteReference w:id="21"/>
      </w:r>
      <w:r>
        <w:t xml:space="preserve"> Total therm savings after accounting for uplift are unavailable at this time; in GPY3 the savings due to uplift were 3.6% of total program savings. </w:t>
      </w:r>
    </w:p>
    <w:p w14:paraId="055957F9" w14:textId="77777777" w:rsidR="00A9061E" w:rsidRPr="00A90B62" w:rsidRDefault="00A9061E" w:rsidP="00A9061E">
      <w:pPr>
        <w:pStyle w:val="Heading3"/>
      </w:pPr>
      <w:bookmarkStart w:id="45" w:name="_Toc440983232"/>
      <w:r>
        <w:t>Validation of Randomization</w:t>
      </w:r>
      <w:bookmarkEnd w:id="45"/>
    </w:p>
    <w:p w14:paraId="4F90992A" w14:textId="19A5ACF7" w:rsidR="00A9061E" w:rsidRDefault="00A9061E" w:rsidP="00A9061E">
      <w:r>
        <w:t>Prior to the start of the HER program, Navigant conducted a statistical analysis to determine whether the assignment of customers to the treatment and control group was statistically consistent with an RCT design. These results were delivered to Nicor Gas via memo on September 20</w:t>
      </w:r>
      <w:r w:rsidRPr="00F64D0A">
        <w:rPr>
          <w:vertAlign w:val="superscript"/>
        </w:rPr>
        <w:t>th</w:t>
      </w:r>
      <w:r>
        <w:t>, 2013, see</w:t>
      </w:r>
      <w:r w:rsidR="003971DF">
        <w:t xml:space="preserve"> Section</w:t>
      </w:r>
      <w:r>
        <w:t xml:space="preserve"> </w:t>
      </w:r>
      <w:r w:rsidR="003971DF">
        <w:fldChar w:fldCharType="begin"/>
      </w:r>
      <w:r w:rsidR="003971DF">
        <w:instrText xml:space="preserve"> REF _Ref440982694 \r \h </w:instrText>
      </w:r>
      <w:r w:rsidR="003971DF">
        <w:fldChar w:fldCharType="separate"/>
      </w:r>
      <w:r w:rsidR="003971DF">
        <w:t>5.1</w:t>
      </w:r>
      <w:r w:rsidR="003971DF">
        <w:fldChar w:fldCharType="end"/>
      </w:r>
      <w:r w:rsidR="003971DF">
        <w:t>.</w:t>
      </w:r>
      <w:r>
        <w:t xml:space="preserve"> </w:t>
      </w:r>
      <w:r w:rsidRPr="00273C66">
        <w:t>The results</w:t>
      </w:r>
      <w:r>
        <w:t xml:space="preserve"> of the analysis indicated that the differences in energy usage between the treatment and control groups in the pre-program period were</w:t>
      </w:r>
      <w:r w:rsidRPr="00273C66">
        <w:t xml:space="preserve"> not statistically significant.</w:t>
      </w:r>
      <w:r>
        <w:t xml:space="preserve"> As a result</w:t>
      </w:r>
      <w:r w:rsidRPr="00F64D0A">
        <w:t xml:space="preserve">, Navigant concluded that the </w:t>
      </w:r>
      <w:r>
        <w:t>HER p</w:t>
      </w:r>
      <w:r w:rsidRPr="00F64D0A">
        <w:t>rogram was implemente</w:t>
      </w:r>
      <w:r>
        <w:t>d in a manner consistent with a RCT</w:t>
      </w:r>
      <w:r w:rsidRPr="00F64D0A">
        <w:t xml:space="preserve">. </w:t>
      </w:r>
    </w:p>
    <w:p w14:paraId="7950B273" w14:textId="77777777" w:rsidR="00A9061E" w:rsidRPr="00A90B62" w:rsidRDefault="00A9061E" w:rsidP="00A9061E">
      <w:pPr>
        <w:pStyle w:val="Heading3"/>
      </w:pPr>
      <w:bookmarkStart w:id="46" w:name="_Toc440983233"/>
      <w:r>
        <w:t>Savings</w:t>
      </w:r>
      <w:r w:rsidRPr="00A90B62">
        <w:t xml:space="preserve"> Estimates</w:t>
      </w:r>
      <w:bookmarkEnd w:id="46"/>
    </w:p>
    <w:p w14:paraId="27DAEFF2" w14:textId="07730675" w:rsidR="00A9061E" w:rsidRDefault="00A9061E" w:rsidP="00A9061E">
      <w:pPr>
        <w:pStyle w:val="FootnoteText"/>
        <w:rPr>
          <w:sz w:val="20"/>
        </w:rPr>
      </w:pPr>
      <w:r w:rsidRPr="00A0145E">
        <w:rPr>
          <w:sz w:val="20"/>
        </w:rPr>
        <w:t xml:space="preserve">As discussed in Section </w:t>
      </w:r>
      <w:r w:rsidR="003971DF">
        <w:rPr>
          <w:sz w:val="20"/>
        </w:rPr>
        <w:fldChar w:fldCharType="begin"/>
      </w:r>
      <w:r w:rsidR="003971DF">
        <w:rPr>
          <w:sz w:val="20"/>
        </w:rPr>
        <w:instrText xml:space="preserve"> REF _Ref440982596 \r \h </w:instrText>
      </w:r>
      <w:r w:rsidR="003971DF">
        <w:rPr>
          <w:sz w:val="20"/>
        </w:rPr>
      </w:r>
      <w:r w:rsidR="003971DF">
        <w:rPr>
          <w:sz w:val="20"/>
        </w:rPr>
        <w:fldChar w:fldCharType="separate"/>
      </w:r>
      <w:r w:rsidR="003971DF">
        <w:rPr>
          <w:sz w:val="20"/>
        </w:rPr>
        <w:t>2.1.2</w:t>
      </w:r>
      <w:r w:rsidR="003971DF">
        <w:rPr>
          <w:sz w:val="20"/>
        </w:rPr>
        <w:fldChar w:fldCharType="end"/>
      </w:r>
      <w:r w:rsidRPr="00A0145E">
        <w:rPr>
          <w:sz w:val="20"/>
        </w:rPr>
        <w:t>, Navigant estimates</w:t>
      </w:r>
      <w:r>
        <w:rPr>
          <w:sz w:val="20"/>
        </w:rPr>
        <w:t xml:space="preserve"> persistence</w:t>
      </w:r>
      <w:r w:rsidRPr="00A0145E">
        <w:rPr>
          <w:sz w:val="20"/>
        </w:rPr>
        <w:t xml:space="preserve"> savings </w:t>
      </w:r>
      <w:r>
        <w:rPr>
          <w:sz w:val="20"/>
        </w:rPr>
        <w:t>from</w:t>
      </w:r>
      <w:r w:rsidRPr="00A0145E">
        <w:rPr>
          <w:sz w:val="20"/>
        </w:rPr>
        <w:t xml:space="preserve"> the </w:t>
      </w:r>
      <w:r>
        <w:rPr>
          <w:sz w:val="20"/>
        </w:rPr>
        <w:t>HER program</w:t>
      </w:r>
      <w:r w:rsidRPr="00A0145E">
        <w:rPr>
          <w:sz w:val="20"/>
        </w:rPr>
        <w:t xml:space="preserve"> using both the LFER and PPR models.</w:t>
      </w:r>
      <w:r>
        <w:rPr>
          <w:sz w:val="20"/>
        </w:rPr>
        <w:t xml:space="preserve"> The savings estimates are based on data from the cleaned sample described in Section</w:t>
      </w:r>
      <w:r w:rsidR="003971DF">
        <w:rPr>
          <w:sz w:val="20"/>
        </w:rPr>
        <w:t xml:space="preserve"> </w:t>
      </w:r>
      <w:r w:rsidR="003971DF">
        <w:rPr>
          <w:sz w:val="20"/>
        </w:rPr>
        <w:fldChar w:fldCharType="begin"/>
      </w:r>
      <w:r w:rsidR="003971DF">
        <w:rPr>
          <w:sz w:val="20"/>
        </w:rPr>
        <w:instrText xml:space="preserve"> REF _Ref440982631 \r \h </w:instrText>
      </w:r>
      <w:r w:rsidR="003971DF">
        <w:rPr>
          <w:sz w:val="20"/>
        </w:rPr>
      </w:r>
      <w:r w:rsidR="003971DF">
        <w:rPr>
          <w:sz w:val="20"/>
        </w:rPr>
        <w:fldChar w:fldCharType="separate"/>
      </w:r>
      <w:r w:rsidR="003971DF">
        <w:rPr>
          <w:sz w:val="20"/>
        </w:rPr>
        <w:t>2.1.5</w:t>
      </w:r>
      <w:r w:rsidR="003971DF">
        <w:rPr>
          <w:sz w:val="20"/>
        </w:rPr>
        <w:fldChar w:fldCharType="end"/>
      </w:r>
      <w:r>
        <w:rPr>
          <w:sz w:val="20"/>
        </w:rPr>
        <w:t>.</w:t>
      </w:r>
      <w:r w:rsidRPr="00A0145E">
        <w:rPr>
          <w:sz w:val="20"/>
        </w:rPr>
        <w:t xml:space="preserve"> </w:t>
      </w:r>
      <w:r w:rsidR="003971DF" w:rsidRPr="00840211">
        <w:rPr>
          <w:sz w:val="20"/>
        </w:rPr>
        <w:fldChar w:fldCharType="begin"/>
      </w:r>
      <w:r w:rsidR="003971DF" w:rsidRPr="00840211">
        <w:rPr>
          <w:sz w:val="20"/>
        </w:rPr>
        <w:instrText xml:space="preserve"> REF _Ref440982656 \h </w:instrText>
      </w:r>
      <w:r w:rsidR="00840211" w:rsidRPr="00840211">
        <w:rPr>
          <w:sz w:val="20"/>
        </w:rPr>
        <w:instrText xml:space="preserve"> \* MERGEFORMAT </w:instrText>
      </w:r>
      <w:r w:rsidR="003971DF" w:rsidRPr="00840211">
        <w:rPr>
          <w:sz w:val="20"/>
        </w:rPr>
      </w:r>
      <w:r w:rsidR="003971DF" w:rsidRPr="00840211">
        <w:rPr>
          <w:sz w:val="20"/>
        </w:rPr>
        <w:fldChar w:fldCharType="separate"/>
      </w:r>
      <w:r w:rsidR="003971DF" w:rsidRPr="00840211">
        <w:rPr>
          <w:sz w:val="20"/>
        </w:rPr>
        <w:t>Table 3</w:t>
      </w:r>
      <w:r w:rsidR="003971DF" w:rsidRPr="00840211">
        <w:rPr>
          <w:sz w:val="20"/>
        </w:rPr>
        <w:noBreakHyphen/>
        <w:t>1</w:t>
      </w:r>
      <w:r w:rsidR="003971DF" w:rsidRPr="00840211">
        <w:rPr>
          <w:sz w:val="20"/>
        </w:rPr>
        <w:fldChar w:fldCharType="end"/>
      </w:r>
      <w:r w:rsidRPr="00840211">
        <w:rPr>
          <w:sz w:val="20"/>
        </w:rPr>
        <w:t xml:space="preserve"> </w:t>
      </w:r>
      <w:r w:rsidRPr="00F10608">
        <w:rPr>
          <w:sz w:val="20"/>
        </w:rPr>
        <w:t>presen</w:t>
      </w:r>
      <w:r w:rsidRPr="00A0145E">
        <w:rPr>
          <w:sz w:val="20"/>
        </w:rPr>
        <w:t>ts these results</w:t>
      </w:r>
      <w:r>
        <w:rPr>
          <w:sz w:val="20"/>
        </w:rPr>
        <w:t xml:space="preserve"> for the April 2015 – September 2015 period</w:t>
      </w:r>
      <w:r w:rsidRPr="00A0145E">
        <w:rPr>
          <w:sz w:val="20"/>
        </w:rPr>
        <w:t>.</w:t>
      </w:r>
      <w:r>
        <w:rPr>
          <w:sz w:val="20"/>
        </w:rPr>
        <w:t xml:space="preserve"> The PPR model estimates a reduction in usage of 0.43%, while the LFER model estimates 0.38%. The PPR estimate is statistically significant at the 90% confidence level, while the LFER estimate is not.</w:t>
      </w:r>
    </w:p>
    <w:p w14:paraId="1533EEA8" w14:textId="77777777" w:rsidR="00A9061E" w:rsidRPr="00A0145E" w:rsidRDefault="00A9061E" w:rsidP="00A9061E">
      <w:r>
        <w:t xml:space="preserve"> </w:t>
      </w:r>
    </w:p>
    <w:p w14:paraId="04577169" w14:textId="77777777" w:rsidR="00A9061E" w:rsidRDefault="00A9061E" w:rsidP="00A9061E">
      <w:pPr>
        <w:pStyle w:val="Caption"/>
      </w:pPr>
      <w:bookmarkStart w:id="47" w:name="_Ref440982656"/>
      <w:bookmarkStart w:id="48" w:name="_Toc441752600"/>
      <w:r>
        <w:t xml:space="preserve">Table </w:t>
      </w:r>
      <w:r w:rsidR="00851D29">
        <w:fldChar w:fldCharType="begin"/>
      </w:r>
      <w:r w:rsidR="00851D29">
        <w:instrText xml:space="preserve"> STYLEREF 1 \s </w:instrText>
      </w:r>
      <w:r w:rsidR="00851D29">
        <w:fldChar w:fldCharType="separate"/>
      </w:r>
      <w:r w:rsidR="003B38C3">
        <w:rPr>
          <w:noProof/>
        </w:rPr>
        <w:t>3</w:t>
      </w:r>
      <w:r w:rsidR="00851D29">
        <w:rPr>
          <w:noProof/>
        </w:rPr>
        <w:fldChar w:fldCharType="end"/>
      </w:r>
      <w:r>
        <w:noBreakHyphen/>
      </w:r>
      <w:r w:rsidR="00851D29">
        <w:fldChar w:fldCharType="begin"/>
      </w:r>
      <w:r w:rsidR="00851D29">
        <w:instrText xml:space="preserve"> SEQ Table \* ARABIC \s 1 </w:instrText>
      </w:r>
      <w:r w:rsidR="00851D29">
        <w:fldChar w:fldCharType="separate"/>
      </w:r>
      <w:r w:rsidR="003B38C3">
        <w:rPr>
          <w:noProof/>
        </w:rPr>
        <w:t>1</w:t>
      </w:r>
      <w:r w:rsidR="00851D29">
        <w:rPr>
          <w:noProof/>
        </w:rPr>
        <w:fldChar w:fldCharType="end"/>
      </w:r>
      <w:bookmarkEnd w:id="47"/>
      <w:r>
        <w:t>. Savings Estimates, April 2015 – September 2015</w:t>
      </w:r>
      <w:bookmarkEnd w:id="48"/>
    </w:p>
    <w:tbl>
      <w:tblPr>
        <w:tblStyle w:val="EnergyTable"/>
        <w:tblW w:w="0" w:type="auto"/>
        <w:tblLook w:val="04A0" w:firstRow="1" w:lastRow="0" w:firstColumn="1" w:lastColumn="0" w:noHBand="0" w:noVBand="1"/>
      </w:tblPr>
      <w:tblGrid>
        <w:gridCol w:w="2357"/>
        <w:gridCol w:w="1796"/>
        <w:gridCol w:w="1796"/>
      </w:tblGrid>
      <w:tr w:rsidR="00A9061E" w14:paraId="2CA1F4EF" w14:textId="77777777" w:rsidTr="004468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7" w:type="dxa"/>
          </w:tcPr>
          <w:p w14:paraId="29A67C79" w14:textId="77777777" w:rsidR="00A9061E" w:rsidRDefault="00A9061E" w:rsidP="000B26EA">
            <w:pPr>
              <w:pStyle w:val="FootnoteText"/>
              <w:spacing w:after="120"/>
              <w:rPr>
                <w:sz w:val="20"/>
              </w:rPr>
            </w:pPr>
          </w:p>
        </w:tc>
        <w:tc>
          <w:tcPr>
            <w:tcW w:w="3592" w:type="dxa"/>
            <w:gridSpan w:val="2"/>
          </w:tcPr>
          <w:p w14:paraId="7301F1B0" w14:textId="77777777" w:rsidR="00A9061E" w:rsidRDefault="00A9061E" w:rsidP="000B26EA">
            <w:pPr>
              <w:pStyle w:val="FootnoteText"/>
              <w:spacing w:after="120"/>
              <w:cnfStyle w:val="100000000000" w:firstRow="1" w:lastRow="0" w:firstColumn="0" w:lastColumn="0" w:oddVBand="0" w:evenVBand="0" w:oddHBand="0" w:evenHBand="0" w:firstRowFirstColumn="0" w:firstRowLastColumn="0" w:lastRowFirstColumn="0" w:lastRowLastColumn="0"/>
              <w:rPr>
                <w:sz w:val="20"/>
              </w:rPr>
            </w:pPr>
            <w:r>
              <w:rPr>
                <w:sz w:val="20"/>
              </w:rPr>
              <w:t>HER Savings Estimates</w:t>
            </w:r>
          </w:p>
        </w:tc>
      </w:tr>
      <w:tr w:rsidR="00A9061E" w14:paraId="021433AC" w14:textId="77777777" w:rsidTr="004468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7" w:type="dxa"/>
          </w:tcPr>
          <w:p w14:paraId="5C3E4260" w14:textId="77777777" w:rsidR="00A9061E" w:rsidRDefault="00A9061E" w:rsidP="000B26EA">
            <w:pPr>
              <w:pStyle w:val="FootnoteText"/>
              <w:spacing w:after="120"/>
              <w:rPr>
                <w:sz w:val="20"/>
              </w:rPr>
            </w:pPr>
          </w:p>
        </w:tc>
        <w:tc>
          <w:tcPr>
            <w:tcW w:w="1796" w:type="dxa"/>
          </w:tcPr>
          <w:p w14:paraId="5B8536A3" w14:textId="77777777" w:rsidR="00A9061E" w:rsidRDefault="00A9061E" w:rsidP="000B26EA">
            <w:pPr>
              <w:pStyle w:val="FootnoteText"/>
              <w:cnfStyle w:val="000000100000" w:firstRow="0" w:lastRow="0" w:firstColumn="0" w:lastColumn="0" w:oddVBand="0" w:evenVBand="0" w:oddHBand="1" w:evenHBand="0" w:firstRowFirstColumn="0" w:firstRowLastColumn="0" w:lastRowFirstColumn="0" w:lastRowLastColumn="0"/>
              <w:rPr>
                <w:sz w:val="20"/>
              </w:rPr>
            </w:pPr>
            <w:r>
              <w:rPr>
                <w:sz w:val="20"/>
              </w:rPr>
              <w:t>LFER</w:t>
            </w:r>
          </w:p>
        </w:tc>
        <w:tc>
          <w:tcPr>
            <w:tcW w:w="1796" w:type="dxa"/>
          </w:tcPr>
          <w:p w14:paraId="208DFC49" w14:textId="77777777" w:rsidR="00A9061E" w:rsidRDefault="00A9061E" w:rsidP="000B26EA">
            <w:pPr>
              <w:pStyle w:val="FootnoteText"/>
              <w:cnfStyle w:val="000000100000" w:firstRow="0" w:lastRow="0" w:firstColumn="0" w:lastColumn="0" w:oddVBand="0" w:evenVBand="0" w:oddHBand="1" w:evenHBand="0" w:firstRowFirstColumn="0" w:firstRowLastColumn="0" w:lastRowFirstColumn="0" w:lastRowLastColumn="0"/>
              <w:rPr>
                <w:sz w:val="20"/>
              </w:rPr>
            </w:pPr>
            <w:r>
              <w:rPr>
                <w:sz w:val="20"/>
              </w:rPr>
              <w:t>PPR</w:t>
            </w:r>
          </w:p>
        </w:tc>
      </w:tr>
      <w:tr w:rsidR="00A9061E" w14:paraId="67CA2DD6" w14:textId="77777777" w:rsidTr="004468B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7" w:type="dxa"/>
          </w:tcPr>
          <w:p w14:paraId="5C0EF4F8" w14:textId="77777777" w:rsidR="00A9061E" w:rsidRDefault="00A9061E" w:rsidP="003971DF">
            <w:pPr>
              <w:pStyle w:val="FootnoteText"/>
              <w:jc w:val="left"/>
              <w:rPr>
                <w:sz w:val="20"/>
              </w:rPr>
            </w:pPr>
            <w:r>
              <w:rPr>
                <w:sz w:val="20"/>
              </w:rPr>
              <w:t>Percent Savings</w:t>
            </w:r>
          </w:p>
          <w:p w14:paraId="44D8C3BC" w14:textId="77777777" w:rsidR="00A9061E" w:rsidRPr="007C0FB7" w:rsidRDefault="00A9061E" w:rsidP="003971DF">
            <w:pPr>
              <w:pStyle w:val="FootnoteText"/>
              <w:jc w:val="left"/>
              <w:rPr>
                <w:i/>
                <w:sz w:val="20"/>
              </w:rPr>
            </w:pPr>
            <w:r>
              <w:rPr>
                <w:i/>
                <w:sz w:val="20"/>
              </w:rPr>
              <w:t>(Standard Error)</w:t>
            </w:r>
          </w:p>
        </w:tc>
        <w:tc>
          <w:tcPr>
            <w:tcW w:w="1796" w:type="dxa"/>
          </w:tcPr>
          <w:p w14:paraId="4AD9D485" w14:textId="77777777" w:rsidR="00A9061E" w:rsidRDefault="00A9061E" w:rsidP="000B26EA">
            <w:pPr>
              <w:pStyle w:val="FootnoteText"/>
              <w:spacing w:before="120"/>
              <w:cnfStyle w:val="000000010000" w:firstRow="0" w:lastRow="0" w:firstColumn="0" w:lastColumn="0" w:oddVBand="0" w:evenVBand="0" w:oddHBand="0" w:evenHBand="1" w:firstRowFirstColumn="0" w:firstRowLastColumn="0" w:lastRowFirstColumn="0" w:lastRowLastColumn="0"/>
              <w:rPr>
                <w:sz w:val="20"/>
              </w:rPr>
            </w:pPr>
            <w:r>
              <w:rPr>
                <w:sz w:val="20"/>
              </w:rPr>
              <w:t>0.38%</w:t>
            </w:r>
          </w:p>
          <w:p w14:paraId="21BAC843" w14:textId="77777777" w:rsidR="00A9061E" w:rsidRPr="00F74A44" w:rsidRDefault="00A9061E" w:rsidP="000B26EA">
            <w:pPr>
              <w:pStyle w:val="FootnoteText"/>
              <w:spacing w:after="120"/>
              <w:cnfStyle w:val="000000010000" w:firstRow="0" w:lastRow="0" w:firstColumn="0" w:lastColumn="0" w:oddVBand="0" w:evenVBand="0" w:oddHBand="0" w:evenHBand="1" w:firstRowFirstColumn="0" w:firstRowLastColumn="0" w:lastRowFirstColumn="0" w:lastRowLastColumn="0"/>
              <w:rPr>
                <w:i/>
                <w:sz w:val="20"/>
              </w:rPr>
            </w:pPr>
            <w:r w:rsidRPr="00F74A44">
              <w:rPr>
                <w:i/>
                <w:sz w:val="20"/>
              </w:rPr>
              <w:t>(0</w:t>
            </w:r>
            <w:r>
              <w:rPr>
                <w:i/>
                <w:sz w:val="20"/>
              </w:rPr>
              <w:t>.34</w:t>
            </w:r>
            <w:r w:rsidRPr="00F74A44">
              <w:rPr>
                <w:i/>
                <w:sz w:val="20"/>
              </w:rPr>
              <w:t>%)</w:t>
            </w:r>
          </w:p>
        </w:tc>
        <w:tc>
          <w:tcPr>
            <w:tcW w:w="1796" w:type="dxa"/>
          </w:tcPr>
          <w:p w14:paraId="15A172EE" w14:textId="77777777" w:rsidR="00A9061E" w:rsidRPr="002205BA" w:rsidRDefault="00A9061E" w:rsidP="000B26EA">
            <w:pPr>
              <w:pStyle w:val="FootnoteText"/>
              <w:spacing w:before="120"/>
              <w:cnfStyle w:val="000000010000" w:firstRow="0" w:lastRow="0" w:firstColumn="0" w:lastColumn="0" w:oddVBand="0" w:evenVBand="0" w:oddHBand="0" w:evenHBand="1" w:firstRowFirstColumn="0" w:firstRowLastColumn="0" w:lastRowFirstColumn="0" w:lastRowLastColumn="0"/>
              <w:rPr>
                <w:sz w:val="20"/>
              </w:rPr>
            </w:pPr>
            <w:r w:rsidRPr="002205BA">
              <w:rPr>
                <w:sz w:val="20"/>
              </w:rPr>
              <w:t>0.</w:t>
            </w:r>
            <w:r>
              <w:rPr>
                <w:sz w:val="20"/>
              </w:rPr>
              <w:t>43%</w:t>
            </w:r>
          </w:p>
          <w:p w14:paraId="6DC2DDF7" w14:textId="77777777" w:rsidR="00A9061E" w:rsidRPr="009963CD" w:rsidRDefault="00A9061E" w:rsidP="000B26EA">
            <w:pPr>
              <w:pStyle w:val="FootnoteText"/>
              <w:spacing w:after="120"/>
              <w:cnfStyle w:val="000000010000" w:firstRow="0" w:lastRow="0" w:firstColumn="0" w:lastColumn="0" w:oddVBand="0" w:evenVBand="0" w:oddHBand="0" w:evenHBand="1" w:firstRowFirstColumn="0" w:firstRowLastColumn="0" w:lastRowFirstColumn="0" w:lastRowLastColumn="0"/>
              <w:rPr>
                <w:i/>
                <w:sz w:val="20"/>
              </w:rPr>
            </w:pPr>
            <w:r>
              <w:rPr>
                <w:i/>
                <w:sz w:val="20"/>
              </w:rPr>
              <w:t>(0.19%)</w:t>
            </w:r>
          </w:p>
        </w:tc>
      </w:tr>
      <w:tr w:rsidR="00A9061E" w14:paraId="5EA948C3" w14:textId="77777777" w:rsidTr="004468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7" w:type="dxa"/>
          </w:tcPr>
          <w:p w14:paraId="524D542A" w14:textId="77777777" w:rsidR="00A9061E" w:rsidRDefault="00A9061E" w:rsidP="003971DF">
            <w:pPr>
              <w:pStyle w:val="FootnoteText"/>
              <w:jc w:val="left"/>
              <w:rPr>
                <w:sz w:val="20"/>
              </w:rPr>
            </w:pPr>
            <w:r>
              <w:rPr>
                <w:sz w:val="20"/>
              </w:rPr>
              <w:t>Average Daily Therms Savings per Participant</w:t>
            </w:r>
          </w:p>
          <w:p w14:paraId="7BA2BEE6" w14:textId="77777777" w:rsidR="00A9061E" w:rsidRPr="007C0FB7" w:rsidRDefault="00A9061E" w:rsidP="003971DF">
            <w:pPr>
              <w:pStyle w:val="FootnoteText"/>
              <w:jc w:val="left"/>
              <w:rPr>
                <w:i/>
                <w:sz w:val="20"/>
              </w:rPr>
            </w:pPr>
            <w:r w:rsidRPr="007C0FB7">
              <w:rPr>
                <w:i/>
                <w:sz w:val="20"/>
              </w:rPr>
              <w:t>(Standard Error)</w:t>
            </w:r>
          </w:p>
        </w:tc>
        <w:tc>
          <w:tcPr>
            <w:tcW w:w="1796" w:type="dxa"/>
          </w:tcPr>
          <w:p w14:paraId="2D82701F" w14:textId="77777777" w:rsidR="00A9061E" w:rsidRDefault="00A9061E" w:rsidP="000B26EA">
            <w:pPr>
              <w:pStyle w:val="FootnoteText"/>
              <w:spacing w:before="120"/>
              <w:cnfStyle w:val="000000100000" w:firstRow="0" w:lastRow="0" w:firstColumn="0" w:lastColumn="0" w:oddVBand="0" w:evenVBand="0" w:oddHBand="1" w:evenHBand="0" w:firstRowFirstColumn="0" w:firstRowLastColumn="0" w:lastRowFirstColumn="0" w:lastRowLastColumn="0"/>
              <w:rPr>
                <w:sz w:val="20"/>
              </w:rPr>
            </w:pPr>
            <w:r>
              <w:rPr>
                <w:sz w:val="20"/>
              </w:rPr>
              <w:t>0.0085</w:t>
            </w:r>
          </w:p>
          <w:p w14:paraId="001424C4" w14:textId="77777777" w:rsidR="00A9061E" w:rsidRPr="00F74A44" w:rsidRDefault="00A9061E" w:rsidP="000B26EA">
            <w:pPr>
              <w:pStyle w:val="FootnoteText"/>
              <w:spacing w:after="120"/>
              <w:cnfStyle w:val="000000100000" w:firstRow="0" w:lastRow="0" w:firstColumn="0" w:lastColumn="0" w:oddVBand="0" w:evenVBand="0" w:oddHBand="1" w:evenHBand="0" w:firstRowFirstColumn="0" w:firstRowLastColumn="0" w:lastRowFirstColumn="0" w:lastRowLastColumn="0"/>
              <w:rPr>
                <w:i/>
                <w:sz w:val="20"/>
              </w:rPr>
            </w:pPr>
            <w:r w:rsidRPr="00F74A44">
              <w:rPr>
                <w:i/>
                <w:sz w:val="20"/>
              </w:rPr>
              <w:t>(0.0</w:t>
            </w:r>
            <w:r>
              <w:rPr>
                <w:i/>
                <w:sz w:val="20"/>
              </w:rPr>
              <w:t>07</w:t>
            </w:r>
            <w:r w:rsidRPr="00F74A44">
              <w:rPr>
                <w:i/>
                <w:sz w:val="20"/>
              </w:rPr>
              <w:t>)</w:t>
            </w:r>
          </w:p>
        </w:tc>
        <w:tc>
          <w:tcPr>
            <w:tcW w:w="1796" w:type="dxa"/>
          </w:tcPr>
          <w:p w14:paraId="1FD31BF7" w14:textId="77777777" w:rsidR="00A9061E" w:rsidRDefault="00A9061E" w:rsidP="000B26EA">
            <w:pPr>
              <w:pStyle w:val="FootnoteText"/>
              <w:spacing w:before="120"/>
              <w:cnfStyle w:val="000000100000" w:firstRow="0" w:lastRow="0" w:firstColumn="0" w:lastColumn="0" w:oddVBand="0" w:evenVBand="0" w:oddHBand="1" w:evenHBand="0" w:firstRowFirstColumn="0" w:firstRowLastColumn="0" w:lastRowFirstColumn="0" w:lastRowLastColumn="0"/>
              <w:rPr>
                <w:sz w:val="20"/>
              </w:rPr>
            </w:pPr>
            <w:r>
              <w:rPr>
                <w:sz w:val="20"/>
              </w:rPr>
              <w:t>0.0096</w:t>
            </w:r>
          </w:p>
          <w:p w14:paraId="00E4A562" w14:textId="77777777" w:rsidR="00A9061E" w:rsidRPr="009963CD" w:rsidRDefault="00A9061E" w:rsidP="000B26EA">
            <w:pPr>
              <w:pStyle w:val="FootnoteText"/>
              <w:spacing w:after="120"/>
              <w:cnfStyle w:val="000000100000" w:firstRow="0" w:lastRow="0" w:firstColumn="0" w:lastColumn="0" w:oddVBand="0" w:evenVBand="0" w:oddHBand="1" w:evenHBand="0" w:firstRowFirstColumn="0" w:firstRowLastColumn="0" w:lastRowFirstColumn="0" w:lastRowLastColumn="0"/>
              <w:rPr>
                <w:i/>
                <w:sz w:val="20"/>
              </w:rPr>
            </w:pPr>
            <w:r>
              <w:rPr>
                <w:i/>
                <w:sz w:val="20"/>
              </w:rPr>
              <w:t>(0.004</w:t>
            </w:r>
            <w:r w:rsidRPr="009963CD">
              <w:rPr>
                <w:i/>
                <w:sz w:val="20"/>
              </w:rPr>
              <w:t>)</w:t>
            </w:r>
          </w:p>
        </w:tc>
      </w:tr>
    </w:tbl>
    <w:p w14:paraId="1F594878" w14:textId="77777777" w:rsidR="00A9061E" w:rsidRDefault="00A9061E" w:rsidP="00A9061E">
      <w:pPr>
        <w:pStyle w:val="GraphFootnote"/>
        <w:ind w:left="720" w:firstLine="720"/>
      </w:pPr>
      <w:r w:rsidRPr="009D4C41">
        <w:t xml:space="preserve">Source: Navigant </w:t>
      </w:r>
      <w:r>
        <w:t>analysis</w:t>
      </w:r>
    </w:p>
    <w:p w14:paraId="3F3DEA8D" w14:textId="77777777" w:rsidR="00A9061E" w:rsidRDefault="00A9061E" w:rsidP="00A9061E">
      <w:pPr>
        <w:pStyle w:val="Caption"/>
        <w:jc w:val="left"/>
      </w:pPr>
    </w:p>
    <w:p w14:paraId="455BFD96" w14:textId="357A8245" w:rsidR="00A9061E" w:rsidRDefault="003971DF" w:rsidP="003971DF">
      <w:pPr>
        <w:keepNext/>
      </w:pPr>
      <w:r>
        <w:fldChar w:fldCharType="begin"/>
      </w:r>
      <w:r>
        <w:instrText xml:space="preserve"> REF _Ref440982735 \h </w:instrText>
      </w:r>
      <w:r>
        <w:fldChar w:fldCharType="separate"/>
      </w:r>
      <w:r>
        <w:t xml:space="preserve">Table </w:t>
      </w:r>
      <w:r>
        <w:rPr>
          <w:noProof/>
        </w:rPr>
        <w:t>3</w:t>
      </w:r>
      <w:r>
        <w:noBreakHyphen/>
      </w:r>
      <w:r>
        <w:rPr>
          <w:noProof/>
        </w:rPr>
        <w:t>2</w:t>
      </w:r>
      <w:r>
        <w:fldChar w:fldCharType="end"/>
      </w:r>
      <w:r w:rsidR="00A9061E">
        <w:t xml:space="preserve"> shows the savings estimates from Part 1 of this persistence study.</w:t>
      </w:r>
    </w:p>
    <w:p w14:paraId="751C3F93" w14:textId="77777777" w:rsidR="00A9061E" w:rsidRPr="00AD42B6" w:rsidRDefault="00A9061E" w:rsidP="003971DF">
      <w:pPr>
        <w:keepNext/>
      </w:pPr>
      <w:r>
        <w:t xml:space="preserve"> </w:t>
      </w:r>
    </w:p>
    <w:p w14:paraId="57BFF3AB" w14:textId="77777777" w:rsidR="00A9061E" w:rsidRDefault="00A9061E" w:rsidP="003971DF">
      <w:pPr>
        <w:pStyle w:val="Caption"/>
      </w:pPr>
      <w:bookmarkStart w:id="49" w:name="_Ref440982735"/>
      <w:bookmarkStart w:id="50" w:name="_Toc441752601"/>
      <w:r>
        <w:t xml:space="preserve">Table </w:t>
      </w:r>
      <w:r w:rsidR="00851D29">
        <w:fldChar w:fldCharType="begin"/>
      </w:r>
      <w:r w:rsidR="00851D29">
        <w:instrText xml:space="preserve"> STYLEREF 1 \s </w:instrText>
      </w:r>
      <w:r w:rsidR="00851D29">
        <w:fldChar w:fldCharType="separate"/>
      </w:r>
      <w:r w:rsidR="003B38C3">
        <w:rPr>
          <w:noProof/>
        </w:rPr>
        <w:t>3</w:t>
      </w:r>
      <w:r w:rsidR="00851D29">
        <w:rPr>
          <w:noProof/>
        </w:rPr>
        <w:fldChar w:fldCharType="end"/>
      </w:r>
      <w:r>
        <w:noBreakHyphen/>
      </w:r>
      <w:r w:rsidR="00851D29">
        <w:fldChar w:fldCharType="begin"/>
      </w:r>
      <w:r w:rsidR="00851D29">
        <w:instrText xml:space="preserve"> SEQ Table \* ARABIC \s 1 </w:instrText>
      </w:r>
      <w:r w:rsidR="00851D29">
        <w:fldChar w:fldCharType="separate"/>
      </w:r>
      <w:r w:rsidR="003B38C3">
        <w:rPr>
          <w:noProof/>
        </w:rPr>
        <w:t>2</w:t>
      </w:r>
      <w:r w:rsidR="00851D29">
        <w:rPr>
          <w:noProof/>
        </w:rPr>
        <w:fldChar w:fldCharType="end"/>
      </w:r>
      <w:bookmarkEnd w:id="49"/>
      <w:r>
        <w:t>. Savings Estimates, October 2014 – March 2015</w:t>
      </w:r>
      <w:bookmarkEnd w:id="50"/>
    </w:p>
    <w:tbl>
      <w:tblPr>
        <w:tblStyle w:val="EnergyTable"/>
        <w:tblW w:w="0" w:type="auto"/>
        <w:tblLook w:val="04A0" w:firstRow="1" w:lastRow="0" w:firstColumn="1" w:lastColumn="0" w:noHBand="0" w:noVBand="1"/>
      </w:tblPr>
      <w:tblGrid>
        <w:gridCol w:w="2357"/>
        <w:gridCol w:w="1796"/>
        <w:gridCol w:w="1796"/>
      </w:tblGrid>
      <w:tr w:rsidR="00A9061E" w14:paraId="2D08D150" w14:textId="77777777" w:rsidTr="004468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7" w:type="dxa"/>
          </w:tcPr>
          <w:p w14:paraId="79F3DE54" w14:textId="77777777" w:rsidR="00A9061E" w:rsidRDefault="00A9061E" w:rsidP="003971DF">
            <w:pPr>
              <w:pStyle w:val="FootnoteText"/>
              <w:keepNext/>
              <w:spacing w:after="120"/>
              <w:rPr>
                <w:sz w:val="20"/>
              </w:rPr>
            </w:pPr>
          </w:p>
        </w:tc>
        <w:tc>
          <w:tcPr>
            <w:tcW w:w="3592" w:type="dxa"/>
            <w:gridSpan w:val="2"/>
          </w:tcPr>
          <w:p w14:paraId="1BA53C59" w14:textId="77777777" w:rsidR="00A9061E" w:rsidRDefault="00A9061E" w:rsidP="003971DF">
            <w:pPr>
              <w:pStyle w:val="FootnoteText"/>
              <w:keepNext/>
              <w:spacing w:after="120"/>
              <w:cnfStyle w:val="100000000000" w:firstRow="1" w:lastRow="0" w:firstColumn="0" w:lastColumn="0" w:oddVBand="0" w:evenVBand="0" w:oddHBand="0" w:evenHBand="0" w:firstRowFirstColumn="0" w:firstRowLastColumn="0" w:lastRowFirstColumn="0" w:lastRowLastColumn="0"/>
              <w:rPr>
                <w:sz w:val="20"/>
              </w:rPr>
            </w:pPr>
            <w:r>
              <w:rPr>
                <w:sz w:val="20"/>
              </w:rPr>
              <w:t>HER Savings Estimates</w:t>
            </w:r>
          </w:p>
        </w:tc>
      </w:tr>
      <w:tr w:rsidR="00A9061E" w14:paraId="6E3EAB8D" w14:textId="77777777" w:rsidTr="004468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7" w:type="dxa"/>
          </w:tcPr>
          <w:p w14:paraId="4652BFA1" w14:textId="77777777" w:rsidR="00A9061E" w:rsidRDefault="00A9061E" w:rsidP="003971DF">
            <w:pPr>
              <w:pStyle w:val="FootnoteText"/>
              <w:keepNext/>
              <w:spacing w:after="120"/>
              <w:rPr>
                <w:sz w:val="20"/>
              </w:rPr>
            </w:pPr>
          </w:p>
        </w:tc>
        <w:tc>
          <w:tcPr>
            <w:tcW w:w="1796" w:type="dxa"/>
          </w:tcPr>
          <w:p w14:paraId="6F8E6DF5" w14:textId="77777777" w:rsidR="00A9061E" w:rsidRDefault="00A9061E" w:rsidP="003971DF">
            <w:pPr>
              <w:pStyle w:val="FootnoteText"/>
              <w:keepNext/>
              <w:cnfStyle w:val="000000100000" w:firstRow="0" w:lastRow="0" w:firstColumn="0" w:lastColumn="0" w:oddVBand="0" w:evenVBand="0" w:oddHBand="1" w:evenHBand="0" w:firstRowFirstColumn="0" w:firstRowLastColumn="0" w:lastRowFirstColumn="0" w:lastRowLastColumn="0"/>
              <w:rPr>
                <w:sz w:val="20"/>
              </w:rPr>
            </w:pPr>
            <w:r>
              <w:rPr>
                <w:sz w:val="20"/>
              </w:rPr>
              <w:t>LFER</w:t>
            </w:r>
          </w:p>
        </w:tc>
        <w:tc>
          <w:tcPr>
            <w:tcW w:w="1796" w:type="dxa"/>
          </w:tcPr>
          <w:p w14:paraId="461D547A" w14:textId="77777777" w:rsidR="00A9061E" w:rsidRDefault="00A9061E" w:rsidP="003971DF">
            <w:pPr>
              <w:pStyle w:val="FootnoteText"/>
              <w:keepNext/>
              <w:cnfStyle w:val="000000100000" w:firstRow="0" w:lastRow="0" w:firstColumn="0" w:lastColumn="0" w:oddVBand="0" w:evenVBand="0" w:oddHBand="1" w:evenHBand="0" w:firstRowFirstColumn="0" w:firstRowLastColumn="0" w:lastRowFirstColumn="0" w:lastRowLastColumn="0"/>
              <w:rPr>
                <w:sz w:val="20"/>
              </w:rPr>
            </w:pPr>
            <w:r>
              <w:rPr>
                <w:sz w:val="20"/>
              </w:rPr>
              <w:t>PPR</w:t>
            </w:r>
          </w:p>
        </w:tc>
      </w:tr>
      <w:tr w:rsidR="00A9061E" w14:paraId="16FCC59F" w14:textId="77777777" w:rsidTr="004468B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7" w:type="dxa"/>
          </w:tcPr>
          <w:p w14:paraId="75483B41" w14:textId="77777777" w:rsidR="00A9061E" w:rsidRDefault="00A9061E" w:rsidP="003971DF">
            <w:pPr>
              <w:pStyle w:val="FootnoteText"/>
              <w:keepNext/>
              <w:jc w:val="left"/>
              <w:rPr>
                <w:sz w:val="20"/>
              </w:rPr>
            </w:pPr>
            <w:r>
              <w:rPr>
                <w:sz w:val="20"/>
              </w:rPr>
              <w:t>Percent Savings</w:t>
            </w:r>
          </w:p>
          <w:p w14:paraId="6F161057" w14:textId="77777777" w:rsidR="00A9061E" w:rsidRPr="007C0FB7" w:rsidRDefault="00A9061E" w:rsidP="003971DF">
            <w:pPr>
              <w:pStyle w:val="FootnoteText"/>
              <w:keepNext/>
              <w:jc w:val="left"/>
              <w:rPr>
                <w:i/>
                <w:sz w:val="20"/>
              </w:rPr>
            </w:pPr>
            <w:r>
              <w:rPr>
                <w:i/>
                <w:sz w:val="20"/>
              </w:rPr>
              <w:t>(Standard Error)</w:t>
            </w:r>
          </w:p>
        </w:tc>
        <w:tc>
          <w:tcPr>
            <w:tcW w:w="1796" w:type="dxa"/>
          </w:tcPr>
          <w:p w14:paraId="3C7DD0D1" w14:textId="77777777" w:rsidR="00A9061E" w:rsidRDefault="00A9061E" w:rsidP="003971DF">
            <w:pPr>
              <w:pStyle w:val="FootnoteText"/>
              <w:keepNext/>
              <w:spacing w:before="120"/>
              <w:cnfStyle w:val="000000010000" w:firstRow="0" w:lastRow="0" w:firstColumn="0" w:lastColumn="0" w:oddVBand="0" w:evenVBand="0" w:oddHBand="0" w:evenHBand="1" w:firstRowFirstColumn="0" w:firstRowLastColumn="0" w:lastRowFirstColumn="0" w:lastRowLastColumn="0"/>
              <w:rPr>
                <w:sz w:val="20"/>
              </w:rPr>
            </w:pPr>
            <w:r>
              <w:rPr>
                <w:sz w:val="20"/>
              </w:rPr>
              <w:t>0.50%</w:t>
            </w:r>
          </w:p>
          <w:p w14:paraId="41C0BB77" w14:textId="77777777" w:rsidR="00A9061E" w:rsidRPr="00F74A44" w:rsidRDefault="00A9061E" w:rsidP="003971DF">
            <w:pPr>
              <w:pStyle w:val="FootnoteText"/>
              <w:keepNext/>
              <w:spacing w:after="120"/>
              <w:cnfStyle w:val="000000010000" w:firstRow="0" w:lastRow="0" w:firstColumn="0" w:lastColumn="0" w:oddVBand="0" w:evenVBand="0" w:oddHBand="0" w:evenHBand="1" w:firstRowFirstColumn="0" w:firstRowLastColumn="0" w:lastRowFirstColumn="0" w:lastRowLastColumn="0"/>
              <w:rPr>
                <w:i/>
                <w:sz w:val="20"/>
              </w:rPr>
            </w:pPr>
            <w:r w:rsidRPr="00F74A44">
              <w:rPr>
                <w:i/>
                <w:sz w:val="20"/>
              </w:rPr>
              <w:t>(0</w:t>
            </w:r>
            <w:r>
              <w:rPr>
                <w:i/>
                <w:sz w:val="20"/>
              </w:rPr>
              <w:t>.</w:t>
            </w:r>
            <w:r w:rsidRPr="00F74A44">
              <w:rPr>
                <w:i/>
                <w:sz w:val="20"/>
              </w:rPr>
              <w:t>1</w:t>
            </w:r>
            <w:r>
              <w:rPr>
                <w:i/>
                <w:sz w:val="20"/>
              </w:rPr>
              <w:t>4</w:t>
            </w:r>
            <w:r w:rsidRPr="00F74A44">
              <w:rPr>
                <w:i/>
                <w:sz w:val="20"/>
              </w:rPr>
              <w:t>%)</w:t>
            </w:r>
          </w:p>
        </w:tc>
        <w:tc>
          <w:tcPr>
            <w:tcW w:w="1796" w:type="dxa"/>
          </w:tcPr>
          <w:p w14:paraId="19E4A065" w14:textId="77777777" w:rsidR="00A9061E" w:rsidRPr="002205BA" w:rsidRDefault="00A9061E" w:rsidP="003971DF">
            <w:pPr>
              <w:pStyle w:val="FootnoteText"/>
              <w:keepNext/>
              <w:spacing w:before="120"/>
              <w:cnfStyle w:val="000000010000" w:firstRow="0" w:lastRow="0" w:firstColumn="0" w:lastColumn="0" w:oddVBand="0" w:evenVBand="0" w:oddHBand="0" w:evenHBand="1" w:firstRowFirstColumn="0" w:firstRowLastColumn="0" w:lastRowFirstColumn="0" w:lastRowLastColumn="0"/>
              <w:rPr>
                <w:sz w:val="20"/>
              </w:rPr>
            </w:pPr>
            <w:r w:rsidRPr="002205BA">
              <w:rPr>
                <w:sz w:val="20"/>
              </w:rPr>
              <w:t>0.</w:t>
            </w:r>
            <w:r>
              <w:rPr>
                <w:sz w:val="20"/>
              </w:rPr>
              <w:t>41%</w:t>
            </w:r>
          </w:p>
          <w:p w14:paraId="72EA0633" w14:textId="77777777" w:rsidR="00A9061E" w:rsidRPr="009963CD" w:rsidRDefault="00A9061E" w:rsidP="003971DF">
            <w:pPr>
              <w:pStyle w:val="FootnoteText"/>
              <w:keepNext/>
              <w:spacing w:after="120"/>
              <w:cnfStyle w:val="000000010000" w:firstRow="0" w:lastRow="0" w:firstColumn="0" w:lastColumn="0" w:oddVBand="0" w:evenVBand="0" w:oddHBand="0" w:evenHBand="1" w:firstRowFirstColumn="0" w:firstRowLastColumn="0" w:lastRowFirstColumn="0" w:lastRowLastColumn="0"/>
              <w:rPr>
                <w:i/>
                <w:sz w:val="20"/>
              </w:rPr>
            </w:pPr>
            <w:r>
              <w:rPr>
                <w:i/>
                <w:sz w:val="20"/>
              </w:rPr>
              <w:t>(0.09%)</w:t>
            </w:r>
          </w:p>
        </w:tc>
      </w:tr>
      <w:tr w:rsidR="00A9061E" w14:paraId="51777127" w14:textId="77777777" w:rsidTr="004468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7" w:type="dxa"/>
          </w:tcPr>
          <w:p w14:paraId="7A36183C" w14:textId="77777777" w:rsidR="00A9061E" w:rsidRDefault="00A9061E" w:rsidP="003971DF">
            <w:pPr>
              <w:pStyle w:val="FootnoteText"/>
              <w:keepNext/>
              <w:jc w:val="left"/>
              <w:rPr>
                <w:sz w:val="20"/>
              </w:rPr>
            </w:pPr>
            <w:r>
              <w:rPr>
                <w:sz w:val="20"/>
              </w:rPr>
              <w:t>Average Daily Therms Savings per Participant</w:t>
            </w:r>
          </w:p>
          <w:p w14:paraId="084CADD6" w14:textId="77777777" w:rsidR="00A9061E" w:rsidRPr="007C0FB7" w:rsidRDefault="00A9061E" w:rsidP="003971DF">
            <w:pPr>
              <w:pStyle w:val="FootnoteText"/>
              <w:keepNext/>
              <w:jc w:val="left"/>
              <w:rPr>
                <w:i/>
                <w:sz w:val="20"/>
              </w:rPr>
            </w:pPr>
            <w:r w:rsidRPr="007C0FB7">
              <w:rPr>
                <w:i/>
                <w:sz w:val="20"/>
              </w:rPr>
              <w:t>(Standard Error)</w:t>
            </w:r>
          </w:p>
        </w:tc>
        <w:tc>
          <w:tcPr>
            <w:tcW w:w="1796" w:type="dxa"/>
          </w:tcPr>
          <w:p w14:paraId="00B59DEC" w14:textId="77777777" w:rsidR="00A9061E" w:rsidRDefault="00A9061E" w:rsidP="000B26EA">
            <w:pPr>
              <w:pStyle w:val="FootnoteText"/>
              <w:spacing w:before="120"/>
              <w:cnfStyle w:val="000000100000" w:firstRow="0" w:lastRow="0" w:firstColumn="0" w:lastColumn="0" w:oddVBand="0" w:evenVBand="0" w:oddHBand="1" w:evenHBand="0" w:firstRowFirstColumn="0" w:firstRowLastColumn="0" w:lastRowFirstColumn="0" w:lastRowLastColumn="0"/>
              <w:rPr>
                <w:sz w:val="20"/>
              </w:rPr>
            </w:pPr>
            <w:r>
              <w:rPr>
                <w:sz w:val="20"/>
              </w:rPr>
              <w:t>0.0386</w:t>
            </w:r>
          </w:p>
          <w:p w14:paraId="52781C88" w14:textId="77777777" w:rsidR="00A9061E" w:rsidRPr="00F74A44" w:rsidRDefault="00A9061E" w:rsidP="000B26EA">
            <w:pPr>
              <w:pStyle w:val="FootnoteText"/>
              <w:keepNext/>
              <w:spacing w:after="120"/>
              <w:cnfStyle w:val="000000100000" w:firstRow="0" w:lastRow="0" w:firstColumn="0" w:lastColumn="0" w:oddVBand="0" w:evenVBand="0" w:oddHBand="1" w:evenHBand="0" w:firstRowFirstColumn="0" w:firstRowLastColumn="0" w:lastRowFirstColumn="0" w:lastRowLastColumn="0"/>
              <w:rPr>
                <w:i/>
                <w:sz w:val="20"/>
              </w:rPr>
            </w:pPr>
            <w:r w:rsidRPr="00F74A44">
              <w:rPr>
                <w:i/>
                <w:sz w:val="20"/>
              </w:rPr>
              <w:t>(0.0</w:t>
            </w:r>
            <w:r>
              <w:rPr>
                <w:i/>
                <w:sz w:val="20"/>
              </w:rPr>
              <w:t>11</w:t>
            </w:r>
            <w:r w:rsidRPr="00F74A44">
              <w:rPr>
                <w:i/>
                <w:sz w:val="20"/>
              </w:rPr>
              <w:t>)</w:t>
            </w:r>
          </w:p>
        </w:tc>
        <w:tc>
          <w:tcPr>
            <w:tcW w:w="1796" w:type="dxa"/>
          </w:tcPr>
          <w:p w14:paraId="64EB7747" w14:textId="77777777" w:rsidR="00A9061E" w:rsidRDefault="00A9061E" w:rsidP="000B26EA">
            <w:pPr>
              <w:pStyle w:val="FootnoteText"/>
              <w:spacing w:before="120"/>
              <w:cnfStyle w:val="000000100000" w:firstRow="0" w:lastRow="0" w:firstColumn="0" w:lastColumn="0" w:oddVBand="0" w:evenVBand="0" w:oddHBand="1" w:evenHBand="0" w:firstRowFirstColumn="0" w:firstRowLastColumn="0" w:lastRowFirstColumn="0" w:lastRowLastColumn="0"/>
              <w:rPr>
                <w:sz w:val="20"/>
              </w:rPr>
            </w:pPr>
            <w:r>
              <w:rPr>
                <w:sz w:val="20"/>
              </w:rPr>
              <w:t>0.0320</w:t>
            </w:r>
          </w:p>
          <w:p w14:paraId="384BDD59" w14:textId="77777777" w:rsidR="00A9061E" w:rsidRPr="009963CD" w:rsidRDefault="00A9061E" w:rsidP="000B26EA">
            <w:pPr>
              <w:pStyle w:val="FootnoteText"/>
              <w:keepNext/>
              <w:spacing w:after="120"/>
              <w:cnfStyle w:val="000000100000" w:firstRow="0" w:lastRow="0" w:firstColumn="0" w:lastColumn="0" w:oddVBand="0" w:evenVBand="0" w:oddHBand="1" w:evenHBand="0" w:firstRowFirstColumn="0" w:firstRowLastColumn="0" w:lastRowFirstColumn="0" w:lastRowLastColumn="0"/>
              <w:rPr>
                <w:i/>
                <w:sz w:val="20"/>
              </w:rPr>
            </w:pPr>
            <w:r>
              <w:rPr>
                <w:i/>
                <w:sz w:val="20"/>
              </w:rPr>
              <w:t>(0.007</w:t>
            </w:r>
            <w:r w:rsidRPr="009963CD">
              <w:rPr>
                <w:i/>
                <w:sz w:val="20"/>
              </w:rPr>
              <w:t>)</w:t>
            </w:r>
          </w:p>
        </w:tc>
      </w:tr>
    </w:tbl>
    <w:p w14:paraId="6E3CCC7E" w14:textId="77777777" w:rsidR="00A9061E" w:rsidRDefault="00A9061E" w:rsidP="00A9061E">
      <w:pPr>
        <w:pStyle w:val="GraphFootnote"/>
        <w:keepNext/>
        <w:ind w:left="720" w:firstLine="720"/>
      </w:pPr>
      <w:r w:rsidRPr="009D4C41">
        <w:t xml:space="preserve">Source: Navigant </w:t>
      </w:r>
      <w:r>
        <w:t>analysis</w:t>
      </w:r>
    </w:p>
    <w:p w14:paraId="2D7DEA1F" w14:textId="77777777" w:rsidR="00A9061E" w:rsidRDefault="00A9061E" w:rsidP="00A9061E">
      <w:pPr>
        <w:pStyle w:val="CommentText"/>
      </w:pPr>
    </w:p>
    <w:p w14:paraId="528B73EA" w14:textId="7C0E3DFF" w:rsidR="00A9061E" w:rsidRDefault="00A9061E" w:rsidP="00A9061E">
      <w:pPr>
        <w:pStyle w:val="CommentText"/>
      </w:pPr>
      <w:r>
        <w:t xml:space="preserve">Detailed results from both models from Part 1 and Part 2 of the study are included in </w:t>
      </w:r>
      <w:r w:rsidR="003971DF">
        <w:t xml:space="preserve">Section </w:t>
      </w:r>
      <w:r w:rsidR="003971DF">
        <w:fldChar w:fldCharType="begin"/>
      </w:r>
      <w:r w:rsidR="003971DF">
        <w:instrText xml:space="preserve"> REF _Ref440982775 \r \h </w:instrText>
      </w:r>
      <w:r w:rsidR="003971DF">
        <w:fldChar w:fldCharType="separate"/>
      </w:r>
      <w:r w:rsidR="003971DF">
        <w:t>5.2</w:t>
      </w:r>
      <w:r w:rsidR="003971DF">
        <w:fldChar w:fldCharType="end"/>
      </w:r>
      <w:r>
        <w:t>.</w:t>
      </w:r>
      <w:r w:rsidRPr="00A0145E">
        <w:t xml:space="preserve"> Navigant reports savings from the PPR model; because gas usage is highly seasonal, the PPR </w:t>
      </w:r>
      <w:r>
        <w:t xml:space="preserve">model </w:t>
      </w:r>
      <w:r w:rsidRPr="00A0145E">
        <w:t>likely does a better job of accounting for unobserved factors that cause slight average differences in gas usage between treatment and control customers over the course of a year</w:t>
      </w:r>
      <w:r>
        <w:t xml:space="preserve"> because it account for usage in the pre-program period by month rather than as a whole like the LFER model</w:t>
      </w:r>
      <w:r w:rsidRPr="00A0145E">
        <w:t>.</w:t>
      </w:r>
    </w:p>
    <w:p w14:paraId="4AEAAAE1" w14:textId="77777777" w:rsidR="00A9061E" w:rsidRDefault="00A9061E" w:rsidP="00A9061E">
      <w:pPr>
        <w:pStyle w:val="CommentText"/>
      </w:pPr>
    </w:p>
    <w:p w14:paraId="27AA4F88" w14:textId="77777777" w:rsidR="00A9061E" w:rsidRPr="007B4C41" w:rsidRDefault="00A9061E" w:rsidP="00A9061E">
      <w:pPr>
        <w:pStyle w:val="CommentText"/>
      </w:pPr>
      <w:r>
        <w:t>Navigant</w:t>
      </w:r>
      <w:r w:rsidRPr="007B4C41">
        <w:t xml:space="preserve"> run</w:t>
      </w:r>
      <w:r>
        <w:t>s</w:t>
      </w:r>
      <w:r w:rsidRPr="007B4C41">
        <w:t xml:space="preserve"> both of these models as a robustness check on our estimate and our expectation is that the two models do not give statistically different estimates of the program savings, not that the point estimates are exactly the same. The </w:t>
      </w:r>
      <w:r>
        <w:t>e</w:t>
      </w:r>
      <w:r w:rsidRPr="007B4C41">
        <w:t>stimates in this study are not statistically different</w:t>
      </w:r>
      <w:r>
        <w:t xml:space="preserve"> in either Part 1 or Part 2.</w:t>
      </w:r>
      <w:r w:rsidRPr="007B4C41">
        <w:t xml:space="preserve"> </w:t>
      </w:r>
      <w:r>
        <w:t>T</w:t>
      </w:r>
      <w:r w:rsidRPr="007B4C41">
        <w:t xml:space="preserve">he LFER model </w:t>
      </w:r>
      <w:r>
        <w:t xml:space="preserve">for Part 2 from April 2015 – September 2015 </w:t>
      </w:r>
      <w:r w:rsidRPr="007B4C41">
        <w:t>has an estimate of 0.</w:t>
      </w:r>
      <w:r>
        <w:t>38</w:t>
      </w:r>
      <w:r w:rsidRPr="007B4C41">
        <w:t xml:space="preserve">% with a 90% confidence interval from </w:t>
      </w:r>
      <w:r>
        <w:t>-</w:t>
      </w:r>
      <w:r w:rsidRPr="007B4C41">
        <w:t>0.</w:t>
      </w:r>
      <w:r>
        <w:t>1</w:t>
      </w:r>
      <w:r w:rsidRPr="007B4C41">
        <w:t>7% to 0.</w:t>
      </w:r>
      <w:r>
        <w:t>94</w:t>
      </w:r>
      <w:r w:rsidRPr="007B4C41">
        <w:t>% and the PPR model has an estimate of 0.</w:t>
      </w:r>
      <w:r>
        <w:t>43</w:t>
      </w:r>
      <w:r w:rsidRPr="007B4C41">
        <w:t>% with a 90% confidence interval from 0.</w:t>
      </w:r>
      <w:r>
        <w:t>12</w:t>
      </w:r>
      <w:r w:rsidRPr="007B4C41">
        <w:t>% to 0.</w:t>
      </w:r>
      <w:r>
        <w:t>75</w:t>
      </w:r>
      <w:r w:rsidRPr="007B4C41">
        <w:t>%.</w:t>
      </w:r>
      <w:r>
        <w:t xml:space="preserve"> T</w:t>
      </w:r>
      <w:r w:rsidRPr="007B4C41">
        <w:t xml:space="preserve">he LFER model </w:t>
      </w:r>
      <w:r>
        <w:t xml:space="preserve">for Part 1 from October 2014 – March 2015 </w:t>
      </w:r>
      <w:r w:rsidRPr="007B4C41">
        <w:t>has an estimate of 0.50% with a 90% confidence interval from 0.27% to 0.73% and the PPR model has an estimate of 0.41% with a 90% confidence interval from 0.26% to 0.56%.</w:t>
      </w:r>
      <w:r w:rsidRPr="00D37F55">
        <w:t xml:space="preserve"> </w:t>
      </w:r>
    </w:p>
    <w:p w14:paraId="4BB9ED6C" w14:textId="77777777" w:rsidR="00A9061E" w:rsidRPr="007B4C41" w:rsidRDefault="00A9061E" w:rsidP="00A9061E">
      <w:pPr>
        <w:pStyle w:val="CommentText"/>
      </w:pPr>
    </w:p>
    <w:p w14:paraId="36D619FB" w14:textId="77777777" w:rsidR="00A9061E" w:rsidRPr="007B4C41" w:rsidRDefault="00A9061E" w:rsidP="00A9061E">
      <w:pPr>
        <w:pStyle w:val="CommentText"/>
      </w:pPr>
      <w:r>
        <w:t>As we go further out from the program termination, t</w:t>
      </w:r>
      <w:r w:rsidRPr="007B4C41">
        <w:t>he point estimates of the</w:t>
      </w:r>
      <w:r>
        <w:t>se</w:t>
      </w:r>
      <w:r w:rsidRPr="007B4C41">
        <w:t xml:space="preserve"> model</w:t>
      </w:r>
      <w:r>
        <w:t>s</w:t>
      </w:r>
      <w:r w:rsidRPr="007B4C41">
        <w:t xml:space="preserve"> are slightly farther apart than</w:t>
      </w:r>
      <w:r>
        <w:t xml:space="preserve"> the PY3 estimates because these studies</w:t>
      </w:r>
      <w:r w:rsidRPr="007B4C41">
        <w:t xml:space="preserve"> use less data</w:t>
      </w:r>
      <w:r>
        <w:t xml:space="preserve"> and more variable data</w:t>
      </w:r>
      <w:r w:rsidRPr="007B4C41">
        <w:t xml:space="preserve"> than the PY3 report ma</w:t>
      </w:r>
      <w:r>
        <w:t xml:space="preserve">king our estimates less precise; the estimates for April 2015 – September 2015 are less precise than the estimates for October 2014 – March 2015 which are less precise than the estimates for PY3. </w:t>
      </w:r>
      <w:r w:rsidRPr="007B4C41">
        <w:t xml:space="preserve">This effect can be seen in the relative precision of the PY3 estimates versus the estimates in this study. In PY3 the relative precision at 90% (equal to the standard error </w:t>
      </w:r>
      <w:r>
        <w:t>times 1.645</w:t>
      </w:r>
      <w:r w:rsidRPr="007B4C41">
        <w:t xml:space="preserve"> divided by </w:t>
      </w:r>
      <w:r>
        <w:t>the point estimate</w:t>
      </w:r>
      <w:r w:rsidRPr="007B4C41">
        <w:t>) was 0.23 for the LFER model and</w:t>
      </w:r>
      <w:r>
        <w:t xml:space="preserve"> 0.15 for the PPR model. In the October 2014 – March 2015 </w:t>
      </w:r>
      <w:r w:rsidRPr="007B4C41">
        <w:t>study the relative precision was 0.46 for the LFER model and 0.36 for the PPR model.</w:t>
      </w:r>
      <w:r>
        <w:t xml:space="preserve"> In this study </w:t>
      </w:r>
      <w:r w:rsidRPr="007B4C41">
        <w:t xml:space="preserve">the relative precision was </w:t>
      </w:r>
      <w:r>
        <w:t>1.44</w:t>
      </w:r>
      <w:r w:rsidRPr="007B4C41">
        <w:t xml:space="preserve"> for the LFER model and </w:t>
      </w:r>
      <w:r>
        <w:t>0.73</w:t>
      </w:r>
      <w:r w:rsidRPr="007B4C41">
        <w:t xml:space="preserve"> for the PPR model</w:t>
      </w:r>
      <w:r>
        <w:t>.</w:t>
      </w:r>
    </w:p>
    <w:p w14:paraId="4EAF928A" w14:textId="77777777" w:rsidR="00A9061E" w:rsidRPr="00A90B62" w:rsidRDefault="00A9061E" w:rsidP="00A9061E">
      <w:pPr>
        <w:pStyle w:val="Heading3"/>
      </w:pPr>
      <w:bookmarkStart w:id="51" w:name="_Toc440983234"/>
      <w:r>
        <w:t>Monthly Savings Estimates</w:t>
      </w:r>
      <w:bookmarkEnd w:id="51"/>
    </w:p>
    <w:p w14:paraId="4095A89A" w14:textId="4F19DEFF" w:rsidR="00A9061E" w:rsidRDefault="00A9061E" w:rsidP="00A9061E">
      <w:r>
        <w:t>Navigant additionally estimated savings by month for the period from October 2014 to September 2015 in order to look at the decay in savings over time</w:t>
      </w:r>
      <w:r w:rsidR="003971DF">
        <w:t xml:space="preserve">. </w:t>
      </w:r>
      <w:r w:rsidR="003971DF">
        <w:fldChar w:fldCharType="begin"/>
      </w:r>
      <w:r w:rsidR="003971DF">
        <w:instrText xml:space="preserve"> REF _Ref440982820 \h </w:instrText>
      </w:r>
      <w:r w:rsidR="003971DF">
        <w:fldChar w:fldCharType="separate"/>
      </w:r>
      <w:r w:rsidR="003971DF">
        <w:t xml:space="preserve">Figure </w:t>
      </w:r>
      <w:r w:rsidR="003971DF">
        <w:rPr>
          <w:noProof/>
        </w:rPr>
        <w:t>3</w:t>
      </w:r>
      <w:r w:rsidR="003971DF">
        <w:noBreakHyphen/>
      </w:r>
      <w:r w:rsidR="003971DF">
        <w:rPr>
          <w:noProof/>
        </w:rPr>
        <w:t>1</w:t>
      </w:r>
      <w:r w:rsidR="003971DF">
        <w:fldChar w:fldCharType="end"/>
      </w:r>
      <w:r>
        <w:t xml:space="preserve"> and </w:t>
      </w:r>
      <w:r w:rsidR="003971DF">
        <w:fldChar w:fldCharType="begin"/>
      </w:r>
      <w:r w:rsidR="003971DF">
        <w:instrText xml:space="preserve"> REF _Ref440982840 \h </w:instrText>
      </w:r>
      <w:r w:rsidR="003971DF">
        <w:fldChar w:fldCharType="separate"/>
      </w:r>
      <w:r w:rsidR="003971DF">
        <w:t xml:space="preserve">Figure </w:t>
      </w:r>
      <w:r w:rsidR="003971DF">
        <w:rPr>
          <w:noProof/>
        </w:rPr>
        <w:t>3</w:t>
      </w:r>
      <w:r w:rsidR="003971DF">
        <w:noBreakHyphen/>
      </w:r>
      <w:r w:rsidR="003971DF">
        <w:rPr>
          <w:noProof/>
        </w:rPr>
        <w:t>2</w:t>
      </w:r>
      <w:r w:rsidR="003971DF">
        <w:fldChar w:fldCharType="end"/>
      </w:r>
      <w:r w:rsidR="003971DF">
        <w:t xml:space="preserve"> </w:t>
      </w:r>
      <w:r>
        <w:t xml:space="preserve">show the absolute and percentage savings estimates, respectively, with 90% confidence intervals. Detailed results from this model are included in </w:t>
      </w:r>
      <w:r w:rsidR="003971DF">
        <w:t xml:space="preserve">Section </w:t>
      </w:r>
      <w:r w:rsidR="003971DF">
        <w:fldChar w:fldCharType="begin"/>
      </w:r>
      <w:r w:rsidR="003971DF">
        <w:instrText xml:space="preserve"> REF _Ref440982870 \r \h </w:instrText>
      </w:r>
      <w:r w:rsidR="003971DF">
        <w:fldChar w:fldCharType="separate"/>
      </w:r>
      <w:r w:rsidR="003971DF">
        <w:t>5.2</w:t>
      </w:r>
      <w:r w:rsidR="003971DF">
        <w:fldChar w:fldCharType="end"/>
      </w:r>
      <w:r>
        <w:t>.</w:t>
      </w:r>
      <w:r w:rsidRPr="00A0145E">
        <w:t xml:space="preserve"> </w:t>
      </w:r>
      <w:r>
        <w:t xml:space="preserve">The savings are statistically significant at the 90% confidence level in six of the twelve months considered. The confidence intervals vary considerably due to the number of observations in each month which varies because of the bimonthly billing cycle on which Nicor Gas operates. The monthly savings do not increase or decrease by a statistically significant amount throughout the time period; that is savings remain relatively constant from October 2014 to September 2015. Although the absolute savings do show a slight downward trend after February 2015. </w:t>
      </w:r>
    </w:p>
    <w:p w14:paraId="4871E813" w14:textId="77777777" w:rsidR="00A9061E" w:rsidRDefault="00A9061E" w:rsidP="00A9061E"/>
    <w:p w14:paraId="54E0E95B" w14:textId="77777777" w:rsidR="00A9061E" w:rsidRDefault="00A9061E" w:rsidP="00A9061E">
      <w:pPr>
        <w:pStyle w:val="Caption"/>
      </w:pPr>
      <w:bookmarkStart w:id="52" w:name="_Ref440982820"/>
      <w:bookmarkStart w:id="53" w:name="_Toc441752063"/>
      <w:r>
        <w:t xml:space="preserve">Figure </w:t>
      </w:r>
      <w:r w:rsidR="00851D29">
        <w:fldChar w:fldCharType="begin"/>
      </w:r>
      <w:r w:rsidR="00851D29">
        <w:instrText xml:space="preserve"> STYLEREF 1 \s </w:instrText>
      </w:r>
      <w:r w:rsidR="00851D29">
        <w:fldChar w:fldCharType="separate"/>
      </w:r>
      <w:r w:rsidR="003B38C3">
        <w:rPr>
          <w:noProof/>
        </w:rPr>
        <w:t>3</w:t>
      </w:r>
      <w:r w:rsidR="00851D29">
        <w:rPr>
          <w:noProof/>
        </w:rPr>
        <w:fldChar w:fldCharType="end"/>
      </w:r>
      <w:r>
        <w:noBreakHyphen/>
      </w:r>
      <w:r w:rsidR="00851D29">
        <w:fldChar w:fldCharType="begin"/>
      </w:r>
      <w:r w:rsidR="00851D29">
        <w:instrText xml:space="preserve"> SEQ Figure \* ARABIC \s 1 </w:instrText>
      </w:r>
      <w:r w:rsidR="00851D29">
        <w:fldChar w:fldCharType="separate"/>
      </w:r>
      <w:r w:rsidR="003B38C3">
        <w:rPr>
          <w:noProof/>
        </w:rPr>
        <w:t>1</w:t>
      </w:r>
      <w:r w:rsidR="00851D29">
        <w:rPr>
          <w:noProof/>
        </w:rPr>
        <w:fldChar w:fldCharType="end"/>
      </w:r>
      <w:bookmarkEnd w:id="52"/>
      <w:r>
        <w:t>. Monthly Absolute HER Persistence Savings, October 2014 – September 2015</w:t>
      </w:r>
      <w:bookmarkEnd w:id="53"/>
    </w:p>
    <w:p w14:paraId="53653AB3" w14:textId="77777777" w:rsidR="00A9061E" w:rsidRDefault="00A9061E" w:rsidP="00A9061E">
      <w:r>
        <w:rPr>
          <w:noProof/>
        </w:rPr>
        <w:drawing>
          <wp:inline distT="0" distB="0" distL="0" distR="0" wp14:anchorId="1605B576" wp14:editId="64E82C00">
            <wp:extent cx="5953173" cy="3200400"/>
            <wp:effectExtent l="0" t="0" r="0" b="0"/>
            <wp:docPr id="1038" name="Chart 103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r>
        <w:t xml:space="preserve"> </w:t>
      </w:r>
    </w:p>
    <w:p w14:paraId="6D89BB6B" w14:textId="77777777" w:rsidR="00A9061E" w:rsidRDefault="00A9061E" w:rsidP="00A9061E">
      <w:pPr>
        <w:pStyle w:val="Source"/>
      </w:pPr>
      <w:r>
        <w:t>Source: Navigant analysis</w:t>
      </w:r>
    </w:p>
    <w:p w14:paraId="57E7E245" w14:textId="77777777" w:rsidR="00A9061E" w:rsidRDefault="00A9061E" w:rsidP="00A9061E">
      <w:pPr>
        <w:pStyle w:val="Caption"/>
      </w:pPr>
      <w:bookmarkStart w:id="54" w:name="_Ref440982840"/>
      <w:bookmarkStart w:id="55" w:name="_Toc441752064"/>
      <w:r>
        <w:t xml:space="preserve">Figure </w:t>
      </w:r>
      <w:r w:rsidR="00851D29">
        <w:fldChar w:fldCharType="begin"/>
      </w:r>
      <w:r w:rsidR="00851D29">
        <w:instrText xml:space="preserve"> STYLEREF 1 \s </w:instrText>
      </w:r>
      <w:r w:rsidR="00851D29">
        <w:fldChar w:fldCharType="separate"/>
      </w:r>
      <w:r w:rsidR="003B38C3">
        <w:rPr>
          <w:noProof/>
        </w:rPr>
        <w:t>3</w:t>
      </w:r>
      <w:r w:rsidR="00851D29">
        <w:rPr>
          <w:noProof/>
        </w:rPr>
        <w:fldChar w:fldCharType="end"/>
      </w:r>
      <w:r>
        <w:noBreakHyphen/>
      </w:r>
      <w:r w:rsidR="00851D29">
        <w:fldChar w:fldCharType="begin"/>
      </w:r>
      <w:r w:rsidR="00851D29">
        <w:instrText xml:space="preserve"> SEQ Figure \* ARABIC \s 1 </w:instrText>
      </w:r>
      <w:r w:rsidR="00851D29">
        <w:fldChar w:fldCharType="separate"/>
      </w:r>
      <w:r w:rsidR="003B38C3">
        <w:rPr>
          <w:noProof/>
        </w:rPr>
        <w:t>2</w:t>
      </w:r>
      <w:r w:rsidR="00851D29">
        <w:rPr>
          <w:noProof/>
        </w:rPr>
        <w:fldChar w:fldCharType="end"/>
      </w:r>
      <w:bookmarkEnd w:id="54"/>
      <w:r>
        <w:t>. Monthly Percentage HER Persistence Savings, October 2014 – September 2015</w:t>
      </w:r>
      <w:bookmarkEnd w:id="55"/>
    </w:p>
    <w:p w14:paraId="75E04834" w14:textId="77777777" w:rsidR="00A9061E" w:rsidRDefault="00A9061E" w:rsidP="00A9061E">
      <w:pPr>
        <w:keepNext/>
        <w:jc w:val="center"/>
      </w:pPr>
      <w:r>
        <w:rPr>
          <w:noProof/>
        </w:rPr>
        <w:drawing>
          <wp:inline distT="0" distB="0" distL="0" distR="0" wp14:anchorId="0818A71D" wp14:editId="1FC77CC2">
            <wp:extent cx="5952744" cy="3200400"/>
            <wp:effectExtent l="0" t="0" r="0" b="0"/>
            <wp:docPr id="1039" name="Chart 103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383EFC9C" w14:textId="77777777" w:rsidR="00A9061E" w:rsidRDefault="00A9061E" w:rsidP="00A9061E">
      <w:pPr>
        <w:pStyle w:val="Source"/>
      </w:pPr>
      <w:r>
        <w:t>Source: Navigant analysis</w:t>
      </w:r>
    </w:p>
    <w:p w14:paraId="636DC11D" w14:textId="77777777" w:rsidR="00A9061E" w:rsidRPr="00171C66" w:rsidRDefault="00A9061E" w:rsidP="00A9061E">
      <w:pPr>
        <w:pStyle w:val="Heading3"/>
      </w:pPr>
      <w:bookmarkStart w:id="56" w:name="_Toc440983235"/>
      <w:r>
        <w:lastRenderedPageBreak/>
        <w:t>Verified Net Persistence</w:t>
      </w:r>
      <w:r w:rsidRPr="00A90B62">
        <w:t xml:space="preserve"> Impact Results</w:t>
      </w:r>
      <w:bookmarkEnd w:id="56"/>
    </w:p>
    <w:p w14:paraId="04966A94" w14:textId="62CB622F" w:rsidR="00A9061E" w:rsidRDefault="003971DF" w:rsidP="00A9061E">
      <w:pPr>
        <w:pStyle w:val="FootnoteText"/>
        <w:rPr>
          <w:sz w:val="20"/>
        </w:rPr>
      </w:pPr>
      <w:r w:rsidRPr="00840211">
        <w:rPr>
          <w:sz w:val="22"/>
        </w:rPr>
        <w:fldChar w:fldCharType="begin"/>
      </w:r>
      <w:r w:rsidRPr="00840211">
        <w:rPr>
          <w:sz w:val="22"/>
        </w:rPr>
        <w:instrText xml:space="preserve"> REF _Ref440982900 \h </w:instrText>
      </w:r>
      <w:r w:rsidR="00840211">
        <w:rPr>
          <w:sz w:val="22"/>
        </w:rPr>
        <w:instrText xml:space="preserve"> \* MERGEFORMAT </w:instrText>
      </w:r>
      <w:r w:rsidRPr="00840211">
        <w:rPr>
          <w:sz w:val="22"/>
        </w:rPr>
      </w:r>
      <w:r w:rsidRPr="00840211">
        <w:rPr>
          <w:sz w:val="22"/>
        </w:rPr>
        <w:fldChar w:fldCharType="separate"/>
      </w:r>
      <w:r w:rsidRPr="00840211">
        <w:rPr>
          <w:sz w:val="20"/>
        </w:rPr>
        <w:t xml:space="preserve">Table </w:t>
      </w:r>
      <w:r w:rsidRPr="00840211">
        <w:rPr>
          <w:noProof/>
          <w:sz w:val="20"/>
        </w:rPr>
        <w:t>3</w:t>
      </w:r>
      <w:r w:rsidRPr="00840211">
        <w:rPr>
          <w:sz w:val="20"/>
        </w:rPr>
        <w:noBreakHyphen/>
      </w:r>
      <w:r w:rsidRPr="00840211">
        <w:rPr>
          <w:noProof/>
          <w:sz w:val="20"/>
        </w:rPr>
        <w:t>3</w:t>
      </w:r>
      <w:r w:rsidRPr="00840211">
        <w:rPr>
          <w:sz w:val="22"/>
        </w:rPr>
        <w:fldChar w:fldCharType="end"/>
      </w:r>
      <w:r w:rsidR="00A9061E" w:rsidRPr="00DB2DC8">
        <w:rPr>
          <w:sz w:val="20"/>
        </w:rPr>
        <w:t xml:space="preserve"> presents </w:t>
      </w:r>
      <w:r w:rsidR="00A9061E">
        <w:rPr>
          <w:sz w:val="20"/>
        </w:rPr>
        <w:t xml:space="preserve">verified net therms </w:t>
      </w:r>
      <w:r w:rsidR="00A9061E" w:rsidRPr="00DB2DC8">
        <w:rPr>
          <w:sz w:val="20"/>
        </w:rPr>
        <w:t>savings</w:t>
      </w:r>
      <w:r w:rsidR="00A9061E">
        <w:rPr>
          <w:sz w:val="20"/>
        </w:rPr>
        <w:t xml:space="preserve"> in Part 1 and Part 2 of this study and the annual savings for the full first year after the program ended. The annual percentage and average daily savings are weighted averages of Parts 1 and 2 of the study, while the total savings is the sum of Parts 1 and 2.</w:t>
      </w:r>
      <w:r w:rsidR="00A9061E">
        <w:rPr>
          <w:rStyle w:val="FootnoteReference"/>
          <w:sz w:val="20"/>
        </w:rPr>
        <w:footnoteReference w:id="22"/>
      </w:r>
      <w:r w:rsidR="00A9061E">
        <w:rPr>
          <w:sz w:val="20"/>
        </w:rPr>
        <w:t xml:space="preserve"> These savings are before the uplift adjustment. </w:t>
      </w:r>
    </w:p>
    <w:p w14:paraId="1983589B" w14:textId="77777777" w:rsidR="00A9061E" w:rsidRDefault="00A9061E" w:rsidP="00A9061E">
      <w:pPr>
        <w:pStyle w:val="FootnoteText"/>
        <w:rPr>
          <w:sz w:val="20"/>
        </w:rPr>
      </w:pPr>
    </w:p>
    <w:p w14:paraId="5EEAE58F" w14:textId="77777777" w:rsidR="00A9061E" w:rsidRDefault="00A9061E" w:rsidP="00A9061E">
      <w:pPr>
        <w:pStyle w:val="Caption"/>
      </w:pPr>
      <w:bookmarkStart w:id="57" w:name="_Ref440982900"/>
      <w:bookmarkStart w:id="58" w:name="_Toc441752602"/>
      <w:r>
        <w:t xml:space="preserve">Table </w:t>
      </w:r>
      <w:r w:rsidR="00851D29">
        <w:fldChar w:fldCharType="begin"/>
      </w:r>
      <w:r w:rsidR="00851D29">
        <w:instrText xml:space="preserve"> STYLEREF 1 \s </w:instrText>
      </w:r>
      <w:r w:rsidR="00851D29">
        <w:fldChar w:fldCharType="separate"/>
      </w:r>
      <w:r w:rsidR="003B38C3">
        <w:rPr>
          <w:noProof/>
        </w:rPr>
        <w:t>3</w:t>
      </w:r>
      <w:r w:rsidR="00851D29">
        <w:rPr>
          <w:noProof/>
        </w:rPr>
        <w:fldChar w:fldCharType="end"/>
      </w:r>
      <w:r>
        <w:noBreakHyphen/>
      </w:r>
      <w:r w:rsidR="00851D29">
        <w:fldChar w:fldCharType="begin"/>
      </w:r>
      <w:r w:rsidR="00851D29">
        <w:instrText xml:space="preserve"> SEQ Table \* ARABIC \s 1 </w:instrText>
      </w:r>
      <w:r w:rsidR="00851D29">
        <w:fldChar w:fldCharType="separate"/>
      </w:r>
      <w:r w:rsidR="003B38C3">
        <w:rPr>
          <w:noProof/>
        </w:rPr>
        <w:t>3</w:t>
      </w:r>
      <w:r w:rsidR="00851D29">
        <w:rPr>
          <w:noProof/>
        </w:rPr>
        <w:fldChar w:fldCharType="end"/>
      </w:r>
      <w:bookmarkEnd w:id="57"/>
      <w:r>
        <w:t>. HER Net Persistence Savings</w:t>
      </w:r>
      <w:bookmarkEnd w:id="58"/>
    </w:p>
    <w:tbl>
      <w:tblPr>
        <w:tblStyle w:val="EnergyTable"/>
        <w:tblW w:w="9489" w:type="dxa"/>
        <w:tblLook w:val="04A0" w:firstRow="1" w:lastRow="0" w:firstColumn="1" w:lastColumn="0" w:noHBand="0" w:noVBand="1"/>
      </w:tblPr>
      <w:tblGrid>
        <w:gridCol w:w="3312"/>
        <w:gridCol w:w="2059"/>
        <w:gridCol w:w="2059"/>
        <w:gridCol w:w="2059"/>
      </w:tblGrid>
      <w:tr w:rsidR="00A9061E" w:rsidRPr="0027725A" w14:paraId="5D4BACE7" w14:textId="77777777" w:rsidTr="004468B2">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3312" w:type="dxa"/>
            <w:noWrap/>
            <w:hideMark/>
          </w:tcPr>
          <w:p w14:paraId="74758214" w14:textId="77777777" w:rsidR="00A9061E" w:rsidRPr="00CB23F8" w:rsidRDefault="00A9061E" w:rsidP="003971DF">
            <w:pPr>
              <w:pStyle w:val="FootnoteText"/>
              <w:widowControl w:val="0"/>
              <w:spacing w:after="120"/>
              <w:jc w:val="left"/>
              <w:rPr>
                <w:rFonts w:cs="Calibri"/>
                <w:b w:val="0"/>
                <w:bCs/>
                <w:sz w:val="20"/>
              </w:rPr>
            </w:pPr>
            <w:r w:rsidRPr="00CB23F8">
              <w:rPr>
                <w:rFonts w:cs="Calibri"/>
                <w:b w:val="0"/>
                <w:bCs/>
                <w:sz w:val="20"/>
              </w:rPr>
              <w:t>Type of Statistic</w:t>
            </w:r>
          </w:p>
        </w:tc>
        <w:tc>
          <w:tcPr>
            <w:tcW w:w="2059" w:type="dxa"/>
            <w:hideMark/>
          </w:tcPr>
          <w:p w14:paraId="5B0C1F04" w14:textId="77777777" w:rsidR="00A9061E" w:rsidRDefault="00A9061E" w:rsidP="000B26EA">
            <w:pPr>
              <w:pStyle w:val="FootnoteText"/>
              <w:widowControl w:val="0"/>
              <w:cnfStyle w:val="100000000000" w:firstRow="1" w:lastRow="0" w:firstColumn="0" w:lastColumn="0" w:oddVBand="0" w:evenVBand="0" w:oddHBand="0" w:evenHBand="0" w:firstRowFirstColumn="0" w:firstRowLastColumn="0" w:lastRowFirstColumn="0" w:lastRowLastColumn="0"/>
              <w:rPr>
                <w:rFonts w:cs="Calibri"/>
                <w:b w:val="0"/>
                <w:bCs/>
                <w:sz w:val="20"/>
              </w:rPr>
            </w:pPr>
            <w:r>
              <w:rPr>
                <w:rFonts w:cs="Calibri"/>
                <w:b w:val="0"/>
                <w:bCs/>
                <w:sz w:val="20"/>
              </w:rPr>
              <w:t xml:space="preserve">Part 1 </w:t>
            </w:r>
          </w:p>
          <w:p w14:paraId="7B0ED010" w14:textId="77777777" w:rsidR="00A9061E" w:rsidRPr="00CB23F8" w:rsidRDefault="00A9061E" w:rsidP="000B26EA">
            <w:pPr>
              <w:pStyle w:val="FootnoteText"/>
              <w:widowControl w:val="0"/>
              <w:cnfStyle w:val="100000000000" w:firstRow="1" w:lastRow="0" w:firstColumn="0" w:lastColumn="0" w:oddVBand="0" w:evenVBand="0" w:oddHBand="0" w:evenHBand="0" w:firstRowFirstColumn="0" w:firstRowLastColumn="0" w:lastRowFirstColumn="0" w:lastRowLastColumn="0"/>
              <w:rPr>
                <w:rFonts w:cs="Calibri"/>
                <w:b w:val="0"/>
                <w:bCs/>
                <w:sz w:val="20"/>
              </w:rPr>
            </w:pPr>
            <w:r>
              <w:rPr>
                <w:rFonts w:cs="Calibri"/>
                <w:b w:val="0"/>
                <w:bCs/>
                <w:sz w:val="20"/>
              </w:rPr>
              <w:t>October 2014 – March 2015</w:t>
            </w:r>
          </w:p>
        </w:tc>
        <w:tc>
          <w:tcPr>
            <w:tcW w:w="2059" w:type="dxa"/>
          </w:tcPr>
          <w:p w14:paraId="0251006F" w14:textId="77777777" w:rsidR="00A9061E" w:rsidRDefault="00A9061E" w:rsidP="000B26EA">
            <w:pPr>
              <w:pStyle w:val="FootnoteText"/>
              <w:widowControl w:val="0"/>
              <w:cnfStyle w:val="100000000000" w:firstRow="1" w:lastRow="0" w:firstColumn="0" w:lastColumn="0" w:oddVBand="0" w:evenVBand="0" w:oddHBand="0" w:evenHBand="0" w:firstRowFirstColumn="0" w:firstRowLastColumn="0" w:lastRowFirstColumn="0" w:lastRowLastColumn="0"/>
              <w:rPr>
                <w:rFonts w:cs="Calibri"/>
                <w:b w:val="0"/>
                <w:bCs/>
                <w:sz w:val="20"/>
              </w:rPr>
            </w:pPr>
            <w:r>
              <w:rPr>
                <w:rFonts w:cs="Calibri"/>
                <w:b w:val="0"/>
                <w:bCs/>
                <w:sz w:val="20"/>
              </w:rPr>
              <w:t xml:space="preserve">Part 2 </w:t>
            </w:r>
          </w:p>
          <w:p w14:paraId="788A574C" w14:textId="77777777" w:rsidR="00A9061E" w:rsidRDefault="00A9061E" w:rsidP="000B26EA">
            <w:pPr>
              <w:pStyle w:val="FootnoteText"/>
              <w:widowControl w:val="0"/>
              <w:cnfStyle w:val="100000000000" w:firstRow="1" w:lastRow="0" w:firstColumn="0" w:lastColumn="0" w:oddVBand="0" w:evenVBand="0" w:oddHBand="0" w:evenHBand="0" w:firstRowFirstColumn="0" w:firstRowLastColumn="0" w:lastRowFirstColumn="0" w:lastRowLastColumn="0"/>
              <w:rPr>
                <w:rFonts w:cs="Calibri"/>
                <w:b w:val="0"/>
                <w:bCs/>
                <w:sz w:val="20"/>
              </w:rPr>
            </w:pPr>
            <w:r>
              <w:rPr>
                <w:rFonts w:cs="Calibri"/>
                <w:b w:val="0"/>
                <w:bCs/>
                <w:sz w:val="20"/>
              </w:rPr>
              <w:t>April 2015 – September 2015</w:t>
            </w:r>
          </w:p>
        </w:tc>
        <w:tc>
          <w:tcPr>
            <w:tcW w:w="2059" w:type="dxa"/>
          </w:tcPr>
          <w:p w14:paraId="6E43E88F" w14:textId="77777777" w:rsidR="00A9061E" w:rsidRDefault="00A9061E" w:rsidP="000B26EA">
            <w:pPr>
              <w:pStyle w:val="FootnoteText"/>
              <w:widowControl w:val="0"/>
              <w:cnfStyle w:val="100000000000" w:firstRow="1" w:lastRow="0" w:firstColumn="0" w:lastColumn="0" w:oddVBand="0" w:evenVBand="0" w:oddHBand="0" w:evenHBand="0" w:firstRowFirstColumn="0" w:firstRowLastColumn="0" w:lastRowFirstColumn="0" w:lastRowLastColumn="0"/>
              <w:rPr>
                <w:rFonts w:cs="Calibri"/>
                <w:b w:val="0"/>
                <w:bCs/>
                <w:sz w:val="20"/>
              </w:rPr>
            </w:pPr>
            <w:r>
              <w:rPr>
                <w:rFonts w:cs="Calibri"/>
                <w:b w:val="0"/>
                <w:bCs/>
                <w:sz w:val="20"/>
              </w:rPr>
              <w:t>Annual</w:t>
            </w:r>
          </w:p>
          <w:p w14:paraId="3E3DA0B9" w14:textId="77777777" w:rsidR="00A9061E" w:rsidRDefault="00A9061E" w:rsidP="000B26EA">
            <w:pPr>
              <w:pStyle w:val="FootnoteText"/>
              <w:widowControl w:val="0"/>
              <w:cnfStyle w:val="100000000000" w:firstRow="1" w:lastRow="0" w:firstColumn="0" w:lastColumn="0" w:oddVBand="0" w:evenVBand="0" w:oddHBand="0" w:evenHBand="0" w:firstRowFirstColumn="0" w:firstRowLastColumn="0" w:lastRowFirstColumn="0" w:lastRowLastColumn="0"/>
              <w:rPr>
                <w:rFonts w:cs="Calibri"/>
                <w:b w:val="0"/>
                <w:bCs/>
                <w:sz w:val="20"/>
              </w:rPr>
            </w:pPr>
            <w:r>
              <w:rPr>
                <w:rFonts w:cs="Calibri"/>
                <w:b w:val="0"/>
                <w:bCs/>
                <w:sz w:val="20"/>
              </w:rPr>
              <w:t>October 2014 – September 2015</w:t>
            </w:r>
          </w:p>
        </w:tc>
      </w:tr>
      <w:tr w:rsidR="00A9061E" w:rsidRPr="0027725A" w14:paraId="6159D887" w14:textId="77777777" w:rsidTr="004468B2">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12" w:type="dxa"/>
            <w:noWrap/>
            <w:hideMark/>
          </w:tcPr>
          <w:p w14:paraId="3B34EFA3" w14:textId="77777777" w:rsidR="00A9061E" w:rsidRPr="00CB23F8" w:rsidRDefault="00A9061E" w:rsidP="003971DF">
            <w:pPr>
              <w:widowControl w:val="0"/>
              <w:jc w:val="left"/>
              <w:rPr>
                <w:rFonts w:cs="Calibri"/>
                <w:color w:val="000000"/>
                <w:szCs w:val="20"/>
              </w:rPr>
            </w:pPr>
            <w:r w:rsidRPr="00CB23F8">
              <w:rPr>
                <w:rFonts w:cs="Calibri"/>
                <w:color w:val="000000"/>
                <w:szCs w:val="20"/>
              </w:rPr>
              <w:t xml:space="preserve">Number of </w:t>
            </w:r>
            <w:r>
              <w:rPr>
                <w:rFonts w:cs="Calibri"/>
                <w:color w:val="000000"/>
                <w:szCs w:val="20"/>
              </w:rPr>
              <w:t xml:space="preserve">Verified </w:t>
            </w:r>
            <w:r w:rsidRPr="00CB23F8">
              <w:rPr>
                <w:rFonts w:cs="Calibri"/>
                <w:color w:val="000000"/>
                <w:szCs w:val="20"/>
              </w:rPr>
              <w:t>Participants</w:t>
            </w:r>
          </w:p>
        </w:tc>
        <w:tc>
          <w:tcPr>
            <w:tcW w:w="2059" w:type="dxa"/>
            <w:noWrap/>
          </w:tcPr>
          <w:p w14:paraId="78DA1242" w14:textId="77777777" w:rsidR="00A9061E" w:rsidRPr="00FD7E04" w:rsidRDefault="00A9061E" w:rsidP="000B26EA">
            <w:pPr>
              <w:widowControl w:val="0"/>
              <w:cnfStyle w:val="000000100000" w:firstRow="0" w:lastRow="0" w:firstColumn="0" w:lastColumn="0" w:oddVBand="0" w:evenVBand="0" w:oddHBand="1" w:evenHBand="0" w:firstRowFirstColumn="0" w:firstRowLastColumn="0" w:lastRowFirstColumn="0" w:lastRowLastColumn="0"/>
              <w:rPr>
                <w:rFonts w:cs="Calibri"/>
                <w:color w:val="000000"/>
                <w:szCs w:val="20"/>
              </w:rPr>
            </w:pPr>
            <w:r w:rsidRPr="00FD7E04">
              <w:rPr>
                <w:rFonts w:cs="Calibri"/>
                <w:color w:val="000000"/>
                <w:szCs w:val="20"/>
              </w:rPr>
              <w:t>341,308</w:t>
            </w:r>
          </w:p>
        </w:tc>
        <w:tc>
          <w:tcPr>
            <w:tcW w:w="2059" w:type="dxa"/>
          </w:tcPr>
          <w:p w14:paraId="60FB6A35" w14:textId="77777777" w:rsidR="00A9061E" w:rsidRPr="00FD7E04" w:rsidRDefault="00A9061E" w:rsidP="000B26EA">
            <w:pPr>
              <w:widowControl w:val="0"/>
              <w:cnfStyle w:val="000000100000" w:firstRow="0" w:lastRow="0" w:firstColumn="0" w:lastColumn="0" w:oddVBand="0" w:evenVBand="0" w:oddHBand="1" w:evenHBand="0" w:firstRowFirstColumn="0" w:firstRowLastColumn="0" w:lastRowFirstColumn="0" w:lastRowLastColumn="0"/>
              <w:rPr>
                <w:rFonts w:cs="Calibri"/>
                <w:color w:val="000000"/>
                <w:szCs w:val="20"/>
              </w:rPr>
            </w:pPr>
            <w:r>
              <w:rPr>
                <w:rFonts w:cs="Calibri"/>
                <w:color w:val="000000"/>
                <w:szCs w:val="20"/>
              </w:rPr>
              <w:t>290,512</w:t>
            </w:r>
          </w:p>
        </w:tc>
        <w:tc>
          <w:tcPr>
            <w:tcW w:w="2059" w:type="dxa"/>
          </w:tcPr>
          <w:p w14:paraId="28265364" w14:textId="77777777" w:rsidR="00A9061E" w:rsidRPr="00FD7E04" w:rsidRDefault="00A9061E" w:rsidP="000B26EA">
            <w:pPr>
              <w:widowControl w:val="0"/>
              <w:cnfStyle w:val="000000100000" w:firstRow="0" w:lastRow="0" w:firstColumn="0" w:lastColumn="0" w:oddVBand="0" w:evenVBand="0" w:oddHBand="1" w:evenHBand="0" w:firstRowFirstColumn="0" w:firstRowLastColumn="0" w:lastRowFirstColumn="0" w:lastRowLastColumn="0"/>
              <w:rPr>
                <w:rFonts w:cs="Calibri"/>
                <w:color w:val="000000"/>
                <w:szCs w:val="20"/>
              </w:rPr>
            </w:pPr>
            <w:r w:rsidRPr="00FD7E04">
              <w:rPr>
                <w:rFonts w:cs="Calibri"/>
                <w:color w:val="000000"/>
                <w:szCs w:val="20"/>
              </w:rPr>
              <w:t>-</w:t>
            </w:r>
          </w:p>
        </w:tc>
      </w:tr>
      <w:tr w:rsidR="00A9061E" w:rsidRPr="0027725A" w14:paraId="467B1CB7" w14:textId="77777777" w:rsidTr="004468B2">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12" w:type="dxa"/>
            <w:noWrap/>
            <w:hideMark/>
          </w:tcPr>
          <w:p w14:paraId="4ED48B88" w14:textId="77777777" w:rsidR="00A9061E" w:rsidRPr="00CB23F8" w:rsidRDefault="00A9061E" w:rsidP="003971DF">
            <w:pPr>
              <w:widowControl w:val="0"/>
              <w:jc w:val="left"/>
              <w:rPr>
                <w:rFonts w:cs="Calibri"/>
                <w:color w:val="000000"/>
                <w:szCs w:val="20"/>
              </w:rPr>
            </w:pPr>
            <w:r w:rsidRPr="00CB23F8">
              <w:rPr>
                <w:rFonts w:cs="Calibri"/>
                <w:color w:val="000000"/>
                <w:szCs w:val="20"/>
              </w:rPr>
              <w:t>Sample Size, Treatment</w:t>
            </w:r>
          </w:p>
        </w:tc>
        <w:tc>
          <w:tcPr>
            <w:tcW w:w="2059" w:type="dxa"/>
            <w:noWrap/>
          </w:tcPr>
          <w:p w14:paraId="4AF9CE1A" w14:textId="77777777" w:rsidR="00A9061E" w:rsidRPr="00FD7E04" w:rsidRDefault="00A9061E" w:rsidP="000B26EA">
            <w:pPr>
              <w:widowControl w:val="0"/>
              <w:cnfStyle w:val="000000010000" w:firstRow="0" w:lastRow="0" w:firstColumn="0" w:lastColumn="0" w:oddVBand="0" w:evenVBand="0" w:oddHBand="0" w:evenHBand="1" w:firstRowFirstColumn="0" w:firstRowLastColumn="0" w:lastRowFirstColumn="0" w:lastRowLastColumn="0"/>
              <w:rPr>
                <w:rFonts w:cs="Calibri"/>
                <w:color w:val="000000"/>
                <w:szCs w:val="20"/>
              </w:rPr>
            </w:pPr>
            <w:r w:rsidRPr="00FD7E04">
              <w:rPr>
                <w:rFonts w:cs="Calibri"/>
                <w:color w:val="000000"/>
                <w:szCs w:val="20"/>
              </w:rPr>
              <w:t>316,185</w:t>
            </w:r>
          </w:p>
        </w:tc>
        <w:tc>
          <w:tcPr>
            <w:tcW w:w="2059" w:type="dxa"/>
          </w:tcPr>
          <w:p w14:paraId="6C649249" w14:textId="77777777" w:rsidR="00A9061E" w:rsidRPr="00FD7E04" w:rsidRDefault="00A9061E" w:rsidP="000B26EA">
            <w:pPr>
              <w:widowControl w:val="0"/>
              <w:cnfStyle w:val="000000010000" w:firstRow="0" w:lastRow="0" w:firstColumn="0" w:lastColumn="0" w:oddVBand="0" w:evenVBand="0" w:oddHBand="0" w:evenHBand="1" w:firstRowFirstColumn="0" w:firstRowLastColumn="0" w:lastRowFirstColumn="0" w:lastRowLastColumn="0"/>
              <w:rPr>
                <w:rFonts w:cs="Calibri"/>
                <w:color w:val="000000"/>
                <w:szCs w:val="20"/>
              </w:rPr>
            </w:pPr>
            <w:r w:rsidRPr="00FD7E04">
              <w:rPr>
                <w:rFonts w:cs="Calibri"/>
                <w:color w:val="000000"/>
                <w:szCs w:val="20"/>
              </w:rPr>
              <w:t>287,718</w:t>
            </w:r>
          </w:p>
        </w:tc>
        <w:tc>
          <w:tcPr>
            <w:tcW w:w="2059" w:type="dxa"/>
          </w:tcPr>
          <w:p w14:paraId="694CE85D" w14:textId="77777777" w:rsidR="00A9061E" w:rsidRPr="00FD7E04" w:rsidRDefault="00A9061E" w:rsidP="000B26EA">
            <w:pPr>
              <w:widowControl w:val="0"/>
              <w:cnfStyle w:val="000000010000" w:firstRow="0" w:lastRow="0" w:firstColumn="0" w:lastColumn="0" w:oddVBand="0" w:evenVBand="0" w:oddHBand="0" w:evenHBand="1" w:firstRowFirstColumn="0" w:firstRowLastColumn="0" w:lastRowFirstColumn="0" w:lastRowLastColumn="0"/>
              <w:rPr>
                <w:rFonts w:cs="Calibri"/>
                <w:color w:val="000000"/>
                <w:szCs w:val="20"/>
              </w:rPr>
            </w:pPr>
            <w:r w:rsidRPr="00FD7E04">
              <w:rPr>
                <w:rFonts w:cs="Calibri"/>
                <w:color w:val="000000"/>
                <w:szCs w:val="20"/>
              </w:rPr>
              <w:t>-</w:t>
            </w:r>
          </w:p>
        </w:tc>
      </w:tr>
      <w:tr w:rsidR="00A9061E" w:rsidRPr="0027725A" w14:paraId="6261DE2C" w14:textId="77777777" w:rsidTr="004468B2">
        <w:trPr>
          <w:cnfStyle w:val="000000100000" w:firstRow="0" w:lastRow="0" w:firstColumn="0" w:lastColumn="0" w:oddVBand="0" w:evenVBand="0" w:oddHBand="1"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3312" w:type="dxa"/>
            <w:noWrap/>
            <w:hideMark/>
          </w:tcPr>
          <w:p w14:paraId="7C0965A7" w14:textId="77777777" w:rsidR="00A9061E" w:rsidRPr="00CB23F8" w:rsidRDefault="00A9061E" w:rsidP="003971DF">
            <w:pPr>
              <w:widowControl w:val="0"/>
              <w:jc w:val="left"/>
              <w:rPr>
                <w:rFonts w:cs="Calibri"/>
                <w:color w:val="000000"/>
                <w:szCs w:val="20"/>
              </w:rPr>
            </w:pPr>
            <w:r w:rsidRPr="00CB23F8">
              <w:rPr>
                <w:rFonts w:cs="Calibri"/>
                <w:color w:val="000000"/>
                <w:szCs w:val="20"/>
              </w:rPr>
              <w:t>Sample Size, Control</w:t>
            </w:r>
          </w:p>
        </w:tc>
        <w:tc>
          <w:tcPr>
            <w:tcW w:w="2059" w:type="dxa"/>
            <w:noWrap/>
          </w:tcPr>
          <w:p w14:paraId="0F8DBB52" w14:textId="77777777" w:rsidR="00A9061E" w:rsidRPr="00FD7E04" w:rsidRDefault="00A9061E" w:rsidP="000B26EA">
            <w:pPr>
              <w:widowControl w:val="0"/>
              <w:cnfStyle w:val="000000100000" w:firstRow="0" w:lastRow="0" w:firstColumn="0" w:lastColumn="0" w:oddVBand="0" w:evenVBand="0" w:oddHBand="1" w:evenHBand="0" w:firstRowFirstColumn="0" w:firstRowLastColumn="0" w:lastRowFirstColumn="0" w:lastRowLastColumn="0"/>
              <w:rPr>
                <w:rFonts w:cs="Calibri"/>
                <w:color w:val="000000"/>
                <w:szCs w:val="20"/>
              </w:rPr>
            </w:pPr>
            <w:r w:rsidRPr="00FD7E04">
              <w:rPr>
                <w:rFonts w:cs="Calibri"/>
                <w:color w:val="000000"/>
                <w:szCs w:val="20"/>
              </w:rPr>
              <w:t>26,884</w:t>
            </w:r>
          </w:p>
        </w:tc>
        <w:tc>
          <w:tcPr>
            <w:tcW w:w="2059" w:type="dxa"/>
          </w:tcPr>
          <w:p w14:paraId="4B57F1CF" w14:textId="77777777" w:rsidR="00A9061E" w:rsidRPr="00FD7E04" w:rsidRDefault="00A9061E" w:rsidP="000B26EA">
            <w:pPr>
              <w:widowControl w:val="0"/>
              <w:cnfStyle w:val="000000100000" w:firstRow="0" w:lastRow="0" w:firstColumn="0" w:lastColumn="0" w:oddVBand="0" w:evenVBand="0" w:oddHBand="1" w:evenHBand="0" w:firstRowFirstColumn="0" w:firstRowLastColumn="0" w:lastRowFirstColumn="0" w:lastRowLastColumn="0"/>
              <w:rPr>
                <w:rFonts w:cs="Calibri"/>
                <w:color w:val="000000"/>
                <w:szCs w:val="20"/>
              </w:rPr>
            </w:pPr>
            <w:r w:rsidRPr="00FD7E04">
              <w:rPr>
                <w:rFonts w:cs="Calibri"/>
                <w:color w:val="000000"/>
                <w:szCs w:val="20"/>
              </w:rPr>
              <w:t>24,393</w:t>
            </w:r>
          </w:p>
        </w:tc>
        <w:tc>
          <w:tcPr>
            <w:tcW w:w="2059" w:type="dxa"/>
          </w:tcPr>
          <w:p w14:paraId="07E474CF" w14:textId="77777777" w:rsidR="00A9061E" w:rsidRPr="00FD7E04" w:rsidRDefault="00A9061E" w:rsidP="000B26EA">
            <w:pPr>
              <w:widowControl w:val="0"/>
              <w:cnfStyle w:val="000000100000" w:firstRow="0" w:lastRow="0" w:firstColumn="0" w:lastColumn="0" w:oddVBand="0" w:evenVBand="0" w:oddHBand="1" w:evenHBand="0" w:firstRowFirstColumn="0" w:firstRowLastColumn="0" w:lastRowFirstColumn="0" w:lastRowLastColumn="0"/>
              <w:rPr>
                <w:rFonts w:cs="Calibri"/>
                <w:color w:val="000000"/>
                <w:szCs w:val="20"/>
              </w:rPr>
            </w:pPr>
            <w:r w:rsidRPr="00FD7E04">
              <w:rPr>
                <w:rFonts w:cs="Calibri"/>
                <w:color w:val="000000"/>
                <w:szCs w:val="20"/>
              </w:rPr>
              <w:t>-</w:t>
            </w:r>
          </w:p>
        </w:tc>
      </w:tr>
      <w:tr w:rsidR="00A9061E" w:rsidRPr="0027725A" w14:paraId="6297875E" w14:textId="77777777" w:rsidTr="004468B2">
        <w:trPr>
          <w:cnfStyle w:val="000000010000" w:firstRow="0" w:lastRow="0" w:firstColumn="0" w:lastColumn="0" w:oddVBand="0" w:evenVBand="0" w:oddHBand="0" w:evenHBand="1"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3312" w:type="dxa"/>
            <w:hideMark/>
          </w:tcPr>
          <w:p w14:paraId="5F9527EE" w14:textId="77777777" w:rsidR="00A9061E" w:rsidRPr="00CB23F8" w:rsidRDefault="00A9061E" w:rsidP="003971DF">
            <w:pPr>
              <w:widowControl w:val="0"/>
              <w:jc w:val="left"/>
              <w:rPr>
                <w:rFonts w:cs="Calibri"/>
                <w:color w:val="000000"/>
                <w:szCs w:val="20"/>
              </w:rPr>
            </w:pPr>
            <w:r w:rsidRPr="00CB23F8">
              <w:rPr>
                <w:rFonts w:cs="Calibri"/>
                <w:color w:val="000000"/>
                <w:szCs w:val="20"/>
              </w:rPr>
              <w:t>Percent Savings</w:t>
            </w:r>
          </w:p>
        </w:tc>
        <w:tc>
          <w:tcPr>
            <w:tcW w:w="2059" w:type="dxa"/>
            <w:noWrap/>
          </w:tcPr>
          <w:p w14:paraId="7829CF84" w14:textId="77777777" w:rsidR="00A9061E" w:rsidRPr="00FD7E04" w:rsidRDefault="00A9061E" w:rsidP="000B26EA">
            <w:pPr>
              <w:widowControl w:val="0"/>
              <w:cnfStyle w:val="000000010000" w:firstRow="0" w:lastRow="0" w:firstColumn="0" w:lastColumn="0" w:oddVBand="0" w:evenVBand="0" w:oddHBand="0" w:evenHBand="1" w:firstRowFirstColumn="0" w:firstRowLastColumn="0" w:lastRowFirstColumn="0" w:lastRowLastColumn="0"/>
              <w:rPr>
                <w:rFonts w:cs="Calibri"/>
                <w:color w:val="000000"/>
                <w:szCs w:val="20"/>
              </w:rPr>
            </w:pPr>
            <w:r w:rsidRPr="00FD7E04">
              <w:rPr>
                <w:rFonts w:cs="Calibri"/>
                <w:color w:val="000000"/>
                <w:szCs w:val="20"/>
              </w:rPr>
              <w:t>0.41%</w:t>
            </w:r>
          </w:p>
        </w:tc>
        <w:tc>
          <w:tcPr>
            <w:tcW w:w="2059" w:type="dxa"/>
          </w:tcPr>
          <w:p w14:paraId="770AF708" w14:textId="77777777" w:rsidR="00A9061E" w:rsidRPr="00FD7E04" w:rsidRDefault="00A9061E" w:rsidP="000B26EA">
            <w:pPr>
              <w:widowControl w:val="0"/>
              <w:cnfStyle w:val="000000010000" w:firstRow="0" w:lastRow="0" w:firstColumn="0" w:lastColumn="0" w:oddVBand="0" w:evenVBand="0" w:oddHBand="0" w:evenHBand="1" w:firstRowFirstColumn="0" w:firstRowLastColumn="0" w:lastRowFirstColumn="0" w:lastRowLastColumn="0"/>
              <w:rPr>
                <w:rFonts w:cs="Calibri"/>
                <w:color w:val="000000"/>
                <w:szCs w:val="20"/>
              </w:rPr>
            </w:pPr>
            <w:r>
              <w:rPr>
                <w:rFonts w:cs="Calibri"/>
                <w:color w:val="000000"/>
                <w:szCs w:val="20"/>
              </w:rPr>
              <w:t>0.43</w:t>
            </w:r>
            <w:r w:rsidRPr="00FD7E04">
              <w:rPr>
                <w:rFonts w:cs="Calibri"/>
                <w:color w:val="000000"/>
                <w:szCs w:val="20"/>
              </w:rPr>
              <w:t>%</w:t>
            </w:r>
          </w:p>
        </w:tc>
        <w:tc>
          <w:tcPr>
            <w:tcW w:w="2059" w:type="dxa"/>
          </w:tcPr>
          <w:p w14:paraId="7AB3E650" w14:textId="77777777" w:rsidR="00A9061E" w:rsidRPr="00FD7E04" w:rsidRDefault="00A9061E" w:rsidP="000B26EA">
            <w:pPr>
              <w:widowControl w:val="0"/>
              <w:cnfStyle w:val="000000010000" w:firstRow="0" w:lastRow="0" w:firstColumn="0" w:lastColumn="0" w:oddVBand="0" w:evenVBand="0" w:oddHBand="0" w:evenHBand="1" w:firstRowFirstColumn="0" w:firstRowLastColumn="0" w:lastRowFirstColumn="0" w:lastRowLastColumn="0"/>
              <w:rPr>
                <w:rFonts w:cs="Calibri"/>
                <w:color w:val="000000"/>
                <w:szCs w:val="20"/>
              </w:rPr>
            </w:pPr>
            <w:r w:rsidRPr="00FD7E04">
              <w:rPr>
                <w:rFonts w:cs="Calibri"/>
                <w:color w:val="000000"/>
                <w:szCs w:val="20"/>
              </w:rPr>
              <w:t>0.42%</w:t>
            </w:r>
          </w:p>
        </w:tc>
      </w:tr>
      <w:tr w:rsidR="00A9061E" w:rsidRPr="0027725A" w14:paraId="2C03F310" w14:textId="77777777" w:rsidTr="004468B2">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3312" w:type="dxa"/>
            <w:hideMark/>
          </w:tcPr>
          <w:p w14:paraId="6A31082C" w14:textId="77777777" w:rsidR="00A9061E" w:rsidRPr="00CB23F8" w:rsidRDefault="00A9061E" w:rsidP="003971DF">
            <w:pPr>
              <w:widowControl w:val="0"/>
              <w:jc w:val="left"/>
              <w:rPr>
                <w:rFonts w:cs="Calibri"/>
                <w:color w:val="000000"/>
                <w:szCs w:val="20"/>
              </w:rPr>
            </w:pPr>
            <w:r>
              <w:rPr>
                <w:rFonts w:cs="Calibri"/>
                <w:color w:val="000000"/>
                <w:szCs w:val="20"/>
              </w:rPr>
              <w:t xml:space="preserve">Average Daily </w:t>
            </w:r>
            <w:r w:rsidRPr="00CB23F8">
              <w:rPr>
                <w:rFonts w:cs="Calibri"/>
                <w:color w:val="000000"/>
                <w:szCs w:val="20"/>
              </w:rPr>
              <w:t xml:space="preserve">Savings per </w:t>
            </w:r>
            <w:r>
              <w:rPr>
                <w:rFonts w:cs="Calibri"/>
                <w:color w:val="000000"/>
                <w:szCs w:val="20"/>
              </w:rPr>
              <w:t>Participant, Therms</w:t>
            </w:r>
          </w:p>
        </w:tc>
        <w:tc>
          <w:tcPr>
            <w:tcW w:w="2059" w:type="dxa"/>
            <w:noWrap/>
          </w:tcPr>
          <w:p w14:paraId="761376D1" w14:textId="77777777" w:rsidR="00A9061E" w:rsidRPr="00FD7E04" w:rsidRDefault="00A9061E" w:rsidP="000B26EA">
            <w:pPr>
              <w:widowControl w:val="0"/>
              <w:cnfStyle w:val="000000100000" w:firstRow="0" w:lastRow="0" w:firstColumn="0" w:lastColumn="0" w:oddVBand="0" w:evenVBand="0" w:oddHBand="1" w:evenHBand="0" w:firstRowFirstColumn="0" w:firstRowLastColumn="0" w:lastRowFirstColumn="0" w:lastRowLastColumn="0"/>
              <w:rPr>
                <w:rFonts w:cs="Calibri"/>
                <w:color w:val="000000"/>
                <w:szCs w:val="20"/>
              </w:rPr>
            </w:pPr>
            <w:r w:rsidRPr="00FD7E04">
              <w:rPr>
                <w:rFonts w:cs="Calibri"/>
                <w:color w:val="000000"/>
                <w:szCs w:val="20"/>
              </w:rPr>
              <w:t>0.032</w:t>
            </w:r>
          </w:p>
        </w:tc>
        <w:tc>
          <w:tcPr>
            <w:tcW w:w="2059" w:type="dxa"/>
          </w:tcPr>
          <w:p w14:paraId="63C23346" w14:textId="77777777" w:rsidR="00A9061E" w:rsidRPr="00FD7E04" w:rsidRDefault="00A9061E" w:rsidP="000B26EA">
            <w:pPr>
              <w:widowControl w:val="0"/>
              <w:cnfStyle w:val="000000100000" w:firstRow="0" w:lastRow="0" w:firstColumn="0" w:lastColumn="0" w:oddVBand="0" w:evenVBand="0" w:oddHBand="1" w:evenHBand="0" w:firstRowFirstColumn="0" w:firstRowLastColumn="0" w:lastRowFirstColumn="0" w:lastRowLastColumn="0"/>
              <w:rPr>
                <w:rFonts w:cs="Calibri"/>
                <w:color w:val="000000"/>
                <w:szCs w:val="20"/>
              </w:rPr>
            </w:pPr>
            <w:r>
              <w:rPr>
                <w:rFonts w:cs="Calibri"/>
                <w:color w:val="000000"/>
                <w:szCs w:val="20"/>
              </w:rPr>
              <w:t>0.010</w:t>
            </w:r>
          </w:p>
        </w:tc>
        <w:tc>
          <w:tcPr>
            <w:tcW w:w="2059" w:type="dxa"/>
          </w:tcPr>
          <w:p w14:paraId="2C35EE4E" w14:textId="77777777" w:rsidR="00A9061E" w:rsidRPr="00FD7E04" w:rsidRDefault="00A9061E" w:rsidP="000B26EA">
            <w:pPr>
              <w:widowControl w:val="0"/>
              <w:cnfStyle w:val="000000100000" w:firstRow="0" w:lastRow="0" w:firstColumn="0" w:lastColumn="0" w:oddVBand="0" w:evenVBand="0" w:oddHBand="1" w:evenHBand="0" w:firstRowFirstColumn="0" w:firstRowLastColumn="0" w:lastRowFirstColumn="0" w:lastRowLastColumn="0"/>
              <w:rPr>
                <w:rFonts w:cs="Calibri"/>
                <w:color w:val="000000"/>
                <w:szCs w:val="20"/>
              </w:rPr>
            </w:pPr>
            <w:r w:rsidRPr="00FD7E04">
              <w:rPr>
                <w:rFonts w:cs="Calibri"/>
                <w:color w:val="000000"/>
                <w:szCs w:val="20"/>
              </w:rPr>
              <w:t>0.021</w:t>
            </w:r>
          </w:p>
        </w:tc>
      </w:tr>
      <w:tr w:rsidR="00A9061E" w:rsidRPr="0027725A" w14:paraId="1AE24DE9" w14:textId="77777777" w:rsidTr="004468B2">
        <w:trPr>
          <w:cnfStyle w:val="000000010000" w:firstRow="0" w:lastRow="0" w:firstColumn="0" w:lastColumn="0" w:oddVBand="0" w:evenVBand="0" w:oddHBand="0" w:evenHBand="1"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3312" w:type="dxa"/>
            <w:hideMark/>
          </w:tcPr>
          <w:p w14:paraId="2E9086A7" w14:textId="77777777" w:rsidR="00A9061E" w:rsidRPr="00CB23F8" w:rsidRDefault="00A9061E" w:rsidP="003971DF">
            <w:pPr>
              <w:widowControl w:val="0"/>
              <w:jc w:val="left"/>
              <w:rPr>
                <w:rFonts w:cs="Calibri"/>
                <w:color w:val="000000"/>
                <w:szCs w:val="20"/>
              </w:rPr>
            </w:pPr>
            <w:r>
              <w:rPr>
                <w:rFonts w:cs="Calibri"/>
                <w:color w:val="000000"/>
                <w:szCs w:val="20"/>
              </w:rPr>
              <w:t xml:space="preserve">Total </w:t>
            </w:r>
            <w:r w:rsidRPr="00CB23F8">
              <w:rPr>
                <w:rFonts w:cs="Calibri"/>
                <w:color w:val="000000"/>
                <w:szCs w:val="20"/>
              </w:rPr>
              <w:t xml:space="preserve">Verified </w:t>
            </w:r>
            <w:r>
              <w:rPr>
                <w:rFonts w:cs="Calibri"/>
                <w:color w:val="000000"/>
                <w:szCs w:val="20"/>
              </w:rPr>
              <w:t xml:space="preserve">Net </w:t>
            </w:r>
            <w:r w:rsidRPr="00CB23F8">
              <w:rPr>
                <w:rFonts w:cs="Calibri"/>
                <w:color w:val="000000"/>
                <w:szCs w:val="20"/>
              </w:rPr>
              <w:t>Savings, Before Uplift Adjustment, Therms</w:t>
            </w:r>
            <w:r>
              <w:rPr>
                <w:rFonts w:cs="Calibri"/>
                <w:color w:val="000000"/>
                <w:szCs w:val="20"/>
              </w:rPr>
              <w:t>*</w:t>
            </w:r>
          </w:p>
        </w:tc>
        <w:tc>
          <w:tcPr>
            <w:tcW w:w="2059" w:type="dxa"/>
            <w:noWrap/>
          </w:tcPr>
          <w:p w14:paraId="798A8656" w14:textId="77777777" w:rsidR="00A9061E" w:rsidRPr="00FD7E04" w:rsidRDefault="00A9061E" w:rsidP="000B26EA">
            <w:pPr>
              <w:cnfStyle w:val="000000010000" w:firstRow="0" w:lastRow="0" w:firstColumn="0" w:lastColumn="0" w:oddVBand="0" w:evenVBand="0" w:oddHBand="0" w:evenHBand="1" w:firstRowFirstColumn="0" w:firstRowLastColumn="0" w:lastRowFirstColumn="0" w:lastRowLastColumn="0"/>
              <w:rPr>
                <w:color w:val="000000"/>
                <w:szCs w:val="20"/>
              </w:rPr>
            </w:pPr>
            <w:r w:rsidRPr="00FD7E04">
              <w:rPr>
                <w:color w:val="000000"/>
                <w:szCs w:val="20"/>
              </w:rPr>
              <w:t>1,924,321</w:t>
            </w:r>
          </w:p>
        </w:tc>
        <w:tc>
          <w:tcPr>
            <w:tcW w:w="2059" w:type="dxa"/>
          </w:tcPr>
          <w:p w14:paraId="525090FE" w14:textId="77777777" w:rsidR="00A9061E" w:rsidRPr="00FD7E04" w:rsidRDefault="00A9061E" w:rsidP="000B26EA">
            <w:pPr>
              <w:cnfStyle w:val="000000010000" w:firstRow="0" w:lastRow="0" w:firstColumn="0" w:lastColumn="0" w:oddVBand="0" w:evenVBand="0" w:oddHBand="0" w:evenHBand="1" w:firstRowFirstColumn="0" w:firstRowLastColumn="0" w:lastRowFirstColumn="0" w:lastRowLastColumn="0"/>
              <w:rPr>
                <w:color w:val="000000"/>
                <w:szCs w:val="20"/>
              </w:rPr>
            </w:pPr>
            <w:r>
              <w:rPr>
                <w:color w:val="000000"/>
                <w:szCs w:val="20"/>
              </w:rPr>
              <w:t>509,559</w:t>
            </w:r>
          </w:p>
        </w:tc>
        <w:tc>
          <w:tcPr>
            <w:tcW w:w="2059" w:type="dxa"/>
          </w:tcPr>
          <w:p w14:paraId="77D754EF" w14:textId="77777777" w:rsidR="00A9061E" w:rsidRPr="00FD7E04" w:rsidRDefault="00A9061E" w:rsidP="000B26EA">
            <w:pPr>
              <w:cnfStyle w:val="000000010000" w:firstRow="0" w:lastRow="0" w:firstColumn="0" w:lastColumn="0" w:oddVBand="0" w:evenVBand="0" w:oddHBand="0" w:evenHBand="1" w:firstRowFirstColumn="0" w:firstRowLastColumn="0" w:lastRowFirstColumn="0" w:lastRowLastColumn="0"/>
              <w:rPr>
                <w:color w:val="000000"/>
                <w:szCs w:val="20"/>
              </w:rPr>
            </w:pPr>
            <w:r>
              <w:rPr>
                <w:color w:val="000000"/>
                <w:szCs w:val="20"/>
              </w:rPr>
              <w:t>2,433,879</w:t>
            </w:r>
          </w:p>
        </w:tc>
      </w:tr>
    </w:tbl>
    <w:p w14:paraId="76D3AB7F" w14:textId="77777777" w:rsidR="00A9061E" w:rsidRDefault="00A9061E" w:rsidP="003971DF">
      <w:pPr>
        <w:pStyle w:val="GraphFootnote"/>
        <w:ind w:left="720" w:hanging="810"/>
      </w:pPr>
      <w:r w:rsidRPr="00651E3A">
        <w:t xml:space="preserve">Source: </w:t>
      </w:r>
      <w:r>
        <w:t xml:space="preserve">Nicor Gas billing </w:t>
      </w:r>
      <w:r w:rsidRPr="00651E3A">
        <w:t>data</w:t>
      </w:r>
      <w:r>
        <w:t>, Opower implementation data, and Navigant analysis</w:t>
      </w:r>
    </w:p>
    <w:p w14:paraId="31672EC2" w14:textId="77777777" w:rsidR="00A9061E" w:rsidRPr="00143FA8" w:rsidRDefault="00A9061E" w:rsidP="003971DF">
      <w:pPr>
        <w:pStyle w:val="GraphFootnote"/>
        <w:widowControl w:val="0"/>
        <w:ind w:left="720" w:hanging="810"/>
        <w:rPr>
          <w:i w:val="0"/>
        </w:rPr>
      </w:pPr>
      <w:r w:rsidRPr="002B462F">
        <w:rPr>
          <w:i w:val="0"/>
        </w:rPr>
        <w:t xml:space="preserve">* Total savings are pro-rated for participants that close their accounts during the </w:t>
      </w:r>
      <w:r>
        <w:rPr>
          <w:i w:val="0"/>
        </w:rPr>
        <w:t>study period</w:t>
      </w:r>
      <w:r w:rsidRPr="002B462F">
        <w:rPr>
          <w:i w:val="0"/>
        </w:rPr>
        <w:t xml:space="preserve">. </w:t>
      </w:r>
    </w:p>
    <w:p w14:paraId="5E79999F" w14:textId="77777777" w:rsidR="00A9061E" w:rsidRDefault="00A9061E" w:rsidP="00A9061E">
      <w:pPr>
        <w:pStyle w:val="Heading3"/>
      </w:pPr>
      <w:bookmarkStart w:id="59" w:name="_Toc440983236"/>
      <w:r>
        <w:t>Estimating Decay</w:t>
      </w:r>
      <w:bookmarkEnd w:id="59"/>
    </w:p>
    <w:p w14:paraId="7A075E19" w14:textId="41730D52" w:rsidR="00A9061E" w:rsidRDefault="00A9061E" w:rsidP="00A9061E">
      <w:pPr>
        <w:pStyle w:val="FootnoteText"/>
        <w:rPr>
          <w:sz w:val="20"/>
        </w:rPr>
      </w:pPr>
      <w:r w:rsidRPr="00840211">
        <w:rPr>
          <w:sz w:val="22"/>
        </w:rPr>
        <w:fldChar w:fldCharType="begin"/>
      </w:r>
      <w:r w:rsidRPr="00840211">
        <w:rPr>
          <w:sz w:val="22"/>
        </w:rPr>
        <w:instrText xml:space="preserve"> REF _Ref440967053 \h  \* MERGEFORMAT </w:instrText>
      </w:r>
      <w:r w:rsidRPr="00840211">
        <w:rPr>
          <w:sz w:val="22"/>
        </w:rPr>
      </w:r>
      <w:r w:rsidRPr="00840211">
        <w:rPr>
          <w:sz w:val="22"/>
        </w:rPr>
        <w:fldChar w:fldCharType="separate"/>
      </w:r>
      <w:r w:rsidR="003971DF" w:rsidRPr="00840211">
        <w:rPr>
          <w:b/>
          <w:bCs/>
          <w:sz w:val="22"/>
        </w:rPr>
        <w:fldChar w:fldCharType="begin"/>
      </w:r>
      <w:r w:rsidR="003971DF" w:rsidRPr="00840211">
        <w:rPr>
          <w:sz w:val="22"/>
        </w:rPr>
        <w:instrText xml:space="preserve"> REF _Ref440982909 \h </w:instrText>
      </w:r>
      <w:r w:rsidR="00840211">
        <w:rPr>
          <w:b/>
          <w:bCs/>
          <w:sz w:val="22"/>
        </w:rPr>
        <w:instrText xml:space="preserve"> \* MERGEFORMAT </w:instrText>
      </w:r>
      <w:r w:rsidR="003971DF" w:rsidRPr="00840211">
        <w:rPr>
          <w:b/>
          <w:bCs/>
          <w:sz w:val="22"/>
        </w:rPr>
      </w:r>
      <w:r w:rsidR="003971DF" w:rsidRPr="00840211">
        <w:rPr>
          <w:b/>
          <w:bCs/>
          <w:sz w:val="22"/>
        </w:rPr>
        <w:fldChar w:fldCharType="separate"/>
      </w:r>
      <w:r w:rsidR="003971DF" w:rsidRPr="00840211">
        <w:rPr>
          <w:sz w:val="20"/>
        </w:rPr>
        <w:t xml:space="preserve">Table </w:t>
      </w:r>
      <w:r w:rsidR="003971DF" w:rsidRPr="00840211">
        <w:rPr>
          <w:noProof/>
          <w:sz w:val="20"/>
        </w:rPr>
        <w:t>3</w:t>
      </w:r>
      <w:r w:rsidR="003971DF" w:rsidRPr="00840211">
        <w:rPr>
          <w:sz w:val="20"/>
        </w:rPr>
        <w:noBreakHyphen/>
      </w:r>
      <w:r w:rsidR="003971DF" w:rsidRPr="00840211">
        <w:rPr>
          <w:noProof/>
          <w:sz w:val="20"/>
        </w:rPr>
        <w:t>4</w:t>
      </w:r>
      <w:r w:rsidR="003971DF" w:rsidRPr="00840211">
        <w:rPr>
          <w:b/>
          <w:bCs/>
          <w:sz w:val="22"/>
        </w:rPr>
        <w:fldChar w:fldCharType="end"/>
      </w:r>
      <w:r w:rsidRPr="00840211">
        <w:rPr>
          <w:sz w:val="22"/>
        </w:rPr>
        <w:fldChar w:fldCharType="end"/>
      </w:r>
      <w:r>
        <w:rPr>
          <w:sz w:val="20"/>
        </w:rPr>
        <w:t xml:space="preserve"> p</w:t>
      </w:r>
      <w:r w:rsidRPr="00DB2DC8">
        <w:rPr>
          <w:sz w:val="20"/>
        </w:rPr>
        <w:t xml:space="preserve">resents </w:t>
      </w:r>
      <w:r>
        <w:rPr>
          <w:sz w:val="20"/>
        </w:rPr>
        <w:t>the annual decay rate, the lifetime persistence savings, and the measure life for the HER program. These savings are before the uplift adjustment.</w:t>
      </w:r>
      <w:r>
        <w:rPr>
          <w:rStyle w:val="FootnoteReference"/>
          <w:sz w:val="20"/>
        </w:rPr>
        <w:footnoteReference w:id="23"/>
      </w:r>
      <w:r>
        <w:rPr>
          <w:sz w:val="20"/>
        </w:rPr>
        <w:t xml:space="preserve"> </w:t>
      </w:r>
    </w:p>
    <w:p w14:paraId="07B1D029" w14:textId="77777777" w:rsidR="00A9061E" w:rsidRDefault="00A9061E" w:rsidP="00A9061E">
      <w:pPr>
        <w:pStyle w:val="FootnoteText"/>
        <w:rPr>
          <w:sz w:val="20"/>
        </w:rPr>
      </w:pPr>
    </w:p>
    <w:p w14:paraId="4B8B57BC" w14:textId="77777777" w:rsidR="00A9061E" w:rsidRDefault="00A9061E" w:rsidP="00A9061E">
      <w:pPr>
        <w:pStyle w:val="Caption"/>
      </w:pPr>
      <w:bookmarkStart w:id="60" w:name="_Ref440982909"/>
      <w:bookmarkStart w:id="61" w:name="_Toc441752603"/>
      <w:r>
        <w:t xml:space="preserve">Table </w:t>
      </w:r>
      <w:r w:rsidR="00851D29">
        <w:fldChar w:fldCharType="begin"/>
      </w:r>
      <w:r w:rsidR="00851D29">
        <w:instrText xml:space="preserve"> STYLEREF 1 \s </w:instrText>
      </w:r>
      <w:r w:rsidR="00851D29">
        <w:fldChar w:fldCharType="separate"/>
      </w:r>
      <w:r w:rsidR="003B38C3">
        <w:rPr>
          <w:noProof/>
        </w:rPr>
        <w:t>3</w:t>
      </w:r>
      <w:r w:rsidR="00851D29">
        <w:rPr>
          <w:noProof/>
        </w:rPr>
        <w:fldChar w:fldCharType="end"/>
      </w:r>
      <w:r>
        <w:noBreakHyphen/>
      </w:r>
      <w:r w:rsidR="00851D29">
        <w:fldChar w:fldCharType="begin"/>
      </w:r>
      <w:r w:rsidR="00851D29">
        <w:instrText xml:space="preserve"> SEQ Table \* ARABIC \s 1 </w:instrText>
      </w:r>
      <w:r w:rsidR="00851D29">
        <w:fldChar w:fldCharType="separate"/>
      </w:r>
      <w:r w:rsidR="003B38C3">
        <w:rPr>
          <w:noProof/>
        </w:rPr>
        <w:t>4</w:t>
      </w:r>
      <w:r w:rsidR="00851D29">
        <w:rPr>
          <w:noProof/>
        </w:rPr>
        <w:fldChar w:fldCharType="end"/>
      </w:r>
      <w:bookmarkEnd w:id="60"/>
      <w:r>
        <w:t>. HER Decay Estimations</w:t>
      </w:r>
      <w:bookmarkEnd w:id="61"/>
    </w:p>
    <w:tbl>
      <w:tblPr>
        <w:tblStyle w:val="EnergyTable"/>
        <w:tblW w:w="6480" w:type="dxa"/>
        <w:tblLook w:val="04A0" w:firstRow="1" w:lastRow="0" w:firstColumn="1" w:lastColumn="0" w:noHBand="0" w:noVBand="1"/>
      </w:tblPr>
      <w:tblGrid>
        <w:gridCol w:w="2880"/>
        <w:gridCol w:w="3600"/>
      </w:tblGrid>
      <w:tr w:rsidR="00A9061E" w:rsidRPr="0027725A" w14:paraId="4807F957" w14:textId="77777777" w:rsidTr="004468B2">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880" w:type="dxa"/>
            <w:noWrap/>
            <w:hideMark/>
          </w:tcPr>
          <w:p w14:paraId="3BB1B2E5" w14:textId="77777777" w:rsidR="00A9061E" w:rsidRPr="00CB23F8" w:rsidRDefault="00A9061E" w:rsidP="003971DF">
            <w:pPr>
              <w:pStyle w:val="FootnoteText"/>
              <w:keepNext/>
              <w:widowControl w:val="0"/>
              <w:spacing w:after="120"/>
              <w:jc w:val="left"/>
              <w:rPr>
                <w:rFonts w:cs="Calibri"/>
                <w:b w:val="0"/>
                <w:bCs/>
                <w:sz w:val="20"/>
              </w:rPr>
            </w:pPr>
            <w:r w:rsidRPr="00CB23F8">
              <w:rPr>
                <w:rFonts w:cs="Calibri"/>
                <w:b w:val="0"/>
                <w:bCs/>
                <w:sz w:val="20"/>
              </w:rPr>
              <w:t>Type of Statistic</w:t>
            </w:r>
          </w:p>
        </w:tc>
        <w:tc>
          <w:tcPr>
            <w:tcW w:w="3600" w:type="dxa"/>
            <w:hideMark/>
          </w:tcPr>
          <w:p w14:paraId="2B28CEBD" w14:textId="77777777" w:rsidR="00A9061E" w:rsidRDefault="00A9061E" w:rsidP="000B26EA">
            <w:pPr>
              <w:pStyle w:val="FootnoteText"/>
              <w:widowControl w:val="0"/>
              <w:cnfStyle w:val="100000000000" w:firstRow="1" w:lastRow="0" w:firstColumn="0" w:lastColumn="0" w:oddVBand="0" w:evenVBand="0" w:oddHBand="0" w:evenHBand="0" w:firstRowFirstColumn="0" w:firstRowLastColumn="0" w:lastRowFirstColumn="0" w:lastRowLastColumn="0"/>
              <w:rPr>
                <w:rFonts w:cs="Calibri"/>
                <w:b w:val="0"/>
                <w:bCs/>
                <w:sz w:val="20"/>
              </w:rPr>
            </w:pPr>
            <w:r>
              <w:rPr>
                <w:rFonts w:cs="Calibri"/>
                <w:b w:val="0"/>
                <w:bCs/>
                <w:sz w:val="20"/>
              </w:rPr>
              <w:t>Annual</w:t>
            </w:r>
          </w:p>
          <w:p w14:paraId="578FF071" w14:textId="77777777" w:rsidR="00A9061E" w:rsidRPr="00CB23F8" w:rsidRDefault="00A9061E" w:rsidP="000B26EA">
            <w:pPr>
              <w:pStyle w:val="FootnoteText"/>
              <w:widowControl w:val="0"/>
              <w:cnfStyle w:val="100000000000" w:firstRow="1" w:lastRow="0" w:firstColumn="0" w:lastColumn="0" w:oddVBand="0" w:evenVBand="0" w:oddHBand="0" w:evenHBand="0" w:firstRowFirstColumn="0" w:firstRowLastColumn="0" w:lastRowFirstColumn="0" w:lastRowLastColumn="0"/>
              <w:rPr>
                <w:rFonts w:cs="Calibri"/>
                <w:b w:val="0"/>
                <w:bCs/>
                <w:sz w:val="20"/>
              </w:rPr>
            </w:pPr>
            <w:r>
              <w:rPr>
                <w:rFonts w:cs="Calibri"/>
                <w:b w:val="0"/>
                <w:bCs/>
                <w:sz w:val="20"/>
              </w:rPr>
              <w:t>October 2014 – September 2015</w:t>
            </w:r>
          </w:p>
        </w:tc>
      </w:tr>
      <w:tr w:rsidR="00A9061E" w:rsidRPr="0027725A" w14:paraId="607D1958" w14:textId="77777777" w:rsidTr="004468B2">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880" w:type="dxa"/>
            <w:noWrap/>
            <w:hideMark/>
          </w:tcPr>
          <w:p w14:paraId="74F553B9" w14:textId="77777777" w:rsidR="00A9061E" w:rsidRPr="00CB23F8" w:rsidRDefault="00A9061E" w:rsidP="003971DF">
            <w:pPr>
              <w:keepNext/>
              <w:widowControl w:val="0"/>
              <w:jc w:val="left"/>
              <w:rPr>
                <w:rFonts w:cs="Calibri"/>
                <w:color w:val="000000"/>
                <w:szCs w:val="20"/>
              </w:rPr>
            </w:pPr>
            <w:r>
              <w:rPr>
                <w:rFonts w:cs="Calibri"/>
                <w:color w:val="000000"/>
                <w:szCs w:val="20"/>
              </w:rPr>
              <w:t>Annual Decay Rate</w:t>
            </w:r>
          </w:p>
        </w:tc>
        <w:tc>
          <w:tcPr>
            <w:tcW w:w="3600" w:type="dxa"/>
            <w:noWrap/>
          </w:tcPr>
          <w:p w14:paraId="0299C73D" w14:textId="77777777" w:rsidR="00A9061E" w:rsidRPr="00CB23F8" w:rsidRDefault="00A9061E" w:rsidP="000B26EA">
            <w:pPr>
              <w:keepNext/>
              <w:widowControl w:val="0"/>
              <w:cnfStyle w:val="000000100000" w:firstRow="0" w:lastRow="0" w:firstColumn="0" w:lastColumn="0" w:oddVBand="0" w:evenVBand="0" w:oddHBand="1" w:evenHBand="0" w:firstRowFirstColumn="0" w:firstRowLastColumn="0" w:lastRowFirstColumn="0" w:lastRowLastColumn="0"/>
              <w:rPr>
                <w:rFonts w:cs="Calibri"/>
                <w:color w:val="000000"/>
                <w:szCs w:val="20"/>
              </w:rPr>
            </w:pPr>
            <w:r>
              <w:rPr>
                <w:rFonts w:cs="Calibri"/>
                <w:color w:val="000000"/>
                <w:szCs w:val="20"/>
              </w:rPr>
              <w:t>46%</w:t>
            </w:r>
          </w:p>
        </w:tc>
      </w:tr>
      <w:tr w:rsidR="00A9061E" w:rsidRPr="0027725A" w14:paraId="1682DFF1" w14:textId="77777777" w:rsidTr="004468B2">
        <w:trPr>
          <w:cnfStyle w:val="000000010000" w:firstRow="0" w:lastRow="0" w:firstColumn="0" w:lastColumn="0" w:oddVBand="0" w:evenVBand="0" w:oddHBand="0" w:evenHBand="1"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880" w:type="dxa"/>
            <w:noWrap/>
          </w:tcPr>
          <w:p w14:paraId="3A4228ED" w14:textId="77777777" w:rsidR="00A9061E" w:rsidRDefault="00A9061E" w:rsidP="003971DF">
            <w:pPr>
              <w:keepNext/>
              <w:widowControl w:val="0"/>
              <w:jc w:val="left"/>
              <w:rPr>
                <w:rFonts w:cs="Calibri"/>
                <w:color w:val="000000"/>
                <w:szCs w:val="20"/>
              </w:rPr>
            </w:pPr>
            <w:r>
              <w:rPr>
                <w:rFonts w:cs="Calibri"/>
                <w:color w:val="000000"/>
                <w:szCs w:val="20"/>
              </w:rPr>
              <w:t>Lifetime Persistence Savings, Therms</w:t>
            </w:r>
          </w:p>
        </w:tc>
        <w:tc>
          <w:tcPr>
            <w:tcW w:w="3600" w:type="dxa"/>
            <w:noWrap/>
          </w:tcPr>
          <w:p w14:paraId="1728E26B" w14:textId="77777777" w:rsidR="00A9061E" w:rsidRDefault="00A9061E" w:rsidP="000B26EA">
            <w:pPr>
              <w:keepNext/>
              <w:widowControl w:val="0"/>
              <w:cnfStyle w:val="000000010000" w:firstRow="0" w:lastRow="0" w:firstColumn="0" w:lastColumn="0" w:oddVBand="0" w:evenVBand="0" w:oddHBand="0" w:evenHBand="1" w:firstRowFirstColumn="0" w:firstRowLastColumn="0" w:lastRowFirstColumn="0" w:lastRowLastColumn="0"/>
              <w:rPr>
                <w:rFonts w:cs="Calibri"/>
                <w:color w:val="000000"/>
                <w:szCs w:val="20"/>
              </w:rPr>
            </w:pPr>
            <w:r w:rsidRPr="004D75E4">
              <w:rPr>
                <w:rFonts w:cs="Calibri"/>
                <w:color w:val="000000"/>
                <w:szCs w:val="20"/>
              </w:rPr>
              <w:t>8,8</w:t>
            </w:r>
            <w:r>
              <w:rPr>
                <w:rFonts w:cs="Calibri"/>
                <w:color w:val="000000"/>
                <w:szCs w:val="20"/>
              </w:rPr>
              <w:t>61,472</w:t>
            </w:r>
          </w:p>
        </w:tc>
      </w:tr>
      <w:tr w:rsidR="00A9061E" w:rsidRPr="0027725A" w14:paraId="7BB40D4A" w14:textId="77777777" w:rsidTr="004468B2">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880" w:type="dxa"/>
            <w:noWrap/>
          </w:tcPr>
          <w:p w14:paraId="35D5D573" w14:textId="77777777" w:rsidR="00A9061E" w:rsidRDefault="00A9061E" w:rsidP="003971DF">
            <w:pPr>
              <w:keepNext/>
              <w:widowControl w:val="0"/>
              <w:jc w:val="left"/>
              <w:rPr>
                <w:rFonts w:cs="Calibri"/>
                <w:color w:val="000000"/>
                <w:szCs w:val="20"/>
              </w:rPr>
            </w:pPr>
            <w:r>
              <w:rPr>
                <w:rFonts w:cs="Calibri"/>
                <w:color w:val="000000"/>
                <w:szCs w:val="20"/>
              </w:rPr>
              <w:t>HER Measure Life</w:t>
            </w:r>
          </w:p>
        </w:tc>
        <w:tc>
          <w:tcPr>
            <w:tcW w:w="3600" w:type="dxa"/>
            <w:noWrap/>
          </w:tcPr>
          <w:p w14:paraId="676A7FC1" w14:textId="77777777" w:rsidR="00A9061E" w:rsidRPr="004D75E4" w:rsidRDefault="00A9061E" w:rsidP="000B26EA">
            <w:pPr>
              <w:keepNext/>
              <w:widowControl w:val="0"/>
              <w:cnfStyle w:val="000000100000" w:firstRow="0" w:lastRow="0" w:firstColumn="0" w:lastColumn="0" w:oddVBand="0" w:evenVBand="0" w:oddHBand="1" w:evenHBand="0" w:firstRowFirstColumn="0" w:firstRowLastColumn="0" w:lastRowFirstColumn="0" w:lastRowLastColumn="0"/>
              <w:rPr>
                <w:rFonts w:cs="Calibri"/>
                <w:color w:val="000000"/>
                <w:szCs w:val="20"/>
              </w:rPr>
            </w:pPr>
            <w:r>
              <w:rPr>
                <w:rFonts w:cs="Calibri"/>
                <w:color w:val="000000"/>
                <w:szCs w:val="20"/>
              </w:rPr>
              <w:t>3.08 years</w:t>
            </w:r>
          </w:p>
        </w:tc>
      </w:tr>
    </w:tbl>
    <w:p w14:paraId="456ECB97" w14:textId="77777777" w:rsidR="00A9061E" w:rsidRDefault="00A9061E" w:rsidP="003971DF">
      <w:pPr>
        <w:pStyle w:val="GraphFootnote"/>
        <w:keepNext/>
        <w:ind w:left="720" w:firstLine="630"/>
      </w:pPr>
      <w:r w:rsidRPr="00651E3A">
        <w:t xml:space="preserve">Source: </w:t>
      </w:r>
      <w:r>
        <w:t xml:space="preserve">Nicor Gas billing </w:t>
      </w:r>
      <w:r w:rsidRPr="00651E3A">
        <w:t>data</w:t>
      </w:r>
      <w:r>
        <w:t>, Opower implementation data,</w:t>
      </w:r>
      <w:r w:rsidRPr="00651E3A">
        <w:t xml:space="preserve"> and Navigant analysis</w:t>
      </w:r>
    </w:p>
    <w:p w14:paraId="46853580" w14:textId="77777777" w:rsidR="00A9061E" w:rsidRDefault="00A9061E" w:rsidP="00A9061E"/>
    <w:p w14:paraId="7F623A93" w14:textId="58E30732" w:rsidR="00A9061E" w:rsidRPr="00075E3F" w:rsidRDefault="00A9061E" w:rsidP="00A9061E">
      <w:r>
        <w:lastRenderedPageBreak/>
        <w:t xml:space="preserve">These results suggest that the average annual decay rate for the Nicor </w:t>
      </w:r>
      <w:r w:rsidR="008D6F3F">
        <w:t xml:space="preserve">Gas </w:t>
      </w:r>
      <w:r>
        <w:t>HER program is 46%, meaning that the persistence factor</w:t>
      </w:r>
      <w:r>
        <w:rPr>
          <w:rStyle w:val="FootnoteReference"/>
        </w:rPr>
        <w:footnoteReference w:id="24"/>
      </w:r>
      <w:r>
        <w:t xml:space="preserve"> after one year is 54%. Based on this decay rate, the measure life for this HER program is three years. This means that if reports are sent for one year, treatment customers will continue to achieve savings for two more years after reports are stopped.</w:t>
      </w:r>
    </w:p>
    <w:p w14:paraId="766E19C0" w14:textId="77777777" w:rsidR="00A9061E" w:rsidRPr="004D75E4" w:rsidRDefault="00A9061E" w:rsidP="00A9061E"/>
    <w:p w14:paraId="78DEE0CB" w14:textId="77777777" w:rsidR="00A9061E" w:rsidRDefault="00A9061E" w:rsidP="00A9061E">
      <w:pPr>
        <w:pStyle w:val="Heading1"/>
      </w:pPr>
      <w:bookmarkStart w:id="62" w:name="_Toc440983237"/>
      <w:r>
        <w:lastRenderedPageBreak/>
        <w:t>Findings</w:t>
      </w:r>
      <w:r w:rsidRPr="00A90B62">
        <w:t xml:space="preserve"> and Recommendations</w:t>
      </w:r>
      <w:bookmarkEnd w:id="62"/>
    </w:p>
    <w:p w14:paraId="3344475C" w14:textId="77777777" w:rsidR="002232B6" w:rsidRPr="00640F6C" w:rsidRDefault="002232B6" w:rsidP="002232B6">
      <w:pPr>
        <w:rPr>
          <w:b/>
        </w:rPr>
      </w:pPr>
      <w:r>
        <w:t xml:space="preserve">This section summarizes the key impact findings and recommendations. </w:t>
      </w:r>
    </w:p>
    <w:p w14:paraId="5D72741B" w14:textId="77777777" w:rsidR="002232B6" w:rsidRDefault="002232B6" w:rsidP="002232B6">
      <w:pPr>
        <w:rPr>
          <w:b/>
        </w:rPr>
      </w:pPr>
    </w:p>
    <w:p w14:paraId="0ADD07EE" w14:textId="1897F8F6" w:rsidR="002232B6" w:rsidRDefault="002232B6" w:rsidP="002232B6">
      <w:pPr>
        <w:ind w:left="540"/>
      </w:pPr>
      <w:r w:rsidRPr="00C33AE0">
        <w:rPr>
          <w:b/>
        </w:rPr>
        <w:t xml:space="preserve">Finding </w:t>
      </w:r>
      <w:r>
        <w:rPr>
          <w:b/>
        </w:rPr>
        <w:t>1</w:t>
      </w:r>
      <w:r w:rsidRPr="00C33AE0">
        <w:rPr>
          <w:b/>
        </w:rPr>
        <w:t>.</w:t>
      </w:r>
      <w:r w:rsidRPr="00C33AE0">
        <w:t xml:space="preserve"> </w:t>
      </w:r>
      <w:r>
        <w:t xml:space="preserve">The utility-specific annual decay rate for the Nicor </w:t>
      </w:r>
      <w:r w:rsidR="008D6F3F">
        <w:t xml:space="preserve">Gas </w:t>
      </w:r>
      <w:r>
        <w:t>HER program is 46% one year after reports were stopped. This implies a persistence factor of 54% for the first year after reports are stopped, meaning that 54% of the program savings persist after one year.</w:t>
      </w:r>
    </w:p>
    <w:p w14:paraId="5C85D9F3" w14:textId="77777777" w:rsidR="002232B6" w:rsidRDefault="002232B6" w:rsidP="002232B6">
      <w:pPr>
        <w:ind w:left="540"/>
      </w:pPr>
    </w:p>
    <w:p w14:paraId="16072ABA" w14:textId="1936A925" w:rsidR="002232B6" w:rsidRDefault="002232B6" w:rsidP="002232B6">
      <w:pPr>
        <w:ind w:left="540"/>
      </w:pPr>
      <w:r>
        <w:rPr>
          <w:b/>
        </w:rPr>
        <w:t xml:space="preserve">Finding 2. </w:t>
      </w:r>
      <w:r>
        <w:t xml:space="preserve">The estimated measure life for the Nicor </w:t>
      </w:r>
      <w:r w:rsidR="008D6F3F">
        <w:t xml:space="preserve">Gas </w:t>
      </w:r>
      <w:r>
        <w:t>HER program is three years. This means that if reports are sent for one year, treatment customers will continue to achieve savings for two more years after reports are stopped.</w:t>
      </w:r>
    </w:p>
    <w:p w14:paraId="2BFEE72E" w14:textId="77777777" w:rsidR="002232B6" w:rsidRDefault="002232B6" w:rsidP="002232B6">
      <w:pPr>
        <w:ind w:left="540"/>
      </w:pPr>
    </w:p>
    <w:p w14:paraId="6CF79FBB" w14:textId="77777777" w:rsidR="002232B6" w:rsidRDefault="002232B6" w:rsidP="002232B6">
      <w:pPr>
        <w:ind w:left="540"/>
      </w:pPr>
      <w:r w:rsidRPr="00422181">
        <w:rPr>
          <w:b/>
        </w:rPr>
        <w:t>Recommendation</w:t>
      </w:r>
      <w:r>
        <w:rPr>
          <w:b/>
        </w:rPr>
        <w:t xml:space="preserve"> 1</w:t>
      </w:r>
      <w:r w:rsidRPr="00422181">
        <w:rPr>
          <w:b/>
        </w:rPr>
        <w:t>.</w:t>
      </w:r>
      <w:r w:rsidRPr="00C33AE0">
        <w:t xml:space="preserve"> </w:t>
      </w:r>
      <w:r>
        <w:t>The results of this research, a decay rate of 46% and a measure life of three years, should be considered in determining persistence factors and measure life for the Illinois TRM. This study represents one data point in a broader literature and any values created for the Illinois TRM should also take the broader literature into account. Combining the results of this research and the GPY3 evaluation shows that lifetime savings from the GPY3 program were almost nine million therms or a bit more than double the therm savings achieved in GPY3.</w:t>
      </w:r>
    </w:p>
    <w:p w14:paraId="72B7C8D5" w14:textId="77777777" w:rsidR="002232B6" w:rsidRDefault="002232B6" w:rsidP="002232B6">
      <w:pPr>
        <w:ind w:left="540"/>
      </w:pPr>
    </w:p>
    <w:p w14:paraId="0FA095FB" w14:textId="6103B79F" w:rsidR="002232B6" w:rsidRPr="00871403" w:rsidRDefault="002232B6" w:rsidP="002232B6">
      <w:pPr>
        <w:ind w:left="540"/>
      </w:pPr>
      <w:r>
        <w:rPr>
          <w:b/>
        </w:rPr>
        <w:t xml:space="preserve">Recommendation 2. </w:t>
      </w:r>
      <w:r>
        <w:t xml:space="preserve">Nicor </w:t>
      </w:r>
      <w:r w:rsidR="008D6F3F">
        <w:t xml:space="preserve">Gas </w:t>
      </w:r>
      <w:r>
        <w:t>should continue this study for another year and look at savings in the second year after reports are stopped, from October 2015 to September 2016. The continued study would estimate the decay rate in the second year after reports are stopped. This would add to research on whether decay rates remain constant, increase, or decrease in the second year after reports are stopped and the results could be used to inform second year persistence factors in the Illinois TRM.</w:t>
      </w:r>
    </w:p>
    <w:p w14:paraId="48D0FD9F" w14:textId="368ADF72" w:rsidR="00A9061E" w:rsidRPr="00640F6C" w:rsidRDefault="00A9061E" w:rsidP="00A9061E">
      <w:pPr>
        <w:ind w:left="540"/>
        <w:rPr>
          <w:b/>
        </w:rPr>
      </w:pPr>
    </w:p>
    <w:p w14:paraId="149E85AC" w14:textId="77777777" w:rsidR="00A9061E" w:rsidRDefault="00A9061E" w:rsidP="00A9061E">
      <w:pPr>
        <w:rPr>
          <w:b/>
        </w:rPr>
      </w:pPr>
    </w:p>
    <w:p w14:paraId="207AC0D9" w14:textId="77777777" w:rsidR="00A9061E" w:rsidRPr="007D38BA" w:rsidRDefault="00A9061E" w:rsidP="00A9061E"/>
    <w:p w14:paraId="20450280" w14:textId="72262A0E" w:rsidR="00A9061E" w:rsidRDefault="003B38C3" w:rsidP="003B38C3">
      <w:pPr>
        <w:pStyle w:val="Heading1"/>
      </w:pPr>
      <w:bookmarkStart w:id="63" w:name="_Toc440983238"/>
      <w:r>
        <w:lastRenderedPageBreak/>
        <w:t>APPENDIX</w:t>
      </w:r>
      <w:bookmarkEnd w:id="63"/>
    </w:p>
    <w:p w14:paraId="31FC2F40" w14:textId="7AD81D82" w:rsidR="003B38C3" w:rsidRDefault="003971DF" w:rsidP="003B38C3">
      <w:pPr>
        <w:pStyle w:val="Heading2"/>
      </w:pPr>
      <w:bookmarkStart w:id="64" w:name="_Ref440982694"/>
      <w:bookmarkStart w:id="65" w:name="_Toc440983239"/>
      <w:r>
        <w:t>RCT MEMO</w:t>
      </w:r>
      <w:bookmarkEnd w:id="64"/>
      <w:bookmarkEnd w:id="65"/>
    </w:p>
    <w:p w14:paraId="127DAEC9" w14:textId="77777777" w:rsidR="00A9061E" w:rsidRDefault="00A9061E" w:rsidP="00A9061E">
      <w:r>
        <w:t>The following is a copy of the memo Navigant provided to Nicor Gas in September 2013 with the results of the RCT consistency check.</w:t>
      </w:r>
    </w:p>
    <w:p w14:paraId="7AA71707" w14:textId="77777777" w:rsidR="00A9061E" w:rsidRPr="00F73C5D" w:rsidRDefault="00A9061E" w:rsidP="00A9061E"/>
    <w:tbl>
      <w:tblPr>
        <w:tblW w:w="0" w:type="auto"/>
        <w:tblLook w:val="00A0" w:firstRow="1" w:lastRow="0" w:firstColumn="1" w:lastColumn="0" w:noHBand="0" w:noVBand="0"/>
      </w:tblPr>
      <w:tblGrid>
        <w:gridCol w:w="826"/>
        <w:gridCol w:w="8390"/>
      </w:tblGrid>
      <w:tr w:rsidR="00A9061E" w14:paraId="34636CD7" w14:textId="77777777" w:rsidTr="000B26EA">
        <w:tc>
          <w:tcPr>
            <w:tcW w:w="826" w:type="dxa"/>
          </w:tcPr>
          <w:p w14:paraId="772B68B7" w14:textId="77777777" w:rsidR="00A9061E" w:rsidRDefault="00A9061E" w:rsidP="000B26EA">
            <w:pPr>
              <w:pStyle w:val="MemoFrame"/>
              <w:spacing w:line="240" w:lineRule="auto"/>
              <w:rPr>
                <w:rFonts w:ascii="Palatino Linotype" w:hAnsi="Palatino Linotype"/>
              </w:rPr>
            </w:pPr>
            <w:r>
              <w:rPr>
                <w:rFonts w:ascii="Palatino Linotype" w:hAnsi="Palatino Linotype"/>
              </w:rPr>
              <w:t>To:</w:t>
            </w:r>
          </w:p>
        </w:tc>
        <w:tc>
          <w:tcPr>
            <w:tcW w:w="8390" w:type="dxa"/>
          </w:tcPr>
          <w:p w14:paraId="575D3A60" w14:textId="77777777" w:rsidR="00A9061E" w:rsidRPr="001C5E7A" w:rsidRDefault="00A9061E" w:rsidP="000B26EA">
            <w:pPr>
              <w:pStyle w:val="MemoFrame"/>
              <w:spacing w:line="240" w:lineRule="auto"/>
              <w:rPr>
                <w:rFonts w:ascii="Palatino Linotype" w:hAnsi="Palatino Linotype"/>
              </w:rPr>
            </w:pPr>
            <w:r w:rsidRPr="001C5E7A">
              <w:rPr>
                <w:rFonts w:ascii="Palatino Linotype" w:hAnsi="Palatino Linotype"/>
              </w:rPr>
              <w:t>Steve Grzenia; Nicor</w:t>
            </w:r>
          </w:p>
          <w:p w14:paraId="2E95657E" w14:textId="77777777" w:rsidR="00A9061E" w:rsidRDefault="00A9061E" w:rsidP="000B26EA">
            <w:pPr>
              <w:pStyle w:val="MemoFrame"/>
              <w:spacing w:line="240" w:lineRule="auto"/>
              <w:rPr>
                <w:rFonts w:ascii="Palatino Linotype" w:hAnsi="Palatino Linotype"/>
              </w:rPr>
            </w:pPr>
            <w:r w:rsidRPr="001C5E7A">
              <w:rPr>
                <w:rFonts w:ascii="Palatino Linotype" w:hAnsi="Palatino Linotype"/>
              </w:rPr>
              <w:t xml:space="preserve">Gina </w:t>
            </w:r>
            <w:proofErr w:type="spellStart"/>
            <w:r w:rsidRPr="001C5E7A">
              <w:rPr>
                <w:rFonts w:ascii="Palatino Linotype" w:hAnsi="Palatino Linotype"/>
              </w:rPr>
              <w:t>Valo</w:t>
            </w:r>
            <w:proofErr w:type="spellEnd"/>
            <w:r w:rsidRPr="001C5E7A">
              <w:rPr>
                <w:rFonts w:ascii="Palatino Linotype" w:hAnsi="Palatino Linotype"/>
              </w:rPr>
              <w:t>; Opower</w:t>
            </w:r>
          </w:p>
        </w:tc>
      </w:tr>
      <w:tr w:rsidR="00A9061E" w14:paraId="7444F346" w14:textId="77777777" w:rsidTr="000B26EA">
        <w:tc>
          <w:tcPr>
            <w:tcW w:w="826" w:type="dxa"/>
          </w:tcPr>
          <w:p w14:paraId="65533451" w14:textId="77777777" w:rsidR="00A9061E" w:rsidRDefault="00A9061E" w:rsidP="000B26EA">
            <w:pPr>
              <w:pStyle w:val="MemoFrame"/>
              <w:spacing w:line="240" w:lineRule="auto"/>
              <w:rPr>
                <w:rFonts w:ascii="Palatino Linotype" w:hAnsi="Palatino Linotype"/>
              </w:rPr>
            </w:pPr>
          </w:p>
        </w:tc>
        <w:tc>
          <w:tcPr>
            <w:tcW w:w="8390" w:type="dxa"/>
          </w:tcPr>
          <w:p w14:paraId="440AFAD1" w14:textId="77777777" w:rsidR="00A9061E" w:rsidRDefault="00A9061E" w:rsidP="000B26EA">
            <w:pPr>
              <w:pStyle w:val="MemoFrame"/>
              <w:spacing w:line="240" w:lineRule="auto"/>
              <w:rPr>
                <w:rFonts w:ascii="Palatino Linotype" w:hAnsi="Palatino Linotype"/>
              </w:rPr>
            </w:pPr>
          </w:p>
        </w:tc>
      </w:tr>
      <w:tr w:rsidR="00A9061E" w14:paraId="0C9D33C9" w14:textId="77777777" w:rsidTr="000B26EA">
        <w:tc>
          <w:tcPr>
            <w:tcW w:w="826" w:type="dxa"/>
          </w:tcPr>
          <w:p w14:paraId="1435ABFC" w14:textId="77777777" w:rsidR="00A9061E" w:rsidRDefault="00A9061E" w:rsidP="000B26EA">
            <w:pPr>
              <w:pStyle w:val="MemoFrame"/>
              <w:spacing w:line="240" w:lineRule="auto"/>
              <w:rPr>
                <w:rFonts w:ascii="Palatino Linotype" w:hAnsi="Palatino Linotype"/>
              </w:rPr>
            </w:pPr>
            <w:r>
              <w:rPr>
                <w:rFonts w:ascii="Palatino Linotype" w:hAnsi="Palatino Linotype"/>
              </w:rPr>
              <w:t>From:</w:t>
            </w:r>
          </w:p>
        </w:tc>
        <w:tc>
          <w:tcPr>
            <w:tcW w:w="8390" w:type="dxa"/>
          </w:tcPr>
          <w:p w14:paraId="6A139738" w14:textId="77777777" w:rsidR="00A9061E" w:rsidRDefault="00A9061E" w:rsidP="000B26EA">
            <w:pPr>
              <w:pStyle w:val="MemoFrame"/>
              <w:spacing w:line="240" w:lineRule="auto"/>
              <w:rPr>
                <w:rFonts w:ascii="Palatino Linotype" w:hAnsi="Palatino Linotype"/>
              </w:rPr>
            </w:pPr>
            <w:r>
              <w:rPr>
                <w:rFonts w:ascii="Palatino Linotype" w:hAnsi="Palatino Linotype"/>
              </w:rPr>
              <w:t xml:space="preserve">Bethany </w:t>
            </w:r>
            <w:proofErr w:type="spellStart"/>
            <w:r>
              <w:rPr>
                <w:rFonts w:ascii="Palatino Linotype" w:hAnsi="Palatino Linotype"/>
              </w:rPr>
              <w:t>Glinsmann</w:t>
            </w:r>
            <w:proofErr w:type="spellEnd"/>
            <w:r>
              <w:rPr>
                <w:rFonts w:ascii="Palatino Linotype" w:hAnsi="Palatino Linotype"/>
              </w:rPr>
              <w:t>; Navigant</w:t>
            </w:r>
          </w:p>
        </w:tc>
      </w:tr>
      <w:tr w:rsidR="00A9061E" w14:paraId="597BA980" w14:textId="77777777" w:rsidTr="000B26EA">
        <w:tc>
          <w:tcPr>
            <w:tcW w:w="826" w:type="dxa"/>
          </w:tcPr>
          <w:p w14:paraId="05D863D7" w14:textId="77777777" w:rsidR="00A9061E" w:rsidRDefault="00A9061E" w:rsidP="000B26EA">
            <w:pPr>
              <w:pStyle w:val="MemoFrame"/>
              <w:spacing w:line="240" w:lineRule="auto"/>
              <w:rPr>
                <w:rFonts w:ascii="Palatino Linotype" w:hAnsi="Palatino Linotype"/>
              </w:rPr>
            </w:pPr>
          </w:p>
        </w:tc>
        <w:tc>
          <w:tcPr>
            <w:tcW w:w="8390" w:type="dxa"/>
          </w:tcPr>
          <w:p w14:paraId="597ADCF6" w14:textId="77777777" w:rsidR="00A9061E" w:rsidRDefault="00A9061E" w:rsidP="000B26EA">
            <w:pPr>
              <w:pStyle w:val="MemoFrame"/>
              <w:spacing w:line="240" w:lineRule="auto"/>
              <w:rPr>
                <w:rFonts w:ascii="Palatino Linotype" w:hAnsi="Palatino Linotype"/>
              </w:rPr>
            </w:pPr>
          </w:p>
        </w:tc>
      </w:tr>
      <w:tr w:rsidR="00A9061E" w14:paraId="42D224BE" w14:textId="77777777" w:rsidTr="000B26EA">
        <w:tc>
          <w:tcPr>
            <w:tcW w:w="826" w:type="dxa"/>
          </w:tcPr>
          <w:p w14:paraId="78226F0F" w14:textId="77777777" w:rsidR="00A9061E" w:rsidRDefault="00A9061E" w:rsidP="000B26EA">
            <w:pPr>
              <w:pStyle w:val="MemoFrame"/>
              <w:spacing w:line="240" w:lineRule="auto"/>
              <w:rPr>
                <w:rFonts w:ascii="Palatino Linotype" w:hAnsi="Palatino Linotype"/>
              </w:rPr>
            </w:pPr>
            <w:r>
              <w:rPr>
                <w:rFonts w:ascii="Palatino Linotype" w:hAnsi="Palatino Linotype"/>
              </w:rPr>
              <w:t>Date:</w:t>
            </w:r>
          </w:p>
        </w:tc>
        <w:tc>
          <w:tcPr>
            <w:tcW w:w="8390" w:type="dxa"/>
          </w:tcPr>
          <w:p w14:paraId="5C0B914D" w14:textId="77777777" w:rsidR="00A9061E" w:rsidRDefault="00A9061E" w:rsidP="000B26EA">
            <w:pPr>
              <w:pStyle w:val="MemoFrame"/>
              <w:spacing w:line="240" w:lineRule="auto"/>
              <w:rPr>
                <w:rFonts w:ascii="Palatino Linotype" w:hAnsi="Palatino Linotype"/>
              </w:rPr>
            </w:pPr>
            <w:r>
              <w:rPr>
                <w:rFonts w:ascii="Palatino Linotype" w:hAnsi="Palatino Linotype"/>
              </w:rPr>
              <w:t>September 20</w:t>
            </w:r>
            <w:r w:rsidRPr="00DE090D">
              <w:rPr>
                <w:rFonts w:ascii="Palatino Linotype" w:hAnsi="Palatino Linotype"/>
              </w:rPr>
              <w:t>, 2013</w:t>
            </w:r>
          </w:p>
        </w:tc>
      </w:tr>
      <w:tr w:rsidR="00A9061E" w14:paraId="4A256599" w14:textId="77777777" w:rsidTr="000B26EA">
        <w:tc>
          <w:tcPr>
            <w:tcW w:w="826" w:type="dxa"/>
          </w:tcPr>
          <w:p w14:paraId="12D86AD6" w14:textId="77777777" w:rsidR="00A9061E" w:rsidRDefault="00A9061E" w:rsidP="000B26EA">
            <w:pPr>
              <w:pStyle w:val="MemoFrame"/>
              <w:spacing w:line="240" w:lineRule="auto"/>
              <w:rPr>
                <w:rFonts w:ascii="Palatino Linotype" w:hAnsi="Palatino Linotype"/>
              </w:rPr>
            </w:pPr>
          </w:p>
        </w:tc>
        <w:tc>
          <w:tcPr>
            <w:tcW w:w="8390" w:type="dxa"/>
          </w:tcPr>
          <w:p w14:paraId="1387571B" w14:textId="77777777" w:rsidR="00A9061E" w:rsidRDefault="00A9061E" w:rsidP="000B26EA">
            <w:pPr>
              <w:pStyle w:val="MemoFrame"/>
              <w:spacing w:line="240" w:lineRule="auto"/>
              <w:rPr>
                <w:rFonts w:ascii="Palatino Linotype" w:hAnsi="Palatino Linotype"/>
              </w:rPr>
            </w:pPr>
          </w:p>
        </w:tc>
      </w:tr>
      <w:tr w:rsidR="00A9061E" w14:paraId="3F9F55A5" w14:textId="77777777" w:rsidTr="000B26EA">
        <w:tc>
          <w:tcPr>
            <w:tcW w:w="826" w:type="dxa"/>
          </w:tcPr>
          <w:p w14:paraId="17B780AA" w14:textId="77777777" w:rsidR="00A9061E" w:rsidRDefault="00A9061E" w:rsidP="000B26EA">
            <w:pPr>
              <w:pStyle w:val="MemoFrame"/>
              <w:spacing w:line="240" w:lineRule="auto"/>
              <w:rPr>
                <w:rFonts w:ascii="Palatino Linotype" w:hAnsi="Palatino Linotype"/>
              </w:rPr>
            </w:pPr>
            <w:r>
              <w:rPr>
                <w:rFonts w:ascii="Palatino Linotype" w:hAnsi="Palatino Linotype"/>
              </w:rPr>
              <w:t>Re:</w:t>
            </w:r>
          </w:p>
        </w:tc>
        <w:tc>
          <w:tcPr>
            <w:tcW w:w="8390" w:type="dxa"/>
          </w:tcPr>
          <w:p w14:paraId="75CFCAAD" w14:textId="77777777" w:rsidR="00A9061E" w:rsidRDefault="00A9061E" w:rsidP="000B26EA">
            <w:pPr>
              <w:pStyle w:val="MemoFrame"/>
              <w:spacing w:line="240" w:lineRule="auto"/>
              <w:rPr>
                <w:rFonts w:ascii="Palatino Linotype" w:hAnsi="Palatino Linotype"/>
              </w:rPr>
            </w:pPr>
            <w:r>
              <w:rPr>
                <w:rFonts w:ascii="Palatino Linotype" w:hAnsi="Palatino Linotype"/>
              </w:rPr>
              <w:t>Validation of Control Group for Nicor Gas HER Program</w:t>
            </w:r>
          </w:p>
        </w:tc>
      </w:tr>
    </w:tbl>
    <w:p w14:paraId="5EA56C16" w14:textId="77777777" w:rsidR="00A9061E" w:rsidRDefault="00A9061E" w:rsidP="00A9061E">
      <w:pPr>
        <w:pStyle w:val="Salutation"/>
        <w:spacing w:line="240" w:lineRule="auto"/>
        <w:jc w:val="left"/>
        <w:rPr>
          <w:rFonts w:ascii="Palatino Linotype" w:hAnsi="Palatino Linotype"/>
          <w:sz w:val="20"/>
          <w:szCs w:val="18"/>
        </w:rPr>
      </w:pPr>
    </w:p>
    <w:p w14:paraId="0B307D55" w14:textId="77777777" w:rsidR="00A9061E" w:rsidRDefault="00A9061E" w:rsidP="00A9061E">
      <w:r>
        <w:rPr>
          <w:snapToGrid w:val="0"/>
        </w:rPr>
        <w:t xml:space="preserve">This memorandum addresses Navigant’s validation of the random allocation of households to the treatment and control groups for the Nicor Gas Home Energy Report (HER) program. </w:t>
      </w:r>
    </w:p>
    <w:p w14:paraId="5E44EA96" w14:textId="77777777" w:rsidR="00A9061E" w:rsidRDefault="00A9061E" w:rsidP="00A9061E">
      <w:pPr>
        <w:rPr>
          <w:b/>
          <w:snapToGrid w:val="0"/>
        </w:rPr>
      </w:pPr>
    </w:p>
    <w:p w14:paraId="14E86BFD" w14:textId="77777777" w:rsidR="00A9061E" w:rsidRPr="00A404ED" w:rsidRDefault="00A9061E" w:rsidP="00A9061E">
      <w:pPr>
        <w:rPr>
          <w:b/>
        </w:rPr>
      </w:pPr>
      <w:r>
        <w:rPr>
          <w:b/>
        </w:rPr>
        <w:t>Methodology</w:t>
      </w:r>
    </w:p>
    <w:p w14:paraId="3383872D" w14:textId="77777777" w:rsidR="00A9061E" w:rsidRDefault="00A9061E" w:rsidP="00A9061E"/>
    <w:p w14:paraId="57E5A103" w14:textId="77777777" w:rsidR="00A9061E" w:rsidRDefault="00A9061E" w:rsidP="00A9061E">
      <w:r>
        <w:t xml:space="preserve">The HER program consists of 351,843 participants and </w:t>
      </w:r>
      <w:r w:rsidRPr="00747625">
        <w:t>30,000</w:t>
      </w:r>
      <w:r>
        <w:t xml:space="preserve"> control households designated by the program implementer, Opower. Navigant compared the monthly energy usage of the treatment and control groups during the 12 month period prior to the start of the program (September 2012 through August 2013). If the allocation of the households across the treatment and control groups is truly random, the two groups should have the same distribution of energy usage for each of the 12 months before the start of the program. For this analysis, Navigant compared the mean usage for the two groups for each of the 12 months before the start of the program.</w:t>
      </w:r>
    </w:p>
    <w:p w14:paraId="1F5EDDDD" w14:textId="77777777" w:rsidR="00A9061E" w:rsidRDefault="00A9061E" w:rsidP="00A9061E"/>
    <w:p w14:paraId="15721EBC" w14:textId="66A83E07" w:rsidR="00A9061E" w:rsidRDefault="00A9061E" w:rsidP="00A9061E">
      <w:r>
        <w:t xml:space="preserve">Note that Nicor </w:t>
      </w:r>
      <w:r w:rsidR="008D6F3F">
        <w:t xml:space="preserve">Gas </w:t>
      </w:r>
      <w:r>
        <w:t xml:space="preserve">has bi-monthly meter readings. For this analysis Navigant combined estimated reads with the following actual read, creating a long bill with actual usage. Approximately half of the treatment customers and half of the control customers have a bill that ends in any given month. </w:t>
      </w:r>
    </w:p>
    <w:p w14:paraId="5611D5A8" w14:textId="77777777" w:rsidR="00A9061E" w:rsidRDefault="00A9061E" w:rsidP="00A9061E">
      <w:pPr>
        <w:rPr>
          <w:b/>
        </w:rPr>
      </w:pPr>
      <w:r>
        <w:rPr>
          <w:b/>
        </w:rPr>
        <w:br w:type="page"/>
      </w:r>
    </w:p>
    <w:p w14:paraId="053E7330" w14:textId="77777777" w:rsidR="00A9061E" w:rsidRDefault="00A9061E" w:rsidP="00A9061E">
      <w:r>
        <w:rPr>
          <w:b/>
        </w:rPr>
        <w:lastRenderedPageBreak/>
        <w:t>Results</w:t>
      </w:r>
    </w:p>
    <w:p w14:paraId="47D5B428" w14:textId="77777777" w:rsidR="00A9061E" w:rsidRDefault="00A9061E" w:rsidP="00A9061E"/>
    <w:p w14:paraId="6C6D3374" w14:textId="0C362883" w:rsidR="00A9061E" w:rsidRDefault="00A9061E" w:rsidP="00A9061E">
      <w:r>
        <w:t xml:space="preserve">The results of the analysis validate that program households were randomly allocated across the treatment and control groups. </w:t>
      </w:r>
      <w:r w:rsidR="00902AC7">
        <w:t xml:space="preserve">Figure 5-1 </w:t>
      </w:r>
      <w:r>
        <w:t>below depicts the average energy usage for treatment and control households for the 12 months prior to the start of the HER program. The blue line indicates the average energy usage for the control group and the red dashed line indicates the average energy usage for the treatment group. The two lines are essentially identical, indicating no difference in average usage patterns for the treatment and control groups. Navigant conducted a statistical test on the difference in the mean energy usage for the two groups in each of the twelve months. In general Navigant found the difference to be statistically insignificant at the 90% confidence level, with the exception of one month.</w:t>
      </w:r>
      <w:r>
        <w:rPr>
          <w:rStyle w:val="FootnoteReference"/>
          <w:rFonts w:eastAsiaTheme="majorEastAsia"/>
        </w:rPr>
        <w:footnoteReference w:id="25"/>
      </w:r>
      <w:r>
        <w:t xml:space="preserve"> The difference was statistically significantly at the 90% confidence level for July 2013. All differences were less than 0.03 therms in magnitude. </w:t>
      </w:r>
    </w:p>
    <w:p w14:paraId="345BC993" w14:textId="77777777" w:rsidR="00A9061E" w:rsidRDefault="00A9061E" w:rsidP="00A9061E"/>
    <w:p w14:paraId="4050DD8D" w14:textId="77777777" w:rsidR="00A9061E" w:rsidRPr="00043168" w:rsidRDefault="00A9061E" w:rsidP="00A9061E">
      <w:pPr>
        <w:pStyle w:val="Caption"/>
        <w:rPr>
          <w:color w:val="auto"/>
        </w:rPr>
      </w:pPr>
      <w:bookmarkStart w:id="66" w:name="_Toc441752065"/>
      <w:r w:rsidRPr="00043168">
        <w:rPr>
          <w:color w:val="auto"/>
        </w:rPr>
        <w:t xml:space="preserve">Figure </w:t>
      </w:r>
      <w:r>
        <w:rPr>
          <w:color w:val="auto"/>
        </w:rPr>
        <w:fldChar w:fldCharType="begin"/>
      </w:r>
      <w:r>
        <w:rPr>
          <w:color w:val="auto"/>
        </w:rPr>
        <w:instrText xml:space="preserve"> STYLEREF 1 \s </w:instrText>
      </w:r>
      <w:r>
        <w:rPr>
          <w:color w:val="auto"/>
        </w:rPr>
        <w:fldChar w:fldCharType="separate"/>
      </w:r>
      <w:r w:rsidR="003B38C3">
        <w:rPr>
          <w:noProof/>
          <w:color w:val="auto"/>
        </w:rPr>
        <w:t>5</w:t>
      </w:r>
      <w:r>
        <w:rPr>
          <w:color w:val="auto"/>
        </w:rPr>
        <w:fldChar w:fldCharType="end"/>
      </w:r>
      <w:r>
        <w:rPr>
          <w:color w:val="auto"/>
        </w:rPr>
        <w:noBreakHyphen/>
      </w:r>
      <w:r>
        <w:rPr>
          <w:color w:val="auto"/>
        </w:rPr>
        <w:fldChar w:fldCharType="begin"/>
      </w:r>
      <w:r>
        <w:rPr>
          <w:color w:val="auto"/>
        </w:rPr>
        <w:instrText xml:space="preserve"> SEQ Figure \* ARABIC \s 1 </w:instrText>
      </w:r>
      <w:r>
        <w:rPr>
          <w:color w:val="auto"/>
        </w:rPr>
        <w:fldChar w:fldCharType="separate"/>
      </w:r>
      <w:r w:rsidR="003B38C3">
        <w:rPr>
          <w:noProof/>
          <w:color w:val="auto"/>
        </w:rPr>
        <w:t>1</w:t>
      </w:r>
      <w:r>
        <w:rPr>
          <w:color w:val="auto"/>
        </w:rPr>
        <w:fldChar w:fldCharType="end"/>
      </w:r>
      <w:r w:rsidRPr="00043168">
        <w:rPr>
          <w:color w:val="auto"/>
        </w:rPr>
        <w:t xml:space="preserve">. </w:t>
      </w:r>
      <w:r>
        <w:rPr>
          <w:color w:val="auto"/>
        </w:rPr>
        <w:t>Mean</w:t>
      </w:r>
      <w:r w:rsidRPr="00043168">
        <w:rPr>
          <w:color w:val="auto"/>
        </w:rPr>
        <w:t xml:space="preserve"> Energy Usage for Treatment and Control </w:t>
      </w:r>
      <w:r>
        <w:rPr>
          <w:color w:val="auto"/>
        </w:rPr>
        <w:t>Ho</w:t>
      </w:r>
      <w:r w:rsidRPr="00043168">
        <w:rPr>
          <w:color w:val="auto"/>
        </w:rPr>
        <w:t xml:space="preserve">useholds, by </w:t>
      </w:r>
      <w:r>
        <w:rPr>
          <w:color w:val="auto"/>
        </w:rPr>
        <w:t>M</w:t>
      </w:r>
      <w:r w:rsidRPr="00043168">
        <w:rPr>
          <w:color w:val="auto"/>
        </w:rPr>
        <w:t>onth</w:t>
      </w:r>
      <w:bookmarkEnd w:id="66"/>
    </w:p>
    <w:p w14:paraId="79503932" w14:textId="77777777" w:rsidR="00A9061E" w:rsidRDefault="00A9061E" w:rsidP="00A9061E">
      <w:pPr>
        <w:jc w:val="center"/>
      </w:pPr>
      <w:r w:rsidRPr="00D32D16">
        <w:rPr>
          <w:noProof/>
        </w:rPr>
        <w:drawing>
          <wp:inline distT="0" distB="0" distL="0" distR="0" wp14:anchorId="1ECC89DA" wp14:editId="27D131C2">
            <wp:extent cx="5543550" cy="3409950"/>
            <wp:effectExtent l="0" t="0" r="0" b="0"/>
            <wp:docPr id="1040" name="Picture 1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543550" cy="3409950"/>
                    </a:xfrm>
                    <a:prstGeom prst="rect">
                      <a:avLst/>
                    </a:prstGeom>
                    <a:noFill/>
                    <a:ln>
                      <a:noFill/>
                    </a:ln>
                  </pic:spPr>
                </pic:pic>
              </a:graphicData>
            </a:graphic>
          </wp:inline>
        </w:drawing>
      </w:r>
    </w:p>
    <w:p w14:paraId="15AF1E3D" w14:textId="77777777" w:rsidR="00A9061E" w:rsidRPr="00726281" w:rsidRDefault="00A9061E" w:rsidP="00A9061E">
      <w:pPr>
        <w:jc w:val="center"/>
        <w:rPr>
          <w:i/>
        </w:rPr>
      </w:pPr>
      <w:r>
        <w:rPr>
          <w:i/>
        </w:rPr>
        <w:t>Source: Navigant analysis</w:t>
      </w:r>
    </w:p>
    <w:p w14:paraId="7A27D35D" w14:textId="77777777" w:rsidR="00A9061E" w:rsidRDefault="00A9061E" w:rsidP="00A9061E"/>
    <w:p w14:paraId="64E48261" w14:textId="77777777" w:rsidR="00A9061E" w:rsidRDefault="00A9061E" w:rsidP="00A9061E">
      <w:pPr>
        <w:keepNext/>
        <w:keepLines/>
        <w:rPr>
          <w:b/>
        </w:rPr>
      </w:pPr>
      <w:r>
        <w:rPr>
          <w:b/>
        </w:rPr>
        <w:t>Conclusion</w:t>
      </w:r>
    </w:p>
    <w:p w14:paraId="2D6ABD26" w14:textId="77777777" w:rsidR="00A9061E" w:rsidRDefault="00A9061E" w:rsidP="00A9061E">
      <w:pPr>
        <w:keepNext/>
        <w:keepLines/>
        <w:rPr>
          <w:b/>
        </w:rPr>
      </w:pPr>
    </w:p>
    <w:p w14:paraId="72E72295" w14:textId="77777777" w:rsidR="00A9061E" w:rsidRPr="00935CCD" w:rsidRDefault="00A9061E" w:rsidP="00A9061E">
      <w:pPr>
        <w:keepNext/>
        <w:keepLines/>
      </w:pPr>
      <w:r>
        <w:t xml:space="preserve">Given that the differences in average energy usage for the treatment and control groups were not statistically significant, Navigant concludes that HER program households were randomly allocated to the treatment and control groups. </w:t>
      </w:r>
    </w:p>
    <w:p w14:paraId="2826AEC8" w14:textId="77777777" w:rsidR="00A9061E" w:rsidRDefault="00A9061E" w:rsidP="00A9061E"/>
    <w:p w14:paraId="58105862" w14:textId="679DC518" w:rsidR="003B38C3" w:rsidRDefault="003B38C3" w:rsidP="003B38C3">
      <w:pPr>
        <w:pStyle w:val="Heading2"/>
      </w:pPr>
      <w:bookmarkStart w:id="67" w:name="_Ref440982775"/>
      <w:bookmarkStart w:id="68" w:name="_Ref440982870"/>
      <w:bookmarkStart w:id="69" w:name="_Toc440983240"/>
      <w:r>
        <w:lastRenderedPageBreak/>
        <w:t>– Model Results</w:t>
      </w:r>
      <w:bookmarkEnd w:id="67"/>
      <w:bookmarkEnd w:id="68"/>
      <w:bookmarkEnd w:id="69"/>
    </w:p>
    <w:p w14:paraId="061B7D2C" w14:textId="77777777" w:rsidR="003B38C3" w:rsidRPr="003B38C3" w:rsidRDefault="003B38C3" w:rsidP="003B38C3"/>
    <w:p w14:paraId="3AFC89D4" w14:textId="1CB6CCCA" w:rsidR="00A9061E" w:rsidRDefault="00902AC7" w:rsidP="00A9061E">
      <w:r>
        <w:fldChar w:fldCharType="begin"/>
      </w:r>
      <w:r>
        <w:instrText xml:space="preserve"> REF _Ref413684998 \h  \* MERGEFORMAT </w:instrText>
      </w:r>
      <w:r>
        <w:fldChar w:fldCharType="separate"/>
      </w:r>
      <w:r w:rsidR="003B38C3">
        <w:rPr>
          <w:b/>
          <w:bCs/>
        </w:rPr>
        <w:fldChar w:fldCharType="begin"/>
      </w:r>
      <w:r w:rsidR="003B38C3">
        <w:instrText xml:space="preserve"> REF _Ref440981427 \h </w:instrText>
      </w:r>
      <w:r w:rsidR="003B38C3">
        <w:rPr>
          <w:b/>
          <w:bCs/>
        </w:rPr>
      </w:r>
      <w:r w:rsidR="003B38C3">
        <w:rPr>
          <w:b/>
          <w:bCs/>
        </w:rPr>
        <w:fldChar w:fldCharType="separate"/>
      </w:r>
      <w:r w:rsidR="003B38C3">
        <w:t xml:space="preserve">Table </w:t>
      </w:r>
      <w:r w:rsidR="003B38C3">
        <w:rPr>
          <w:noProof/>
        </w:rPr>
        <w:t>5</w:t>
      </w:r>
      <w:r w:rsidR="003B38C3">
        <w:noBreakHyphen/>
      </w:r>
      <w:r w:rsidR="003B38C3">
        <w:rPr>
          <w:noProof/>
        </w:rPr>
        <w:t>1</w:t>
      </w:r>
      <w:r w:rsidR="003B38C3">
        <w:rPr>
          <w:b/>
          <w:bCs/>
        </w:rPr>
        <w:fldChar w:fldCharType="end"/>
      </w:r>
      <w:r>
        <w:fldChar w:fldCharType="end"/>
      </w:r>
      <w:r w:rsidR="00A9061E">
        <w:t xml:space="preserve"> shows the detailed model output for the PPR model for October 2014 to </w:t>
      </w:r>
      <w:r w:rsidR="00A9061E" w:rsidRPr="008E1C07">
        <w:t>March 2015</w:t>
      </w:r>
      <w:r w:rsidR="00A9061E">
        <w:t>.</w:t>
      </w:r>
    </w:p>
    <w:p w14:paraId="63A9734E" w14:textId="77777777" w:rsidR="004468B2" w:rsidRDefault="004468B2" w:rsidP="00A9061E">
      <w:pPr>
        <w:pStyle w:val="Caption"/>
      </w:pPr>
    </w:p>
    <w:p w14:paraId="103E3183" w14:textId="77777777" w:rsidR="00A9061E" w:rsidRDefault="00A9061E" w:rsidP="00A9061E">
      <w:pPr>
        <w:pStyle w:val="Caption"/>
      </w:pPr>
      <w:bookmarkStart w:id="70" w:name="_Ref440981427"/>
      <w:bookmarkStart w:id="71" w:name="_Toc441752604"/>
      <w:r>
        <w:t xml:space="preserve">Table </w:t>
      </w:r>
      <w:r w:rsidR="00851D29">
        <w:fldChar w:fldCharType="begin"/>
      </w:r>
      <w:r w:rsidR="00851D29">
        <w:instrText xml:space="preserve"> STYLEREF 1 \s </w:instrText>
      </w:r>
      <w:r w:rsidR="00851D29">
        <w:fldChar w:fldCharType="separate"/>
      </w:r>
      <w:r w:rsidR="003B38C3">
        <w:rPr>
          <w:noProof/>
        </w:rPr>
        <w:t>5</w:t>
      </w:r>
      <w:r w:rsidR="00851D29">
        <w:rPr>
          <w:noProof/>
        </w:rPr>
        <w:fldChar w:fldCharType="end"/>
      </w:r>
      <w:r>
        <w:noBreakHyphen/>
      </w:r>
      <w:r w:rsidR="00851D29">
        <w:fldChar w:fldCharType="begin"/>
      </w:r>
      <w:r w:rsidR="00851D29">
        <w:instrText xml:space="preserve"> SEQ Table \* ARABIC \s 1 </w:instrText>
      </w:r>
      <w:r w:rsidR="00851D29">
        <w:fldChar w:fldCharType="separate"/>
      </w:r>
      <w:r w:rsidR="003B38C3">
        <w:rPr>
          <w:noProof/>
        </w:rPr>
        <w:t>1</w:t>
      </w:r>
      <w:r w:rsidR="00851D29">
        <w:rPr>
          <w:noProof/>
        </w:rPr>
        <w:fldChar w:fldCharType="end"/>
      </w:r>
      <w:bookmarkEnd w:id="70"/>
      <w:r>
        <w:t>. PPR Detailed Model Output: October 2014 – March 2015</w:t>
      </w:r>
      <w:bookmarkEnd w:id="71"/>
    </w:p>
    <w:tbl>
      <w:tblPr>
        <w:tblW w:w="0" w:type="auto"/>
        <w:tblCellMar>
          <w:left w:w="0" w:type="dxa"/>
          <w:right w:w="0" w:type="dxa"/>
        </w:tblCellMar>
        <w:tblLook w:val="04A0" w:firstRow="1" w:lastRow="0" w:firstColumn="1" w:lastColumn="0" w:noHBand="0" w:noVBand="1"/>
      </w:tblPr>
      <w:tblGrid>
        <w:gridCol w:w="2340"/>
        <w:gridCol w:w="1489"/>
        <w:gridCol w:w="1471"/>
        <w:gridCol w:w="1051"/>
        <w:gridCol w:w="1034"/>
        <w:gridCol w:w="1653"/>
      </w:tblGrid>
      <w:tr w:rsidR="000B26EA" w14:paraId="3E2714C3" w14:textId="77777777" w:rsidTr="000B26EA">
        <w:trPr>
          <w:cantSplit/>
          <w:tblHeader/>
        </w:trPr>
        <w:tc>
          <w:tcPr>
            <w:tcW w:w="2340" w:type="dxa"/>
            <w:tcBorders>
              <w:top w:val="single" w:sz="8" w:space="0" w:color="DDD9C3"/>
              <w:left w:val="nil"/>
              <w:bottom w:val="single" w:sz="12" w:space="0" w:color="95D600"/>
              <w:right w:val="nil"/>
            </w:tcBorders>
            <w:shd w:val="clear" w:color="auto" w:fill="555759"/>
            <w:tcMar>
              <w:top w:w="0" w:type="dxa"/>
              <w:left w:w="108" w:type="dxa"/>
              <w:bottom w:w="0" w:type="dxa"/>
              <w:right w:w="108" w:type="dxa"/>
            </w:tcMar>
          </w:tcPr>
          <w:p w14:paraId="0C6C3C90" w14:textId="77777777" w:rsidR="000B26EA" w:rsidRDefault="000B26EA">
            <w:pPr>
              <w:spacing w:before="40" w:after="40"/>
              <w:jc w:val="center"/>
              <w:rPr>
                <w:rFonts w:cs="Arial"/>
                <w:b/>
                <w:bCs/>
                <w:color w:val="FFFFFF"/>
                <w:szCs w:val="20"/>
              </w:rPr>
            </w:pPr>
          </w:p>
        </w:tc>
        <w:tc>
          <w:tcPr>
            <w:tcW w:w="1489" w:type="dxa"/>
            <w:tcBorders>
              <w:top w:val="single" w:sz="8" w:space="0" w:color="DDD9C3"/>
              <w:left w:val="nil"/>
              <w:bottom w:val="single" w:sz="12" w:space="0" w:color="95D600"/>
              <w:right w:val="nil"/>
            </w:tcBorders>
            <w:shd w:val="clear" w:color="auto" w:fill="555759"/>
            <w:tcMar>
              <w:top w:w="0" w:type="dxa"/>
              <w:left w:w="108" w:type="dxa"/>
              <w:bottom w:w="0" w:type="dxa"/>
              <w:right w:w="108" w:type="dxa"/>
            </w:tcMar>
            <w:hideMark/>
          </w:tcPr>
          <w:p w14:paraId="2F5C0D7F" w14:textId="77777777" w:rsidR="000B26EA" w:rsidRDefault="000B26EA">
            <w:pPr>
              <w:spacing w:before="40" w:after="40"/>
              <w:jc w:val="center"/>
              <w:rPr>
                <w:rFonts w:cs="Arial"/>
                <w:b/>
                <w:bCs/>
                <w:color w:val="FFFFFF"/>
                <w:sz w:val="22"/>
                <w:szCs w:val="22"/>
              </w:rPr>
            </w:pPr>
            <w:r>
              <w:rPr>
                <w:rFonts w:cs="Arial"/>
                <w:b/>
                <w:bCs/>
                <w:color w:val="FFFFFF"/>
              </w:rPr>
              <w:t>Estimate</w:t>
            </w:r>
          </w:p>
        </w:tc>
        <w:tc>
          <w:tcPr>
            <w:tcW w:w="1471" w:type="dxa"/>
            <w:tcBorders>
              <w:top w:val="single" w:sz="8" w:space="0" w:color="DDD9C3"/>
              <w:left w:val="nil"/>
              <w:bottom w:val="single" w:sz="12" w:space="0" w:color="95D600"/>
              <w:right w:val="nil"/>
            </w:tcBorders>
            <w:shd w:val="clear" w:color="auto" w:fill="555759"/>
            <w:tcMar>
              <w:top w:w="0" w:type="dxa"/>
              <w:left w:w="108" w:type="dxa"/>
              <w:bottom w:w="0" w:type="dxa"/>
              <w:right w:w="108" w:type="dxa"/>
            </w:tcMar>
            <w:hideMark/>
          </w:tcPr>
          <w:p w14:paraId="797E88EA" w14:textId="77777777" w:rsidR="000B26EA" w:rsidRDefault="000B26EA">
            <w:pPr>
              <w:spacing w:before="40" w:after="40"/>
              <w:jc w:val="center"/>
              <w:rPr>
                <w:rFonts w:cs="Arial"/>
                <w:b/>
                <w:bCs/>
                <w:color w:val="FFFFFF"/>
              </w:rPr>
            </w:pPr>
            <w:r>
              <w:rPr>
                <w:rFonts w:cs="Arial"/>
                <w:b/>
                <w:bCs/>
                <w:color w:val="FFFFFF"/>
              </w:rPr>
              <w:t>Std. Error</w:t>
            </w:r>
          </w:p>
        </w:tc>
        <w:tc>
          <w:tcPr>
            <w:tcW w:w="1051" w:type="dxa"/>
            <w:tcBorders>
              <w:top w:val="single" w:sz="8" w:space="0" w:color="DDD9C3"/>
              <w:left w:val="nil"/>
              <w:bottom w:val="single" w:sz="12" w:space="0" w:color="95D600"/>
              <w:right w:val="nil"/>
            </w:tcBorders>
            <w:shd w:val="clear" w:color="auto" w:fill="555759"/>
            <w:tcMar>
              <w:top w:w="0" w:type="dxa"/>
              <w:left w:w="108" w:type="dxa"/>
              <w:bottom w:w="0" w:type="dxa"/>
              <w:right w:w="108" w:type="dxa"/>
            </w:tcMar>
            <w:hideMark/>
          </w:tcPr>
          <w:p w14:paraId="065779AA" w14:textId="77777777" w:rsidR="000B26EA" w:rsidRDefault="000B26EA">
            <w:pPr>
              <w:spacing w:before="40" w:after="40"/>
              <w:jc w:val="center"/>
              <w:rPr>
                <w:rFonts w:cs="Arial"/>
                <w:color w:val="FFFFFF"/>
              </w:rPr>
            </w:pPr>
            <w:r>
              <w:rPr>
                <w:rFonts w:cs="Arial"/>
                <w:b/>
                <w:bCs/>
                <w:color w:val="FFFFFF"/>
              </w:rPr>
              <w:t>t value</w:t>
            </w:r>
          </w:p>
        </w:tc>
        <w:tc>
          <w:tcPr>
            <w:tcW w:w="1034" w:type="dxa"/>
            <w:tcBorders>
              <w:top w:val="single" w:sz="8" w:space="0" w:color="DDD9C3"/>
              <w:left w:val="nil"/>
              <w:bottom w:val="single" w:sz="12" w:space="0" w:color="95D600"/>
              <w:right w:val="nil"/>
            </w:tcBorders>
            <w:shd w:val="clear" w:color="auto" w:fill="555759"/>
            <w:tcMar>
              <w:top w:w="0" w:type="dxa"/>
              <w:left w:w="108" w:type="dxa"/>
              <w:bottom w:w="0" w:type="dxa"/>
              <w:right w:w="108" w:type="dxa"/>
            </w:tcMar>
            <w:hideMark/>
          </w:tcPr>
          <w:p w14:paraId="64E31D96" w14:textId="77777777" w:rsidR="000B26EA" w:rsidRDefault="000B26EA">
            <w:pPr>
              <w:spacing w:before="40" w:after="40"/>
              <w:jc w:val="center"/>
              <w:rPr>
                <w:rFonts w:cs="Arial"/>
                <w:color w:val="FFFFFF"/>
              </w:rPr>
            </w:pPr>
            <w:proofErr w:type="spellStart"/>
            <w:r>
              <w:rPr>
                <w:rFonts w:cs="Arial"/>
                <w:b/>
                <w:bCs/>
                <w:color w:val="FFFFFF"/>
              </w:rPr>
              <w:t>Pr</w:t>
            </w:r>
            <w:proofErr w:type="spellEnd"/>
            <w:r>
              <w:rPr>
                <w:rFonts w:cs="Arial"/>
                <w:b/>
                <w:bCs/>
                <w:color w:val="FFFFFF"/>
              </w:rPr>
              <w:t>(&gt;|t|)</w:t>
            </w:r>
          </w:p>
        </w:tc>
        <w:tc>
          <w:tcPr>
            <w:tcW w:w="1653" w:type="dxa"/>
            <w:tcBorders>
              <w:top w:val="single" w:sz="8" w:space="0" w:color="DDD9C3"/>
              <w:left w:val="nil"/>
              <w:bottom w:val="single" w:sz="12" w:space="0" w:color="95D600"/>
              <w:right w:val="nil"/>
            </w:tcBorders>
            <w:shd w:val="clear" w:color="auto" w:fill="555759"/>
            <w:tcMar>
              <w:top w:w="0" w:type="dxa"/>
              <w:left w:w="108" w:type="dxa"/>
              <w:bottom w:w="0" w:type="dxa"/>
              <w:right w:w="108" w:type="dxa"/>
            </w:tcMar>
            <w:hideMark/>
          </w:tcPr>
          <w:p w14:paraId="77F2F17C" w14:textId="77777777" w:rsidR="000B26EA" w:rsidRDefault="000B26EA">
            <w:pPr>
              <w:spacing w:before="40" w:after="40"/>
              <w:jc w:val="center"/>
              <w:rPr>
                <w:rFonts w:cs="Arial"/>
                <w:b/>
                <w:bCs/>
                <w:color w:val="FFFFFF"/>
              </w:rPr>
            </w:pPr>
            <w:proofErr w:type="spellStart"/>
            <w:r>
              <w:rPr>
                <w:rFonts w:cs="Arial"/>
                <w:b/>
                <w:bCs/>
                <w:color w:val="FFFFFF"/>
              </w:rPr>
              <w:t>Signif</w:t>
            </w:r>
            <w:proofErr w:type="spellEnd"/>
            <w:r>
              <w:rPr>
                <w:rFonts w:cs="Arial"/>
                <w:b/>
                <w:bCs/>
                <w:color w:val="FFFFFF"/>
              </w:rPr>
              <w:t>.</w:t>
            </w:r>
          </w:p>
        </w:tc>
      </w:tr>
      <w:tr w:rsidR="000B26EA" w14:paraId="0495692D" w14:textId="77777777" w:rsidTr="000B26EA">
        <w:trPr>
          <w:cantSplit/>
        </w:trPr>
        <w:tc>
          <w:tcPr>
            <w:tcW w:w="2340" w:type="dxa"/>
            <w:tcBorders>
              <w:top w:val="nil"/>
              <w:left w:val="nil"/>
              <w:bottom w:val="single" w:sz="8" w:space="0" w:color="DCDDDE"/>
              <w:right w:val="nil"/>
            </w:tcBorders>
            <w:tcMar>
              <w:top w:w="0" w:type="dxa"/>
              <w:left w:w="108" w:type="dxa"/>
              <w:bottom w:w="0" w:type="dxa"/>
              <w:right w:w="108" w:type="dxa"/>
            </w:tcMar>
            <w:hideMark/>
          </w:tcPr>
          <w:p w14:paraId="7C545A46" w14:textId="77777777" w:rsidR="000B26EA" w:rsidRDefault="000B26EA" w:rsidP="003B38C3">
            <w:pPr>
              <w:spacing w:before="40" w:after="40"/>
              <w:rPr>
                <w:rFonts w:cs="Arial"/>
              </w:rPr>
            </w:pPr>
            <w:r>
              <w:rPr>
                <w:rFonts w:cs="Arial"/>
              </w:rPr>
              <w:t>treatment</w:t>
            </w:r>
          </w:p>
        </w:tc>
        <w:tc>
          <w:tcPr>
            <w:tcW w:w="1489" w:type="dxa"/>
            <w:tcBorders>
              <w:top w:val="nil"/>
              <w:left w:val="nil"/>
              <w:bottom w:val="single" w:sz="8" w:space="0" w:color="DCDDDE"/>
              <w:right w:val="nil"/>
            </w:tcBorders>
            <w:tcMar>
              <w:top w:w="0" w:type="dxa"/>
              <w:left w:w="108" w:type="dxa"/>
              <w:bottom w:w="0" w:type="dxa"/>
              <w:right w:w="108" w:type="dxa"/>
            </w:tcMar>
            <w:hideMark/>
          </w:tcPr>
          <w:p w14:paraId="4B181CAD" w14:textId="77777777" w:rsidR="000B26EA" w:rsidRDefault="000B26EA">
            <w:pPr>
              <w:spacing w:before="40" w:after="40"/>
              <w:jc w:val="center"/>
              <w:rPr>
                <w:rFonts w:cs="Arial"/>
              </w:rPr>
            </w:pPr>
            <w:r>
              <w:rPr>
                <w:rFonts w:cs="Arial"/>
              </w:rPr>
              <w:t>-0.03196</w:t>
            </w:r>
          </w:p>
        </w:tc>
        <w:tc>
          <w:tcPr>
            <w:tcW w:w="1471" w:type="dxa"/>
            <w:tcBorders>
              <w:top w:val="nil"/>
              <w:left w:val="nil"/>
              <w:bottom w:val="single" w:sz="8" w:space="0" w:color="DCDDDE"/>
              <w:right w:val="nil"/>
            </w:tcBorders>
            <w:tcMar>
              <w:top w:w="0" w:type="dxa"/>
              <w:left w:w="108" w:type="dxa"/>
              <w:bottom w:w="0" w:type="dxa"/>
              <w:right w:w="108" w:type="dxa"/>
            </w:tcMar>
            <w:hideMark/>
          </w:tcPr>
          <w:p w14:paraId="7710EC64" w14:textId="77777777" w:rsidR="000B26EA" w:rsidRDefault="000B26EA">
            <w:pPr>
              <w:spacing w:before="40" w:after="40"/>
              <w:jc w:val="center"/>
              <w:rPr>
                <w:rFonts w:cs="Arial"/>
              </w:rPr>
            </w:pPr>
            <w:r>
              <w:rPr>
                <w:rFonts w:cs="Arial"/>
              </w:rPr>
              <w:t>0.006735</w:t>
            </w:r>
          </w:p>
        </w:tc>
        <w:tc>
          <w:tcPr>
            <w:tcW w:w="1051" w:type="dxa"/>
            <w:tcBorders>
              <w:top w:val="nil"/>
              <w:left w:val="nil"/>
              <w:bottom w:val="single" w:sz="8" w:space="0" w:color="DCDDDE"/>
              <w:right w:val="nil"/>
            </w:tcBorders>
            <w:tcMar>
              <w:top w:w="0" w:type="dxa"/>
              <w:left w:w="108" w:type="dxa"/>
              <w:bottom w:w="0" w:type="dxa"/>
              <w:right w:w="108" w:type="dxa"/>
            </w:tcMar>
            <w:hideMark/>
          </w:tcPr>
          <w:p w14:paraId="5F49A679" w14:textId="77777777" w:rsidR="000B26EA" w:rsidRDefault="000B26EA">
            <w:pPr>
              <w:spacing w:before="40" w:after="40"/>
              <w:jc w:val="center"/>
              <w:rPr>
                <w:rFonts w:cs="Arial"/>
              </w:rPr>
            </w:pPr>
            <w:r>
              <w:rPr>
                <w:rFonts w:cs="Arial"/>
              </w:rPr>
              <w:t>-4.74486</w:t>
            </w:r>
          </w:p>
        </w:tc>
        <w:tc>
          <w:tcPr>
            <w:tcW w:w="1034" w:type="dxa"/>
            <w:tcBorders>
              <w:top w:val="nil"/>
              <w:left w:val="nil"/>
              <w:bottom w:val="single" w:sz="8" w:space="0" w:color="DCDDDE"/>
              <w:right w:val="nil"/>
            </w:tcBorders>
            <w:tcMar>
              <w:top w:w="0" w:type="dxa"/>
              <w:left w:w="108" w:type="dxa"/>
              <w:bottom w:w="0" w:type="dxa"/>
              <w:right w:w="108" w:type="dxa"/>
            </w:tcMar>
            <w:hideMark/>
          </w:tcPr>
          <w:p w14:paraId="27844A66" w14:textId="77777777" w:rsidR="000B26EA" w:rsidRDefault="000B26EA">
            <w:pPr>
              <w:spacing w:before="40" w:after="40"/>
              <w:jc w:val="center"/>
              <w:rPr>
                <w:rFonts w:cs="Arial"/>
              </w:rPr>
            </w:pPr>
            <w:r>
              <w:rPr>
                <w:rFonts w:cs="Arial"/>
              </w:rPr>
              <w:t>2.09E-06</w:t>
            </w:r>
          </w:p>
        </w:tc>
        <w:tc>
          <w:tcPr>
            <w:tcW w:w="1653" w:type="dxa"/>
            <w:tcBorders>
              <w:top w:val="nil"/>
              <w:left w:val="nil"/>
              <w:bottom w:val="single" w:sz="8" w:space="0" w:color="DCDDDE"/>
              <w:right w:val="nil"/>
            </w:tcBorders>
            <w:tcMar>
              <w:top w:w="0" w:type="dxa"/>
              <w:left w:w="108" w:type="dxa"/>
              <w:bottom w:w="0" w:type="dxa"/>
              <w:right w:w="108" w:type="dxa"/>
            </w:tcMar>
            <w:hideMark/>
          </w:tcPr>
          <w:p w14:paraId="1926E7C0" w14:textId="77777777" w:rsidR="000B26EA" w:rsidRDefault="000B26EA">
            <w:pPr>
              <w:spacing w:before="40" w:after="40"/>
              <w:ind w:left="162" w:hanging="130"/>
              <w:contextualSpacing/>
              <w:jc w:val="center"/>
              <w:rPr>
                <w:rFonts w:cs="Arial"/>
              </w:rPr>
            </w:pPr>
            <w:r>
              <w:rPr>
                <w:rFonts w:cs="Arial"/>
              </w:rPr>
              <w:t>***</w:t>
            </w:r>
          </w:p>
        </w:tc>
      </w:tr>
      <w:tr w:rsidR="000B26EA" w14:paraId="1BCAB876" w14:textId="77777777" w:rsidTr="000B26EA">
        <w:trPr>
          <w:cantSplit/>
        </w:trPr>
        <w:tc>
          <w:tcPr>
            <w:tcW w:w="2340" w:type="dxa"/>
            <w:tcBorders>
              <w:top w:val="nil"/>
              <w:left w:val="nil"/>
              <w:bottom w:val="single" w:sz="8" w:space="0" w:color="DCDDDE"/>
              <w:right w:val="nil"/>
            </w:tcBorders>
            <w:tcMar>
              <w:top w:w="0" w:type="dxa"/>
              <w:left w:w="108" w:type="dxa"/>
              <w:bottom w:w="0" w:type="dxa"/>
              <w:right w:w="108" w:type="dxa"/>
            </w:tcMar>
            <w:hideMark/>
          </w:tcPr>
          <w:p w14:paraId="72F08E34" w14:textId="77777777" w:rsidR="000B26EA" w:rsidRDefault="000B26EA" w:rsidP="003B38C3">
            <w:pPr>
              <w:spacing w:before="40" w:after="40"/>
              <w:rPr>
                <w:rFonts w:cs="Arial"/>
              </w:rPr>
            </w:pPr>
            <w:r>
              <w:rPr>
                <w:rFonts w:cs="Arial"/>
              </w:rPr>
              <w:t>yrmo201410</w:t>
            </w:r>
          </w:p>
        </w:tc>
        <w:tc>
          <w:tcPr>
            <w:tcW w:w="1489" w:type="dxa"/>
            <w:tcBorders>
              <w:top w:val="nil"/>
              <w:left w:val="nil"/>
              <w:bottom w:val="single" w:sz="8" w:space="0" w:color="DCDDDE"/>
              <w:right w:val="nil"/>
            </w:tcBorders>
            <w:tcMar>
              <w:top w:w="0" w:type="dxa"/>
              <w:left w:w="108" w:type="dxa"/>
              <w:bottom w:w="0" w:type="dxa"/>
              <w:right w:w="108" w:type="dxa"/>
            </w:tcMar>
            <w:hideMark/>
          </w:tcPr>
          <w:p w14:paraId="118C5D33" w14:textId="77777777" w:rsidR="000B26EA" w:rsidRDefault="000B26EA">
            <w:pPr>
              <w:spacing w:before="40" w:after="40"/>
              <w:jc w:val="center"/>
              <w:rPr>
                <w:rFonts w:cs="Arial"/>
              </w:rPr>
            </w:pPr>
            <w:r>
              <w:rPr>
                <w:rFonts w:cs="Arial"/>
              </w:rPr>
              <w:t>0.752567</w:t>
            </w:r>
          </w:p>
        </w:tc>
        <w:tc>
          <w:tcPr>
            <w:tcW w:w="1471" w:type="dxa"/>
            <w:tcBorders>
              <w:top w:val="nil"/>
              <w:left w:val="nil"/>
              <w:bottom w:val="single" w:sz="8" w:space="0" w:color="DCDDDE"/>
              <w:right w:val="nil"/>
            </w:tcBorders>
            <w:tcMar>
              <w:top w:w="0" w:type="dxa"/>
              <w:left w:w="108" w:type="dxa"/>
              <w:bottom w:w="0" w:type="dxa"/>
              <w:right w:w="108" w:type="dxa"/>
            </w:tcMar>
            <w:hideMark/>
          </w:tcPr>
          <w:p w14:paraId="50E02E31" w14:textId="77777777" w:rsidR="000B26EA" w:rsidRDefault="000B26EA">
            <w:pPr>
              <w:spacing w:before="40" w:after="40"/>
              <w:jc w:val="center"/>
              <w:rPr>
                <w:rFonts w:cs="Arial"/>
              </w:rPr>
            </w:pPr>
            <w:r>
              <w:rPr>
                <w:rFonts w:cs="Arial"/>
              </w:rPr>
              <w:t>0.05012</w:t>
            </w:r>
          </w:p>
        </w:tc>
        <w:tc>
          <w:tcPr>
            <w:tcW w:w="1051" w:type="dxa"/>
            <w:tcBorders>
              <w:top w:val="nil"/>
              <w:left w:val="nil"/>
              <w:bottom w:val="single" w:sz="8" w:space="0" w:color="DCDDDE"/>
              <w:right w:val="nil"/>
            </w:tcBorders>
            <w:tcMar>
              <w:top w:w="0" w:type="dxa"/>
              <w:left w:w="108" w:type="dxa"/>
              <w:bottom w:w="0" w:type="dxa"/>
              <w:right w:w="108" w:type="dxa"/>
            </w:tcMar>
            <w:hideMark/>
          </w:tcPr>
          <w:p w14:paraId="4358DE46" w14:textId="77777777" w:rsidR="000B26EA" w:rsidRDefault="000B26EA">
            <w:pPr>
              <w:spacing w:before="40" w:after="40"/>
              <w:jc w:val="center"/>
              <w:rPr>
                <w:rFonts w:cs="Arial"/>
              </w:rPr>
            </w:pPr>
            <w:r>
              <w:rPr>
                <w:rFonts w:cs="Arial"/>
              </w:rPr>
              <w:t>15.01521</w:t>
            </w:r>
          </w:p>
        </w:tc>
        <w:tc>
          <w:tcPr>
            <w:tcW w:w="1034" w:type="dxa"/>
            <w:tcBorders>
              <w:top w:val="nil"/>
              <w:left w:val="nil"/>
              <w:bottom w:val="single" w:sz="8" w:space="0" w:color="DCDDDE"/>
              <w:right w:val="nil"/>
            </w:tcBorders>
            <w:tcMar>
              <w:top w:w="0" w:type="dxa"/>
              <w:left w:w="108" w:type="dxa"/>
              <w:bottom w:w="0" w:type="dxa"/>
              <w:right w:w="108" w:type="dxa"/>
            </w:tcMar>
            <w:hideMark/>
          </w:tcPr>
          <w:p w14:paraId="4354006A" w14:textId="77777777" w:rsidR="000B26EA" w:rsidRDefault="000B26EA">
            <w:pPr>
              <w:spacing w:before="40" w:after="40"/>
              <w:jc w:val="center"/>
              <w:rPr>
                <w:rFonts w:cs="Arial"/>
              </w:rPr>
            </w:pPr>
            <w:r>
              <w:rPr>
                <w:rFonts w:cs="Arial"/>
              </w:rPr>
              <w:t>5.94E-51</w:t>
            </w:r>
          </w:p>
        </w:tc>
        <w:tc>
          <w:tcPr>
            <w:tcW w:w="1653" w:type="dxa"/>
            <w:tcBorders>
              <w:top w:val="nil"/>
              <w:left w:val="nil"/>
              <w:bottom w:val="single" w:sz="8" w:space="0" w:color="DCDDDE"/>
              <w:right w:val="nil"/>
            </w:tcBorders>
            <w:tcMar>
              <w:top w:w="0" w:type="dxa"/>
              <w:left w:w="108" w:type="dxa"/>
              <w:bottom w:w="0" w:type="dxa"/>
              <w:right w:w="108" w:type="dxa"/>
            </w:tcMar>
            <w:hideMark/>
          </w:tcPr>
          <w:p w14:paraId="08A0CC4F" w14:textId="77777777" w:rsidR="000B26EA" w:rsidRDefault="000B26EA">
            <w:pPr>
              <w:spacing w:before="40" w:after="40"/>
              <w:ind w:left="162" w:hanging="130"/>
              <w:contextualSpacing/>
              <w:jc w:val="center"/>
              <w:rPr>
                <w:rFonts w:cs="Arial"/>
              </w:rPr>
            </w:pPr>
            <w:r>
              <w:rPr>
                <w:rFonts w:cs="Arial"/>
              </w:rPr>
              <w:t>***</w:t>
            </w:r>
          </w:p>
        </w:tc>
      </w:tr>
      <w:tr w:rsidR="000B26EA" w14:paraId="6F8EED39" w14:textId="77777777" w:rsidTr="000B26EA">
        <w:trPr>
          <w:cantSplit/>
        </w:trPr>
        <w:tc>
          <w:tcPr>
            <w:tcW w:w="2340" w:type="dxa"/>
            <w:tcBorders>
              <w:top w:val="nil"/>
              <w:left w:val="nil"/>
              <w:bottom w:val="single" w:sz="8" w:space="0" w:color="DCDDDE"/>
              <w:right w:val="nil"/>
            </w:tcBorders>
            <w:tcMar>
              <w:top w:w="0" w:type="dxa"/>
              <w:left w:w="108" w:type="dxa"/>
              <w:bottom w:w="0" w:type="dxa"/>
              <w:right w:w="108" w:type="dxa"/>
            </w:tcMar>
            <w:hideMark/>
          </w:tcPr>
          <w:p w14:paraId="4B133E77" w14:textId="77777777" w:rsidR="000B26EA" w:rsidRDefault="000B26EA" w:rsidP="003B38C3">
            <w:pPr>
              <w:spacing w:before="40" w:after="40"/>
              <w:rPr>
                <w:rFonts w:cs="Arial"/>
              </w:rPr>
            </w:pPr>
            <w:r>
              <w:rPr>
                <w:rFonts w:cs="Arial"/>
              </w:rPr>
              <w:t>yrmo201411</w:t>
            </w:r>
          </w:p>
        </w:tc>
        <w:tc>
          <w:tcPr>
            <w:tcW w:w="1489" w:type="dxa"/>
            <w:tcBorders>
              <w:top w:val="nil"/>
              <w:left w:val="nil"/>
              <w:bottom w:val="single" w:sz="8" w:space="0" w:color="DCDDDE"/>
              <w:right w:val="nil"/>
            </w:tcBorders>
            <w:tcMar>
              <w:top w:w="0" w:type="dxa"/>
              <w:left w:w="108" w:type="dxa"/>
              <w:bottom w:w="0" w:type="dxa"/>
              <w:right w:w="108" w:type="dxa"/>
            </w:tcMar>
            <w:hideMark/>
          </w:tcPr>
          <w:p w14:paraId="3C502C87" w14:textId="77777777" w:rsidR="000B26EA" w:rsidRDefault="000B26EA">
            <w:pPr>
              <w:spacing w:before="40" w:after="40"/>
              <w:jc w:val="center"/>
              <w:rPr>
                <w:rFonts w:cs="Arial"/>
              </w:rPr>
            </w:pPr>
            <w:r>
              <w:rPr>
                <w:rFonts w:cs="Arial"/>
              </w:rPr>
              <w:t>0.703396</w:t>
            </w:r>
          </w:p>
        </w:tc>
        <w:tc>
          <w:tcPr>
            <w:tcW w:w="1471" w:type="dxa"/>
            <w:tcBorders>
              <w:top w:val="nil"/>
              <w:left w:val="nil"/>
              <w:bottom w:val="single" w:sz="8" w:space="0" w:color="DCDDDE"/>
              <w:right w:val="nil"/>
            </w:tcBorders>
            <w:tcMar>
              <w:top w:w="0" w:type="dxa"/>
              <w:left w:w="108" w:type="dxa"/>
              <w:bottom w:w="0" w:type="dxa"/>
              <w:right w:w="108" w:type="dxa"/>
            </w:tcMar>
            <w:hideMark/>
          </w:tcPr>
          <w:p w14:paraId="6AC913F4" w14:textId="77777777" w:rsidR="000B26EA" w:rsidRDefault="000B26EA">
            <w:pPr>
              <w:spacing w:before="40" w:after="40"/>
              <w:jc w:val="center"/>
              <w:rPr>
                <w:rFonts w:cs="Arial"/>
              </w:rPr>
            </w:pPr>
            <w:r>
              <w:rPr>
                <w:rFonts w:cs="Arial"/>
              </w:rPr>
              <w:t>0.110692</w:t>
            </w:r>
          </w:p>
        </w:tc>
        <w:tc>
          <w:tcPr>
            <w:tcW w:w="1051" w:type="dxa"/>
            <w:tcBorders>
              <w:top w:val="nil"/>
              <w:left w:val="nil"/>
              <w:bottom w:val="single" w:sz="8" w:space="0" w:color="DCDDDE"/>
              <w:right w:val="nil"/>
            </w:tcBorders>
            <w:tcMar>
              <w:top w:w="0" w:type="dxa"/>
              <w:left w:w="108" w:type="dxa"/>
              <w:bottom w:w="0" w:type="dxa"/>
              <w:right w:w="108" w:type="dxa"/>
            </w:tcMar>
            <w:hideMark/>
          </w:tcPr>
          <w:p w14:paraId="3F0F5A79" w14:textId="77777777" w:rsidR="000B26EA" w:rsidRDefault="000B26EA">
            <w:pPr>
              <w:spacing w:before="40" w:after="40"/>
              <w:jc w:val="center"/>
              <w:rPr>
                <w:rFonts w:cs="Arial"/>
              </w:rPr>
            </w:pPr>
            <w:r>
              <w:rPr>
                <w:rFonts w:cs="Arial"/>
              </w:rPr>
              <w:t>6.354504</w:t>
            </w:r>
          </w:p>
        </w:tc>
        <w:tc>
          <w:tcPr>
            <w:tcW w:w="1034" w:type="dxa"/>
            <w:tcBorders>
              <w:top w:val="nil"/>
              <w:left w:val="nil"/>
              <w:bottom w:val="single" w:sz="8" w:space="0" w:color="DCDDDE"/>
              <w:right w:val="nil"/>
            </w:tcBorders>
            <w:tcMar>
              <w:top w:w="0" w:type="dxa"/>
              <w:left w:w="108" w:type="dxa"/>
              <w:bottom w:w="0" w:type="dxa"/>
              <w:right w:w="108" w:type="dxa"/>
            </w:tcMar>
            <w:hideMark/>
          </w:tcPr>
          <w:p w14:paraId="4B0E9DE9" w14:textId="77777777" w:rsidR="000B26EA" w:rsidRDefault="000B26EA">
            <w:pPr>
              <w:spacing w:before="40" w:after="40"/>
              <w:jc w:val="center"/>
              <w:rPr>
                <w:rFonts w:cs="Arial"/>
              </w:rPr>
            </w:pPr>
            <w:r>
              <w:rPr>
                <w:rFonts w:cs="Arial"/>
              </w:rPr>
              <w:t>2.09E-10</w:t>
            </w:r>
          </w:p>
        </w:tc>
        <w:tc>
          <w:tcPr>
            <w:tcW w:w="1653" w:type="dxa"/>
            <w:tcBorders>
              <w:top w:val="nil"/>
              <w:left w:val="nil"/>
              <w:bottom w:val="single" w:sz="8" w:space="0" w:color="DCDDDE"/>
              <w:right w:val="nil"/>
            </w:tcBorders>
            <w:tcMar>
              <w:top w:w="0" w:type="dxa"/>
              <w:left w:w="108" w:type="dxa"/>
              <w:bottom w:w="0" w:type="dxa"/>
              <w:right w:w="108" w:type="dxa"/>
            </w:tcMar>
            <w:hideMark/>
          </w:tcPr>
          <w:p w14:paraId="0ACCD834" w14:textId="77777777" w:rsidR="000B26EA" w:rsidRDefault="000B26EA">
            <w:pPr>
              <w:spacing w:before="40" w:after="40"/>
              <w:ind w:left="162" w:hanging="130"/>
              <w:contextualSpacing/>
              <w:jc w:val="center"/>
              <w:rPr>
                <w:rFonts w:cs="Arial"/>
              </w:rPr>
            </w:pPr>
            <w:r>
              <w:rPr>
                <w:rFonts w:cs="Arial"/>
              </w:rPr>
              <w:t>***</w:t>
            </w:r>
          </w:p>
        </w:tc>
      </w:tr>
      <w:tr w:rsidR="000B26EA" w14:paraId="1638FC93" w14:textId="77777777" w:rsidTr="000B26EA">
        <w:trPr>
          <w:cantSplit/>
        </w:trPr>
        <w:tc>
          <w:tcPr>
            <w:tcW w:w="2340" w:type="dxa"/>
            <w:tcBorders>
              <w:top w:val="nil"/>
              <w:left w:val="nil"/>
              <w:bottom w:val="single" w:sz="8" w:space="0" w:color="DCDDDE"/>
              <w:right w:val="nil"/>
            </w:tcBorders>
            <w:tcMar>
              <w:top w:w="0" w:type="dxa"/>
              <w:left w:w="108" w:type="dxa"/>
              <w:bottom w:w="0" w:type="dxa"/>
              <w:right w:w="108" w:type="dxa"/>
            </w:tcMar>
            <w:hideMark/>
          </w:tcPr>
          <w:p w14:paraId="592F9599" w14:textId="77777777" w:rsidR="000B26EA" w:rsidRDefault="000B26EA" w:rsidP="003B38C3">
            <w:pPr>
              <w:spacing w:before="40" w:after="40"/>
              <w:rPr>
                <w:rFonts w:cs="Arial"/>
              </w:rPr>
            </w:pPr>
            <w:r>
              <w:rPr>
                <w:rFonts w:cs="Arial"/>
              </w:rPr>
              <w:t>yrmo201412</w:t>
            </w:r>
          </w:p>
        </w:tc>
        <w:tc>
          <w:tcPr>
            <w:tcW w:w="1489" w:type="dxa"/>
            <w:tcBorders>
              <w:top w:val="nil"/>
              <w:left w:val="nil"/>
              <w:bottom w:val="single" w:sz="8" w:space="0" w:color="DCDDDE"/>
              <w:right w:val="nil"/>
            </w:tcBorders>
            <w:tcMar>
              <w:top w:w="0" w:type="dxa"/>
              <w:left w:w="108" w:type="dxa"/>
              <w:bottom w:w="0" w:type="dxa"/>
              <w:right w:w="108" w:type="dxa"/>
            </w:tcMar>
            <w:hideMark/>
          </w:tcPr>
          <w:p w14:paraId="118AEC05" w14:textId="77777777" w:rsidR="000B26EA" w:rsidRDefault="000B26EA">
            <w:pPr>
              <w:spacing w:before="40" w:after="40"/>
              <w:jc w:val="center"/>
              <w:rPr>
                <w:rFonts w:cs="Arial"/>
              </w:rPr>
            </w:pPr>
            <w:r>
              <w:rPr>
                <w:rFonts w:cs="Arial"/>
              </w:rPr>
              <w:t>1.009671</w:t>
            </w:r>
          </w:p>
        </w:tc>
        <w:tc>
          <w:tcPr>
            <w:tcW w:w="1471" w:type="dxa"/>
            <w:tcBorders>
              <w:top w:val="nil"/>
              <w:left w:val="nil"/>
              <w:bottom w:val="single" w:sz="8" w:space="0" w:color="DCDDDE"/>
              <w:right w:val="nil"/>
            </w:tcBorders>
            <w:tcMar>
              <w:top w:w="0" w:type="dxa"/>
              <w:left w:w="108" w:type="dxa"/>
              <w:bottom w:w="0" w:type="dxa"/>
              <w:right w:w="108" w:type="dxa"/>
            </w:tcMar>
            <w:hideMark/>
          </w:tcPr>
          <w:p w14:paraId="198D42B4" w14:textId="77777777" w:rsidR="000B26EA" w:rsidRDefault="000B26EA">
            <w:pPr>
              <w:spacing w:before="40" w:after="40"/>
              <w:jc w:val="center"/>
              <w:rPr>
                <w:rFonts w:cs="Arial"/>
              </w:rPr>
            </w:pPr>
            <w:r>
              <w:rPr>
                <w:rFonts w:cs="Arial"/>
              </w:rPr>
              <w:t>0.020715</w:t>
            </w:r>
          </w:p>
        </w:tc>
        <w:tc>
          <w:tcPr>
            <w:tcW w:w="1051" w:type="dxa"/>
            <w:tcBorders>
              <w:top w:val="nil"/>
              <w:left w:val="nil"/>
              <w:bottom w:val="single" w:sz="8" w:space="0" w:color="DCDDDE"/>
              <w:right w:val="nil"/>
            </w:tcBorders>
            <w:tcMar>
              <w:top w:w="0" w:type="dxa"/>
              <w:left w:w="108" w:type="dxa"/>
              <w:bottom w:w="0" w:type="dxa"/>
              <w:right w:w="108" w:type="dxa"/>
            </w:tcMar>
            <w:hideMark/>
          </w:tcPr>
          <w:p w14:paraId="5B44A06C" w14:textId="77777777" w:rsidR="000B26EA" w:rsidRDefault="000B26EA">
            <w:pPr>
              <w:spacing w:before="40" w:after="40"/>
              <w:jc w:val="center"/>
              <w:rPr>
                <w:rFonts w:cs="Arial"/>
              </w:rPr>
            </w:pPr>
            <w:r>
              <w:rPr>
                <w:rFonts w:cs="Arial"/>
              </w:rPr>
              <w:t>48.74195</w:t>
            </w:r>
          </w:p>
        </w:tc>
        <w:tc>
          <w:tcPr>
            <w:tcW w:w="1034" w:type="dxa"/>
            <w:tcBorders>
              <w:top w:val="nil"/>
              <w:left w:val="nil"/>
              <w:bottom w:val="single" w:sz="8" w:space="0" w:color="DCDDDE"/>
              <w:right w:val="nil"/>
            </w:tcBorders>
            <w:tcMar>
              <w:top w:w="0" w:type="dxa"/>
              <w:left w:w="108" w:type="dxa"/>
              <w:bottom w:w="0" w:type="dxa"/>
              <w:right w:w="108" w:type="dxa"/>
            </w:tcMar>
            <w:hideMark/>
          </w:tcPr>
          <w:p w14:paraId="72CB2F71" w14:textId="77777777" w:rsidR="000B26EA" w:rsidRDefault="000B26EA">
            <w:pPr>
              <w:spacing w:before="40" w:after="40"/>
              <w:jc w:val="center"/>
              <w:rPr>
                <w:rFonts w:cs="Arial"/>
              </w:rPr>
            </w:pPr>
            <w:r>
              <w:rPr>
                <w:rFonts w:cs="Arial"/>
              </w:rPr>
              <w:t>0</w:t>
            </w:r>
          </w:p>
        </w:tc>
        <w:tc>
          <w:tcPr>
            <w:tcW w:w="1653" w:type="dxa"/>
            <w:tcBorders>
              <w:top w:val="nil"/>
              <w:left w:val="nil"/>
              <w:bottom w:val="single" w:sz="8" w:space="0" w:color="DCDDDE"/>
              <w:right w:val="nil"/>
            </w:tcBorders>
            <w:tcMar>
              <w:top w:w="0" w:type="dxa"/>
              <w:left w:w="108" w:type="dxa"/>
              <w:bottom w:w="0" w:type="dxa"/>
              <w:right w:w="108" w:type="dxa"/>
            </w:tcMar>
            <w:hideMark/>
          </w:tcPr>
          <w:p w14:paraId="77E7E494" w14:textId="77777777" w:rsidR="000B26EA" w:rsidRDefault="000B26EA">
            <w:pPr>
              <w:spacing w:before="40" w:after="40"/>
              <w:ind w:left="162" w:hanging="130"/>
              <w:contextualSpacing/>
              <w:jc w:val="center"/>
              <w:rPr>
                <w:rFonts w:cs="Arial"/>
              </w:rPr>
            </w:pPr>
            <w:r>
              <w:rPr>
                <w:rFonts w:cs="Arial"/>
              </w:rPr>
              <w:t>***</w:t>
            </w:r>
          </w:p>
        </w:tc>
      </w:tr>
      <w:tr w:rsidR="000B26EA" w14:paraId="56E4FC71" w14:textId="77777777" w:rsidTr="000B26EA">
        <w:trPr>
          <w:cantSplit/>
        </w:trPr>
        <w:tc>
          <w:tcPr>
            <w:tcW w:w="2340" w:type="dxa"/>
            <w:tcBorders>
              <w:top w:val="nil"/>
              <w:left w:val="nil"/>
              <w:bottom w:val="single" w:sz="8" w:space="0" w:color="DCDDDE"/>
              <w:right w:val="nil"/>
            </w:tcBorders>
            <w:tcMar>
              <w:top w:w="0" w:type="dxa"/>
              <w:left w:w="108" w:type="dxa"/>
              <w:bottom w:w="0" w:type="dxa"/>
              <w:right w:w="108" w:type="dxa"/>
            </w:tcMar>
            <w:hideMark/>
          </w:tcPr>
          <w:p w14:paraId="233E6227" w14:textId="77777777" w:rsidR="000B26EA" w:rsidRDefault="000B26EA" w:rsidP="003B38C3">
            <w:pPr>
              <w:spacing w:before="40" w:after="40"/>
              <w:rPr>
                <w:rFonts w:cs="Arial"/>
              </w:rPr>
            </w:pPr>
            <w:r>
              <w:rPr>
                <w:rFonts w:cs="Arial"/>
              </w:rPr>
              <w:t>yrmo201501</w:t>
            </w:r>
          </w:p>
        </w:tc>
        <w:tc>
          <w:tcPr>
            <w:tcW w:w="1489" w:type="dxa"/>
            <w:tcBorders>
              <w:top w:val="nil"/>
              <w:left w:val="nil"/>
              <w:bottom w:val="single" w:sz="8" w:space="0" w:color="DCDDDE"/>
              <w:right w:val="nil"/>
            </w:tcBorders>
            <w:tcMar>
              <w:top w:w="0" w:type="dxa"/>
              <w:left w:w="108" w:type="dxa"/>
              <w:bottom w:w="0" w:type="dxa"/>
              <w:right w:w="108" w:type="dxa"/>
            </w:tcMar>
            <w:hideMark/>
          </w:tcPr>
          <w:p w14:paraId="2B484856" w14:textId="77777777" w:rsidR="000B26EA" w:rsidRDefault="000B26EA">
            <w:pPr>
              <w:spacing w:before="40" w:after="40"/>
              <w:jc w:val="center"/>
              <w:rPr>
                <w:rFonts w:cs="Arial"/>
              </w:rPr>
            </w:pPr>
            <w:r>
              <w:rPr>
                <w:rFonts w:cs="Arial"/>
              </w:rPr>
              <w:t>0.7202</w:t>
            </w:r>
          </w:p>
        </w:tc>
        <w:tc>
          <w:tcPr>
            <w:tcW w:w="1471" w:type="dxa"/>
            <w:tcBorders>
              <w:top w:val="nil"/>
              <w:left w:val="nil"/>
              <w:bottom w:val="single" w:sz="8" w:space="0" w:color="DCDDDE"/>
              <w:right w:val="nil"/>
            </w:tcBorders>
            <w:tcMar>
              <w:top w:w="0" w:type="dxa"/>
              <w:left w:w="108" w:type="dxa"/>
              <w:bottom w:w="0" w:type="dxa"/>
              <w:right w:w="108" w:type="dxa"/>
            </w:tcMar>
            <w:hideMark/>
          </w:tcPr>
          <w:p w14:paraId="0F0BE0BD" w14:textId="77777777" w:rsidR="000B26EA" w:rsidRDefault="000B26EA">
            <w:pPr>
              <w:spacing w:before="40" w:after="40"/>
              <w:jc w:val="center"/>
              <w:rPr>
                <w:rFonts w:cs="Arial"/>
              </w:rPr>
            </w:pPr>
            <w:r>
              <w:rPr>
                <w:rFonts w:cs="Arial"/>
              </w:rPr>
              <w:t>0.023897</w:t>
            </w:r>
          </w:p>
        </w:tc>
        <w:tc>
          <w:tcPr>
            <w:tcW w:w="1051" w:type="dxa"/>
            <w:tcBorders>
              <w:top w:val="nil"/>
              <w:left w:val="nil"/>
              <w:bottom w:val="single" w:sz="8" w:space="0" w:color="DCDDDE"/>
              <w:right w:val="nil"/>
            </w:tcBorders>
            <w:tcMar>
              <w:top w:w="0" w:type="dxa"/>
              <w:left w:w="108" w:type="dxa"/>
              <w:bottom w:w="0" w:type="dxa"/>
              <w:right w:w="108" w:type="dxa"/>
            </w:tcMar>
            <w:hideMark/>
          </w:tcPr>
          <w:p w14:paraId="55B96FCD" w14:textId="77777777" w:rsidR="000B26EA" w:rsidRDefault="000B26EA">
            <w:pPr>
              <w:spacing w:before="40" w:after="40"/>
              <w:jc w:val="center"/>
              <w:rPr>
                <w:rFonts w:cs="Arial"/>
              </w:rPr>
            </w:pPr>
            <w:r>
              <w:rPr>
                <w:rFonts w:cs="Arial"/>
              </w:rPr>
              <w:t>30.1377</w:t>
            </w:r>
          </w:p>
        </w:tc>
        <w:tc>
          <w:tcPr>
            <w:tcW w:w="1034" w:type="dxa"/>
            <w:tcBorders>
              <w:top w:val="nil"/>
              <w:left w:val="nil"/>
              <w:bottom w:val="single" w:sz="8" w:space="0" w:color="DCDDDE"/>
              <w:right w:val="nil"/>
            </w:tcBorders>
            <w:tcMar>
              <w:top w:w="0" w:type="dxa"/>
              <w:left w:w="108" w:type="dxa"/>
              <w:bottom w:w="0" w:type="dxa"/>
              <w:right w:w="108" w:type="dxa"/>
            </w:tcMar>
            <w:hideMark/>
          </w:tcPr>
          <w:p w14:paraId="4602EDB4" w14:textId="77777777" w:rsidR="000B26EA" w:rsidRDefault="000B26EA">
            <w:pPr>
              <w:spacing w:before="40" w:after="40"/>
              <w:jc w:val="center"/>
              <w:rPr>
                <w:rFonts w:cs="Arial"/>
              </w:rPr>
            </w:pPr>
            <w:r>
              <w:rPr>
                <w:rFonts w:cs="Arial"/>
              </w:rPr>
              <w:t>2.1E-199</w:t>
            </w:r>
          </w:p>
        </w:tc>
        <w:tc>
          <w:tcPr>
            <w:tcW w:w="1653" w:type="dxa"/>
            <w:tcBorders>
              <w:top w:val="nil"/>
              <w:left w:val="nil"/>
              <w:bottom w:val="single" w:sz="8" w:space="0" w:color="DCDDDE"/>
              <w:right w:val="nil"/>
            </w:tcBorders>
            <w:tcMar>
              <w:top w:w="0" w:type="dxa"/>
              <w:left w:w="108" w:type="dxa"/>
              <w:bottom w:w="0" w:type="dxa"/>
              <w:right w:w="108" w:type="dxa"/>
            </w:tcMar>
            <w:hideMark/>
          </w:tcPr>
          <w:p w14:paraId="7965F13F" w14:textId="77777777" w:rsidR="000B26EA" w:rsidRDefault="000B26EA">
            <w:pPr>
              <w:spacing w:before="40" w:after="40"/>
              <w:ind w:left="162" w:hanging="130"/>
              <w:contextualSpacing/>
              <w:jc w:val="center"/>
              <w:rPr>
                <w:rFonts w:cs="Arial"/>
              </w:rPr>
            </w:pPr>
            <w:r>
              <w:rPr>
                <w:rFonts w:cs="Arial"/>
              </w:rPr>
              <w:t>***</w:t>
            </w:r>
          </w:p>
        </w:tc>
      </w:tr>
      <w:tr w:rsidR="000B26EA" w14:paraId="675E0223" w14:textId="77777777" w:rsidTr="000B26EA">
        <w:trPr>
          <w:cantSplit/>
        </w:trPr>
        <w:tc>
          <w:tcPr>
            <w:tcW w:w="2340" w:type="dxa"/>
            <w:tcBorders>
              <w:top w:val="nil"/>
              <w:left w:val="nil"/>
              <w:bottom w:val="single" w:sz="8" w:space="0" w:color="DCDDDE"/>
              <w:right w:val="nil"/>
            </w:tcBorders>
            <w:tcMar>
              <w:top w:w="0" w:type="dxa"/>
              <w:left w:w="108" w:type="dxa"/>
              <w:bottom w:w="0" w:type="dxa"/>
              <w:right w:w="108" w:type="dxa"/>
            </w:tcMar>
            <w:hideMark/>
          </w:tcPr>
          <w:p w14:paraId="29B54CF3" w14:textId="77777777" w:rsidR="000B26EA" w:rsidRDefault="000B26EA" w:rsidP="003B38C3">
            <w:pPr>
              <w:spacing w:before="40" w:after="40"/>
              <w:rPr>
                <w:rFonts w:cs="Arial"/>
              </w:rPr>
            </w:pPr>
            <w:r>
              <w:rPr>
                <w:rFonts w:cs="Arial"/>
              </w:rPr>
              <w:t>yrmo201502</w:t>
            </w:r>
          </w:p>
        </w:tc>
        <w:tc>
          <w:tcPr>
            <w:tcW w:w="1489" w:type="dxa"/>
            <w:tcBorders>
              <w:top w:val="nil"/>
              <w:left w:val="nil"/>
              <w:bottom w:val="single" w:sz="8" w:space="0" w:color="DCDDDE"/>
              <w:right w:val="nil"/>
            </w:tcBorders>
            <w:tcMar>
              <w:top w:w="0" w:type="dxa"/>
              <w:left w:w="108" w:type="dxa"/>
              <w:bottom w:w="0" w:type="dxa"/>
              <w:right w:w="108" w:type="dxa"/>
            </w:tcMar>
            <w:hideMark/>
          </w:tcPr>
          <w:p w14:paraId="2B55CE36" w14:textId="77777777" w:rsidR="000B26EA" w:rsidRDefault="000B26EA">
            <w:pPr>
              <w:spacing w:before="40" w:after="40"/>
              <w:jc w:val="center"/>
              <w:rPr>
                <w:rFonts w:cs="Arial"/>
              </w:rPr>
            </w:pPr>
            <w:r>
              <w:rPr>
                <w:rFonts w:cs="Arial"/>
              </w:rPr>
              <w:t>0.442595</w:t>
            </w:r>
          </w:p>
        </w:tc>
        <w:tc>
          <w:tcPr>
            <w:tcW w:w="1471" w:type="dxa"/>
            <w:tcBorders>
              <w:top w:val="nil"/>
              <w:left w:val="nil"/>
              <w:bottom w:val="single" w:sz="8" w:space="0" w:color="DCDDDE"/>
              <w:right w:val="nil"/>
            </w:tcBorders>
            <w:tcMar>
              <w:top w:w="0" w:type="dxa"/>
              <w:left w:w="108" w:type="dxa"/>
              <w:bottom w:w="0" w:type="dxa"/>
              <w:right w:w="108" w:type="dxa"/>
            </w:tcMar>
            <w:hideMark/>
          </w:tcPr>
          <w:p w14:paraId="15D4AF7B" w14:textId="77777777" w:rsidR="000B26EA" w:rsidRDefault="000B26EA">
            <w:pPr>
              <w:spacing w:before="40" w:after="40"/>
              <w:jc w:val="center"/>
              <w:rPr>
                <w:rFonts w:cs="Arial"/>
              </w:rPr>
            </w:pPr>
            <w:r>
              <w:rPr>
                <w:rFonts w:cs="Arial"/>
              </w:rPr>
              <w:t>0.020163</w:t>
            </w:r>
          </w:p>
        </w:tc>
        <w:tc>
          <w:tcPr>
            <w:tcW w:w="1051" w:type="dxa"/>
            <w:tcBorders>
              <w:top w:val="nil"/>
              <w:left w:val="nil"/>
              <w:bottom w:val="single" w:sz="8" w:space="0" w:color="DCDDDE"/>
              <w:right w:val="nil"/>
            </w:tcBorders>
            <w:tcMar>
              <w:top w:w="0" w:type="dxa"/>
              <w:left w:w="108" w:type="dxa"/>
              <w:bottom w:w="0" w:type="dxa"/>
              <w:right w:w="108" w:type="dxa"/>
            </w:tcMar>
            <w:hideMark/>
          </w:tcPr>
          <w:p w14:paraId="1B5CCE90" w14:textId="77777777" w:rsidR="000B26EA" w:rsidRDefault="000B26EA">
            <w:pPr>
              <w:spacing w:before="40" w:after="40"/>
              <w:jc w:val="center"/>
              <w:rPr>
                <w:rFonts w:cs="Arial"/>
              </w:rPr>
            </w:pPr>
            <w:r>
              <w:rPr>
                <w:rFonts w:cs="Arial"/>
              </w:rPr>
              <w:t>21.95071</w:t>
            </w:r>
          </w:p>
        </w:tc>
        <w:tc>
          <w:tcPr>
            <w:tcW w:w="1034" w:type="dxa"/>
            <w:tcBorders>
              <w:top w:val="nil"/>
              <w:left w:val="nil"/>
              <w:bottom w:val="single" w:sz="8" w:space="0" w:color="DCDDDE"/>
              <w:right w:val="nil"/>
            </w:tcBorders>
            <w:tcMar>
              <w:top w:w="0" w:type="dxa"/>
              <w:left w:w="108" w:type="dxa"/>
              <w:bottom w:w="0" w:type="dxa"/>
              <w:right w:w="108" w:type="dxa"/>
            </w:tcMar>
            <w:hideMark/>
          </w:tcPr>
          <w:p w14:paraId="526D2BB9" w14:textId="77777777" w:rsidR="000B26EA" w:rsidRDefault="000B26EA">
            <w:pPr>
              <w:spacing w:before="40" w:after="40"/>
              <w:jc w:val="center"/>
              <w:rPr>
                <w:rFonts w:cs="Arial"/>
              </w:rPr>
            </w:pPr>
            <w:r>
              <w:rPr>
                <w:rFonts w:cs="Arial"/>
              </w:rPr>
              <w:t>9.2E-107</w:t>
            </w:r>
          </w:p>
        </w:tc>
        <w:tc>
          <w:tcPr>
            <w:tcW w:w="1653" w:type="dxa"/>
            <w:tcBorders>
              <w:top w:val="nil"/>
              <w:left w:val="nil"/>
              <w:bottom w:val="single" w:sz="8" w:space="0" w:color="DCDDDE"/>
              <w:right w:val="nil"/>
            </w:tcBorders>
            <w:tcMar>
              <w:top w:w="0" w:type="dxa"/>
              <w:left w:w="108" w:type="dxa"/>
              <w:bottom w:w="0" w:type="dxa"/>
              <w:right w:w="108" w:type="dxa"/>
            </w:tcMar>
            <w:hideMark/>
          </w:tcPr>
          <w:p w14:paraId="41334800" w14:textId="77777777" w:rsidR="000B26EA" w:rsidRDefault="000B26EA">
            <w:pPr>
              <w:spacing w:before="40" w:after="40"/>
              <w:ind w:left="162" w:hanging="130"/>
              <w:contextualSpacing/>
              <w:jc w:val="center"/>
              <w:rPr>
                <w:rFonts w:cs="Arial"/>
              </w:rPr>
            </w:pPr>
            <w:r>
              <w:rPr>
                <w:rFonts w:cs="Arial"/>
              </w:rPr>
              <w:t>***</w:t>
            </w:r>
          </w:p>
        </w:tc>
      </w:tr>
      <w:tr w:rsidR="000B26EA" w14:paraId="4C3CCAA0" w14:textId="77777777" w:rsidTr="000B26EA">
        <w:trPr>
          <w:cantSplit/>
        </w:trPr>
        <w:tc>
          <w:tcPr>
            <w:tcW w:w="2340" w:type="dxa"/>
            <w:tcBorders>
              <w:top w:val="nil"/>
              <w:left w:val="nil"/>
              <w:bottom w:val="single" w:sz="8" w:space="0" w:color="DCDDDE"/>
              <w:right w:val="nil"/>
            </w:tcBorders>
            <w:tcMar>
              <w:top w:w="0" w:type="dxa"/>
              <w:left w:w="108" w:type="dxa"/>
              <w:bottom w:w="0" w:type="dxa"/>
              <w:right w:w="108" w:type="dxa"/>
            </w:tcMar>
            <w:hideMark/>
          </w:tcPr>
          <w:p w14:paraId="1C84E643" w14:textId="77777777" w:rsidR="000B26EA" w:rsidRDefault="000B26EA" w:rsidP="003B38C3">
            <w:pPr>
              <w:spacing w:before="40" w:after="40"/>
              <w:rPr>
                <w:rFonts w:cs="Arial"/>
              </w:rPr>
            </w:pPr>
            <w:r>
              <w:rPr>
                <w:rFonts w:cs="Arial"/>
              </w:rPr>
              <w:t>yrmo201503</w:t>
            </w:r>
          </w:p>
        </w:tc>
        <w:tc>
          <w:tcPr>
            <w:tcW w:w="1489" w:type="dxa"/>
            <w:tcBorders>
              <w:top w:val="nil"/>
              <w:left w:val="nil"/>
              <w:bottom w:val="single" w:sz="8" w:space="0" w:color="DCDDDE"/>
              <w:right w:val="nil"/>
            </w:tcBorders>
            <w:tcMar>
              <w:top w:w="0" w:type="dxa"/>
              <w:left w:w="108" w:type="dxa"/>
              <w:bottom w:w="0" w:type="dxa"/>
              <w:right w:w="108" w:type="dxa"/>
            </w:tcMar>
            <w:hideMark/>
          </w:tcPr>
          <w:p w14:paraId="3182613F" w14:textId="77777777" w:rsidR="000B26EA" w:rsidRDefault="000B26EA">
            <w:pPr>
              <w:spacing w:before="40" w:after="40"/>
              <w:jc w:val="center"/>
              <w:rPr>
                <w:rFonts w:cs="Arial"/>
              </w:rPr>
            </w:pPr>
            <w:r>
              <w:rPr>
                <w:rFonts w:cs="Arial"/>
              </w:rPr>
              <w:t>0.572474</w:t>
            </w:r>
          </w:p>
        </w:tc>
        <w:tc>
          <w:tcPr>
            <w:tcW w:w="1471" w:type="dxa"/>
            <w:tcBorders>
              <w:top w:val="nil"/>
              <w:left w:val="nil"/>
              <w:bottom w:val="single" w:sz="8" w:space="0" w:color="DCDDDE"/>
              <w:right w:val="nil"/>
            </w:tcBorders>
            <w:tcMar>
              <w:top w:w="0" w:type="dxa"/>
              <w:left w:w="108" w:type="dxa"/>
              <w:bottom w:w="0" w:type="dxa"/>
              <w:right w:w="108" w:type="dxa"/>
            </w:tcMar>
            <w:hideMark/>
          </w:tcPr>
          <w:p w14:paraId="71D97D9C" w14:textId="77777777" w:rsidR="000B26EA" w:rsidRDefault="000B26EA">
            <w:pPr>
              <w:spacing w:before="40" w:after="40"/>
              <w:jc w:val="center"/>
              <w:rPr>
                <w:rFonts w:cs="Arial"/>
              </w:rPr>
            </w:pPr>
            <w:r>
              <w:rPr>
                <w:rFonts w:cs="Arial"/>
              </w:rPr>
              <w:t>0.026094</w:t>
            </w:r>
          </w:p>
        </w:tc>
        <w:tc>
          <w:tcPr>
            <w:tcW w:w="1051" w:type="dxa"/>
            <w:tcBorders>
              <w:top w:val="nil"/>
              <w:left w:val="nil"/>
              <w:bottom w:val="single" w:sz="8" w:space="0" w:color="DCDDDE"/>
              <w:right w:val="nil"/>
            </w:tcBorders>
            <w:tcMar>
              <w:top w:w="0" w:type="dxa"/>
              <w:left w:w="108" w:type="dxa"/>
              <w:bottom w:w="0" w:type="dxa"/>
              <w:right w:w="108" w:type="dxa"/>
            </w:tcMar>
            <w:hideMark/>
          </w:tcPr>
          <w:p w14:paraId="3FB4ADB4" w14:textId="77777777" w:rsidR="000B26EA" w:rsidRDefault="000B26EA">
            <w:pPr>
              <w:spacing w:before="40" w:after="40"/>
              <w:jc w:val="center"/>
              <w:rPr>
                <w:rFonts w:cs="Arial"/>
              </w:rPr>
            </w:pPr>
            <w:r>
              <w:rPr>
                <w:rFonts w:cs="Arial"/>
              </w:rPr>
              <w:t>21.93858</w:t>
            </w:r>
          </w:p>
        </w:tc>
        <w:tc>
          <w:tcPr>
            <w:tcW w:w="1034" w:type="dxa"/>
            <w:tcBorders>
              <w:top w:val="nil"/>
              <w:left w:val="nil"/>
              <w:bottom w:val="single" w:sz="8" w:space="0" w:color="DCDDDE"/>
              <w:right w:val="nil"/>
            </w:tcBorders>
            <w:tcMar>
              <w:top w:w="0" w:type="dxa"/>
              <w:left w:w="108" w:type="dxa"/>
              <w:bottom w:w="0" w:type="dxa"/>
              <w:right w:w="108" w:type="dxa"/>
            </w:tcMar>
            <w:hideMark/>
          </w:tcPr>
          <w:p w14:paraId="117898C0" w14:textId="77777777" w:rsidR="000B26EA" w:rsidRDefault="000B26EA">
            <w:pPr>
              <w:spacing w:before="40" w:after="40"/>
              <w:jc w:val="center"/>
              <w:rPr>
                <w:rFonts w:cs="Arial"/>
              </w:rPr>
            </w:pPr>
            <w:r>
              <w:rPr>
                <w:rFonts w:cs="Arial"/>
              </w:rPr>
              <w:t>1.2E-106</w:t>
            </w:r>
          </w:p>
        </w:tc>
        <w:tc>
          <w:tcPr>
            <w:tcW w:w="1653" w:type="dxa"/>
            <w:tcBorders>
              <w:top w:val="nil"/>
              <w:left w:val="nil"/>
              <w:bottom w:val="single" w:sz="8" w:space="0" w:color="DCDDDE"/>
              <w:right w:val="nil"/>
            </w:tcBorders>
            <w:tcMar>
              <w:top w:w="0" w:type="dxa"/>
              <w:left w:w="108" w:type="dxa"/>
              <w:bottom w:w="0" w:type="dxa"/>
              <w:right w:w="108" w:type="dxa"/>
            </w:tcMar>
            <w:hideMark/>
          </w:tcPr>
          <w:p w14:paraId="5A88C6BB" w14:textId="77777777" w:rsidR="000B26EA" w:rsidRDefault="000B26EA">
            <w:pPr>
              <w:spacing w:before="40" w:after="40"/>
              <w:ind w:left="162" w:hanging="130"/>
              <w:contextualSpacing/>
              <w:jc w:val="center"/>
              <w:rPr>
                <w:rFonts w:cs="Arial"/>
              </w:rPr>
            </w:pPr>
            <w:r>
              <w:rPr>
                <w:rFonts w:cs="Arial"/>
              </w:rPr>
              <w:t>***</w:t>
            </w:r>
          </w:p>
        </w:tc>
      </w:tr>
      <w:tr w:rsidR="000B26EA" w14:paraId="26DAC9E1" w14:textId="77777777" w:rsidTr="000B26EA">
        <w:trPr>
          <w:cantSplit/>
        </w:trPr>
        <w:tc>
          <w:tcPr>
            <w:tcW w:w="2340" w:type="dxa"/>
            <w:tcBorders>
              <w:top w:val="nil"/>
              <w:left w:val="nil"/>
              <w:bottom w:val="single" w:sz="8" w:space="0" w:color="DCDDDE"/>
              <w:right w:val="nil"/>
            </w:tcBorders>
            <w:tcMar>
              <w:top w:w="0" w:type="dxa"/>
              <w:left w:w="108" w:type="dxa"/>
              <w:bottom w:w="0" w:type="dxa"/>
              <w:right w:w="108" w:type="dxa"/>
            </w:tcMar>
            <w:hideMark/>
          </w:tcPr>
          <w:p w14:paraId="53363C08" w14:textId="77777777" w:rsidR="000B26EA" w:rsidRDefault="000B26EA" w:rsidP="003B38C3">
            <w:pPr>
              <w:spacing w:before="40" w:after="40"/>
              <w:rPr>
                <w:rFonts w:cs="Arial"/>
              </w:rPr>
            </w:pPr>
            <w:r>
              <w:rPr>
                <w:rFonts w:cs="Arial"/>
              </w:rPr>
              <w:t>pre.therms:yrmo201410</w:t>
            </w:r>
          </w:p>
        </w:tc>
        <w:tc>
          <w:tcPr>
            <w:tcW w:w="1489" w:type="dxa"/>
            <w:tcBorders>
              <w:top w:val="nil"/>
              <w:left w:val="nil"/>
              <w:bottom w:val="single" w:sz="8" w:space="0" w:color="DCDDDE"/>
              <w:right w:val="nil"/>
            </w:tcBorders>
            <w:tcMar>
              <w:top w:w="0" w:type="dxa"/>
              <w:left w:w="108" w:type="dxa"/>
              <w:bottom w:w="0" w:type="dxa"/>
              <w:right w:w="108" w:type="dxa"/>
            </w:tcMar>
            <w:hideMark/>
          </w:tcPr>
          <w:p w14:paraId="62A9EBED" w14:textId="77777777" w:rsidR="000B26EA" w:rsidRDefault="000B26EA">
            <w:pPr>
              <w:spacing w:before="40" w:after="40"/>
              <w:jc w:val="center"/>
              <w:rPr>
                <w:rFonts w:cs="Arial"/>
              </w:rPr>
            </w:pPr>
            <w:r>
              <w:rPr>
                <w:rFonts w:cs="Arial"/>
              </w:rPr>
              <w:t>0.680094</w:t>
            </w:r>
          </w:p>
        </w:tc>
        <w:tc>
          <w:tcPr>
            <w:tcW w:w="1471" w:type="dxa"/>
            <w:tcBorders>
              <w:top w:val="nil"/>
              <w:left w:val="nil"/>
              <w:bottom w:val="single" w:sz="8" w:space="0" w:color="DCDDDE"/>
              <w:right w:val="nil"/>
            </w:tcBorders>
            <w:tcMar>
              <w:top w:w="0" w:type="dxa"/>
              <w:left w:w="108" w:type="dxa"/>
              <w:bottom w:w="0" w:type="dxa"/>
              <w:right w:w="108" w:type="dxa"/>
            </w:tcMar>
            <w:hideMark/>
          </w:tcPr>
          <w:p w14:paraId="2BCCC7F4" w14:textId="77777777" w:rsidR="000B26EA" w:rsidRDefault="000B26EA">
            <w:pPr>
              <w:spacing w:before="40" w:after="40"/>
              <w:jc w:val="center"/>
              <w:rPr>
                <w:rFonts w:cs="Arial"/>
              </w:rPr>
            </w:pPr>
            <w:r>
              <w:rPr>
                <w:rFonts w:cs="Arial"/>
              </w:rPr>
              <w:t>0.024836</w:t>
            </w:r>
          </w:p>
        </w:tc>
        <w:tc>
          <w:tcPr>
            <w:tcW w:w="1051" w:type="dxa"/>
            <w:tcBorders>
              <w:top w:val="nil"/>
              <w:left w:val="nil"/>
              <w:bottom w:val="single" w:sz="8" w:space="0" w:color="DCDDDE"/>
              <w:right w:val="nil"/>
            </w:tcBorders>
            <w:tcMar>
              <w:top w:w="0" w:type="dxa"/>
              <w:left w:w="108" w:type="dxa"/>
              <w:bottom w:w="0" w:type="dxa"/>
              <w:right w:w="108" w:type="dxa"/>
            </w:tcMar>
            <w:hideMark/>
          </w:tcPr>
          <w:p w14:paraId="6A1FA1D9" w14:textId="77777777" w:rsidR="000B26EA" w:rsidRDefault="000B26EA">
            <w:pPr>
              <w:spacing w:before="40" w:after="40"/>
              <w:jc w:val="center"/>
              <w:rPr>
                <w:rFonts w:cs="Arial"/>
              </w:rPr>
            </w:pPr>
            <w:r>
              <w:rPr>
                <w:rFonts w:cs="Arial"/>
              </w:rPr>
              <w:t>27.38314</w:t>
            </w:r>
          </w:p>
        </w:tc>
        <w:tc>
          <w:tcPr>
            <w:tcW w:w="1034" w:type="dxa"/>
            <w:tcBorders>
              <w:top w:val="nil"/>
              <w:left w:val="nil"/>
              <w:bottom w:val="single" w:sz="8" w:space="0" w:color="DCDDDE"/>
              <w:right w:val="nil"/>
            </w:tcBorders>
            <w:tcMar>
              <w:top w:w="0" w:type="dxa"/>
              <w:left w:w="108" w:type="dxa"/>
              <w:bottom w:w="0" w:type="dxa"/>
              <w:right w:w="108" w:type="dxa"/>
            </w:tcMar>
            <w:hideMark/>
          </w:tcPr>
          <w:p w14:paraId="5A90E33D" w14:textId="77777777" w:rsidR="000B26EA" w:rsidRDefault="000B26EA">
            <w:pPr>
              <w:spacing w:before="40" w:after="40"/>
              <w:jc w:val="center"/>
              <w:rPr>
                <w:rFonts w:cs="Arial"/>
              </w:rPr>
            </w:pPr>
            <w:r>
              <w:rPr>
                <w:rFonts w:cs="Arial"/>
              </w:rPr>
              <w:t>5.3E-165</w:t>
            </w:r>
          </w:p>
        </w:tc>
        <w:tc>
          <w:tcPr>
            <w:tcW w:w="1653" w:type="dxa"/>
            <w:tcBorders>
              <w:top w:val="nil"/>
              <w:left w:val="nil"/>
              <w:bottom w:val="single" w:sz="8" w:space="0" w:color="DCDDDE"/>
              <w:right w:val="nil"/>
            </w:tcBorders>
            <w:tcMar>
              <w:top w:w="0" w:type="dxa"/>
              <w:left w:w="108" w:type="dxa"/>
              <w:bottom w:w="0" w:type="dxa"/>
              <w:right w:w="108" w:type="dxa"/>
            </w:tcMar>
            <w:hideMark/>
          </w:tcPr>
          <w:p w14:paraId="036A7A19" w14:textId="77777777" w:rsidR="000B26EA" w:rsidRDefault="000B26EA">
            <w:pPr>
              <w:spacing w:before="40" w:after="40"/>
              <w:ind w:left="162" w:hanging="130"/>
              <w:contextualSpacing/>
              <w:jc w:val="center"/>
              <w:rPr>
                <w:rFonts w:cs="Arial"/>
              </w:rPr>
            </w:pPr>
            <w:r>
              <w:rPr>
                <w:rFonts w:cs="Arial"/>
              </w:rPr>
              <w:t>***</w:t>
            </w:r>
          </w:p>
        </w:tc>
      </w:tr>
      <w:tr w:rsidR="000B26EA" w14:paraId="0C6643A0" w14:textId="77777777" w:rsidTr="000B26EA">
        <w:trPr>
          <w:cantSplit/>
        </w:trPr>
        <w:tc>
          <w:tcPr>
            <w:tcW w:w="2340" w:type="dxa"/>
            <w:tcBorders>
              <w:top w:val="nil"/>
              <w:left w:val="nil"/>
              <w:bottom w:val="single" w:sz="8" w:space="0" w:color="DCDDDE"/>
              <w:right w:val="nil"/>
            </w:tcBorders>
            <w:tcMar>
              <w:top w:w="0" w:type="dxa"/>
              <w:left w:w="108" w:type="dxa"/>
              <w:bottom w:w="0" w:type="dxa"/>
              <w:right w:w="108" w:type="dxa"/>
            </w:tcMar>
            <w:hideMark/>
          </w:tcPr>
          <w:p w14:paraId="327F8A71" w14:textId="77777777" w:rsidR="000B26EA" w:rsidRDefault="000B26EA" w:rsidP="003B38C3">
            <w:pPr>
              <w:spacing w:before="40" w:after="40"/>
              <w:rPr>
                <w:rFonts w:cs="Arial"/>
              </w:rPr>
            </w:pPr>
            <w:r>
              <w:rPr>
                <w:rFonts w:cs="Arial"/>
              </w:rPr>
              <w:t>pre.therms:yrmo201411</w:t>
            </w:r>
          </w:p>
        </w:tc>
        <w:tc>
          <w:tcPr>
            <w:tcW w:w="1489" w:type="dxa"/>
            <w:tcBorders>
              <w:top w:val="nil"/>
              <w:left w:val="nil"/>
              <w:bottom w:val="single" w:sz="8" w:space="0" w:color="DCDDDE"/>
              <w:right w:val="nil"/>
            </w:tcBorders>
            <w:tcMar>
              <w:top w:w="0" w:type="dxa"/>
              <w:left w:w="108" w:type="dxa"/>
              <w:bottom w:w="0" w:type="dxa"/>
              <w:right w:w="108" w:type="dxa"/>
            </w:tcMar>
            <w:hideMark/>
          </w:tcPr>
          <w:p w14:paraId="61EED263" w14:textId="77777777" w:rsidR="000B26EA" w:rsidRDefault="000B26EA">
            <w:pPr>
              <w:spacing w:before="40" w:after="40"/>
              <w:jc w:val="center"/>
              <w:rPr>
                <w:rFonts w:cs="Arial"/>
              </w:rPr>
            </w:pPr>
            <w:r>
              <w:rPr>
                <w:rFonts w:cs="Arial"/>
              </w:rPr>
              <w:t>0.988298</w:t>
            </w:r>
          </w:p>
        </w:tc>
        <w:tc>
          <w:tcPr>
            <w:tcW w:w="1471" w:type="dxa"/>
            <w:tcBorders>
              <w:top w:val="nil"/>
              <w:left w:val="nil"/>
              <w:bottom w:val="single" w:sz="8" w:space="0" w:color="DCDDDE"/>
              <w:right w:val="nil"/>
            </w:tcBorders>
            <w:tcMar>
              <w:top w:w="0" w:type="dxa"/>
              <w:left w:w="108" w:type="dxa"/>
              <w:bottom w:w="0" w:type="dxa"/>
              <w:right w:w="108" w:type="dxa"/>
            </w:tcMar>
            <w:hideMark/>
          </w:tcPr>
          <w:p w14:paraId="220A08CB" w14:textId="77777777" w:rsidR="000B26EA" w:rsidRDefault="000B26EA">
            <w:pPr>
              <w:spacing w:before="40" w:after="40"/>
              <w:jc w:val="center"/>
              <w:rPr>
                <w:rFonts w:cs="Arial"/>
              </w:rPr>
            </w:pPr>
            <w:r>
              <w:rPr>
                <w:rFonts w:cs="Arial"/>
              </w:rPr>
              <w:t>0.028796</w:t>
            </w:r>
          </w:p>
        </w:tc>
        <w:tc>
          <w:tcPr>
            <w:tcW w:w="1051" w:type="dxa"/>
            <w:tcBorders>
              <w:top w:val="nil"/>
              <w:left w:val="nil"/>
              <w:bottom w:val="single" w:sz="8" w:space="0" w:color="DCDDDE"/>
              <w:right w:val="nil"/>
            </w:tcBorders>
            <w:tcMar>
              <w:top w:w="0" w:type="dxa"/>
              <w:left w:w="108" w:type="dxa"/>
              <w:bottom w:w="0" w:type="dxa"/>
              <w:right w:w="108" w:type="dxa"/>
            </w:tcMar>
            <w:hideMark/>
          </w:tcPr>
          <w:p w14:paraId="76000BA4" w14:textId="77777777" w:rsidR="000B26EA" w:rsidRDefault="000B26EA">
            <w:pPr>
              <w:spacing w:before="40" w:after="40"/>
              <w:jc w:val="center"/>
              <w:rPr>
                <w:rFonts w:cs="Arial"/>
              </w:rPr>
            </w:pPr>
            <w:r>
              <w:rPr>
                <w:rFonts w:cs="Arial"/>
              </w:rPr>
              <w:t>34.32034</w:t>
            </w:r>
          </w:p>
        </w:tc>
        <w:tc>
          <w:tcPr>
            <w:tcW w:w="1034" w:type="dxa"/>
            <w:tcBorders>
              <w:top w:val="nil"/>
              <w:left w:val="nil"/>
              <w:bottom w:val="single" w:sz="8" w:space="0" w:color="DCDDDE"/>
              <w:right w:val="nil"/>
            </w:tcBorders>
            <w:tcMar>
              <w:top w:w="0" w:type="dxa"/>
              <w:left w:w="108" w:type="dxa"/>
              <w:bottom w:w="0" w:type="dxa"/>
              <w:right w:w="108" w:type="dxa"/>
            </w:tcMar>
            <w:hideMark/>
          </w:tcPr>
          <w:p w14:paraId="7ACB7FBF" w14:textId="77777777" w:rsidR="000B26EA" w:rsidRDefault="000B26EA">
            <w:pPr>
              <w:spacing w:before="40" w:after="40"/>
              <w:jc w:val="center"/>
              <w:rPr>
                <w:rFonts w:cs="Arial"/>
              </w:rPr>
            </w:pPr>
            <w:r>
              <w:rPr>
                <w:rFonts w:cs="Arial"/>
              </w:rPr>
              <w:t>6.3E-258</w:t>
            </w:r>
          </w:p>
        </w:tc>
        <w:tc>
          <w:tcPr>
            <w:tcW w:w="1653" w:type="dxa"/>
            <w:tcBorders>
              <w:top w:val="nil"/>
              <w:left w:val="nil"/>
              <w:bottom w:val="single" w:sz="8" w:space="0" w:color="DCDDDE"/>
              <w:right w:val="nil"/>
            </w:tcBorders>
            <w:tcMar>
              <w:top w:w="0" w:type="dxa"/>
              <w:left w:w="108" w:type="dxa"/>
              <w:bottom w:w="0" w:type="dxa"/>
              <w:right w:w="108" w:type="dxa"/>
            </w:tcMar>
            <w:hideMark/>
          </w:tcPr>
          <w:p w14:paraId="6BF0B540" w14:textId="77777777" w:rsidR="000B26EA" w:rsidRDefault="000B26EA">
            <w:pPr>
              <w:spacing w:before="40" w:after="40"/>
              <w:ind w:left="162" w:hanging="130"/>
              <w:contextualSpacing/>
              <w:jc w:val="center"/>
              <w:rPr>
                <w:rFonts w:cs="Arial"/>
              </w:rPr>
            </w:pPr>
            <w:r>
              <w:rPr>
                <w:rFonts w:cs="Arial"/>
              </w:rPr>
              <w:t>***</w:t>
            </w:r>
          </w:p>
        </w:tc>
      </w:tr>
      <w:tr w:rsidR="000B26EA" w14:paraId="39B03274" w14:textId="77777777" w:rsidTr="000B26EA">
        <w:trPr>
          <w:cantSplit/>
        </w:trPr>
        <w:tc>
          <w:tcPr>
            <w:tcW w:w="2340" w:type="dxa"/>
            <w:tcBorders>
              <w:top w:val="nil"/>
              <w:left w:val="nil"/>
              <w:bottom w:val="single" w:sz="8" w:space="0" w:color="DCDDDE"/>
              <w:right w:val="nil"/>
            </w:tcBorders>
            <w:tcMar>
              <w:top w:w="0" w:type="dxa"/>
              <w:left w:w="108" w:type="dxa"/>
              <w:bottom w:w="0" w:type="dxa"/>
              <w:right w:w="108" w:type="dxa"/>
            </w:tcMar>
            <w:hideMark/>
          </w:tcPr>
          <w:p w14:paraId="4A3D0FD7" w14:textId="77777777" w:rsidR="000B26EA" w:rsidRDefault="000B26EA" w:rsidP="003B38C3">
            <w:pPr>
              <w:spacing w:before="40" w:after="40"/>
              <w:rPr>
                <w:rFonts w:cs="Arial"/>
              </w:rPr>
            </w:pPr>
            <w:r>
              <w:rPr>
                <w:rFonts w:cs="Arial"/>
              </w:rPr>
              <w:t>yrmo201411</w:t>
            </w:r>
          </w:p>
        </w:tc>
        <w:tc>
          <w:tcPr>
            <w:tcW w:w="1489" w:type="dxa"/>
            <w:tcBorders>
              <w:top w:val="nil"/>
              <w:left w:val="nil"/>
              <w:bottom w:val="single" w:sz="8" w:space="0" w:color="DCDDDE"/>
              <w:right w:val="nil"/>
            </w:tcBorders>
            <w:tcMar>
              <w:top w:w="0" w:type="dxa"/>
              <w:left w:w="108" w:type="dxa"/>
              <w:bottom w:w="0" w:type="dxa"/>
              <w:right w:w="108" w:type="dxa"/>
            </w:tcMar>
            <w:hideMark/>
          </w:tcPr>
          <w:p w14:paraId="23958638" w14:textId="77777777" w:rsidR="000B26EA" w:rsidRDefault="000B26EA">
            <w:pPr>
              <w:spacing w:before="40" w:after="40"/>
              <w:jc w:val="center"/>
              <w:rPr>
                <w:rFonts w:cs="Arial"/>
              </w:rPr>
            </w:pPr>
            <w:r>
              <w:rPr>
                <w:rFonts w:cs="Arial"/>
              </w:rPr>
              <w:t>0.703396</w:t>
            </w:r>
          </w:p>
        </w:tc>
        <w:tc>
          <w:tcPr>
            <w:tcW w:w="1471" w:type="dxa"/>
            <w:tcBorders>
              <w:top w:val="nil"/>
              <w:left w:val="nil"/>
              <w:bottom w:val="single" w:sz="8" w:space="0" w:color="DCDDDE"/>
              <w:right w:val="nil"/>
            </w:tcBorders>
            <w:tcMar>
              <w:top w:w="0" w:type="dxa"/>
              <w:left w:w="108" w:type="dxa"/>
              <w:bottom w:w="0" w:type="dxa"/>
              <w:right w:w="108" w:type="dxa"/>
            </w:tcMar>
            <w:hideMark/>
          </w:tcPr>
          <w:p w14:paraId="3A4AE763" w14:textId="77777777" w:rsidR="000B26EA" w:rsidRDefault="000B26EA">
            <w:pPr>
              <w:spacing w:before="40" w:after="40"/>
              <w:jc w:val="center"/>
              <w:rPr>
                <w:rFonts w:cs="Arial"/>
              </w:rPr>
            </w:pPr>
            <w:r>
              <w:rPr>
                <w:rFonts w:cs="Arial"/>
              </w:rPr>
              <w:t>0.110692</w:t>
            </w:r>
          </w:p>
        </w:tc>
        <w:tc>
          <w:tcPr>
            <w:tcW w:w="1051" w:type="dxa"/>
            <w:tcBorders>
              <w:top w:val="nil"/>
              <w:left w:val="nil"/>
              <w:bottom w:val="single" w:sz="8" w:space="0" w:color="DCDDDE"/>
              <w:right w:val="nil"/>
            </w:tcBorders>
            <w:tcMar>
              <w:top w:w="0" w:type="dxa"/>
              <w:left w:w="108" w:type="dxa"/>
              <w:bottom w:w="0" w:type="dxa"/>
              <w:right w:w="108" w:type="dxa"/>
            </w:tcMar>
            <w:hideMark/>
          </w:tcPr>
          <w:p w14:paraId="669BA105" w14:textId="77777777" w:rsidR="000B26EA" w:rsidRDefault="000B26EA">
            <w:pPr>
              <w:spacing w:before="40" w:after="40"/>
              <w:jc w:val="center"/>
              <w:rPr>
                <w:rFonts w:cs="Arial"/>
              </w:rPr>
            </w:pPr>
            <w:r>
              <w:rPr>
                <w:rFonts w:cs="Arial"/>
              </w:rPr>
              <w:t>6.354504</w:t>
            </w:r>
          </w:p>
        </w:tc>
        <w:tc>
          <w:tcPr>
            <w:tcW w:w="1034" w:type="dxa"/>
            <w:tcBorders>
              <w:top w:val="nil"/>
              <w:left w:val="nil"/>
              <w:bottom w:val="single" w:sz="8" w:space="0" w:color="DCDDDE"/>
              <w:right w:val="nil"/>
            </w:tcBorders>
            <w:tcMar>
              <w:top w:w="0" w:type="dxa"/>
              <w:left w:w="108" w:type="dxa"/>
              <w:bottom w:w="0" w:type="dxa"/>
              <w:right w:w="108" w:type="dxa"/>
            </w:tcMar>
            <w:hideMark/>
          </w:tcPr>
          <w:p w14:paraId="7B7D37C5" w14:textId="77777777" w:rsidR="000B26EA" w:rsidRDefault="000B26EA">
            <w:pPr>
              <w:spacing w:before="40" w:after="40"/>
              <w:jc w:val="center"/>
              <w:rPr>
                <w:rFonts w:cs="Arial"/>
              </w:rPr>
            </w:pPr>
            <w:r>
              <w:rPr>
                <w:rFonts w:cs="Arial"/>
              </w:rPr>
              <w:t>2.09E-10</w:t>
            </w:r>
          </w:p>
        </w:tc>
        <w:tc>
          <w:tcPr>
            <w:tcW w:w="1653" w:type="dxa"/>
            <w:tcBorders>
              <w:top w:val="nil"/>
              <w:left w:val="nil"/>
              <w:bottom w:val="single" w:sz="8" w:space="0" w:color="DCDDDE"/>
              <w:right w:val="nil"/>
            </w:tcBorders>
            <w:tcMar>
              <w:top w:w="0" w:type="dxa"/>
              <w:left w:w="108" w:type="dxa"/>
              <w:bottom w:w="0" w:type="dxa"/>
              <w:right w:w="108" w:type="dxa"/>
            </w:tcMar>
            <w:hideMark/>
          </w:tcPr>
          <w:p w14:paraId="0DD1838B" w14:textId="77777777" w:rsidR="000B26EA" w:rsidRDefault="000B26EA">
            <w:pPr>
              <w:spacing w:before="40" w:after="40"/>
              <w:ind w:left="162" w:hanging="130"/>
              <w:contextualSpacing/>
              <w:jc w:val="center"/>
              <w:rPr>
                <w:rFonts w:cs="Arial"/>
              </w:rPr>
            </w:pPr>
            <w:r>
              <w:rPr>
                <w:rFonts w:cs="Arial"/>
              </w:rPr>
              <w:t>***</w:t>
            </w:r>
          </w:p>
        </w:tc>
      </w:tr>
      <w:tr w:rsidR="000B26EA" w14:paraId="085D2ED8" w14:textId="77777777" w:rsidTr="000B26EA">
        <w:trPr>
          <w:cantSplit/>
        </w:trPr>
        <w:tc>
          <w:tcPr>
            <w:tcW w:w="2340" w:type="dxa"/>
            <w:tcBorders>
              <w:top w:val="nil"/>
              <w:left w:val="nil"/>
              <w:bottom w:val="single" w:sz="8" w:space="0" w:color="DCDDDE"/>
              <w:right w:val="nil"/>
            </w:tcBorders>
            <w:tcMar>
              <w:top w:w="0" w:type="dxa"/>
              <w:left w:w="108" w:type="dxa"/>
              <w:bottom w:w="0" w:type="dxa"/>
              <w:right w:w="108" w:type="dxa"/>
            </w:tcMar>
            <w:hideMark/>
          </w:tcPr>
          <w:p w14:paraId="378C6681" w14:textId="77777777" w:rsidR="000B26EA" w:rsidRDefault="000B26EA" w:rsidP="003B38C3">
            <w:pPr>
              <w:spacing w:before="40" w:after="40"/>
              <w:rPr>
                <w:rFonts w:cs="Arial"/>
              </w:rPr>
            </w:pPr>
            <w:r>
              <w:rPr>
                <w:rFonts w:cs="Arial"/>
              </w:rPr>
              <w:t>yrmo201412</w:t>
            </w:r>
          </w:p>
        </w:tc>
        <w:tc>
          <w:tcPr>
            <w:tcW w:w="1489" w:type="dxa"/>
            <w:tcBorders>
              <w:top w:val="nil"/>
              <w:left w:val="nil"/>
              <w:bottom w:val="single" w:sz="8" w:space="0" w:color="DCDDDE"/>
              <w:right w:val="nil"/>
            </w:tcBorders>
            <w:tcMar>
              <w:top w:w="0" w:type="dxa"/>
              <w:left w:w="108" w:type="dxa"/>
              <w:bottom w:w="0" w:type="dxa"/>
              <w:right w:w="108" w:type="dxa"/>
            </w:tcMar>
            <w:hideMark/>
          </w:tcPr>
          <w:p w14:paraId="20453EF4" w14:textId="77777777" w:rsidR="000B26EA" w:rsidRDefault="000B26EA">
            <w:pPr>
              <w:spacing w:before="40" w:after="40"/>
              <w:jc w:val="center"/>
              <w:rPr>
                <w:rFonts w:cs="Arial"/>
              </w:rPr>
            </w:pPr>
            <w:r>
              <w:rPr>
                <w:rFonts w:cs="Arial"/>
              </w:rPr>
              <w:t>1.009671</w:t>
            </w:r>
          </w:p>
        </w:tc>
        <w:tc>
          <w:tcPr>
            <w:tcW w:w="1471" w:type="dxa"/>
            <w:tcBorders>
              <w:top w:val="nil"/>
              <w:left w:val="nil"/>
              <w:bottom w:val="single" w:sz="8" w:space="0" w:color="DCDDDE"/>
              <w:right w:val="nil"/>
            </w:tcBorders>
            <w:tcMar>
              <w:top w:w="0" w:type="dxa"/>
              <w:left w:w="108" w:type="dxa"/>
              <w:bottom w:w="0" w:type="dxa"/>
              <w:right w:w="108" w:type="dxa"/>
            </w:tcMar>
            <w:hideMark/>
          </w:tcPr>
          <w:p w14:paraId="1B8CD32F" w14:textId="77777777" w:rsidR="000B26EA" w:rsidRDefault="000B26EA">
            <w:pPr>
              <w:spacing w:before="40" w:after="40"/>
              <w:jc w:val="center"/>
              <w:rPr>
                <w:rFonts w:cs="Arial"/>
              </w:rPr>
            </w:pPr>
            <w:r>
              <w:rPr>
                <w:rFonts w:cs="Arial"/>
              </w:rPr>
              <w:t>0.020715</w:t>
            </w:r>
          </w:p>
        </w:tc>
        <w:tc>
          <w:tcPr>
            <w:tcW w:w="1051" w:type="dxa"/>
            <w:tcBorders>
              <w:top w:val="nil"/>
              <w:left w:val="nil"/>
              <w:bottom w:val="single" w:sz="8" w:space="0" w:color="DCDDDE"/>
              <w:right w:val="nil"/>
            </w:tcBorders>
            <w:tcMar>
              <w:top w:w="0" w:type="dxa"/>
              <w:left w:w="108" w:type="dxa"/>
              <w:bottom w:w="0" w:type="dxa"/>
              <w:right w:w="108" w:type="dxa"/>
            </w:tcMar>
            <w:hideMark/>
          </w:tcPr>
          <w:p w14:paraId="048E82ED" w14:textId="77777777" w:rsidR="000B26EA" w:rsidRDefault="000B26EA">
            <w:pPr>
              <w:spacing w:before="40" w:after="40"/>
              <w:jc w:val="center"/>
              <w:rPr>
                <w:rFonts w:cs="Arial"/>
              </w:rPr>
            </w:pPr>
            <w:r>
              <w:rPr>
                <w:rFonts w:cs="Arial"/>
              </w:rPr>
              <w:t>48.74195</w:t>
            </w:r>
          </w:p>
        </w:tc>
        <w:tc>
          <w:tcPr>
            <w:tcW w:w="1034" w:type="dxa"/>
            <w:tcBorders>
              <w:top w:val="nil"/>
              <w:left w:val="nil"/>
              <w:bottom w:val="single" w:sz="8" w:space="0" w:color="DCDDDE"/>
              <w:right w:val="nil"/>
            </w:tcBorders>
            <w:tcMar>
              <w:top w:w="0" w:type="dxa"/>
              <w:left w:w="108" w:type="dxa"/>
              <w:bottom w:w="0" w:type="dxa"/>
              <w:right w:w="108" w:type="dxa"/>
            </w:tcMar>
            <w:hideMark/>
          </w:tcPr>
          <w:p w14:paraId="6A417132" w14:textId="77777777" w:rsidR="000B26EA" w:rsidRDefault="000B26EA">
            <w:pPr>
              <w:spacing w:before="40" w:after="40"/>
              <w:jc w:val="center"/>
              <w:rPr>
                <w:rFonts w:cs="Arial"/>
              </w:rPr>
            </w:pPr>
            <w:r>
              <w:rPr>
                <w:rFonts w:cs="Arial"/>
              </w:rPr>
              <w:t>0</w:t>
            </w:r>
          </w:p>
        </w:tc>
        <w:tc>
          <w:tcPr>
            <w:tcW w:w="1653" w:type="dxa"/>
            <w:tcBorders>
              <w:top w:val="nil"/>
              <w:left w:val="nil"/>
              <w:bottom w:val="single" w:sz="8" w:space="0" w:color="DCDDDE"/>
              <w:right w:val="nil"/>
            </w:tcBorders>
            <w:tcMar>
              <w:top w:w="0" w:type="dxa"/>
              <w:left w:w="108" w:type="dxa"/>
              <w:bottom w:w="0" w:type="dxa"/>
              <w:right w:w="108" w:type="dxa"/>
            </w:tcMar>
            <w:hideMark/>
          </w:tcPr>
          <w:p w14:paraId="6BA086B8" w14:textId="77777777" w:rsidR="000B26EA" w:rsidRDefault="000B26EA">
            <w:pPr>
              <w:spacing w:before="40" w:after="40"/>
              <w:ind w:left="162" w:hanging="130"/>
              <w:contextualSpacing/>
              <w:jc w:val="center"/>
              <w:rPr>
                <w:rFonts w:cs="Arial"/>
              </w:rPr>
            </w:pPr>
            <w:r>
              <w:rPr>
                <w:rFonts w:cs="Arial"/>
              </w:rPr>
              <w:t>***</w:t>
            </w:r>
          </w:p>
        </w:tc>
      </w:tr>
      <w:tr w:rsidR="000B26EA" w14:paraId="100CA1C3" w14:textId="77777777" w:rsidTr="000B26EA">
        <w:trPr>
          <w:cantSplit/>
        </w:trPr>
        <w:tc>
          <w:tcPr>
            <w:tcW w:w="2340" w:type="dxa"/>
            <w:tcBorders>
              <w:top w:val="nil"/>
              <w:left w:val="nil"/>
              <w:bottom w:val="single" w:sz="8" w:space="0" w:color="DCDDDE"/>
              <w:right w:val="nil"/>
            </w:tcBorders>
            <w:tcMar>
              <w:top w:w="0" w:type="dxa"/>
              <w:left w:w="108" w:type="dxa"/>
              <w:bottom w:w="0" w:type="dxa"/>
              <w:right w:w="108" w:type="dxa"/>
            </w:tcMar>
            <w:hideMark/>
          </w:tcPr>
          <w:p w14:paraId="79DABA74" w14:textId="77777777" w:rsidR="000B26EA" w:rsidRDefault="000B26EA" w:rsidP="003B38C3">
            <w:pPr>
              <w:spacing w:before="40" w:after="40"/>
              <w:rPr>
                <w:rFonts w:cs="Arial"/>
              </w:rPr>
            </w:pPr>
            <w:r>
              <w:rPr>
                <w:rFonts w:cs="Arial"/>
              </w:rPr>
              <w:t>yrmo201501</w:t>
            </w:r>
          </w:p>
        </w:tc>
        <w:tc>
          <w:tcPr>
            <w:tcW w:w="1489" w:type="dxa"/>
            <w:tcBorders>
              <w:top w:val="nil"/>
              <w:left w:val="nil"/>
              <w:bottom w:val="single" w:sz="8" w:space="0" w:color="DCDDDE"/>
              <w:right w:val="nil"/>
            </w:tcBorders>
            <w:tcMar>
              <w:top w:w="0" w:type="dxa"/>
              <w:left w:w="108" w:type="dxa"/>
              <w:bottom w:w="0" w:type="dxa"/>
              <w:right w:w="108" w:type="dxa"/>
            </w:tcMar>
            <w:hideMark/>
          </w:tcPr>
          <w:p w14:paraId="572FF7DD" w14:textId="77777777" w:rsidR="000B26EA" w:rsidRDefault="000B26EA">
            <w:pPr>
              <w:spacing w:before="40" w:after="40"/>
              <w:jc w:val="center"/>
              <w:rPr>
                <w:rFonts w:cs="Arial"/>
              </w:rPr>
            </w:pPr>
            <w:r>
              <w:rPr>
                <w:rFonts w:cs="Arial"/>
              </w:rPr>
              <w:t>0.7202</w:t>
            </w:r>
          </w:p>
        </w:tc>
        <w:tc>
          <w:tcPr>
            <w:tcW w:w="1471" w:type="dxa"/>
            <w:tcBorders>
              <w:top w:val="nil"/>
              <w:left w:val="nil"/>
              <w:bottom w:val="single" w:sz="8" w:space="0" w:color="DCDDDE"/>
              <w:right w:val="nil"/>
            </w:tcBorders>
            <w:tcMar>
              <w:top w:w="0" w:type="dxa"/>
              <w:left w:w="108" w:type="dxa"/>
              <w:bottom w:w="0" w:type="dxa"/>
              <w:right w:w="108" w:type="dxa"/>
            </w:tcMar>
            <w:hideMark/>
          </w:tcPr>
          <w:p w14:paraId="6644BFB6" w14:textId="77777777" w:rsidR="000B26EA" w:rsidRDefault="000B26EA">
            <w:pPr>
              <w:spacing w:before="40" w:after="40"/>
              <w:jc w:val="center"/>
              <w:rPr>
                <w:rFonts w:cs="Arial"/>
              </w:rPr>
            </w:pPr>
            <w:r>
              <w:rPr>
                <w:rFonts w:cs="Arial"/>
              </w:rPr>
              <w:t>0.023897</w:t>
            </w:r>
          </w:p>
        </w:tc>
        <w:tc>
          <w:tcPr>
            <w:tcW w:w="1051" w:type="dxa"/>
            <w:tcBorders>
              <w:top w:val="nil"/>
              <w:left w:val="nil"/>
              <w:bottom w:val="single" w:sz="8" w:space="0" w:color="DCDDDE"/>
              <w:right w:val="nil"/>
            </w:tcBorders>
            <w:tcMar>
              <w:top w:w="0" w:type="dxa"/>
              <w:left w:w="108" w:type="dxa"/>
              <w:bottom w:w="0" w:type="dxa"/>
              <w:right w:w="108" w:type="dxa"/>
            </w:tcMar>
            <w:hideMark/>
          </w:tcPr>
          <w:p w14:paraId="767B8E91" w14:textId="77777777" w:rsidR="000B26EA" w:rsidRDefault="000B26EA">
            <w:pPr>
              <w:spacing w:before="40" w:after="40"/>
              <w:jc w:val="center"/>
              <w:rPr>
                <w:rFonts w:cs="Arial"/>
              </w:rPr>
            </w:pPr>
            <w:r>
              <w:rPr>
                <w:rFonts w:cs="Arial"/>
              </w:rPr>
              <w:t>30.1377</w:t>
            </w:r>
          </w:p>
        </w:tc>
        <w:tc>
          <w:tcPr>
            <w:tcW w:w="1034" w:type="dxa"/>
            <w:tcBorders>
              <w:top w:val="nil"/>
              <w:left w:val="nil"/>
              <w:bottom w:val="single" w:sz="8" w:space="0" w:color="DCDDDE"/>
              <w:right w:val="nil"/>
            </w:tcBorders>
            <w:tcMar>
              <w:top w:w="0" w:type="dxa"/>
              <w:left w:w="108" w:type="dxa"/>
              <w:bottom w:w="0" w:type="dxa"/>
              <w:right w:w="108" w:type="dxa"/>
            </w:tcMar>
            <w:hideMark/>
          </w:tcPr>
          <w:p w14:paraId="7D194EA0" w14:textId="77777777" w:rsidR="000B26EA" w:rsidRDefault="000B26EA">
            <w:pPr>
              <w:spacing w:before="40" w:after="40"/>
              <w:jc w:val="center"/>
              <w:rPr>
                <w:rFonts w:cs="Arial"/>
              </w:rPr>
            </w:pPr>
            <w:r>
              <w:rPr>
                <w:rFonts w:cs="Arial"/>
              </w:rPr>
              <w:t>2.1E-199</w:t>
            </w:r>
          </w:p>
        </w:tc>
        <w:tc>
          <w:tcPr>
            <w:tcW w:w="1653" w:type="dxa"/>
            <w:tcBorders>
              <w:top w:val="nil"/>
              <w:left w:val="nil"/>
              <w:bottom w:val="single" w:sz="8" w:space="0" w:color="DCDDDE"/>
              <w:right w:val="nil"/>
            </w:tcBorders>
            <w:tcMar>
              <w:top w:w="0" w:type="dxa"/>
              <w:left w:w="108" w:type="dxa"/>
              <w:bottom w:w="0" w:type="dxa"/>
              <w:right w:w="108" w:type="dxa"/>
            </w:tcMar>
            <w:hideMark/>
          </w:tcPr>
          <w:p w14:paraId="4EEA5D5D" w14:textId="77777777" w:rsidR="000B26EA" w:rsidRDefault="000B26EA">
            <w:pPr>
              <w:spacing w:before="40" w:after="40"/>
              <w:ind w:left="162" w:hanging="130"/>
              <w:contextualSpacing/>
              <w:jc w:val="center"/>
              <w:rPr>
                <w:rFonts w:cs="Arial"/>
              </w:rPr>
            </w:pPr>
            <w:r>
              <w:rPr>
                <w:rFonts w:cs="Arial"/>
              </w:rPr>
              <w:t>***</w:t>
            </w:r>
          </w:p>
        </w:tc>
      </w:tr>
      <w:tr w:rsidR="000B26EA" w14:paraId="24DC70E4" w14:textId="77777777" w:rsidTr="000B26EA">
        <w:trPr>
          <w:cantSplit/>
        </w:trPr>
        <w:tc>
          <w:tcPr>
            <w:tcW w:w="2340" w:type="dxa"/>
            <w:tcBorders>
              <w:top w:val="nil"/>
              <w:left w:val="nil"/>
              <w:bottom w:val="single" w:sz="8" w:space="0" w:color="DCDDDE"/>
              <w:right w:val="nil"/>
            </w:tcBorders>
            <w:tcMar>
              <w:top w:w="0" w:type="dxa"/>
              <w:left w:w="108" w:type="dxa"/>
              <w:bottom w:w="0" w:type="dxa"/>
              <w:right w:w="108" w:type="dxa"/>
            </w:tcMar>
            <w:hideMark/>
          </w:tcPr>
          <w:p w14:paraId="4FA67BAC" w14:textId="77777777" w:rsidR="000B26EA" w:rsidRDefault="000B26EA" w:rsidP="003B38C3">
            <w:pPr>
              <w:spacing w:before="40" w:after="40"/>
              <w:rPr>
                <w:rFonts w:cs="Arial"/>
              </w:rPr>
            </w:pPr>
            <w:r>
              <w:rPr>
                <w:rFonts w:cs="Arial"/>
              </w:rPr>
              <w:t>yrmo201502</w:t>
            </w:r>
          </w:p>
        </w:tc>
        <w:tc>
          <w:tcPr>
            <w:tcW w:w="1489" w:type="dxa"/>
            <w:tcBorders>
              <w:top w:val="nil"/>
              <w:left w:val="nil"/>
              <w:bottom w:val="single" w:sz="8" w:space="0" w:color="DCDDDE"/>
              <w:right w:val="nil"/>
            </w:tcBorders>
            <w:tcMar>
              <w:top w:w="0" w:type="dxa"/>
              <w:left w:w="108" w:type="dxa"/>
              <w:bottom w:w="0" w:type="dxa"/>
              <w:right w:w="108" w:type="dxa"/>
            </w:tcMar>
            <w:hideMark/>
          </w:tcPr>
          <w:p w14:paraId="40E35A6A" w14:textId="77777777" w:rsidR="000B26EA" w:rsidRDefault="000B26EA">
            <w:pPr>
              <w:spacing w:before="40" w:after="40"/>
              <w:jc w:val="center"/>
              <w:rPr>
                <w:rFonts w:cs="Arial"/>
              </w:rPr>
            </w:pPr>
            <w:r>
              <w:rPr>
                <w:rFonts w:cs="Arial"/>
              </w:rPr>
              <w:t>0.442595</w:t>
            </w:r>
          </w:p>
        </w:tc>
        <w:tc>
          <w:tcPr>
            <w:tcW w:w="1471" w:type="dxa"/>
            <w:tcBorders>
              <w:top w:val="nil"/>
              <w:left w:val="nil"/>
              <w:bottom w:val="single" w:sz="8" w:space="0" w:color="DCDDDE"/>
              <w:right w:val="nil"/>
            </w:tcBorders>
            <w:tcMar>
              <w:top w:w="0" w:type="dxa"/>
              <w:left w:w="108" w:type="dxa"/>
              <w:bottom w:w="0" w:type="dxa"/>
              <w:right w:w="108" w:type="dxa"/>
            </w:tcMar>
            <w:hideMark/>
          </w:tcPr>
          <w:p w14:paraId="6D1061AE" w14:textId="77777777" w:rsidR="000B26EA" w:rsidRDefault="000B26EA">
            <w:pPr>
              <w:spacing w:before="40" w:after="40"/>
              <w:jc w:val="center"/>
              <w:rPr>
                <w:rFonts w:cs="Arial"/>
              </w:rPr>
            </w:pPr>
            <w:r>
              <w:rPr>
                <w:rFonts w:cs="Arial"/>
              </w:rPr>
              <w:t>0.020163</w:t>
            </w:r>
          </w:p>
        </w:tc>
        <w:tc>
          <w:tcPr>
            <w:tcW w:w="1051" w:type="dxa"/>
            <w:tcBorders>
              <w:top w:val="nil"/>
              <w:left w:val="nil"/>
              <w:bottom w:val="single" w:sz="8" w:space="0" w:color="DCDDDE"/>
              <w:right w:val="nil"/>
            </w:tcBorders>
            <w:tcMar>
              <w:top w:w="0" w:type="dxa"/>
              <w:left w:w="108" w:type="dxa"/>
              <w:bottom w:w="0" w:type="dxa"/>
              <w:right w:w="108" w:type="dxa"/>
            </w:tcMar>
            <w:hideMark/>
          </w:tcPr>
          <w:p w14:paraId="288053DD" w14:textId="77777777" w:rsidR="000B26EA" w:rsidRDefault="000B26EA">
            <w:pPr>
              <w:spacing w:before="40" w:after="40"/>
              <w:jc w:val="center"/>
              <w:rPr>
                <w:rFonts w:cs="Arial"/>
              </w:rPr>
            </w:pPr>
            <w:r>
              <w:rPr>
                <w:rFonts w:cs="Arial"/>
              </w:rPr>
              <w:t>21.95071</w:t>
            </w:r>
          </w:p>
        </w:tc>
        <w:tc>
          <w:tcPr>
            <w:tcW w:w="1034" w:type="dxa"/>
            <w:tcBorders>
              <w:top w:val="nil"/>
              <w:left w:val="nil"/>
              <w:bottom w:val="single" w:sz="8" w:space="0" w:color="DCDDDE"/>
              <w:right w:val="nil"/>
            </w:tcBorders>
            <w:tcMar>
              <w:top w:w="0" w:type="dxa"/>
              <w:left w:w="108" w:type="dxa"/>
              <w:bottom w:w="0" w:type="dxa"/>
              <w:right w:w="108" w:type="dxa"/>
            </w:tcMar>
            <w:hideMark/>
          </w:tcPr>
          <w:p w14:paraId="5E1DFE4E" w14:textId="77777777" w:rsidR="000B26EA" w:rsidRDefault="000B26EA">
            <w:pPr>
              <w:spacing w:before="40" w:after="40"/>
              <w:jc w:val="center"/>
              <w:rPr>
                <w:rFonts w:cs="Arial"/>
              </w:rPr>
            </w:pPr>
            <w:r>
              <w:rPr>
                <w:rFonts w:cs="Arial"/>
              </w:rPr>
              <w:t>9.2E-107</w:t>
            </w:r>
          </w:p>
        </w:tc>
        <w:tc>
          <w:tcPr>
            <w:tcW w:w="1653" w:type="dxa"/>
            <w:tcBorders>
              <w:top w:val="nil"/>
              <w:left w:val="nil"/>
              <w:bottom w:val="single" w:sz="8" w:space="0" w:color="DCDDDE"/>
              <w:right w:val="nil"/>
            </w:tcBorders>
            <w:tcMar>
              <w:top w:w="0" w:type="dxa"/>
              <w:left w:w="108" w:type="dxa"/>
              <w:bottom w:w="0" w:type="dxa"/>
              <w:right w:w="108" w:type="dxa"/>
            </w:tcMar>
            <w:hideMark/>
          </w:tcPr>
          <w:p w14:paraId="3FB1D8F1" w14:textId="77777777" w:rsidR="000B26EA" w:rsidRDefault="000B26EA">
            <w:pPr>
              <w:spacing w:before="40" w:after="40"/>
              <w:ind w:left="162" w:hanging="130"/>
              <w:contextualSpacing/>
              <w:jc w:val="center"/>
              <w:rPr>
                <w:rFonts w:cs="Arial"/>
              </w:rPr>
            </w:pPr>
            <w:r>
              <w:rPr>
                <w:rFonts w:cs="Arial"/>
              </w:rPr>
              <w:t>***</w:t>
            </w:r>
          </w:p>
        </w:tc>
      </w:tr>
      <w:tr w:rsidR="000B26EA" w14:paraId="79A46ECF" w14:textId="77777777" w:rsidTr="000B26EA">
        <w:trPr>
          <w:cantSplit/>
        </w:trPr>
        <w:tc>
          <w:tcPr>
            <w:tcW w:w="2340" w:type="dxa"/>
            <w:tcBorders>
              <w:top w:val="nil"/>
              <w:left w:val="nil"/>
              <w:bottom w:val="single" w:sz="8" w:space="0" w:color="DCDDDE"/>
              <w:right w:val="nil"/>
            </w:tcBorders>
            <w:tcMar>
              <w:top w:w="0" w:type="dxa"/>
              <w:left w:w="108" w:type="dxa"/>
              <w:bottom w:w="0" w:type="dxa"/>
              <w:right w:w="108" w:type="dxa"/>
            </w:tcMar>
            <w:hideMark/>
          </w:tcPr>
          <w:p w14:paraId="37E39E6A" w14:textId="77777777" w:rsidR="000B26EA" w:rsidRDefault="000B26EA" w:rsidP="003B38C3">
            <w:pPr>
              <w:spacing w:before="40" w:after="40"/>
              <w:rPr>
                <w:rFonts w:cs="Arial"/>
              </w:rPr>
            </w:pPr>
            <w:r>
              <w:rPr>
                <w:rFonts w:cs="Arial"/>
              </w:rPr>
              <w:t>yrmo201503</w:t>
            </w:r>
          </w:p>
        </w:tc>
        <w:tc>
          <w:tcPr>
            <w:tcW w:w="1489" w:type="dxa"/>
            <w:tcBorders>
              <w:top w:val="nil"/>
              <w:left w:val="nil"/>
              <w:bottom w:val="single" w:sz="8" w:space="0" w:color="DCDDDE"/>
              <w:right w:val="nil"/>
            </w:tcBorders>
            <w:tcMar>
              <w:top w:w="0" w:type="dxa"/>
              <w:left w:w="108" w:type="dxa"/>
              <w:bottom w:w="0" w:type="dxa"/>
              <w:right w:w="108" w:type="dxa"/>
            </w:tcMar>
            <w:hideMark/>
          </w:tcPr>
          <w:p w14:paraId="32411C34" w14:textId="77777777" w:rsidR="000B26EA" w:rsidRDefault="000B26EA">
            <w:pPr>
              <w:spacing w:before="40" w:after="40"/>
              <w:jc w:val="center"/>
              <w:rPr>
                <w:rFonts w:cs="Arial"/>
              </w:rPr>
            </w:pPr>
            <w:r>
              <w:rPr>
                <w:rFonts w:cs="Arial"/>
              </w:rPr>
              <w:t>0.572474</w:t>
            </w:r>
          </w:p>
        </w:tc>
        <w:tc>
          <w:tcPr>
            <w:tcW w:w="1471" w:type="dxa"/>
            <w:tcBorders>
              <w:top w:val="nil"/>
              <w:left w:val="nil"/>
              <w:bottom w:val="single" w:sz="8" w:space="0" w:color="DCDDDE"/>
              <w:right w:val="nil"/>
            </w:tcBorders>
            <w:tcMar>
              <w:top w:w="0" w:type="dxa"/>
              <w:left w:w="108" w:type="dxa"/>
              <w:bottom w:w="0" w:type="dxa"/>
              <w:right w:w="108" w:type="dxa"/>
            </w:tcMar>
            <w:hideMark/>
          </w:tcPr>
          <w:p w14:paraId="06E3CC9D" w14:textId="77777777" w:rsidR="000B26EA" w:rsidRDefault="000B26EA">
            <w:pPr>
              <w:spacing w:before="40" w:after="40"/>
              <w:jc w:val="center"/>
              <w:rPr>
                <w:rFonts w:cs="Arial"/>
              </w:rPr>
            </w:pPr>
            <w:r>
              <w:rPr>
                <w:rFonts w:cs="Arial"/>
              </w:rPr>
              <w:t>0.026094</w:t>
            </w:r>
          </w:p>
        </w:tc>
        <w:tc>
          <w:tcPr>
            <w:tcW w:w="1051" w:type="dxa"/>
            <w:tcBorders>
              <w:top w:val="nil"/>
              <w:left w:val="nil"/>
              <w:bottom w:val="single" w:sz="8" w:space="0" w:color="DCDDDE"/>
              <w:right w:val="nil"/>
            </w:tcBorders>
            <w:tcMar>
              <w:top w:w="0" w:type="dxa"/>
              <w:left w:w="108" w:type="dxa"/>
              <w:bottom w:w="0" w:type="dxa"/>
              <w:right w:w="108" w:type="dxa"/>
            </w:tcMar>
            <w:hideMark/>
          </w:tcPr>
          <w:p w14:paraId="6C2D4EB7" w14:textId="77777777" w:rsidR="000B26EA" w:rsidRDefault="000B26EA">
            <w:pPr>
              <w:spacing w:before="40" w:after="40"/>
              <w:jc w:val="center"/>
              <w:rPr>
                <w:rFonts w:cs="Arial"/>
              </w:rPr>
            </w:pPr>
            <w:r>
              <w:rPr>
                <w:rFonts w:cs="Arial"/>
              </w:rPr>
              <w:t>21.93858</w:t>
            </w:r>
          </w:p>
        </w:tc>
        <w:tc>
          <w:tcPr>
            <w:tcW w:w="1034" w:type="dxa"/>
            <w:tcBorders>
              <w:top w:val="nil"/>
              <w:left w:val="nil"/>
              <w:bottom w:val="single" w:sz="8" w:space="0" w:color="DCDDDE"/>
              <w:right w:val="nil"/>
            </w:tcBorders>
            <w:tcMar>
              <w:top w:w="0" w:type="dxa"/>
              <w:left w:w="108" w:type="dxa"/>
              <w:bottom w:w="0" w:type="dxa"/>
              <w:right w:w="108" w:type="dxa"/>
            </w:tcMar>
            <w:hideMark/>
          </w:tcPr>
          <w:p w14:paraId="2131BEB7" w14:textId="77777777" w:rsidR="000B26EA" w:rsidRDefault="000B26EA">
            <w:pPr>
              <w:spacing w:before="40" w:after="40"/>
              <w:jc w:val="center"/>
              <w:rPr>
                <w:rFonts w:cs="Arial"/>
              </w:rPr>
            </w:pPr>
            <w:r>
              <w:rPr>
                <w:rFonts w:cs="Arial"/>
              </w:rPr>
              <w:t>1.2E-106</w:t>
            </w:r>
          </w:p>
        </w:tc>
        <w:tc>
          <w:tcPr>
            <w:tcW w:w="1653" w:type="dxa"/>
            <w:tcBorders>
              <w:top w:val="nil"/>
              <w:left w:val="nil"/>
              <w:bottom w:val="single" w:sz="8" w:space="0" w:color="DCDDDE"/>
              <w:right w:val="nil"/>
            </w:tcBorders>
            <w:tcMar>
              <w:top w:w="0" w:type="dxa"/>
              <w:left w:w="108" w:type="dxa"/>
              <w:bottom w:w="0" w:type="dxa"/>
              <w:right w:w="108" w:type="dxa"/>
            </w:tcMar>
            <w:hideMark/>
          </w:tcPr>
          <w:p w14:paraId="0C6E2C41" w14:textId="77777777" w:rsidR="000B26EA" w:rsidRDefault="000B26EA">
            <w:pPr>
              <w:spacing w:before="40" w:after="40"/>
              <w:ind w:left="162" w:hanging="130"/>
              <w:contextualSpacing/>
              <w:jc w:val="center"/>
              <w:rPr>
                <w:rFonts w:cs="Arial"/>
              </w:rPr>
            </w:pPr>
            <w:r>
              <w:rPr>
                <w:rFonts w:cs="Arial"/>
              </w:rPr>
              <w:t>***</w:t>
            </w:r>
          </w:p>
        </w:tc>
      </w:tr>
      <w:tr w:rsidR="000B26EA" w14:paraId="41AF4F31" w14:textId="77777777" w:rsidTr="000B26EA">
        <w:trPr>
          <w:cantSplit/>
        </w:trPr>
        <w:tc>
          <w:tcPr>
            <w:tcW w:w="2340" w:type="dxa"/>
            <w:tcBorders>
              <w:top w:val="nil"/>
              <w:left w:val="nil"/>
              <w:bottom w:val="single" w:sz="8" w:space="0" w:color="DCDDDE"/>
              <w:right w:val="nil"/>
            </w:tcBorders>
            <w:tcMar>
              <w:top w:w="0" w:type="dxa"/>
              <w:left w:w="108" w:type="dxa"/>
              <w:bottom w:w="0" w:type="dxa"/>
              <w:right w:w="108" w:type="dxa"/>
            </w:tcMar>
            <w:hideMark/>
          </w:tcPr>
          <w:p w14:paraId="343BFA0E" w14:textId="77777777" w:rsidR="000B26EA" w:rsidRDefault="000B26EA" w:rsidP="003B38C3">
            <w:pPr>
              <w:spacing w:before="40" w:after="40"/>
              <w:rPr>
                <w:rFonts w:cs="Arial"/>
              </w:rPr>
            </w:pPr>
            <w:r>
              <w:rPr>
                <w:rFonts w:cs="Arial"/>
              </w:rPr>
              <w:t>pre.therms:yrmo201410</w:t>
            </w:r>
          </w:p>
        </w:tc>
        <w:tc>
          <w:tcPr>
            <w:tcW w:w="1489" w:type="dxa"/>
            <w:tcBorders>
              <w:top w:val="nil"/>
              <w:left w:val="nil"/>
              <w:bottom w:val="single" w:sz="8" w:space="0" w:color="DCDDDE"/>
              <w:right w:val="nil"/>
            </w:tcBorders>
            <w:tcMar>
              <w:top w:w="0" w:type="dxa"/>
              <w:left w:w="108" w:type="dxa"/>
              <w:bottom w:w="0" w:type="dxa"/>
              <w:right w:w="108" w:type="dxa"/>
            </w:tcMar>
            <w:hideMark/>
          </w:tcPr>
          <w:p w14:paraId="7BF4B27D" w14:textId="77777777" w:rsidR="000B26EA" w:rsidRDefault="000B26EA">
            <w:pPr>
              <w:spacing w:before="40" w:after="40"/>
              <w:jc w:val="center"/>
              <w:rPr>
                <w:rFonts w:cs="Arial"/>
              </w:rPr>
            </w:pPr>
            <w:r>
              <w:rPr>
                <w:rFonts w:cs="Arial"/>
              </w:rPr>
              <w:t>0.680094</w:t>
            </w:r>
          </w:p>
        </w:tc>
        <w:tc>
          <w:tcPr>
            <w:tcW w:w="1471" w:type="dxa"/>
            <w:tcBorders>
              <w:top w:val="nil"/>
              <w:left w:val="nil"/>
              <w:bottom w:val="single" w:sz="8" w:space="0" w:color="DCDDDE"/>
              <w:right w:val="nil"/>
            </w:tcBorders>
            <w:tcMar>
              <w:top w:w="0" w:type="dxa"/>
              <w:left w:w="108" w:type="dxa"/>
              <w:bottom w:w="0" w:type="dxa"/>
              <w:right w:w="108" w:type="dxa"/>
            </w:tcMar>
            <w:hideMark/>
          </w:tcPr>
          <w:p w14:paraId="75706995" w14:textId="77777777" w:rsidR="000B26EA" w:rsidRDefault="000B26EA">
            <w:pPr>
              <w:spacing w:before="40" w:after="40"/>
              <w:jc w:val="center"/>
              <w:rPr>
                <w:rFonts w:cs="Arial"/>
              </w:rPr>
            </w:pPr>
            <w:r>
              <w:rPr>
                <w:rFonts w:cs="Arial"/>
              </w:rPr>
              <w:t>0.024836</w:t>
            </w:r>
          </w:p>
        </w:tc>
        <w:tc>
          <w:tcPr>
            <w:tcW w:w="1051" w:type="dxa"/>
            <w:tcBorders>
              <w:top w:val="nil"/>
              <w:left w:val="nil"/>
              <w:bottom w:val="single" w:sz="8" w:space="0" w:color="DCDDDE"/>
              <w:right w:val="nil"/>
            </w:tcBorders>
            <w:tcMar>
              <w:top w:w="0" w:type="dxa"/>
              <w:left w:w="108" w:type="dxa"/>
              <w:bottom w:w="0" w:type="dxa"/>
              <w:right w:w="108" w:type="dxa"/>
            </w:tcMar>
            <w:hideMark/>
          </w:tcPr>
          <w:p w14:paraId="748F62DA" w14:textId="77777777" w:rsidR="000B26EA" w:rsidRDefault="000B26EA">
            <w:pPr>
              <w:spacing w:before="40" w:after="40"/>
              <w:jc w:val="center"/>
              <w:rPr>
                <w:rFonts w:cs="Arial"/>
              </w:rPr>
            </w:pPr>
            <w:r>
              <w:rPr>
                <w:rFonts w:cs="Arial"/>
              </w:rPr>
              <w:t>27.38314</w:t>
            </w:r>
          </w:p>
        </w:tc>
        <w:tc>
          <w:tcPr>
            <w:tcW w:w="1034" w:type="dxa"/>
            <w:tcBorders>
              <w:top w:val="nil"/>
              <w:left w:val="nil"/>
              <w:bottom w:val="single" w:sz="8" w:space="0" w:color="DCDDDE"/>
              <w:right w:val="nil"/>
            </w:tcBorders>
            <w:tcMar>
              <w:top w:w="0" w:type="dxa"/>
              <w:left w:w="108" w:type="dxa"/>
              <w:bottom w:w="0" w:type="dxa"/>
              <w:right w:w="108" w:type="dxa"/>
            </w:tcMar>
            <w:hideMark/>
          </w:tcPr>
          <w:p w14:paraId="3BD02A6D" w14:textId="77777777" w:rsidR="000B26EA" w:rsidRDefault="000B26EA">
            <w:pPr>
              <w:spacing w:before="40" w:after="40"/>
              <w:jc w:val="center"/>
              <w:rPr>
                <w:rFonts w:cs="Arial"/>
              </w:rPr>
            </w:pPr>
            <w:r>
              <w:rPr>
                <w:rFonts w:cs="Arial"/>
              </w:rPr>
              <w:t>5.3E-165</w:t>
            </w:r>
          </w:p>
        </w:tc>
        <w:tc>
          <w:tcPr>
            <w:tcW w:w="1653" w:type="dxa"/>
            <w:tcBorders>
              <w:top w:val="nil"/>
              <w:left w:val="nil"/>
              <w:bottom w:val="single" w:sz="8" w:space="0" w:color="DCDDDE"/>
              <w:right w:val="nil"/>
            </w:tcBorders>
            <w:tcMar>
              <w:top w:w="0" w:type="dxa"/>
              <w:left w:w="108" w:type="dxa"/>
              <w:bottom w:w="0" w:type="dxa"/>
              <w:right w:w="108" w:type="dxa"/>
            </w:tcMar>
            <w:hideMark/>
          </w:tcPr>
          <w:p w14:paraId="3BF85A5C" w14:textId="77777777" w:rsidR="000B26EA" w:rsidRDefault="000B26EA">
            <w:pPr>
              <w:spacing w:before="40" w:after="40"/>
              <w:ind w:left="162" w:hanging="130"/>
              <w:contextualSpacing/>
              <w:jc w:val="center"/>
              <w:rPr>
                <w:rFonts w:cs="Arial"/>
              </w:rPr>
            </w:pPr>
            <w:r>
              <w:rPr>
                <w:rFonts w:cs="Arial"/>
              </w:rPr>
              <w:t>***</w:t>
            </w:r>
          </w:p>
        </w:tc>
      </w:tr>
      <w:tr w:rsidR="000B26EA" w14:paraId="51B8F610" w14:textId="77777777" w:rsidTr="000B26EA">
        <w:trPr>
          <w:cantSplit/>
        </w:trPr>
        <w:tc>
          <w:tcPr>
            <w:tcW w:w="2340" w:type="dxa"/>
            <w:tcBorders>
              <w:top w:val="nil"/>
              <w:left w:val="nil"/>
              <w:bottom w:val="single" w:sz="8" w:space="0" w:color="DCDDDE"/>
              <w:right w:val="nil"/>
            </w:tcBorders>
            <w:tcMar>
              <w:top w:w="0" w:type="dxa"/>
              <w:left w:w="108" w:type="dxa"/>
              <w:bottom w:w="0" w:type="dxa"/>
              <w:right w:w="108" w:type="dxa"/>
            </w:tcMar>
            <w:hideMark/>
          </w:tcPr>
          <w:p w14:paraId="7D7DE77C" w14:textId="77777777" w:rsidR="000B26EA" w:rsidRDefault="000B26EA" w:rsidP="003B38C3">
            <w:pPr>
              <w:spacing w:before="40" w:after="40"/>
              <w:rPr>
                <w:rFonts w:cs="Arial"/>
              </w:rPr>
            </w:pPr>
            <w:r>
              <w:rPr>
                <w:rFonts w:cs="Arial"/>
              </w:rPr>
              <w:t>pre.therms:yrmo201411</w:t>
            </w:r>
          </w:p>
        </w:tc>
        <w:tc>
          <w:tcPr>
            <w:tcW w:w="1489" w:type="dxa"/>
            <w:tcBorders>
              <w:top w:val="nil"/>
              <w:left w:val="nil"/>
              <w:bottom w:val="single" w:sz="8" w:space="0" w:color="DCDDDE"/>
              <w:right w:val="nil"/>
            </w:tcBorders>
            <w:tcMar>
              <w:top w:w="0" w:type="dxa"/>
              <w:left w:w="108" w:type="dxa"/>
              <w:bottom w:w="0" w:type="dxa"/>
              <w:right w:w="108" w:type="dxa"/>
            </w:tcMar>
            <w:hideMark/>
          </w:tcPr>
          <w:p w14:paraId="62267455" w14:textId="77777777" w:rsidR="000B26EA" w:rsidRDefault="000B26EA">
            <w:pPr>
              <w:spacing w:before="40" w:after="40"/>
              <w:jc w:val="center"/>
              <w:rPr>
                <w:rFonts w:cs="Arial"/>
              </w:rPr>
            </w:pPr>
            <w:r>
              <w:rPr>
                <w:rFonts w:cs="Arial"/>
              </w:rPr>
              <w:t>0.988298</w:t>
            </w:r>
          </w:p>
        </w:tc>
        <w:tc>
          <w:tcPr>
            <w:tcW w:w="1471" w:type="dxa"/>
            <w:tcBorders>
              <w:top w:val="nil"/>
              <w:left w:val="nil"/>
              <w:bottom w:val="single" w:sz="8" w:space="0" w:color="DCDDDE"/>
              <w:right w:val="nil"/>
            </w:tcBorders>
            <w:tcMar>
              <w:top w:w="0" w:type="dxa"/>
              <w:left w:w="108" w:type="dxa"/>
              <w:bottom w:w="0" w:type="dxa"/>
              <w:right w:w="108" w:type="dxa"/>
            </w:tcMar>
            <w:hideMark/>
          </w:tcPr>
          <w:p w14:paraId="7849DD7B" w14:textId="77777777" w:rsidR="000B26EA" w:rsidRDefault="000B26EA">
            <w:pPr>
              <w:spacing w:before="40" w:after="40"/>
              <w:jc w:val="center"/>
              <w:rPr>
                <w:rFonts w:cs="Arial"/>
              </w:rPr>
            </w:pPr>
            <w:r>
              <w:rPr>
                <w:rFonts w:cs="Arial"/>
              </w:rPr>
              <w:t>0.028796</w:t>
            </w:r>
          </w:p>
        </w:tc>
        <w:tc>
          <w:tcPr>
            <w:tcW w:w="1051" w:type="dxa"/>
            <w:tcBorders>
              <w:top w:val="nil"/>
              <w:left w:val="nil"/>
              <w:bottom w:val="single" w:sz="8" w:space="0" w:color="DCDDDE"/>
              <w:right w:val="nil"/>
            </w:tcBorders>
            <w:tcMar>
              <w:top w:w="0" w:type="dxa"/>
              <w:left w:w="108" w:type="dxa"/>
              <w:bottom w:w="0" w:type="dxa"/>
              <w:right w:w="108" w:type="dxa"/>
            </w:tcMar>
            <w:hideMark/>
          </w:tcPr>
          <w:p w14:paraId="44C2BA82" w14:textId="77777777" w:rsidR="000B26EA" w:rsidRDefault="000B26EA">
            <w:pPr>
              <w:spacing w:before="40" w:after="40"/>
              <w:jc w:val="center"/>
              <w:rPr>
                <w:rFonts w:cs="Arial"/>
              </w:rPr>
            </w:pPr>
            <w:r>
              <w:rPr>
                <w:rFonts w:cs="Arial"/>
              </w:rPr>
              <w:t>34.32034</w:t>
            </w:r>
          </w:p>
        </w:tc>
        <w:tc>
          <w:tcPr>
            <w:tcW w:w="1034" w:type="dxa"/>
            <w:tcBorders>
              <w:top w:val="nil"/>
              <w:left w:val="nil"/>
              <w:bottom w:val="single" w:sz="8" w:space="0" w:color="DCDDDE"/>
              <w:right w:val="nil"/>
            </w:tcBorders>
            <w:tcMar>
              <w:top w:w="0" w:type="dxa"/>
              <w:left w:w="108" w:type="dxa"/>
              <w:bottom w:w="0" w:type="dxa"/>
              <w:right w:w="108" w:type="dxa"/>
            </w:tcMar>
            <w:hideMark/>
          </w:tcPr>
          <w:p w14:paraId="7D79ECC2" w14:textId="77777777" w:rsidR="000B26EA" w:rsidRDefault="000B26EA">
            <w:pPr>
              <w:spacing w:before="40" w:after="40"/>
              <w:jc w:val="center"/>
              <w:rPr>
                <w:rFonts w:cs="Arial"/>
              </w:rPr>
            </w:pPr>
            <w:r>
              <w:rPr>
                <w:rFonts w:cs="Arial"/>
              </w:rPr>
              <w:t>6.3E-258</w:t>
            </w:r>
          </w:p>
        </w:tc>
        <w:tc>
          <w:tcPr>
            <w:tcW w:w="1653" w:type="dxa"/>
            <w:tcBorders>
              <w:top w:val="nil"/>
              <w:left w:val="nil"/>
              <w:bottom w:val="single" w:sz="8" w:space="0" w:color="DCDDDE"/>
              <w:right w:val="nil"/>
            </w:tcBorders>
            <w:tcMar>
              <w:top w:w="0" w:type="dxa"/>
              <w:left w:w="108" w:type="dxa"/>
              <w:bottom w:w="0" w:type="dxa"/>
              <w:right w:w="108" w:type="dxa"/>
            </w:tcMar>
            <w:hideMark/>
          </w:tcPr>
          <w:p w14:paraId="497CBF05" w14:textId="77777777" w:rsidR="000B26EA" w:rsidRDefault="000B26EA">
            <w:pPr>
              <w:spacing w:before="40" w:after="40"/>
              <w:ind w:left="162" w:hanging="130"/>
              <w:contextualSpacing/>
              <w:jc w:val="center"/>
              <w:rPr>
                <w:rFonts w:cs="Arial"/>
              </w:rPr>
            </w:pPr>
            <w:r>
              <w:rPr>
                <w:rFonts w:cs="Arial"/>
              </w:rPr>
              <w:t>***</w:t>
            </w:r>
          </w:p>
        </w:tc>
      </w:tr>
      <w:tr w:rsidR="000B26EA" w14:paraId="00F7B7D9" w14:textId="77777777" w:rsidTr="000B26EA">
        <w:trPr>
          <w:cantSplit/>
        </w:trPr>
        <w:tc>
          <w:tcPr>
            <w:tcW w:w="2340" w:type="dxa"/>
            <w:tcBorders>
              <w:top w:val="nil"/>
              <w:left w:val="nil"/>
              <w:bottom w:val="single" w:sz="8" w:space="0" w:color="DCDDDE"/>
              <w:right w:val="nil"/>
            </w:tcBorders>
            <w:tcMar>
              <w:top w:w="0" w:type="dxa"/>
              <w:left w:w="108" w:type="dxa"/>
              <w:bottom w:w="0" w:type="dxa"/>
              <w:right w:w="108" w:type="dxa"/>
            </w:tcMar>
            <w:hideMark/>
          </w:tcPr>
          <w:p w14:paraId="3FC49616" w14:textId="77777777" w:rsidR="000B26EA" w:rsidRDefault="000B26EA" w:rsidP="003B38C3">
            <w:pPr>
              <w:spacing w:before="40" w:after="40"/>
              <w:rPr>
                <w:rFonts w:cs="Arial"/>
              </w:rPr>
            </w:pPr>
            <w:r>
              <w:rPr>
                <w:rFonts w:cs="Arial"/>
              </w:rPr>
              <w:t>pre.therms:yrmo201412</w:t>
            </w:r>
          </w:p>
        </w:tc>
        <w:tc>
          <w:tcPr>
            <w:tcW w:w="1489" w:type="dxa"/>
            <w:tcBorders>
              <w:top w:val="nil"/>
              <w:left w:val="nil"/>
              <w:bottom w:val="single" w:sz="8" w:space="0" w:color="DCDDDE"/>
              <w:right w:val="nil"/>
            </w:tcBorders>
            <w:tcMar>
              <w:top w:w="0" w:type="dxa"/>
              <w:left w:w="108" w:type="dxa"/>
              <w:bottom w:w="0" w:type="dxa"/>
              <w:right w:w="108" w:type="dxa"/>
            </w:tcMar>
            <w:hideMark/>
          </w:tcPr>
          <w:p w14:paraId="73BE8E66" w14:textId="77777777" w:rsidR="000B26EA" w:rsidRDefault="000B26EA">
            <w:pPr>
              <w:spacing w:before="40" w:after="40"/>
              <w:jc w:val="center"/>
              <w:rPr>
                <w:rFonts w:cs="Arial"/>
              </w:rPr>
            </w:pPr>
            <w:r>
              <w:rPr>
                <w:rFonts w:cs="Arial"/>
              </w:rPr>
              <w:t>0.998081</w:t>
            </w:r>
          </w:p>
        </w:tc>
        <w:tc>
          <w:tcPr>
            <w:tcW w:w="1471" w:type="dxa"/>
            <w:tcBorders>
              <w:top w:val="nil"/>
              <w:left w:val="nil"/>
              <w:bottom w:val="single" w:sz="8" w:space="0" w:color="DCDDDE"/>
              <w:right w:val="nil"/>
            </w:tcBorders>
            <w:tcMar>
              <w:top w:w="0" w:type="dxa"/>
              <w:left w:w="108" w:type="dxa"/>
              <w:bottom w:w="0" w:type="dxa"/>
              <w:right w:w="108" w:type="dxa"/>
            </w:tcMar>
            <w:hideMark/>
          </w:tcPr>
          <w:p w14:paraId="7069D909" w14:textId="77777777" w:rsidR="000B26EA" w:rsidRDefault="000B26EA">
            <w:pPr>
              <w:spacing w:before="40" w:after="40"/>
              <w:jc w:val="center"/>
              <w:rPr>
                <w:rFonts w:cs="Arial"/>
              </w:rPr>
            </w:pPr>
            <w:r>
              <w:rPr>
                <w:rFonts w:cs="Arial"/>
              </w:rPr>
              <w:t>0.004093</w:t>
            </w:r>
          </w:p>
        </w:tc>
        <w:tc>
          <w:tcPr>
            <w:tcW w:w="1051" w:type="dxa"/>
            <w:tcBorders>
              <w:top w:val="nil"/>
              <w:left w:val="nil"/>
              <w:bottom w:val="single" w:sz="8" w:space="0" w:color="DCDDDE"/>
              <w:right w:val="nil"/>
            </w:tcBorders>
            <w:tcMar>
              <w:top w:w="0" w:type="dxa"/>
              <w:left w:w="108" w:type="dxa"/>
              <w:bottom w:w="0" w:type="dxa"/>
              <w:right w:w="108" w:type="dxa"/>
            </w:tcMar>
            <w:hideMark/>
          </w:tcPr>
          <w:p w14:paraId="27B82362" w14:textId="77777777" w:rsidR="000B26EA" w:rsidRDefault="000B26EA">
            <w:pPr>
              <w:spacing w:before="40" w:after="40"/>
              <w:jc w:val="center"/>
              <w:rPr>
                <w:rFonts w:cs="Arial"/>
              </w:rPr>
            </w:pPr>
            <w:r>
              <w:rPr>
                <w:rFonts w:cs="Arial"/>
              </w:rPr>
              <w:t>243.8611</w:t>
            </w:r>
          </w:p>
        </w:tc>
        <w:tc>
          <w:tcPr>
            <w:tcW w:w="1034" w:type="dxa"/>
            <w:tcBorders>
              <w:top w:val="nil"/>
              <w:left w:val="nil"/>
              <w:bottom w:val="single" w:sz="8" w:space="0" w:color="DCDDDE"/>
              <w:right w:val="nil"/>
            </w:tcBorders>
            <w:tcMar>
              <w:top w:w="0" w:type="dxa"/>
              <w:left w:w="108" w:type="dxa"/>
              <w:bottom w:w="0" w:type="dxa"/>
              <w:right w:w="108" w:type="dxa"/>
            </w:tcMar>
            <w:hideMark/>
          </w:tcPr>
          <w:p w14:paraId="5E323CD8" w14:textId="77777777" w:rsidR="000B26EA" w:rsidRDefault="000B26EA">
            <w:pPr>
              <w:spacing w:before="40" w:after="40"/>
              <w:jc w:val="center"/>
              <w:rPr>
                <w:rFonts w:cs="Arial"/>
              </w:rPr>
            </w:pPr>
            <w:r>
              <w:rPr>
                <w:rFonts w:cs="Arial"/>
              </w:rPr>
              <w:t>0</w:t>
            </w:r>
          </w:p>
        </w:tc>
        <w:tc>
          <w:tcPr>
            <w:tcW w:w="1653" w:type="dxa"/>
            <w:tcBorders>
              <w:top w:val="nil"/>
              <w:left w:val="nil"/>
              <w:bottom w:val="single" w:sz="8" w:space="0" w:color="DCDDDE"/>
              <w:right w:val="nil"/>
            </w:tcBorders>
            <w:tcMar>
              <w:top w:w="0" w:type="dxa"/>
              <w:left w:w="108" w:type="dxa"/>
              <w:bottom w:w="0" w:type="dxa"/>
              <w:right w:w="108" w:type="dxa"/>
            </w:tcMar>
            <w:hideMark/>
          </w:tcPr>
          <w:p w14:paraId="485506EE" w14:textId="77777777" w:rsidR="000B26EA" w:rsidRDefault="000B26EA">
            <w:pPr>
              <w:spacing w:before="40" w:after="40"/>
              <w:ind w:left="162" w:hanging="130"/>
              <w:contextualSpacing/>
              <w:jc w:val="center"/>
              <w:rPr>
                <w:rFonts w:cs="Arial"/>
              </w:rPr>
            </w:pPr>
            <w:r>
              <w:rPr>
                <w:rFonts w:cs="Arial"/>
              </w:rPr>
              <w:t>***</w:t>
            </w:r>
          </w:p>
        </w:tc>
      </w:tr>
      <w:tr w:rsidR="000B26EA" w14:paraId="0270447E" w14:textId="77777777" w:rsidTr="000B26EA">
        <w:trPr>
          <w:cantSplit/>
        </w:trPr>
        <w:tc>
          <w:tcPr>
            <w:tcW w:w="2340" w:type="dxa"/>
            <w:tcBorders>
              <w:top w:val="nil"/>
              <w:left w:val="nil"/>
              <w:bottom w:val="single" w:sz="8" w:space="0" w:color="DCDDDE"/>
              <w:right w:val="nil"/>
            </w:tcBorders>
            <w:tcMar>
              <w:top w:w="0" w:type="dxa"/>
              <w:left w:w="108" w:type="dxa"/>
              <w:bottom w:w="0" w:type="dxa"/>
              <w:right w:w="108" w:type="dxa"/>
            </w:tcMar>
            <w:hideMark/>
          </w:tcPr>
          <w:p w14:paraId="3A54BC13" w14:textId="77777777" w:rsidR="000B26EA" w:rsidRDefault="000B26EA" w:rsidP="003B38C3">
            <w:pPr>
              <w:spacing w:before="40" w:after="40"/>
              <w:rPr>
                <w:rFonts w:cs="Arial"/>
              </w:rPr>
            </w:pPr>
            <w:r>
              <w:rPr>
                <w:rFonts w:cs="Arial"/>
              </w:rPr>
              <w:t>pre.therms:yrmo201501</w:t>
            </w:r>
          </w:p>
        </w:tc>
        <w:tc>
          <w:tcPr>
            <w:tcW w:w="1489" w:type="dxa"/>
            <w:tcBorders>
              <w:top w:val="nil"/>
              <w:left w:val="nil"/>
              <w:bottom w:val="single" w:sz="8" w:space="0" w:color="DCDDDE"/>
              <w:right w:val="nil"/>
            </w:tcBorders>
            <w:tcMar>
              <w:top w:w="0" w:type="dxa"/>
              <w:left w:w="108" w:type="dxa"/>
              <w:bottom w:w="0" w:type="dxa"/>
              <w:right w:w="108" w:type="dxa"/>
            </w:tcMar>
            <w:hideMark/>
          </w:tcPr>
          <w:p w14:paraId="5FC0003D" w14:textId="77777777" w:rsidR="000B26EA" w:rsidRDefault="000B26EA">
            <w:pPr>
              <w:spacing w:before="40" w:after="40"/>
              <w:jc w:val="center"/>
              <w:rPr>
                <w:rFonts w:cs="Arial"/>
              </w:rPr>
            </w:pPr>
            <w:r>
              <w:rPr>
                <w:rFonts w:cs="Arial"/>
              </w:rPr>
              <w:t>1.028013</w:t>
            </w:r>
          </w:p>
        </w:tc>
        <w:tc>
          <w:tcPr>
            <w:tcW w:w="1471" w:type="dxa"/>
            <w:tcBorders>
              <w:top w:val="nil"/>
              <w:left w:val="nil"/>
              <w:bottom w:val="single" w:sz="8" w:space="0" w:color="DCDDDE"/>
              <w:right w:val="nil"/>
            </w:tcBorders>
            <w:tcMar>
              <w:top w:w="0" w:type="dxa"/>
              <w:left w:w="108" w:type="dxa"/>
              <w:bottom w:w="0" w:type="dxa"/>
              <w:right w:w="108" w:type="dxa"/>
            </w:tcMar>
            <w:hideMark/>
          </w:tcPr>
          <w:p w14:paraId="63D61992" w14:textId="77777777" w:rsidR="000B26EA" w:rsidRDefault="000B26EA">
            <w:pPr>
              <w:spacing w:before="40" w:after="40"/>
              <w:jc w:val="center"/>
              <w:rPr>
                <w:rFonts w:cs="Arial"/>
              </w:rPr>
            </w:pPr>
            <w:r>
              <w:rPr>
                <w:rFonts w:cs="Arial"/>
              </w:rPr>
              <w:t>0.003193</w:t>
            </w:r>
          </w:p>
        </w:tc>
        <w:tc>
          <w:tcPr>
            <w:tcW w:w="1051" w:type="dxa"/>
            <w:tcBorders>
              <w:top w:val="nil"/>
              <w:left w:val="nil"/>
              <w:bottom w:val="single" w:sz="8" w:space="0" w:color="DCDDDE"/>
              <w:right w:val="nil"/>
            </w:tcBorders>
            <w:tcMar>
              <w:top w:w="0" w:type="dxa"/>
              <w:left w:w="108" w:type="dxa"/>
              <w:bottom w:w="0" w:type="dxa"/>
              <w:right w:w="108" w:type="dxa"/>
            </w:tcMar>
            <w:hideMark/>
          </w:tcPr>
          <w:p w14:paraId="279FE815" w14:textId="77777777" w:rsidR="000B26EA" w:rsidRDefault="000B26EA">
            <w:pPr>
              <w:spacing w:before="40" w:after="40"/>
              <w:jc w:val="center"/>
              <w:rPr>
                <w:rFonts w:cs="Arial"/>
              </w:rPr>
            </w:pPr>
            <w:r>
              <w:rPr>
                <w:rFonts w:cs="Arial"/>
              </w:rPr>
              <w:t>321.9967</w:t>
            </w:r>
          </w:p>
        </w:tc>
        <w:tc>
          <w:tcPr>
            <w:tcW w:w="1034" w:type="dxa"/>
            <w:tcBorders>
              <w:top w:val="nil"/>
              <w:left w:val="nil"/>
              <w:bottom w:val="single" w:sz="8" w:space="0" w:color="DCDDDE"/>
              <w:right w:val="nil"/>
            </w:tcBorders>
            <w:tcMar>
              <w:top w:w="0" w:type="dxa"/>
              <w:left w:w="108" w:type="dxa"/>
              <w:bottom w:w="0" w:type="dxa"/>
              <w:right w:w="108" w:type="dxa"/>
            </w:tcMar>
            <w:hideMark/>
          </w:tcPr>
          <w:p w14:paraId="3C9732A3" w14:textId="77777777" w:rsidR="000B26EA" w:rsidRDefault="000B26EA">
            <w:pPr>
              <w:spacing w:before="40" w:after="40"/>
              <w:jc w:val="center"/>
              <w:rPr>
                <w:rFonts w:cs="Arial"/>
              </w:rPr>
            </w:pPr>
            <w:r>
              <w:rPr>
                <w:rFonts w:cs="Arial"/>
              </w:rPr>
              <w:t>0</w:t>
            </w:r>
          </w:p>
        </w:tc>
        <w:tc>
          <w:tcPr>
            <w:tcW w:w="1653" w:type="dxa"/>
            <w:tcBorders>
              <w:top w:val="nil"/>
              <w:left w:val="nil"/>
              <w:bottom w:val="single" w:sz="8" w:space="0" w:color="DCDDDE"/>
              <w:right w:val="nil"/>
            </w:tcBorders>
            <w:tcMar>
              <w:top w:w="0" w:type="dxa"/>
              <w:left w:w="108" w:type="dxa"/>
              <w:bottom w:w="0" w:type="dxa"/>
              <w:right w:w="108" w:type="dxa"/>
            </w:tcMar>
            <w:hideMark/>
          </w:tcPr>
          <w:p w14:paraId="0F7E7C39" w14:textId="77777777" w:rsidR="000B26EA" w:rsidRDefault="000B26EA">
            <w:pPr>
              <w:spacing w:before="40" w:after="40"/>
              <w:ind w:left="162" w:hanging="130"/>
              <w:contextualSpacing/>
              <w:jc w:val="center"/>
              <w:rPr>
                <w:rFonts w:cs="Arial"/>
              </w:rPr>
            </w:pPr>
            <w:r>
              <w:rPr>
                <w:rFonts w:cs="Arial"/>
              </w:rPr>
              <w:t>***</w:t>
            </w:r>
          </w:p>
        </w:tc>
      </w:tr>
      <w:tr w:rsidR="000B26EA" w14:paraId="5952882B" w14:textId="77777777" w:rsidTr="000B26EA">
        <w:trPr>
          <w:cantSplit/>
        </w:trPr>
        <w:tc>
          <w:tcPr>
            <w:tcW w:w="2340" w:type="dxa"/>
            <w:tcBorders>
              <w:top w:val="nil"/>
              <w:left w:val="nil"/>
              <w:bottom w:val="single" w:sz="8" w:space="0" w:color="DCDDDE"/>
              <w:right w:val="nil"/>
            </w:tcBorders>
            <w:tcMar>
              <w:top w:w="0" w:type="dxa"/>
              <w:left w:w="108" w:type="dxa"/>
              <w:bottom w:w="0" w:type="dxa"/>
              <w:right w:w="108" w:type="dxa"/>
            </w:tcMar>
            <w:hideMark/>
          </w:tcPr>
          <w:p w14:paraId="28004894" w14:textId="77777777" w:rsidR="000B26EA" w:rsidRDefault="000B26EA" w:rsidP="003B38C3">
            <w:pPr>
              <w:spacing w:before="40" w:after="40"/>
              <w:rPr>
                <w:rFonts w:cs="Arial"/>
              </w:rPr>
            </w:pPr>
            <w:r>
              <w:rPr>
                <w:rFonts w:cs="Arial"/>
              </w:rPr>
              <w:t>pre.therms:yrmo201502</w:t>
            </w:r>
          </w:p>
        </w:tc>
        <w:tc>
          <w:tcPr>
            <w:tcW w:w="1489" w:type="dxa"/>
            <w:tcBorders>
              <w:top w:val="nil"/>
              <w:left w:val="nil"/>
              <w:bottom w:val="single" w:sz="8" w:space="0" w:color="DCDDDE"/>
              <w:right w:val="nil"/>
            </w:tcBorders>
            <w:tcMar>
              <w:top w:w="0" w:type="dxa"/>
              <w:left w:w="108" w:type="dxa"/>
              <w:bottom w:w="0" w:type="dxa"/>
              <w:right w:w="108" w:type="dxa"/>
            </w:tcMar>
            <w:hideMark/>
          </w:tcPr>
          <w:p w14:paraId="2DED0F17" w14:textId="77777777" w:rsidR="000B26EA" w:rsidRDefault="000B26EA">
            <w:pPr>
              <w:spacing w:before="40" w:after="40"/>
              <w:jc w:val="center"/>
              <w:rPr>
                <w:rFonts w:cs="Arial"/>
              </w:rPr>
            </w:pPr>
            <w:r>
              <w:rPr>
                <w:rFonts w:cs="Arial"/>
              </w:rPr>
              <w:t>0.978699</w:t>
            </w:r>
          </w:p>
        </w:tc>
        <w:tc>
          <w:tcPr>
            <w:tcW w:w="1471" w:type="dxa"/>
            <w:tcBorders>
              <w:top w:val="nil"/>
              <w:left w:val="nil"/>
              <w:bottom w:val="single" w:sz="8" w:space="0" w:color="DCDDDE"/>
              <w:right w:val="nil"/>
            </w:tcBorders>
            <w:tcMar>
              <w:top w:w="0" w:type="dxa"/>
              <w:left w:w="108" w:type="dxa"/>
              <w:bottom w:w="0" w:type="dxa"/>
              <w:right w:w="108" w:type="dxa"/>
            </w:tcMar>
            <w:hideMark/>
          </w:tcPr>
          <w:p w14:paraId="7A68AE1C" w14:textId="77777777" w:rsidR="000B26EA" w:rsidRDefault="000B26EA">
            <w:pPr>
              <w:spacing w:before="40" w:after="40"/>
              <w:jc w:val="center"/>
              <w:rPr>
                <w:rFonts w:cs="Arial"/>
              </w:rPr>
            </w:pPr>
            <w:r>
              <w:rPr>
                <w:rFonts w:cs="Arial"/>
              </w:rPr>
              <w:t>0.002295</w:t>
            </w:r>
          </w:p>
        </w:tc>
        <w:tc>
          <w:tcPr>
            <w:tcW w:w="1051" w:type="dxa"/>
            <w:tcBorders>
              <w:top w:val="nil"/>
              <w:left w:val="nil"/>
              <w:bottom w:val="single" w:sz="8" w:space="0" w:color="DCDDDE"/>
              <w:right w:val="nil"/>
            </w:tcBorders>
            <w:tcMar>
              <w:top w:w="0" w:type="dxa"/>
              <w:left w:w="108" w:type="dxa"/>
              <w:bottom w:w="0" w:type="dxa"/>
              <w:right w:w="108" w:type="dxa"/>
            </w:tcMar>
            <w:hideMark/>
          </w:tcPr>
          <w:p w14:paraId="1CEC5053" w14:textId="77777777" w:rsidR="000B26EA" w:rsidRDefault="000B26EA">
            <w:pPr>
              <w:spacing w:before="40" w:after="40"/>
              <w:jc w:val="center"/>
              <w:rPr>
                <w:rFonts w:cs="Arial"/>
              </w:rPr>
            </w:pPr>
            <w:r>
              <w:rPr>
                <w:rFonts w:cs="Arial"/>
              </w:rPr>
              <w:t>426.5012</w:t>
            </w:r>
          </w:p>
        </w:tc>
        <w:tc>
          <w:tcPr>
            <w:tcW w:w="1034" w:type="dxa"/>
            <w:tcBorders>
              <w:top w:val="nil"/>
              <w:left w:val="nil"/>
              <w:bottom w:val="single" w:sz="8" w:space="0" w:color="DCDDDE"/>
              <w:right w:val="nil"/>
            </w:tcBorders>
            <w:tcMar>
              <w:top w:w="0" w:type="dxa"/>
              <w:left w:w="108" w:type="dxa"/>
              <w:bottom w:w="0" w:type="dxa"/>
              <w:right w:w="108" w:type="dxa"/>
            </w:tcMar>
            <w:hideMark/>
          </w:tcPr>
          <w:p w14:paraId="30D24636" w14:textId="77777777" w:rsidR="000B26EA" w:rsidRDefault="000B26EA">
            <w:pPr>
              <w:spacing w:before="40" w:after="40"/>
              <w:jc w:val="center"/>
              <w:rPr>
                <w:rFonts w:cs="Arial"/>
              </w:rPr>
            </w:pPr>
            <w:r>
              <w:rPr>
                <w:rFonts w:cs="Arial"/>
              </w:rPr>
              <w:t>0</w:t>
            </w:r>
          </w:p>
        </w:tc>
        <w:tc>
          <w:tcPr>
            <w:tcW w:w="1653" w:type="dxa"/>
            <w:tcBorders>
              <w:top w:val="nil"/>
              <w:left w:val="nil"/>
              <w:bottom w:val="single" w:sz="8" w:space="0" w:color="DCDDDE"/>
              <w:right w:val="nil"/>
            </w:tcBorders>
            <w:tcMar>
              <w:top w:w="0" w:type="dxa"/>
              <w:left w:w="108" w:type="dxa"/>
              <w:bottom w:w="0" w:type="dxa"/>
              <w:right w:w="108" w:type="dxa"/>
            </w:tcMar>
            <w:hideMark/>
          </w:tcPr>
          <w:p w14:paraId="0DDC5917" w14:textId="77777777" w:rsidR="000B26EA" w:rsidRDefault="000B26EA">
            <w:pPr>
              <w:spacing w:before="40" w:after="40"/>
              <w:ind w:left="162" w:hanging="130"/>
              <w:contextualSpacing/>
              <w:jc w:val="center"/>
              <w:rPr>
                <w:rFonts w:cs="Arial"/>
              </w:rPr>
            </w:pPr>
            <w:r>
              <w:rPr>
                <w:rFonts w:cs="Arial"/>
              </w:rPr>
              <w:t>***</w:t>
            </w:r>
          </w:p>
        </w:tc>
      </w:tr>
      <w:tr w:rsidR="000B26EA" w14:paraId="5A023831" w14:textId="77777777" w:rsidTr="000B26EA">
        <w:trPr>
          <w:cantSplit/>
        </w:trPr>
        <w:tc>
          <w:tcPr>
            <w:tcW w:w="2340" w:type="dxa"/>
            <w:tcBorders>
              <w:top w:val="nil"/>
              <w:left w:val="nil"/>
              <w:bottom w:val="single" w:sz="8" w:space="0" w:color="DCDDDE"/>
              <w:right w:val="nil"/>
            </w:tcBorders>
            <w:tcMar>
              <w:top w:w="0" w:type="dxa"/>
              <w:left w:w="108" w:type="dxa"/>
              <w:bottom w:w="0" w:type="dxa"/>
              <w:right w:w="108" w:type="dxa"/>
            </w:tcMar>
            <w:hideMark/>
          </w:tcPr>
          <w:p w14:paraId="4E3EB808" w14:textId="77777777" w:rsidR="000B26EA" w:rsidRDefault="000B26EA" w:rsidP="003B38C3">
            <w:pPr>
              <w:spacing w:before="40" w:after="40"/>
              <w:rPr>
                <w:rFonts w:cs="Arial"/>
              </w:rPr>
            </w:pPr>
            <w:r>
              <w:rPr>
                <w:rFonts w:cs="Arial"/>
              </w:rPr>
              <w:t>pre.therms:yrmo201503</w:t>
            </w:r>
          </w:p>
        </w:tc>
        <w:tc>
          <w:tcPr>
            <w:tcW w:w="1489" w:type="dxa"/>
            <w:tcBorders>
              <w:top w:val="nil"/>
              <w:left w:val="nil"/>
              <w:bottom w:val="single" w:sz="8" w:space="0" w:color="DCDDDE"/>
              <w:right w:val="nil"/>
            </w:tcBorders>
            <w:tcMar>
              <w:top w:w="0" w:type="dxa"/>
              <w:left w:w="108" w:type="dxa"/>
              <w:bottom w:w="0" w:type="dxa"/>
              <w:right w:w="108" w:type="dxa"/>
            </w:tcMar>
            <w:hideMark/>
          </w:tcPr>
          <w:p w14:paraId="5726DFA6" w14:textId="77777777" w:rsidR="000B26EA" w:rsidRDefault="000B26EA">
            <w:pPr>
              <w:spacing w:before="40" w:after="40"/>
              <w:jc w:val="center"/>
              <w:rPr>
                <w:rFonts w:cs="Arial"/>
              </w:rPr>
            </w:pPr>
            <w:r>
              <w:rPr>
                <w:rFonts w:cs="Arial"/>
              </w:rPr>
              <w:t>0.934783</w:t>
            </w:r>
          </w:p>
        </w:tc>
        <w:tc>
          <w:tcPr>
            <w:tcW w:w="1471" w:type="dxa"/>
            <w:tcBorders>
              <w:top w:val="nil"/>
              <w:left w:val="nil"/>
              <w:bottom w:val="single" w:sz="8" w:space="0" w:color="DCDDDE"/>
              <w:right w:val="nil"/>
            </w:tcBorders>
            <w:tcMar>
              <w:top w:w="0" w:type="dxa"/>
              <w:left w:w="108" w:type="dxa"/>
              <w:bottom w:w="0" w:type="dxa"/>
              <w:right w:w="108" w:type="dxa"/>
            </w:tcMar>
            <w:hideMark/>
          </w:tcPr>
          <w:p w14:paraId="095ECDDB" w14:textId="77777777" w:rsidR="000B26EA" w:rsidRDefault="000B26EA">
            <w:pPr>
              <w:spacing w:before="40" w:after="40"/>
              <w:jc w:val="center"/>
              <w:rPr>
                <w:rFonts w:cs="Arial"/>
              </w:rPr>
            </w:pPr>
            <w:r>
              <w:rPr>
                <w:rFonts w:cs="Arial"/>
              </w:rPr>
              <w:t>0.002993</w:t>
            </w:r>
          </w:p>
        </w:tc>
        <w:tc>
          <w:tcPr>
            <w:tcW w:w="1051" w:type="dxa"/>
            <w:tcBorders>
              <w:top w:val="nil"/>
              <w:left w:val="nil"/>
              <w:bottom w:val="single" w:sz="8" w:space="0" w:color="DCDDDE"/>
              <w:right w:val="nil"/>
            </w:tcBorders>
            <w:tcMar>
              <w:top w:w="0" w:type="dxa"/>
              <w:left w:w="108" w:type="dxa"/>
              <w:bottom w:w="0" w:type="dxa"/>
              <w:right w:w="108" w:type="dxa"/>
            </w:tcMar>
            <w:hideMark/>
          </w:tcPr>
          <w:p w14:paraId="150C0947" w14:textId="77777777" w:rsidR="000B26EA" w:rsidRDefault="000B26EA">
            <w:pPr>
              <w:spacing w:before="40" w:after="40"/>
              <w:jc w:val="center"/>
              <w:rPr>
                <w:rFonts w:cs="Arial"/>
              </w:rPr>
            </w:pPr>
            <w:r>
              <w:rPr>
                <w:rFonts w:cs="Arial"/>
              </w:rPr>
              <w:t>312.2852</w:t>
            </w:r>
          </w:p>
        </w:tc>
        <w:tc>
          <w:tcPr>
            <w:tcW w:w="1034" w:type="dxa"/>
            <w:tcBorders>
              <w:top w:val="nil"/>
              <w:left w:val="nil"/>
              <w:bottom w:val="single" w:sz="8" w:space="0" w:color="DCDDDE"/>
              <w:right w:val="nil"/>
            </w:tcBorders>
            <w:tcMar>
              <w:top w:w="0" w:type="dxa"/>
              <w:left w:w="108" w:type="dxa"/>
              <w:bottom w:w="0" w:type="dxa"/>
              <w:right w:w="108" w:type="dxa"/>
            </w:tcMar>
            <w:hideMark/>
          </w:tcPr>
          <w:p w14:paraId="09CC9D8C" w14:textId="77777777" w:rsidR="000B26EA" w:rsidRDefault="000B26EA">
            <w:pPr>
              <w:spacing w:before="40" w:after="40"/>
              <w:jc w:val="center"/>
              <w:rPr>
                <w:rFonts w:cs="Arial"/>
              </w:rPr>
            </w:pPr>
            <w:r>
              <w:rPr>
                <w:rFonts w:cs="Arial"/>
              </w:rPr>
              <w:t>0</w:t>
            </w:r>
          </w:p>
        </w:tc>
        <w:tc>
          <w:tcPr>
            <w:tcW w:w="1653" w:type="dxa"/>
            <w:tcBorders>
              <w:top w:val="nil"/>
              <w:left w:val="nil"/>
              <w:bottom w:val="single" w:sz="8" w:space="0" w:color="DCDDDE"/>
              <w:right w:val="nil"/>
            </w:tcBorders>
            <w:tcMar>
              <w:top w:w="0" w:type="dxa"/>
              <w:left w:w="108" w:type="dxa"/>
              <w:bottom w:w="0" w:type="dxa"/>
              <w:right w:w="108" w:type="dxa"/>
            </w:tcMar>
            <w:hideMark/>
          </w:tcPr>
          <w:p w14:paraId="09C4B28B" w14:textId="77777777" w:rsidR="000B26EA" w:rsidRDefault="000B26EA">
            <w:pPr>
              <w:spacing w:before="40" w:after="40"/>
              <w:ind w:left="162" w:hanging="130"/>
              <w:contextualSpacing/>
              <w:jc w:val="center"/>
              <w:rPr>
                <w:rFonts w:cs="Arial"/>
              </w:rPr>
            </w:pPr>
            <w:r>
              <w:rPr>
                <w:rFonts w:cs="Arial"/>
              </w:rPr>
              <w:t>***</w:t>
            </w:r>
          </w:p>
        </w:tc>
      </w:tr>
      <w:tr w:rsidR="000B26EA" w14:paraId="777CC5C1" w14:textId="77777777" w:rsidTr="000B26EA">
        <w:trPr>
          <w:cantSplit/>
        </w:trPr>
        <w:tc>
          <w:tcPr>
            <w:tcW w:w="9038" w:type="dxa"/>
            <w:gridSpan w:val="6"/>
            <w:tcBorders>
              <w:top w:val="nil"/>
              <w:left w:val="nil"/>
              <w:bottom w:val="single" w:sz="8" w:space="0" w:color="555759"/>
              <w:right w:val="nil"/>
            </w:tcBorders>
            <w:tcMar>
              <w:top w:w="0" w:type="dxa"/>
              <w:left w:w="108" w:type="dxa"/>
              <w:bottom w:w="0" w:type="dxa"/>
              <w:right w:w="108" w:type="dxa"/>
            </w:tcMar>
            <w:hideMark/>
          </w:tcPr>
          <w:p w14:paraId="22328466" w14:textId="77777777" w:rsidR="000B26EA" w:rsidRDefault="000B26EA" w:rsidP="003B38C3">
            <w:pPr>
              <w:spacing w:before="40" w:after="40"/>
              <w:rPr>
                <w:rFonts w:cs="Arial"/>
              </w:rPr>
            </w:pPr>
            <w:proofErr w:type="spellStart"/>
            <w:r>
              <w:rPr>
                <w:rFonts w:cs="Arial"/>
              </w:rPr>
              <w:t>Signif</w:t>
            </w:r>
            <w:proofErr w:type="spellEnd"/>
            <w:r>
              <w:rPr>
                <w:rFonts w:cs="Arial"/>
              </w:rPr>
              <w:t>. codes: 0 ‘***’ 0.001 ‘**’ 0.01 ‘*’ 0.05 ‘.’ 0.1 ‘ ’ 1</w:t>
            </w:r>
          </w:p>
          <w:p w14:paraId="070DF34E" w14:textId="77777777" w:rsidR="000B26EA" w:rsidRDefault="000B26EA" w:rsidP="003B38C3">
            <w:pPr>
              <w:spacing w:before="40" w:after="40"/>
              <w:rPr>
                <w:rFonts w:cs="Arial"/>
              </w:rPr>
            </w:pPr>
            <w:r>
              <w:rPr>
                <w:rFonts w:cs="Arial"/>
              </w:rPr>
              <w:t>Residual standard error: 1.355 on 723411 degrees of freedom</w:t>
            </w:r>
          </w:p>
          <w:p w14:paraId="3D3BBE4B" w14:textId="77777777" w:rsidR="000B26EA" w:rsidRDefault="000B26EA" w:rsidP="003B38C3">
            <w:pPr>
              <w:spacing w:before="40" w:after="40"/>
              <w:rPr>
                <w:rFonts w:cs="Arial"/>
              </w:rPr>
            </w:pPr>
            <w:r>
              <w:rPr>
                <w:rFonts w:cs="Arial"/>
              </w:rPr>
              <w:t xml:space="preserve">Multiple R-squared: 0.9735, Adjusted R-squared: 0.9735 </w:t>
            </w:r>
          </w:p>
          <w:p w14:paraId="38001D9C" w14:textId="77777777" w:rsidR="000B26EA" w:rsidRDefault="000B26EA" w:rsidP="003B38C3">
            <w:pPr>
              <w:spacing w:before="40" w:after="40"/>
              <w:ind w:left="162" w:hanging="130"/>
              <w:contextualSpacing/>
              <w:rPr>
                <w:rFonts w:cs="Arial"/>
              </w:rPr>
            </w:pPr>
            <w:r>
              <w:rPr>
                <w:rFonts w:cs="Arial"/>
              </w:rPr>
              <w:t>F-statistic: 2.044e+06 on 13 and 723411 DF, p-value: &lt; 2.2e-16</w:t>
            </w:r>
          </w:p>
        </w:tc>
      </w:tr>
    </w:tbl>
    <w:p w14:paraId="74AA0633" w14:textId="77777777" w:rsidR="00A9061E" w:rsidRPr="0084264B" w:rsidRDefault="00A9061E" w:rsidP="00A9061E">
      <w:pPr>
        <w:ind w:left="90"/>
        <w:rPr>
          <w:i/>
          <w:sz w:val="18"/>
        </w:rPr>
      </w:pPr>
      <w:r w:rsidRPr="0084264B">
        <w:rPr>
          <w:i/>
          <w:sz w:val="18"/>
        </w:rPr>
        <w:t>Source: Navigant analysis</w:t>
      </w:r>
    </w:p>
    <w:p w14:paraId="39BCB642" w14:textId="77777777" w:rsidR="00A9061E" w:rsidRDefault="00A9061E" w:rsidP="00A9061E">
      <w:pPr>
        <w:rPr>
          <w:i/>
        </w:rPr>
      </w:pPr>
    </w:p>
    <w:p w14:paraId="17A8D2D4" w14:textId="2D4F283F" w:rsidR="00A9061E" w:rsidRDefault="003B38C3" w:rsidP="005550AF">
      <w:pPr>
        <w:keepNext/>
        <w:widowControl w:val="0"/>
      </w:pPr>
      <w:r>
        <w:lastRenderedPageBreak/>
        <w:fldChar w:fldCharType="begin"/>
      </w:r>
      <w:r>
        <w:instrText xml:space="preserve"> REF _Ref440981415 \h </w:instrText>
      </w:r>
      <w:r>
        <w:fldChar w:fldCharType="separate"/>
      </w:r>
      <w:r>
        <w:t xml:space="preserve">Table </w:t>
      </w:r>
      <w:r>
        <w:rPr>
          <w:noProof/>
        </w:rPr>
        <w:t>5</w:t>
      </w:r>
      <w:r>
        <w:noBreakHyphen/>
      </w:r>
      <w:r>
        <w:rPr>
          <w:noProof/>
        </w:rPr>
        <w:t>2</w:t>
      </w:r>
      <w:r>
        <w:fldChar w:fldCharType="end"/>
      </w:r>
      <w:r w:rsidR="003971DF">
        <w:t xml:space="preserve"> </w:t>
      </w:r>
      <w:r w:rsidR="00A9061E">
        <w:t>shows the detailed model output for the LFER model for October 2014 to March 2015.</w:t>
      </w:r>
    </w:p>
    <w:p w14:paraId="42ACC21E" w14:textId="77777777" w:rsidR="00A9061E" w:rsidRDefault="00A9061E" w:rsidP="005550AF">
      <w:pPr>
        <w:keepNext/>
        <w:widowControl w:val="0"/>
      </w:pPr>
    </w:p>
    <w:p w14:paraId="789FCE17" w14:textId="77777777" w:rsidR="00A9061E" w:rsidRDefault="00A9061E" w:rsidP="005550AF">
      <w:pPr>
        <w:pStyle w:val="Caption"/>
      </w:pPr>
      <w:bookmarkStart w:id="72" w:name="_Ref440981415"/>
      <w:bookmarkStart w:id="73" w:name="_Toc441752605"/>
      <w:r>
        <w:t xml:space="preserve">Table </w:t>
      </w:r>
      <w:r w:rsidR="00851D29">
        <w:fldChar w:fldCharType="begin"/>
      </w:r>
      <w:r w:rsidR="00851D29">
        <w:instrText xml:space="preserve"> STYLEREF 1 \s </w:instrText>
      </w:r>
      <w:r w:rsidR="00851D29">
        <w:fldChar w:fldCharType="separate"/>
      </w:r>
      <w:r w:rsidR="003B38C3">
        <w:rPr>
          <w:noProof/>
        </w:rPr>
        <w:t>5</w:t>
      </w:r>
      <w:r w:rsidR="00851D29">
        <w:rPr>
          <w:noProof/>
        </w:rPr>
        <w:fldChar w:fldCharType="end"/>
      </w:r>
      <w:r>
        <w:noBreakHyphen/>
      </w:r>
      <w:r w:rsidR="00851D29">
        <w:fldChar w:fldCharType="begin"/>
      </w:r>
      <w:r w:rsidR="00851D29">
        <w:instrText xml:space="preserve"> SEQ Table \* ARABIC \s 1 </w:instrText>
      </w:r>
      <w:r w:rsidR="00851D29">
        <w:fldChar w:fldCharType="separate"/>
      </w:r>
      <w:r w:rsidR="003B38C3">
        <w:rPr>
          <w:noProof/>
        </w:rPr>
        <w:t>2</w:t>
      </w:r>
      <w:r w:rsidR="00851D29">
        <w:rPr>
          <w:noProof/>
        </w:rPr>
        <w:fldChar w:fldCharType="end"/>
      </w:r>
      <w:bookmarkEnd w:id="72"/>
      <w:r>
        <w:t>. LFER Detailed Model Output: October 2014 – March 2015</w:t>
      </w:r>
      <w:bookmarkEnd w:id="73"/>
    </w:p>
    <w:tbl>
      <w:tblPr>
        <w:tblStyle w:val="EnergyTable"/>
        <w:tblW w:w="0" w:type="auto"/>
        <w:tblLook w:val="04A0" w:firstRow="1" w:lastRow="0" w:firstColumn="1" w:lastColumn="0" w:noHBand="0" w:noVBand="1"/>
      </w:tblPr>
      <w:tblGrid>
        <w:gridCol w:w="1546"/>
        <w:gridCol w:w="1546"/>
        <w:gridCol w:w="1546"/>
        <w:gridCol w:w="1546"/>
        <w:gridCol w:w="1547"/>
        <w:gridCol w:w="1547"/>
      </w:tblGrid>
      <w:tr w:rsidR="005550AF" w14:paraId="05490B01" w14:textId="77777777" w:rsidTr="005550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6" w:type="dxa"/>
          </w:tcPr>
          <w:p w14:paraId="5D3CBF0A" w14:textId="77777777" w:rsidR="005550AF" w:rsidRDefault="005550AF" w:rsidP="005550AF">
            <w:pPr>
              <w:keepNext/>
            </w:pPr>
          </w:p>
        </w:tc>
        <w:tc>
          <w:tcPr>
            <w:tcW w:w="1546" w:type="dxa"/>
          </w:tcPr>
          <w:p w14:paraId="7E79CDC7" w14:textId="372F202C" w:rsidR="005550AF" w:rsidRDefault="005550AF" w:rsidP="005550AF">
            <w:pPr>
              <w:keepNext/>
              <w:cnfStyle w:val="100000000000" w:firstRow="1" w:lastRow="0" w:firstColumn="0" w:lastColumn="0" w:oddVBand="0" w:evenVBand="0" w:oddHBand="0" w:evenHBand="0" w:firstRowFirstColumn="0" w:firstRowLastColumn="0" w:lastRowFirstColumn="0" w:lastRowLastColumn="0"/>
            </w:pPr>
            <w:r w:rsidRPr="004B5B19">
              <w:rPr>
                <w:rFonts w:cs="Palatino Linotype"/>
                <w:b w:val="0"/>
                <w:sz w:val="18"/>
                <w:szCs w:val="20"/>
              </w:rPr>
              <w:t>Estimate</w:t>
            </w:r>
          </w:p>
        </w:tc>
        <w:tc>
          <w:tcPr>
            <w:tcW w:w="1546" w:type="dxa"/>
          </w:tcPr>
          <w:p w14:paraId="21D841C2" w14:textId="25F20B75" w:rsidR="005550AF" w:rsidRDefault="005550AF" w:rsidP="005550AF">
            <w:pPr>
              <w:keepNext/>
              <w:cnfStyle w:val="100000000000" w:firstRow="1" w:lastRow="0" w:firstColumn="0" w:lastColumn="0" w:oddVBand="0" w:evenVBand="0" w:oddHBand="0" w:evenHBand="0" w:firstRowFirstColumn="0" w:firstRowLastColumn="0" w:lastRowFirstColumn="0" w:lastRowLastColumn="0"/>
            </w:pPr>
            <w:r w:rsidRPr="004B5B19">
              <w:rPr>
                <w:rFonts w:cs="Palatino Linotype"/>
                <w:b w:val="0"/>
                <w:sz w:val="18"/>
                <w:szCs w:val="20"/>
              </w:rPr>
              <w:t>Std. Error</w:t>
            </w:r>
          </w:p>
        </w:tc>
        <w:tc>
          <w:tcPr>
            <w:tcW w:w="1546" w:type="dxa"/>
          </w:tcPr>
          <w:p w14:paraId="005F69B3" w14:textId="51AE4851" w:rsidR="005550AF" w:rsidRDefault="005550AF" w:rsidP="005550AF">
            <w:pPr>
              <w:keepNext/>
              <w:cnfStyle w:val="100000000000" w:firstRow="1" w:lastRow="0" w:firstColumn="0" w:lastColumn="0" w:oddVBand="0" w:evenVBand="0" w:oddHBand="0" w:evenHBand="0" w:firstRowFirstColumn="0" w:firstRowLastColumn="0" w:lastRowFirstColumn="0" w:lastRowLastColumn="0"/>
            </w:pPr>
            <w:r w:rsidRPr="004B5B19">
              <w:rPr>
                <w:rFonts w:cs="Palatino Linotype"/>
                <w:b w:val="0"/>
                <w:sz w:val="18"/>
                <w:szCs w:val="20"/>
              </w:rPr>
              <w:t>t value</w:t>
            </w:r>
          </w:p>
        </w:tc>
        <w:tc>
          <w:tcPr>
            <w:tcW w:w="1547" w:type="dxa"/>
          </w:tcPr>
          <w:p w14:paraId="6766B0AC" w14:textId="261929D6" w:rsidR="005550AF" w:rsidRDefault="005550AF" w:rsidP="005550AF">
            <w:pPr>
              <w:keepNext/>
              <w:cnfStyle w:val="100000000000" w:firstRow="1" w:lastRow="0" w:firstColumn="0" w:lastColumn="0" w:oddVBand="0" w:evenVBand="0" w:oddHBand="0" w:evenHBand="0" w:firstRowFirstColumn="0" w:firstRowLastColumn="0" w:lastRowFirstColumn="0" w:lastRowLastColumn="0"/>
            </w:pPr>
            <w:proofErr w:type="spellStart"/>
            <w:r w:rsidRPr="004B5B19">
              <w:rPr>
                <w:rFonts w:cs="Palatino Linotype"/>
                <w:b w:val="0"/>
                <w:sz w:val="18"/>
                <w:szCs w:val="20"/>
              </w:rPr>
              <w:t>Pr</w:t>
            </w:r>
            <w:proofErr w:type="spellEnd"/>
            <w:r w:rsidRPr="004B5B19">
              <w:rPr>
                <w:rFonts w:cs="Palatino Linotype"/>
                <w:b w:val="0"/>
                <w:sz w:val="18"/>
                <w:szCs w:val="20"/>
              </w:rPr>
              <w:t>(&gt;|t|)</w:t>
            </w:r>
          </w:p>
        </w:tc>
        <w:tc>
          <w:tcPr>
            <w:tcW w:w="1547" w:type="dxa"/>
          </w:tcPr>
          <w:p w14:paraId="69949C9C" w14:textId="2E66CB7D" w:rsidR="005550AF" w:rsidRDefault="005550AF" w:rsidP="005550AF">
            <w:pPr>
              <w:keepNext/>
              <w:cnfStyle w:val="100000000000" w:firstRow="1" w:lastRow="0" w:firstColumn="0" w:lastColumn="0" w:oddVBand="0" w:evenVBand="0" w:oddHBand="0" w:evenHBand="0" w:firstRowFirstColumn="0" w:firstRowLastColumn="0" w:lastRowFirstColumn="0" w:lastRowLastColumn="0"/>
            </w:pPr>
            <w:proofErr w:type="spellStart"/>
            <w:r w:rsidRPr="004B5B19">
              <w:rPr>
                <w:rFonts w:cs="Palatino Linotype"/>
                <w:b w:val="0"/>
                <w:sz w:val="18"/>
                <w:szCs w:val="20"/>
              </w:rPr>
              <w:t>Signif</w:t>
            </w:r>
            <w:proofErr w:type="spellEnd"/>
            <w:r w:rsidRPr="004B5B19">
              <w:rPr>
                <w:rFonts w:cs="Palatino Linotype"/>
                <w:b w:val="0"/>
                <w:sz w:val="18"/>
                <w:szCs w:val="20"/>
              </w:rPr>
              <w:t>.</w:t>
            </w:r>
          </w:p>
        </w:tc>
      </w:tr>
      <w:tr w:rsidR="005550AF" w14:paraId="4F5F78B4" w14:textId="77777777" w:rsidTr="00555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6" w:type="dxa"/>
          </w:tcPr>
          <w:p w14:paraId="5E37E247" w14:textId="38993E98" w:rsidR="005550AF" w:rsidRDefault="005550AF" w:rsidP="003B38C3">
            <w:pPr>
              <w:keepNext/>
              <w:jc w:val="left"/>
            </w:pPr>
            <w:r w:rsidRPr="004B5B19">
              <w:rPr>
                <w:color w:val="000000"/>
                <w:sz w:val="18"/>
                <w:szCs w:val="20"/>
              </w:rPr>
              <w:t>post</w:t>
            </w:r>
          </w:p>
        </w:tc>
        <w:tc>
          <w:tcPr>
            <w:tcW w:w="1546" w:type="dxa"/>
          </w:tcPr>
          <w:p w14:paraId="20F0B17C" w14:textId="6A03324B" w:rsidR="005550AF" w:rsidRDefault="005550AF" w:rsidP="005550AF">
            <w:pPr>
              <w:keepNext/>
              <w:cnfStyle w:val="000000100000" w:firstRow="0" w:lastRow="0" w:firstColumn="0" w:lastColumn="0" w:oddVBand="0" w:evenVBand="0" w:oddHBand="1" w:evenHBand="0" w:firstRowFirstColumn="0" w:firstRowLastColumn="0" w:lastRowFirstColumn="0" w:lastRowLastColumn="0"/>
            </w:pPr>
            <w:r w:rsidRPr="004B5B19">
              <w:rPr>
                <w:color w:val="000000"/>
                <w:sz w:val="18"/>
                <w:szCs w:val="20"/>
              </w:rPr>
              <w:t>3.576963</w:t>
            </w:r>
          </w:p>
        </w:tc>
        <w:tc>
          <w:tcPr>
            <w:tcW w:w="1546" w:type="dxa"/>
          </w:tcPr>
          <w:p w14:paraId="4CD5A6E8" w14:textId="17AD68BA" w:rsidR="005550AF" w:rsidRDefault="005550AF" w:rsidP="005550AF">
            <w:pPr>
              <w:keepNext/>
              <w:cnfStyle w:val="000000100000" w:firstRow="0" w:lastRow="0" w:firstColumn="0" w:lastColumn="0" w:oddVBand="0" w:evenVBand="0" w:oddHBand="1" w:evenHBand="0" w:firstRowFirstColumn="0" w:firstRowLastColumn="0" w:lastRowFirstColumn="0" w:lastRowLastColumn="0"/>
            </w:pPr>
            <w:r w:rsidRPr="004B5B19">
              <w:rPr>
                <w:color w:val="000000"/>
                <w:sz w:val="18"/>
                <w:szCs w:val="20"/>
              </w:rPr>
              <w:t>0.01031</w:t>
            </w:r>
          </w:p>
        </w:tc>
        <w:tc>
          <w:tcPr>
            <w:tcW w:w="1546" w:type="dxa"/>
          </w:tcPr>
          <w:p w14:paraId="3B70E959" w14:textId="7297563F" w:rsidR="005550AF" w:rsidRDefault="005550AF" w:rsidP="005550AF">
            <w:pPr>
              <w:keepNext/>
              <w:cnfStyle w:val="000000100000" w:firstRow="0" w:lastRow="0" w:firstColumn="0" w:lastColumn="0" w:oddVBand="0" w:evenVBand="0" w:oddHBand="1" w:evenHBand="0" w:firstRowFirstColumn="0" w:firstRowLastColumn="0" w:lastRowFirstColumn="0" w:lastRowLastColumn="0"/>
            </w:pPr>
            <w:r w:rsidRPr="004B5B19">
              <w:rPr>
                <w:color w:val="000000"/>
                <w:sz w:val="18"/>
                <w:szCs w:val="20"/>
              </w:rPr>
              <w:t>346.9481</w:t>
            </w:r>
          </w:p>
        </w:tc>
        <w:tc>
          <w:tcPr>
            <w:tcW w:w="1547" w:type="dxa"/>
          </w:tcPr>
          <w:p w14:paraId="75B4D7B7" w14:textId="32D4B54F" w:rsidR="005550AF" w:rsidRDefault="005550AF" w:rsidP="005550AF">
            <w:pPr>
              <w:keepNext/>
              <w:cnfStyle w:val="000000100000" w:firstRow="0" w:lastRow="0" w:firstColumn="0" w:lastColumn="0" w:oddVBand="0" w:evenVBand="0" w:oddHBand="1" w:evenHBand="0" w:firstRowFirstColumn="0" w:firstRowLastColumn="0" w:lastRowFirstColumn="0" w:lastRowLastColumn="0"/>
            </w:pPr>
            <w:r w:rsidRPr="004B5B19">
              <w:rPr>
                <w:color w:val="000000"/>
                <w:sz w:val="18"/>
                <w:szCs w:val="20"/>
              </w:rPr>
              <w:t>0</w:t>
            </w:r>
          </w:p>
        </w:tc>
        <w:tc>
          <w:tcPr>
            <w:tcW w:w="1547" w:type="dxa"/>
          </w:tcPr>
          <w:p w14:paraId="35C48643" w14:textId="253C6C72" w:rsidR="005550AF" w:rsidRDefault="005550AF" w:rsidP="005550AF">
            <w:pPr>
              <w:keepNext/>
              <w:cnfStyle w:val="000000100000" w:firstRow="0" w:lastRow="0" w:firstColumn="0" w:lastColumn="0" w:oddVBand="0" w:evenVBand="0" w:oddHBand="1" w:evenHBand="0" w:firstRowFirstColumn="0" w:firstRowLastColumn="0" w:lastRowFirstColumn="0" w:lastRowLastColumn="0"/>
            </w:pPr>
            <w:r w:rsidRPr="004B5B19">
              <w:rPr>
                <w:rFonts w:cs="Palatino Linotype"/>
                <w:color w:val="000000"/>
                <w:sz w:val="18"/>
                <w:szCs w:val="20"/>
              </w:rPr>
              <w:t>***</w:t>
            </w:r>
          </w:p>
        </w:tc>
      </w:tr>
      <w:tr w:rsidR="005550AF" w14:paraId="1F11B354" w14:textId="77777777" w:rsidTr="005550A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6" w:type="dxa"/>
          </w:tcPr>
          <w:p w14:paraId="1CA66C5B" w14:textId="1A19159A" w:rsidR="005550AF" w:rsidRDefault="005550AF" w:rsidP="003B38C3">
            <w:pPr>
              <w:keepNext/>
              <w:jc w:val="left"/>
            </w:pPr>
            <w:proofErr w:type="spellStart"/>
            <w:r w:rsidRPr="004B5B19">
              <w:rPr>
                <w:color w:val="000000"/>
                <w:sz w:val="18"/>
                <w:szCs w:val="20"/>
              </w:rPr>
              <w:t>post.trt</w:t>
            </w:r>
            <w:proofErr w:type="spellEnd"/>
          </w:p>
        </w:tc>
        <w:tc>
          <w:tcPr>
            <w:tcW w:w="1546" w:type="dxa"/>
          </w:tcPr>
          <w:p w14:paraId="3797A62B" w14:textId="4F5E73A9" w:rsidR="005550AF" w:rsidRDefault="005550AF" w:rsidP="005550AF">
            <w:pPr>
              <w:keepNext/>
              <w:cnfStyle w:val="000000010000" w:firstRow="0" w:lastRow="0" w:firstColumn="0" w:lastColumn="0" w:oddVBand="0" w:evenVBand="0" w:oddHBand="0" w:evenHBand="1" w:firstRowFirstColumn="0" w:firstRowLastColumn="0" w:lastRowFirstColumn="0" w:lastRowLastColumn="0"/>
            </w:pPr>
            <w:r w:rsidRPr="004B5B19">
              <w:rPr>
                <w:color w:val="000000"/>
                <w:sz w:val="18"/>
                <w:szCs w:val="20"/>
              </w:rPr>
              <w:t>-0.03863</w:t>
            </w:r>
          </w:p>
        </w:tc>
        <w:tc>
          <w:tcPr>
            <w:tcW w:w="1546" w:type="dxa"/>
          </w:tcPr>
          <w:p w14:paraId="4FCE818F" w14:textId="7587F581" w:rsidR="005550AF" w:rsidRDefault="005550AF" w:rsidP="005550AF">
            <w:pPr>
              <w:keepNext/>
              <w:cnfStyle w:val="000000010000" w:firstRow="0" w:lastRow="0" w:firstColumn="0" w:lastColumn="0" w:oddVBand="0" w:evenVBand="0" w:oddHBand="0" w:evenHBand="1" w:firstRowFirstColumn="0" w:firstRowLastColumn="0" w:lastRowFirstColumn="0" w:lastRowLastColumn="0"/>
            </w:pPr>
            <w:r w:rsidRPr="004B5B19">
              <w:rPr>
                <w:color w:val="000000"/>
                <w:sz w:val="18"/>
                <w:szCs w:val="20"/>
              </w:rPr>
              <w:t>0.010733</w:t>
            </w:r>
          </w:p>
        </w:tc>
        <w:tc>
          <w:tcPr>
            <w:tcW w:w="1546" w:type="dxa"/>
          </w:tcPr>
          <w:p w14:paraId="404D1ECB" w14:textId="7BE25144" w:rsidR="005550AF" w:rsidRDefault="005550AF" w:rsidP="005550AF">
            <w:pPr>
              <w:keepNext/>
              <w:cnfStyle w:val="000000010000" w:firstRow="0" w:lastRow="0" w:firstColumn="0" w:lastColumn="0" w:oddVBand="0" w:evenVBand="0" w:oddHBand="0" w:evenHBand="1" w:firstRowFirstColumn="0" w:firstRowLastColumn="0" w:lastRowFirstColumn="0" w:lastRowLastColumn="0"/>
            </w:pPr>
            <w:r w:rsidRPr="004B5B19">
              <w:rPr>
                <w:color w:val="000000"/>
                <w:sz w:val="18"/>
                <w:szCs w:val="20"/>
              </w:rPr>
              <w:t>-3.59881</w:t>
            </w:r>
          </w:p>
        </w:tc>
        <w:tc>
          <w:tcPr>
            <w:tcW w:w="1547" w:type="dxa"/>
          </w:tcPr>
          <w:p w14:paraId="69A33566" w14:textId="3454A433" w:rsidR="005550AF" w:rsidRDefault="005550AF" w:rsidP="005550AF">
            <w:pPr>
              <w:keepNext/>
              <w:cnfStyle w:val="000000010000" w:firstRow="0" w:lastRow="0" w:firstColumn="0" w:lastColumn="0" w:oddVBand="0" w:evenVBand="0" w:oddHBand="0" w:evenHBand="1" w:firstRowFirstColumn="0" w:firstRowLastColumn="0" w:lastRowFirstColumn="0" w:lastRowLastColumn="0"/>
            </w:pPr>
            <w:r w:rsidRPr="004B5B19">
              <w:rPr>
                <w:color w:val="000000"/>
                <w:sz w:val="18"/>
                <w:szCs w:val="20"/>
              </w:rPr>
              <w:t>0.00032</w:t>
            </w:r>
          </w:p>
        </w:tc>
        <w:tc>
          <w:tcPr>
            <w:tcW w:w="1547" w:type="dxa"/>
          </w:tcPr>
          <w:p w14:paraId="35447A39" w14:textId="2E2C142B" w:rsidR="005550AF" w:rsidRDefault="005550AF" w:rsidP="005550AF">
            <w:pPr>
              <w:keepNext/>
              <w:cnfStyle w:val="000000010000" w:firstRow="0" w:lastRow="0" w:firstColumn="0" w:lastColumn="0" w:oddVBand="0" w:evenVBand="0" w:oddHBand="0" w:evenHBand="1" w:firstRowFirstColumn="0" w:firstRowLastColumn="0" w:lastRowFirstColumn="0" w:lastRowLastColumn="0"/>
            </w:pPr>
            <w:r w:rsidRPr="004B5B19">
              <w:rPr>
                <w:rFonts w:cs="Palatino Linotype"/>
                <w:color w:val="000000"/>
                <w:sz w:val="18"/>
                <w:szCs w:val="20"/>
              </w:rPr>
              <w:t>***</w:t>
            </w:r>
          </w:p>
        </w:tc>
      </w:tr>
      <w:tr w:rsidR="005550AF" w14:paraId="7FC59D66" w14:textId="77777777" w:rsidTr="003B38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78" w:type="dxa"/>
            <w:gridSpan w:val="6"/>
          </w:tcPr>
          <w:p w14:paraId="39E37B5B" w14:textId="77777777" w:rsidR="005550AF" w:rsidRPr="004B5B19" w:rsidRDefault="005550AF" w:rsidP="005550AF">
            <w:pPr>
              <w:keepNext/>
              <w:autoSpaceDE w:val="0"/>
              <w:autoSpaceDN w:val="0"/>
              <w:adjustRightInd w:val="0"/>
              <w:jc w:val="left"/>
              <w:rPr>
                <w:rFonts w:cs="Palatino Linotype"/>
                <w:i/>
                <w:color w:val="000000"/>
                <w:sz w:val="18"/>
                <w:szCs w:val="20"/>
              </w:rPr>
            </w:pPr>
            <w:proofErr w:type="spellStart"/>
            <w:r w:rsidRPr="004B5B19">
              <w:rPr>
                <w:rFonts w:cs="Palatino Linotype"/>
                <w:i/>
                <w:color w:val="000000"/>
                <w:sz w:val="18"/>
                <w:szCs w:val="20"/>
              </w:rPr>
              <w:t>Signif</w:t>
            </w:r>
            <w:proofErr w:type="spellEnd"/>
            <w:r w:rsidRPr="004B5B19">
              <w:rPr>
                <w:rFonts w:cs="Palatino Linotype"/>
                <w:i/>
                <w:color w:val="000000"/>
                <w:sz w:val="18"/>
                <w:szCs w:val="20"/>
              </w:rPr>
              <w:t>. codes: 0 ‘***’ 0.001 ‘**’ 0.01 ‘*’ 0.05 ‘.’ 0.1 ‘ ’ 1</w:t>
            </w:r>
          </w:p>
          <w:p w14:paraId="67002587" w14:textId="77777777" w:rsidR="005550AF" w:rsidRPr="004B5B19" w:rsidRDefault="005550AF" w:rsidP="005550AF">
            <w:pPr>
              <w:keepNext/>
              <w:autoSpaceDE w:val="0"/>
              <w:autoSpaceDN w:val="0"/>
              <w:adjustRightInd w:val="0"/>
              <w:jc w:val="left"/>
              <w:rPr>
                <w:rFonts w:cs="Palatino Linotype"/>
                <w:color w:val="000000"/>
                <w:sz w:val="18"/>
                <w:szCs w:val="20"/>
              </w:rPr>
            </w:pPr>
            <w:r w:rsidRPr="004B5B19">
              <w:rPr>
                <w:rFonts w:cs="Palatino Linotype"/>
                <w:color w:val="000000"/>
                <w:sz w:val="18"/>
                <w:szCs w:val="20"/>
              </w:rPr>
              <w:t>Total Sum of Squares: 39525000</w:t>
            </w:r>
          </w:p>
          <w:p w14:paraId="0BAC9339" w14:textId="77777777" w:rsidR="005550AF" w:rsidRPr="004B5B19" w:rsidRDefault="005550AF" w:rsidP="005550AF">
            <w:pPr>
              <w:keepNext/>
              <w:autoSpaceDE w:val="0"/>
              <w:autoSpaceDN w:val="0"/>
              <w:adjustRightInd w:val="0"/>
              <w:jc w:val="left"/>
              <w:rPr>
                <w:rFonts w:cs="Palatino Linotype"/>
                <w:color w:val="000000"/>
                <w:sz w:val="18"/>
                <w:szCs w:val="20"/>
              </w:rPr>
            </w:pPr>
            <w:r w:rsidRPr="004B5B19">
              <w:rPr>
                <w:rFonts w:cs="Palatino Linotype"/>
                <w:color w:val="000000"/>
                <w:sz w:val="18"/>
                <w:szCs w:val="20"/>
              </w:rPr>
              <w:t>Residual Sum of Squares: 30755000</w:t>
            </w:r>
          </w:p>
          <w:p w14:paraId="20B91ED2" w14:textId="77777777" w:rsidR="003B38C3" w:rsidRDefault="005550AF" w:rsidP="003B38C3">
            <w:pPr>
              <w:keepNext/>
              <w:autoSpaceDE w:val="0"/>
              <w:autoSpaceDN w:val="0"/>
              <w:adjustRightInd w:val="0"/>
              <w:jc w:val="left"/>
              <w:rPr>
                <w:rFonts w:cs="Palatino Linotype"/>
                <w:color w:val="000000"/>
                <w:sz w:val="18"/>
                <w:szCs w:val="20"/>
              </w:rPr>
            </w:pPr>
            <w:r w:rsidRPr="004B5B19">
              <w:rPr>
                <w:rFonts w:cs="Palatino Linotype"/>
                <w:color w:val="000000"/>
                <w:sz w:val="18"/>
                <w:szCs w:val="20"/>
              </w:rPr>
              <w:t>R-Squared: 0.</w:t>
            </w:r>
            <w:r w:rsidR="003B38C3">
              <w:rPr>
                <w:rFonts w:cs="Palatino Linotype"/>
                <w:color w:val="000000"/>
                <w:sz w:val="18"/>
                <w:szCs w:val="20"/>
              </w:rPr>
              <w:t xml:space="preserve">22189, Adj. R-Squared: 0.19785 </w:t>
            </w:r>
          </w:p>
          <w:p w14:paraId="71B31F53" w14:textId="78E01FD9" w:rsidR="005550AF" w:rsidRPr="004B5B19" w:rsidRDefault="005550AF" w:rsidP="003B38C3">
            <w:pPr>
              <w:keepNext/>
              <w:autoSpaceDE w:val="0"/>
              <w:autoSpaceDN w:val="0"/>
              <w:adjustRightInd w:val="0"/>
              <w:jc w:val="left"/>
              <w:rPr>
                <w:rFonts w:cs="Palatino Linotype"/>
                <w:color w:val="000000"/>
                <w:sz w:val="18"/>
                <w:szCs w:val="20"/>
              </w:rPr>
            </w:pPr>
            <w:r w:rsidRPr="004B5B19">
              <w:rPr>
                <w:rFonts w:cs="Palatino Linotype"/>
                <w:color w:val="000000"/>
                <w:sz w:val="18"/>
                <w:szCs w:val="20"/>
              </w:rPr>
              <w:t>F-statistic: 434517 on 2 and 3047466 DF, p-value: &lt; 2.22e-16</w:t>
            </w:r>
          </w:p>
        </w:tc>
      </w:tr>
    </w:tbl>
    <w:p w14:paraId="55B5947B" w14:textId="77777777" w:rsidR="00A9061E" w:rsidRPr="00522B4A" w:rsidRDefault="00A9061E" w:rsidP="005550AF">
      <w:pPr>
        <w:pStyle w:val="Source"/>
        <w:keepNext/>
        <w:ind w:left="0"/>
      </w:pPr>
      <w:r>
        <w:t>Source: Navigant analysis</w:t>
      </w:r>
    </w:p>
    <w:p w14:paraId="575A9A94" w14:textId="77777777" w:rsidR="003971DF" w:rsidRDefault="003971DF">
      <w:pPr>
        <w:spacing w:line="240" w:lineRule="auto"/>
      </w:pPr>
      <w:r>
        <w:br w:type="page"/>
      </w:r>
    </w:p>
    <w:p w14:paraId="320E1930" w14:textId="21A523C9" w:rsidR="00A9061E" w:rsidRDefault="00A9061E" w:rsidP="003971DF">
      <w:pPr>
        <w:keepNext/>
      </w:pPr>
      <w:r>
        <w:lastRenderedPageBreak/>
        <w:fldChar w:fldCharType="begin"/>
      </w:r>
      <w:r>
        <w:instrText xml:space="preserve"> REF _Ref422128317 \h </w:instrText>
      </w:r>
      <w:r>
        <w:fldChar w:fldCharType="separate"/>
      </w:r>
      <w:r w:rsidR="003B38C3">
        <w:rPr>
          <w:b/>
          <w:bCs/>
        </w:rPr>
        <w:fldChar w:fldCharType="begin"/>
      </w:r>
      <w:r w:rsidR="003B38C3">
        <w:instrText xml:space="preserve"> REF _Ref440981635 \h </w:instrText>
      </w:r>
      <w:r w:rsidR="003B38C3">
        <w:rPr>
          <w:b/>
          <w:bCs/>
        </w:rPr>
      </w:r>
      <w:r w:rsidR="003B38C3">
        <w:rPr>
          <w:b/>
          <w:bCs/>
        </w:rPr>
        <w:fldChar w:fldCharType="separate"/>
      </w:r>
      <w:r w:rsidR="003B38C3">
        <w:t xml:space="preserve">Table </w:t>
      </w:r>
      <w:r w:rsidR="003B38C3">
        <w:rPr>
          <w:noProof/>
        </w:rPr>
        <w:t>5</w:t>
      </w:r>
      <w:r w:rsidR="003B38C3">
        <w:noBreakHyphen/>
      </w:r>
      <w:r w:rsidR="003B38C3">
        <w:rPr>
          <w:noProof/>
        </w:rPr>
        <w:t>3</w:t>
      </w:r>
      <w:r w:rsidR="003B38C3">
        <w:rPr>
          <w:b/>
          <w:bCs/>
        </w:rPr>
        <w:fldChar w:fldCharType="end"/>
      </w:r>
      <w:r>
        <w:fldChar w:fldCharType="end"/>
      </w:r>
      <w:r>
        <w:t xml:space="preserve"> shows the detailed model output for the monthly PPR model for October 2014 to March 2015.</w:t>
      </w:r>
    </w:p>
    <w:p w14:paraId="026F4AA1" w14:textId="77777777" w:rsidR="005550AF" w:rsidRDefault="005550AF" w:rsidP="003971DF">
      <w:pPr>
        <w:keepNext/>
      </w:pPr>
    </w:p>
    <w:p w14:paraId="028EA329" w14:textId="03136F3B" w:rsidR="005550AF" w:rsidRDefault="00A9061E" w:rsidP="003971DF">
      <w:pPr>
        <w:pStyle w:val="Caption"/>
      </w:pPr>
      <w:bookmarkStart w:id="74" w:name="_Ref440981635"/>
      <w:bookmarkStart w:id="75" w:name="_Toc441752606"/>
      <w:r>
        <w:t xml:space="preserve">Table </w:t>
      </w:r>
      <w:r w:rsidR="00851D29">
        <w:fldChar w:fldCharType="begin"/>
      </w:r>
      <w:r w:rsidR="00851D29">
        <w:instrText xml:space="preserve"> STYLEREF 1 \s </w:instrText>
      </w:r>
      <w:r w:rsidR="00851D29">
        <w:fldChar w:fldCharType="separate"/>
      </w:r>
      <w:r w:rsidR="003B38C3">
        <w:rPr>
          <w:noProof/>
        </w:rPr>
        <w:t>5</w:t>
      </w:r>
      <w:r w:rsidR="00851D29">
        <w:rPr>
          <w:noProof/>
        </w:rPr>
        <w:fldChar w:fldCharType="end"/>
      </w:r>
      <w:r>
        <w:noBreakHyphen/>
      </w:r>
      <w:r w:rsidR="00851D29">
        <w:fldChar w:fldCharType="begin"/>
      </w:r>
      <w:r w:rsidR="00851D29">
        <w:instrText xml:space="preserve"> SEQ Table \* ARABIC \s 1 </w:instrText>
      </w:r>
      <w:r w:rsidR="00851D29">
        <w:fldChar w:fldCharType="separate"/>
      </w:r>
      <w:r w:rsidR="003B38C3">
        <w:rPr>
          <w:noProof/>
        </w:rPr>
        <w:t>3</w:t>
      </w:r>
      <w:r w:rsidR="00851D29">
        <w:rPr>
          <w:noProof/>
        </w:rPr>
        <w:fldChar w:fldCharType="end"/>
      </w:r>
      <w:bookmarkEnd w:id="74"/>
      <w:r>
        <w:t>. Monthly PPR Detailed Model Output: October 2014 – March 2015</w:t>
      </w:r>
      <w:bookmarkEnd w:id="75"/>
    </w:p>
    <w:tbl>
      <w:tblPr>
        <w:tblStyle w:val="EnergyTable"/>
        <w:tblW w:w="5000" w:type="pct"/>
        <w:tblLook w:val="04A0" w:firstRow="1" w:lastRow="0" w:firstColumn="1" w:lastColumn="0" w:noHBand="0" w:noVBand="1"/>
      </w:tblPr>
      <w:tblGrid>
        <w:gridCol w:w="2176"/>
        <w:gridCol w:w="1475"/>
        <w:gridCol w:w="1475"/>
        <w:gridCol w:w="1475"/>
        <w:gridCol w:w="1475"/>
        <w:gridCol w:w="1428"/>
      </w:tblGrid>
      <w:tr w:rsidR="003B38C3" w14:paraId="66399244" w14:textId="77777777" w:rsidTr="003B38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5" w:type="pct"/>
          </w:tcPr>
          <w:p w14:paraId="0E2B4A87" w14:textId="77777777" w:rsidR="005550AF" w:rsidRDefault="005550AF" w:rsidP="003971DF">
            <w:pPr>
              <w:keepNext/>
            </w:pPr>
          </w:p>
        </w:tc>
        <w:tc>
          <w:tcPr>
            <w:tcW w:w="776" w:type="pct"/>
          </w:tcPr>
          <w:p w14:paraId="2DD6C79B" w14:textId="4D30EF5E" w:rsidR="005550AF" w:rsidRDefault="005550AF" w:rsidP="003971DF">
            <w:pPr>
              <w:keepNext/>
              <w:cnfStyle w:val="100000000000" w:firstRow="1" w:lastRow="0" w:firstColumn="0" w:lastColumn="0" w:oddVBand="0" w:evenVBand="0" w:oddHBand="0" w:evenHBand="0" w:firstRowFirstColumn="0" w:firstRowLastColumn="0" w:lastRowFirstColumn="0" w:lastRowLastColumn="0"/>
            </w:pPr>
            <w:r w:rsidRPr="004B5B19">
              <w:rPr>
                <w:rFonts w:cs="Palatino Linotype"/>
                <w:b w:val="0"/>
                <w:sz w:val="18"/>
                <w:szCs w:val="20"/>
              </w:rPr>
              <w:t>Estimate</w:t>
            </w:r>
          </w:p>
        </w:tc>
        <w:tc>
          <w:tcPr>
            <w:tcW w:w="776" w:type="pct"/>
          </w:tcPr>
          <w:p w14:paraId="23B43F61" w14:textId="695BC4C9" w:rsidR="005550AF" w:rsidRDefault="005550AF" w:rsidP="003971DF">
            <w:pPr>
              <w:keepNext/>
              <w:cnfStyle w:val="100000000000" w:firstRow="1" w:lastRow="0" w:firstColumn="0" w:lastColumn="0" w:oddVBand="0" w:evenVBand="0" w:oddHBand="0" w:evenHBand="0" w:firstRowFirstColumn="0" w:firstRowLastColumn="0" w:lastRowFirstColumn="0" w:lastRowLastColumn="0"/>
            </w:pPr>
            <w:r w:rsidRPr="004B5B19">
              <w:rPr>
                <w:rFonts w:cs="Palatino Linotype"/>
                <w:b w:val="0"/>
                <w:sz w:val="18"/>
                <w:szCs w:val="20"/>
              </w:rPr>
              <w:t>Std. Error</w:t>
            </w:r>
          </w:p>
        </w:tc>
        <w:tc>
          <w:tcPr>
            <w:tcW w:w="776" w:type="pct"/>
          </w:tcPr>
          <w:p w14:paraId="54F03D4F" w14:textId="0099327B" w:rsidR="005550AF" w:rsidRDefault="005550AF" w:rsidP="003971DF">
            <w:pPr>
              <w:keepNext/>
              <w:cnfStyle w:val="100000000000" w:firstRow="1" w:lastRow="0" w:firstColumn="0" w:lastColumn="0" w:oddVBand="0" w:evenVBand="0" w:oddHBand="0" w:evenHBand="0" w:firstRowFirstColumn="0" w:firstRowLastColumn="0" w:lastRowFirstColumn="0" w:lastRowLastColumn="0"/>
            </w:pPr>
            <w:r w:rsidRPr="004B5B19">
              <w:rPr>
                <w:rFonts w:cs="Palatino Linotype"/>
                <w:b w:val="0"/>
                <w:sz w:val="18"/>
                <w:szCs w:val="20"/>
              </w:rPr>
              <w:t>t value</w:t>
            </w:r>
          </w:p>
        </w:tc>
        <w:tc>
          <w:tcPr>
            <w:tcW w:w="776" w:type="pct"/>
          </w:tcPr>
          <w:p w14:paraId="1F6CEE12" w14:textId="10325BE6" w:rsidR="005550AF" w:rsidRDefault="005550AF" w:rsidP="003971DF">
            <w:pPr>
              <w:keepNext/>
              <w:cnfStyle w:val="100000000000" w:firstRow="1" w:lastRow="0" w:firstColumn="0" w:lastColumn="0" w:oddVBand="0" w:evenVBand="0" w:oddHBand="0" w:evenHBand="0" w:firstRowFirstColumn="0" w:firstRowLastColumn="0" w:lastRowFirstColumn="0" w:lastRowLastColumn="0"/>
            </w:pPr>
            <w:proofErr w:type="spellStart"/>
            <w:r w:rsidRPr="004B5B19">
              <w:rPr>
                <w:rFonts w:cs="Palatino Linotype"/>
                <w:b w:val="0"/>
                <w:sz w:val="18"/>
                <w:szCs w:val="20"/>
              </w:rPr>
              <w:t>Pr</w:t>
            </w:r>
            <w:proofErr w:type="spellEnd"/>
            <w:r w:rsidRPr="004B5B19">
              <w:rPr>
                <w:rFonts w:cs="Palatino Linotype"/>
                <w:b w:val="0"/>
                <w:sz w:val="18"/>
                <w:szCs w:val="20"/>
              </w:rPr>
              <w:t>(&gt;|t|)</w:t>
            </w:r>
          </w:p>
        </w:tc>
        <w:tc>
          <w:tcPr>
            <w:tcW w:w="752" w:type="pct"/>
          </w:tcPr>
          <w:p w14:paraId="30F5F15F" w14:textId="76FC3768" w:rsidR="005550AF" w:rsidRDefault="005550AF" w:rsidP="003971DF">
            <w:pPr>
              <w:keepNext/>
              <w:cnfStyle w:val="100000000000" w:firstRow="1" w:lastRow="0" w:firstColumn="0" w:lastColumn="0" w:oddVBand="0" w:evenVBand="0" w:oddHBand="0" w:evenHBand="0" w:firstRowFirstColumn="0" w:firstRowLastColumn="0" w:lastRowFirstColumn="0" w:lastRowLastColumn="0"/>
            </w:pPr>
            <w:proofErr w:type="spellStart"/>
            <w:r w:rsidRPr="004B5B19">
              <w:rPr>
                <w:rFonts w:cs="Palatino Linotype"/>
                <w:b w:val="0"/>
                <w:sz w:val="18"/>
                <w:szCs w:val="20"/>
              </w:rPr>
              <w:t>Signif</w:t>
            </w:r>
            <w:proofErr w:type="spellEnd"/>
            <w:r w:rsidRPr="004B5B19">
              <w:rPr>
                <w:rFonts w:cs="Palatino Linotype"/>
                <w:b w:val="0"/>
                <w:sz w:val="18"/>
                <w:szCs w:val="20"/>
              </w:rPr>
              <w:t>.</w:t>
            </w:r>
          </w:p>
        </w:tc>
      </w:tr>
      <w:tr w:rsidR="005550AF" w14:paraId="431D5752" w14:textId="77777777" w:rsidTr="003B38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5" w:type="pct"/>
            <w:vAlign w:val="bottom"/>
          </w:tcPr>
          <w:p w14:paraId="49AD22DA" w14:textId="12D7D002" w:rsidR="005550AF" w:rsidRDefault="005550AF" w:rsidP="003971DF">
            <w:pPr>
              <w:keepNext/>
              <w:jc w:val="left"/>
            </w:pPr>
            <w:r w:rsidRPr="004B5B19">
              <w:rPr>
                <w:color w:val="000000"/>
                <w:sz w:val="18"/>
                <w:szCs w:val="20"/>
              </w:rPr>
              <w:t>yrmo201410</w:t>
            </w:r>
          </w:p>
        </w:tc>
        <w:tc>
          <w:tcPr>
            <w:tcW w:w="776" w:type="pct"/>
            <w:vAlign w:val="bottom"/>
          </w:tcPr>
          <w:p w14:paraId="121EF178" w14:textId="7C538ABB" w:rsidR="005550AF" w:rsidRDefault="005550AF" w:rsidP="003971DF">
            <w:pPr>
              <w:keepNext/>
              <w:cnfStyle w:val="000000100000" w:firstRow="0" w:lastRow="0" w:firstColumn="0" w:lastColumn="0" w:oddVBand="0" w:evenVBand="0" w:oddHBand="1" w:evenHBand="0" w:firstRowFirstColumn="0" w:firstRowLastColumn="0" w:lastRowFirstColumn="0" w:lastRowLastColumn="0"/>
            </w:pPr>
            <w:r w:rsidRPr="004B5B19">
              <w:rPr>
                <w:color w:val="000000"/>
                <w:sz w:val="18"/>
                <w:szCs w:val="20"/>
              </w:rPr>
              <w:t>0.752431</w:t>
            </w:r>
          </w:p>
        </w:tc>
        <w:tc>
          <w:tcPr>
            <w:tcW w:w="776" w:type="pct"/>
            <w:vAlign w:val="bottom"/>
          </w:tcPr>
          <w:p w14:paraId="48224E21" w14:textId="2BFE1601" w:rsidR="005550AF" w:rsidRDefault="005550AF" w:rsidP="003971DF">
            <w:pPr>
              <w:keepNext/>
              <w:cnfStyle w:val="000000100000" w:firstRow="0" w:lastRow="0" w:firstColumn="0" w:lastColumn="0" w:oddVBand="0" w:evenVBand="0" w:oddHBand="1" w:evenHBand="0" w:firstRowFirstColumn="0" w:firstRowLastColumn="0" w:lastRowFirstColumn="0" w:lastRowLastColumn="0"/>
            </w:pPr>
            <w:r w:rsidRPr="004B5B19">
              <w:rPr>
                <w:color w:val="000000"/>
                <w:sz w:val="18"/>
                <w:szCs w:val="20"/>
              </w:rPr>
              <w:t>0.055756</w:t>
            </w:r>
          </w:p>
        </w:tc>
        <w:tc>
          <w:tcPr>
            <w:tcW w:w="776" w:type="pct"/>
            <w:vAlign w:val="bottom"/>
          </w:tcPr>
          <w:p w14:paraId="671C110B" w14:textId="4D9EF7C2" w:rsidR="005550AF" w:rsidRDefault="005550AF" w:rsidP="003971DF">
            <w:pPr>
              <w:keepNext/>
              <w:cnfStyle w:val="000000100000" w:firstRow="0" w:lastRow="0" w:firstColumn="0" w:lastColumn="0" w:oddVBand="0" w:evenVBand="0" w:oddHBand="1" w:evenHBand="0" w:firstRowFirstColumn="0" w:firstRowLastColumn="0" w:lastRowFirstColumn="0" w:lastRowLastColumn="0"/>
            </w:pPr>
            <w:r w:rsidRPr="004B5B19">
              <w:rPr>
                <w:color w:val="000000"/>
                <w:sz w:val="18"/>
                <w:szCs w:val="20"/>
              </w:rPr>
              <w:t>13.49515</w:t>
            </w:r>
          </w:p>
        </w:tc>
        <w:tc>
          <w:tcPr>
            <w:tcW w:w="776" w:type="pct"/>
            <w:vAlign w:val="bottom"/>
          </w:tcPr>
          <w:p w14:paraId="3AC6B0A8" w14:textId="6693ADAF" w:rsidR="005550AF" w:rsidRDefault="005550AF" w:rsidP="003971DF">
            <w:pPr>
              <w:keepNext/>
              <w:cnfStyle w:val="000000100000" w:firstRow="0" w:lastRow="0" w:firstColumn="0" w:lastColumn="0" w:oddVBand="0" w:evenVBand="0" w:oddHBand="1" w:evenHBand="0" w:firstRowFirstColumn="0" w:firstRowLastColumn="0" w:lastRowFirstColumn="0" w:lastRowLastColumn="0"/>
            </w:pPr>
            <w:r w:rsidRPr="004B5B19">
              <w:rPr>
                <w:color w:val="000000"/>
                <w:sz w:val="18"/>
                <w:szCs w:val="20"/>
              </w:rPr>
              <w:t>1.69E-41</w:t>
            </w:r>
          </w:p>
        </w:tc>
        <w:tc>
          <w:tcPr>
            <w:tcW w:w="752" w:type="pct"/>
          </w:tcPr>
          <w:p w14:paraId="7373F8D1" w14:textId="4A7AF51B" w:rsidR="005550AF" w:rsidRDefault="005550AF" w:rsidP="003971DF">
            <w:pPr>
              <w:keepNext/>
              <w:cnfStyle w:val="000000100000" w:firstRow="0" w:lastRow="0" w:firstColumn="0" w:lastColumn="0" w:oddVBand="0" w:evenVBand="0" w:oddHBand="1" w:evenHBand="0" w:firstRowFirstColumn="0" w:firstRowLastColumn="0" w:lastRowFirstColumn="0" w:lastRowLastColumn="0"/>
            </w:pPr>
            <w:r w:rsidRPr="004B5B19">
              <w:rPr>
                <w:rFonts w:cs="Palatino Linotype"/>
                <w:color w:val="000000"/>
                <w:sz w:val="18"/>
                <w:szCs w:val="20"/>
              </w:rPr>
              <w:t>***</w:t>
            </w:r>
          </w:p>
        </w:tc>
      </w:tr>
      <w:tr w:rsidR="005550AF" w14:paraId="3387D59E" w14:textId="77777777" w:rsidTr="003B38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5" w:type="pct"/>
            <w:vAlign w:val="bottom"/>
          </w:tcPr>
          <w:p w14:paraId="57ABC61F" w14:textId="6A19E12D" w:rsidR="005550AF" w:rsidRDefault="005550AF" w:rsidP="003971DF">
            <w:pPr>
              <w:keepNext/>
              <w:jc w:val="left"/>
            </w:pPr>
            <w:r w:rsidRPr="004B5B19">
              <w:rPr>
                <w:color w:val="000000"/>
                <w:sz w:val="18"/>
                <w:szCs w:val="20"/>
              </w:rPr>
              <w:t>yrmo201411</w:t>
            </w:r>
          </w:p>
        </w:tc>
        <w:tc>
          <w:tcPr>
            <w:tcW w:w="776" w:type="pct"/>
            <w:vAlign w:val="bottom"/>
          </w:tcPr>
          <w:p w14:paraId="73DC6B3A" w14:textId="7DE0696A" w:rsidR="005550AF" w:rsidRDefault="005550AF" w:rsidP="003971DF">
            <w:pPr>
              <w:keepNext/>
              <w:cnfStyle w:val="000000010000" w:firstRow="0" w:lastRow="0" w:firstColumn="0" w:lastColumn="0" w:oddVBand="0" w:evenVBand="0" w:oddHBand="0" w:evenHBand="1" w:firstRowFirstColumn="0" w:firstRowLastColumn="0" w:lastRowFirstColumn="0" w:lastRowLastColumn="0"/>
            </w:pPr>
            <w:r w:rsidRPr="004B5B19">
              <w:rPr>
                <w:color w:val="000000"/>
                <w:sz w:val="18"/>
                <w:szCs w:val="20"/>
              </w:rPr>
              <w:t>0.647023</w:t>
            </w:r>
          </w:p>
        </w:tc>
        <w:tc>
          <w:tcPr>
            <w:tcW w:w="776" w:type="pct"/>
            <w:vAlign w:val="bottom"/>
          </w:tcPr>
          <w:p w14:paraId="6A0A7359" w14:textId="25390131" w:rsidR="005550AF" w:rsidRDefault="005550AF" w:rsidP="003971DF">
            <w:pPr>
              <w:keepNext/>
              <w:cnfStyle w:val="000000010000" w:firstRow="0" w:lastRow="0" w:firstColumn="0" w:lastColumn="0" w:oddVBand="0" w:evenVBand="0" w:oddHBand="0" w:evenHBand="1" w:firstRowFirstColumn="0" w:firstRowLastColumn="0" w:lastRowFirstColumn="0" w:lastRowLastColumn="0"/>
            </w:pPr>
            <w:r w:rsidRPr="004B5B19">
              <w:rPr>
                <w:color w:val="000000"/>
                <w:sz w:val="18"/>
                <w:szCs w:val="20"/>
              </w:rPr>
              <w:t>0.121054</w:t>
            </w:r>
          </w:p>
        </w:tc>
        <w:tc>
          <w:tcPr>
            <w:tcW w:w="776" w:type="pct"/>
            <w:vAlign w:val="bottom"/>
          </w:tcPr>
          <w:p w14:paraId="2DF81119" w14:textId="16EF8E0B" w:rsidR="005550AF" w:rsidRDefault="005550AF" w:rsidP="003971DF">
            <w:pPr>
              <w:keepNext/>
              <w:cnfStyle w:val="000000010000" w:firstRow="0" w:lastRow="0" w:firstColumn="0" w:lastColumn="0" w:oddVBand="0" w:evenVBand="0" w:oddHBand="0" w:evenHBand="1" w:firstRowFirstColumn="0" w:firstRowLastColumn="0" w:lastRowFirstColumn="0" w:lastRowLastColumn="0"/>
            </w:pPr>
            <w:r w:rsidRPr="004B5B19">
              <w:rPr>
                <w:color w:val="000000"/>
                <w:sz w:val="18"/>
                <w:szCs w:val="20"/>
              </w:rPr>
              <w:t>5.344932</w:t>
            </w:r>
          </w:p>
        </w:tc>
        <w:tc>
          <w:tcPr>
            <w:tcW w:w="776" w:type="pct"/>
            <w:vAlign w:val="bottom"/>
          </w:tcPr>
          <w:p w14:paraId="20B4B7E9" w14:textId="7F28FC48" w:rsidR="005550AF" w:rsidRDefault="005550AF" w:rsidP="003971DF">
            <w:pPr>
              <w:keepNext/>
              <w:cnfStyle w:val="000000010000" w:firstRow="0" w:lastRow="0" w:firstColumn="0" w:lastColumn="0" w:oddVBand="0" w:evenVBand="0" w:oddHBand="0" w:evenHBand="1" w:firstRowFirstColumn="0" w:firstRowLastColumn="0" w:lastRowFirstColumn="0" w:lastRowLastColumn="0"/>
            </w:pPr>
            <w:r w:rsidRPr="004B5B19">
              <w:rPr>
                <w:color w:val="000000"/>
                <w:sz w:val="18"/>
                <w:szCs w:val="20"/>
              </w:rPr>
              <w:t>9.05E-08</w:t>
            </w:r>
          </w:p>
        </w:tc>
        <w:tc>
          <w:tcPr>
            <w:tcW w:w="752" w:type="pct"/>
          </w:tcPr>
          <w:p w14:paraId="50003897" w14:textId="62635083" w:rsidR="005550AF" w:rsidRDefault="005550AF" w:rsidP="003971DF">
            <w:pPr>
              <w:keepNext/>
              <w:cnfStyle w:val="000000010000" w:firstRow="0" w:lastRow="0" w:firstColumn="0" w:lastColumn="0" w:oddVBand="0" w:evenVBand="0" w:oddHBand="0" w:evenHBand="1" w:firstRowFirstColumn="0" w:firstRowLastColumn="0" w:lastRowFirstColumn="0" w:lastRowLastColumn="0"/>
            </w:pPr>
            <w:r w:rsidRPr="004B5B19">
              <w:rPr>
                <w:rFonts w:cs="Palatino Linotype"/>
                <w:color w:val="000000"/>
                <w:sz w:val="18"/>
                <w:szCs w:val="20"/>
              </w:rPr>
              <w:t>***</w:t>
            </w:r>
          </w:p>
        </w:tc>
      </w:tr>
      <w:tr w:rsidR="005550AF" w14:paraId="25098FCB" w14:textId="77777777" w:rsidTr="003B38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5" w:type="pct"/>
            <w:vAlign w:val="bottom"/>
          </w:tcPr>
          <w:p w14:paraId="7D1AE34A" w14:textId="1714A342" w:rsidR="005550AF" w:rsidRDefault="005550AF" w:rsidP="003971DF">
            <w:pPr>
              <w:keepNext/>
              <w:jc w:val="left"/>
            </w:pPr>
            <w:r w:rsidRPr="004B5B19">
              <w:rPr>
                <w:color w:val="000000"/>
                <w:sz w:val="18"/>
                <w:szCs w:val="20"/>
              </w:rPr>
              <w:t>yrmo201412</w:t>
            </w:r>
          </w:p>
        </w:tc>
        <w:tc>
          <w:tcPr>
            <w:tcW w:w="776" w:type="pct"/>
            <w:vAlign w:val="bottom"/>
          </w:tcPr>
          <w:p w14:paraId="0B8E865F" w14:textId="0DC7E383" w:rsidR="005550AF" w:rsidRDefault="005550AF" w:rsidP="003971DF">
            <w:pPr>
              <w:keepNext/>
              <w:cnfStyle w:val="000000100000" w:firstRow="0" w:lastRow="0" w:firstColumn="0" w:lastColumn="0" w:oddVBand="0" w:evenVBand="0" w:oddHBand="1" w:evenHBand="0" w:firstRowFirstColumn="0" w:firstRowLastColumn="0" w:lastRowFirstColumn="0" w:lastRowLastColumn="0"/>
            </w:pPr>
            <w:r w:rsidRPr="004B5B19">
              <w:rPr>
                <w:color w:val="000000"/>
                <w:sz w:val="18"/>
                <w:szCs w:val="20"/>
              </w:rPr>
              <w:t>1.000339</w:t>
            </w:r>
          </w:p>
        </w:tc>
        <w:tc>
          <w:tcPr>
            <w:tcW w:w="776" w:type="pct"/>
            <w:vAlign w:val="bottom"/>
          </w:tcPr>
          <w:p w14:paraId="75C5A0FB" w14:textId="486FC579" w:rsidR="005550AF" w:rsidRDefault="005550AF" w:rsidP="003971DF">
            <w:pPr>
              <w:keepNext/>
              <w:cnfStyle w:val="000000100000" w:firstRow="0" w:lastRow="0" w:firstColumn="0" w:lastColumn="0" w:oddVBand="0" w:evenVBand="0" w:oddHBand="1" w:evenHBand="0" w:firstRowFirstColumn="0" w:firstRowLastColumn="0" w:lastRowFirstColumn="0" w:lastRowLastColumn="0"/>
            </w:pPr>
            <w:r w:rsidRPr="004B5B19">
              <w:rPr>
                <w:color w:val="000000"/>
                <w:sz w:val="18"/>
                <w:szCs w:val="20"/>
              </w:rPr>
              <w:t>0.021579</w:t>
            </w:r>
          </w:p>
        </w:tc>
        <w:tc>
          <w:tcPr>
            <w:tcW w:w="776" w:type="pct"/>
            <w:vAlign w:val="bottom"/>
          </w:tcPr>
          <w:p w14:paraId="39BDBF69" w14:textId="02F7853B" w:rsidR="005550AF" w:rsidRDefault="005550AF" w:rsidP="003971DF">
            <w:pPr>
              <w:keepNext/>
              <w:cnfStyle w:val="000000100000" w:firstRow="0" w:lastRow="0" w:firstColumn="0" w:lastColumn="0" w:oddVBand="0" w:evenVBand="0" w:oddHBand="1" w:evenHBand="0" w:firstRowFirstColumn="0" w:firstRowLastColumn="0" w:lastRowFirstColumn="0" w:lastRowLastColumn="0"/>
            </w:pPr>
            <w:r w:rsidRPr="004B5B19">
              <w:rPr>
                <w:color w:val="000000"/>
                <w:sz w:val="18"/>
                <w:szCs w:val="20"/>
              </w:rPr>
              <w:t>46.35606</w:t>
            </w:r>
          </w:p>
        </w:tc>
        <w:tc>
          <w:tcPr>
            <w:tcW w:w="776" w:type="pct"/>
            <w:vAlign w:val="bottom"/>
          </w:tcPr>
          <w:p w14:paraId="3F64ED4C" w14:textId="6CBEECD7" w:rsidR="005550AF" w:rsidRDefault="005550AF" w:rsidP="003971DF">
            <w:pPr>
              <w:keepNext/>
              <w:cnfStyle w:val="000000100000" w:firstRow="0" w:lastRow="0" w:firstColumn="0" w:lastColumn="0" w:oddVBand="0" w:evenVBand="0" w:oddHBand="1" w:evenHBand="0" w:firstRowFirstColumn="0" w:firstRowLastColumn="0" w:lastRowFirstColumn="0" w:lastRowLastColumn="0"/>
            </w:pPr>
            <w:r w:rsidRPr="004B5B19">
              <w:rPr>
                <w:color w:val="000000"/>
                <w:sz w:val="18"/>
                <w:szCs w:val="20"/>
              </w:rPr>
              <w:t>0</w:t>
            </w:r>
          </w:p>
        </w:tc>
        <w:tc>
          <w:tcPr>
            <w:tcW w:w="752" w:type="pct"/>
          </w:tcPr>
          <w:p w14:paraId="1DF04165" w14:textId="7390EE17" w:rsidR="005550AF" w:rsidRDefault="005550AF" w:rsidP="003971DF">
            <w:pPr>
              <w:keepNext/>
              <w:cnfStyle w:val="000000100000" w:firstRow="0" w:lastRow="0" w:firstColumn="0" w:lastColumn="0" w:oddVBand="0" w:evenVBand="0" w:oddHBand="1" w:evenHBand="0" w:firstRowFirstColumn="0" w:firstRowLastColumn="0" w:lastRowFirstColumn="0" w:lastRowLastColumn="0"/>
            </w:pPr>
            <w:r w:rsidRPr="004B5B19">
              <w:rPr>
                <w:rFonts w:cs="Palatino Linotype"/>
                <w:color w:val="000000"/>
                <w:sz w:val="18"/>
                <w:szCs w:val="20"/>
              </w:rPr>
              <w:t>***</w:t>
            </w:r>
          </w:p>
        </w:tc>
      </w:tr>
      <w:tr w:rsidR="005550AF" w14:paraId="4EC5C4ED" w14:textId="77777777" w:rsidTr="003B38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5" w:type="pct"/>
            <w:vAlign w:val="bottom"/>
          </w:tcPr>
          <w:p w14:paraId="7ADE18E3" w14:textId="1A0ACE30" w:rsidR="005550AF" w:rsidRDefault="005550AF" w:rsidP="003971DF">
            <w:pPr>
              <w:keepNext/>
              <w:jc w:val="left"/>
            </w:pPr>
            <w:r w:rsidRPr="004B5B19">
              <w:rPr>
                <w:color w:val="000000"/>
                <w:sz w:val="18"/>
                <w:szCs w:val="20"/>
              </w:rPr>
              <w:t>yrmo201501</w:t>
            </w:r>
          </w:p>
        </w:tc>
        <w:tc>
          <w:tcPr>
            <w:tcW w:w="776" w:type="pct"/>
            <w:vAlign w:val="bottom"/>
          </w:tcPr>
          <w:p w14:paraId="356DBADF" w14:textId="2B94B538" w:rsidR="005550AF" w:rsidRDefault="005550AF" w:rsidP="003971DF">
            <w:pPr>
              <w:keepNext/>
              <w:cnfStyle w:val="000000010000" w:firstRow="0" w:lastRow="0" w:firstColumn="0" w:lastColumn="0" w:oddVBand="0" w:evenVBand="0" w:oddHBand="0" w:evenHBand="1" w:firstRowFirstColumn="0" w:firstRowLastColumn="0" w:lastRowFirstColumn="0" w:lastRowLastColumn="0"/>
            </w:pPr>
            <w:r w:rsidRPr="004B5B19">
              <w:rPr>
                <w:color w:val="000000"/>
                <w:sz w:val="18"/>
                <w:szCs w:val="20"/>
              </w:rPr>
              <w:t>0.71777</w:t>
            </w:r>
          </w:p>
        </w:tc>
        <w:tc>
          <w:tcPr>
            <w:tcW w:w="776" w:type="pct"/>
            <w:vAlign w:val="bottom"/>
          </w:tcPr>
          <w:p w14:paraId="4DA6C0F9" w14:textId="02F8FE83" w:rsidR="005550AF" w:rsidRDefault="005550AF" w:rsidP="003971DF">
            <w:pPr>
              <w:keepNext/>
              <w:cnfStyle w:val="000000010000" w:firstRow="0" w:lastRow="0" w:firstColumn="0" w:lastColumn="0" w:oddVBand="0" w:evenVBand="0" w:oddHBand="0" w:evenHBand="1" w:firstRowFirstColumn="0" w:firstRowLastColumn="0" w:lastRowFirstColumn="0" w:lastRowLastColumn="0"/>
            </w:pPr>
            <w:r w:rsidRPr="004B5B19">
              <w:rPr>
                <w:color w:val="000000"/>
                <w:sz w:val="18"/>
                <w:szCs w:val="20"/>
              </w:rPr>
              <w:t>0.026492</w:t>
            </w:r>
          </w:p>
        </w:tc>
        <w:tc>
          <w:tcPr>
            <w:tcW w:w="776" w:type="pct"/>
            <w:vAlign w:val="bottom"/>
          </w:tcPr>
          <w:p w14:paraId="1145E0A2" w14:textId="2548A0E9" w:rsidR="005550AF" w:rsidRDefault="005550AF" w:rsidP="003971DF">
            <w:pPr>
              <w:keepNext/>
              <w:cnfStyle w:val="000000010000" w:firstRow="0" w:lastRow="0" w:firstColumn="0" w:lastColumn="0" w:oddVBand="0" w:evenVBand="0" w:oddHBand="0" w:evenHBand="1" w:firstRowFirstColumn="0" w:firstRowLastColumn="0" w:lastRowFirstColumn="0" w:lastRowLastColumn="0"/>
            </w:pPr>
            <w:r w:rsidRPr="004B5B19">
              <w:rPr>
                <w:color w:val="000000"/>
                <w:sz w:val="18"/>
                <w:szCs w:val="20"/>
              </w:rPr>
              <w:t>27.09336</w:t>
            </w:r>
          </w:p>
        </w:tc>
        <w:tc>
          <w:tcPr>
            <w:tcW w:w="776" w:type="pct"/>
            <w:vAlign w:val="bottom"/>
          </w:tcPr>
          <w:p w14:paraId="40C767F7" w14:textId="6E51E2C3" w:rsidR="005550AF" w:rsidRDefault="005550AF" w:rsidP="003971DF">
            <w:pPr>
              <w:keepNext/>
              <w:cnfStyle w:val="000000010000" w:firstRow="0" w:lastRow="0" w:firstColumn="0" w:lastColumn="0" w:oddVBand="0" w:evenVBand="0" w:oddHBand="0" w:evenHBand="1" w:firstRowFirstColumn="0" w:firstRowLastColumn="0" w:lastRowFirstColumn="0" w:lastRowLastColumn="0"/>
            </w:pPr>
            <w:r w:rsidRPr="004B5B19">
              <w:rPr>
                <w:color w:val="000000"/>
                <w:sz w:val="18"/>
                <w:szCs w:val="20"/>
              </w:rPr>
              <w:t>1.4E-161</w:t>
            </w:r>
          </w:p>
        </w:tc>
        <w:tc>
          <w:tcPr>
            <w:tcW w:w="752" w:type="pct"/>
          </w:tcPr>
          <w:p w14:paraId="3CEC42A7" w14:textId="567534B2" w:rsidR="005550AF" w:rsidRDefault="005550AF" w:rsidP="003971DF">
            <w:pPr>
              <w:keepNext/>
              <w:cnfStyle w:val="000000010000" w:firstRow="0" w:lastRow="0" w:firstColumn="0" w:lastColumn="0" w:oddVBand="0" w:evenVBand="0" w:oddHBand="0" w:evenHBand="1" w:firstRowFirstColumn="0" w:firstRowLastColumn="0" w:lastRowFirstColumn="0" w:lastRowLastColumn="0"/>
            </w:pPr>
            <w:r w:rsidRPr="004B5B19">
              <w:rPr>
                <w:rFonts w:cs="Palatino Linotype"/>
                <w:color w:val="000000"/>
                <w:sz w:val="18"/>
                <w:szCs w:val="20"/>
              </w:rPr>
              <w:t>***</w:t>
            </w:r>
          </w:p>
        </w:tc>
      </w:tr>
      <w:tr w:rsidR="005550AF" w14:paraId="6E3D181B" w14:textId="77777777" w:rsidTr="003B38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5" w:type="pct"/>
            <w:vAlign w:val="bottom"/>
          </w:tcPr>
          <w:p w14:paraId="1420A426" w14:textId="69737331" w:rsidR="005550AF" w:rsidRDefault="005550AF" w:rsidP="003971DF">
            <w:pPr>
              <w:keepNext/>
              <w:jc w:val="left"/>
            </w:pPr>
            <w:r w:rsidRPr="004B5B19">
              <w:rPr>
                <w:color w:val="000000"/>
                <w:sz w:val="18"/>
                <w:szCs w:val="20"/>
              </w:rPr>
              <w:t>yrmo201502</w:t>
            </w:r>
          </w:p>
        </w:tc>
        <w:tc>
          <w:tcPr>
            <w:tcW w:w="776" w:type="pct"/>
            <w:vAlign w:val="bottom"/>
          </w:tcPr>
          <w:p w14:paraId="4345F66F" w14:textId="0D171989" w:rsidR="005550AF" w:rsidRDefault="005550AF" w:rsidP="003971DF">
            <w:pPr>
              <w:keepNext/>
              <w:cnfStyle w:val="000000100000" w:firstRow="0" w:lastRow="0" w:firstColumn="0" w:lastColumn="0" w:oddVBand="0" w:evenVBand="0" w:oddHBand="1" w:evenHBand="0" w:firstRowFirstColumn="0" w:firstRowLastColumn="0" w:lastRowFirstColumn="0" w:lastRowLastColumn="0"/>
            </w:pPr>
            <w:r w:rsidRPr="004B5B19">
              <w:rPr>
                <w:color w:val="000000"/>
                <w:sz w:val="18"/>
                <w:szCs w:val="20"/>
              </w:rPr>
              <w:t>0.46015</w:t>
            </w:r>
          </w:p>
        </w:tc>
        <w:tc>
          <w:tcPr>
            <w:tcW w:w="776" w:type="pct"/>
            <w:vAlign w:val="bottom"/>
          </w:tcPr>
          <w:p w14:paraId="6E0BD5BD" w14:textId="4A3B647A" w:rsidR="005550AF" w:rsidRDefault="005550AF" w:rsidP="003971DF">
            <w:pPr>
              <w:keepNext/>
              <w:cnfStyle w:val="000000100000" w:firstRow="0" w:lastRow="0" w:firstColumn="0" w:lastColumn="0" w:oddVBand="0" w:evenVBand="0" w:oddHBand="1" w:evenHBand="0" w:firstRowFirstColumn="0" w:firstRowLastColumn="0" w:lastRowFirstColumn="0" w:lastRowLastColumn="0"/>
            </w:pPr>
            <w:r w:rsidRPr="004B5B19">
              <w:rPr>
                <w:color w:val="000000"/>
                <w:sz w:val="18"/>
                <w:szCs w:val="20"/>
              </w:rPr>
              <w:t>0.021668</w:t>
            </w:r>
          </w:p>
        </w:tc>
        <w:tc>
          <w:tcPr>
            <w:tcW w:w="776" w:type="pct"/>
            <w:vAlign w:val="bottom"/>
          </w:tcPr>
          <w:p w14:paraId="5713B68F" w14:textId="638A6FA4" w:rsidR="005550AF" w:rsidRDefault="005550AF" w:rsidP="003971DF">
            <w:pPr>
              <w:keepNext/>
              <w:cnfStyle w:val="000000100000" w:firstRow="0" w:lastRow="0" w:firstColumn="0" w:lastColumn="0" w:oddVBand="0" w:evenVBand="0" w:oddHBand="1" w:evenHBand="0" w:firstRowFirstColumn="0" w:firstRowLastColumn="0" w:lastRowFirstColumn="0" w:lastRowLastColumn="0"/>
            </w:pPr>
            <w:r w:rsidRPr="004B5B19">
              <w:rPr>
                <w:color w:val="000000"/>
                <w:sz w:val="18"/>
                <w:szCs w:val="20"/>
              </w:rPr>
              <w:t>21.23615</w:t>
            </w:r>
          </w:p>
        </w:tc>
        <w:tc>
          <w:tcPr>
            <w:tcW w:w="776" w:type="pct"/>
            <w:vAlign w:val="bottom"/>
          </w:tcPr>
          <w:p w14:paraId="2A4F7261" w14:textId="50E9BFD1" w:rsidR="005550AF" w:rsidRDefault="005550AF" w:rsidP="003971DF">
            <w:pPr>
              <w:keepNext/>
              <w:cnfStyle w:val="000000100000" w:firstRow="0" w:lastRow="0" w:firstColumn="0" w:lastColumn="0" w:oddVBand="0" w:evenVBand="0" w:oddHBand="1" w:evenHBand="0" w:firstRowFirstColumn="0" w:firstRowLastColumn="0" w:lastRowFirstColumn="0" w:lastRowLastColumn="0"/>
            </w:pPr>
            <w:r w:rsidRPr="004B5B19">
              <w:rPr>
                <w:color w:val="000000"/>
                <w:sz w:val="18"/>
                <w:szCs w:val="20"/>
              </w:rPr>
              <w:t>4.8E-100</w:t>
            </w:r>
          </w:p>
        </w:tc>
        <w:tc>
          <w:tcPr>
            <w:tcW w:w="752" w:type="pct"/>
          </w:tcPr>
          <w:p w14:paraId="44E3B254" w14:textId="32709B94" w:rsidR="005550AF" w:rsidRDefault="005550AF" w:rsidP="003971DF">
            <w:pPr>
              <w:keepNext/>
              <w:cnfStyle w:val="000000100000" w:firstRow="0" w:lastRow="0" w:firstColumn="0" w:lastColumn="0" w:oddVBand="0" w:evenVBand="0" w:oddHBand="1" w:evenHBand="0" w:firstRowFirstColumn="0" w:firstRowLastColumn="0" w:lastRowFirstColumn="0" w:lastRowLastColumn="0"/>
            </w:pPr>
            <w:r w:rsidRPr="004B5B19">
              <w:rPr>
                <w:rFonts w:cs="Palatino Linotype"/>
                <w:color w:val="000000"/>
                <w:sz w:val="18"/>
                <w:szCs w:val="20"/>
              </w:rPr>
              <w:t>***</w:t>
            </w:r>
          </w:p>
        </w:tc>
      </w:tr>
      <w:tr w:rsidR="005550AF" w14:paraId="34BF282E" w14:textId="77777777" w:rsidTr="003B38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5" w:type="pct"/>
            <w:vAlign w:val="bottom"/>
          </w:tcPr>
          <w:p w14:paraId="38D2AA9C" w14:textId="250D50C3" w:rsidR="005550AF" w:rsidRDefault="005550AF" w:rsidP="003971DF">
            <w:pPr>
              <w:keepNext/>
              <w:jc w:val="left"/>
            </w:pPr>
            <w:r w:rsidRPr="004B5B19">
              <w:rPr>
                <w:color w:val="000000"/>
                <w:sz w:val="18"/>
                <w:szCs w:val="20"/>
              </w:rPr>
              <w:t>yrmo201503</w:t>
            </w:r>
          </w:p>
        </w:tc>
        <w:tc>
          <w:tcPr>
            <w:tcW w:w="776" w:type="pct"/>
            <w:vAlign w:val="bottom"/>
          </w:tcPr>
          <w:p w14:paraId="04E8049B" w14:textId="0AE01412" w:rsidR="005550AF" w:rsidRDefault="005550AF" w:rsidP="003971DF">
            <w:pPr>
              <w:keepNext/>
              <w:cnfStyle w:val="000000010000" w:firstRow="0" w:lastRow="0" w:firstColumn="0" w:lastColumn="0" w:oddVBand="0" w:evenVBand="0" w:oddHBand="0" w:evenHBand="1" w:firstRowFirstColumn="0" w:firstRowLastColumn="0" w:lastRowFirstColumn="0" w:lastRowLastColumn="0"/>
            </w:pPr>
            <w:r w:rsidRPr="004B5B19">
              <w:rPr>
                <w:color w:val="000000"/>
                <w:sz w:val="18"/>
                <w:szCs w:val="20"/>
              </w:rPr>
              <w:t>0.569787</w:t>
            </w:r>
          </w:p>
        </w:tc>
        <w:tc>
          <w:tcPr>
            <w:tcW w:w="776" w:type="pct"/>
            <w:vAlign w:val="bottom"/>
          </w:tcPr>
          <w:p w14:paraId="5405714B" w14:textId="516EB81A" w:rsidR="005550AF" w:rsidRDefault="005550AF" w:rsidP="003971DF">
            <w:pPr>
              <w:keepNext/>
              <w:cnfStyle w:val="000000010000" w:firstRow="0" w:lastRow="0" w:firstColumn="0" w:lastColumn="0" w:oddVBand="0" w:evenVBand="0" w:oddHBand="0" w:evenHBand="1" w:firstRowFirstColumn="0" w:firstRowLastColumn="0" w:lastRowFirstColumn="0" w:lastRowLastColumn="0"/>
            </w:pPr>
            <w:r w:rsidRPr="004B5B19">
              <w:rPr>
                <w:color w:val="000000"/>
                <w:sz w:val="18"/>
                <w:szCs w:val="20"/>
              </w:rPr>
              <w:t>0.029195</w:t>
            </w:r>
          </w:p>
        </w:tc>
        <w:tc>
          <w:tcPr>
            <w:tcW w:w="776" w:type="pct"/>
            <w:vAlign w:val="bottom"/>
          </w:tcPr>
          <w:p w14:paraId="6FD832EB" w14:textId="1F9994D0" w:rsidR="005550AF" w:rsidRDefault="005550AF" w:rsidP="003971DF">
            <w:pPr>
              <w:keepNext/>
              <w:cnfStyle w:val="000000010000" w:firstRow="0" w:lastRow="0" w:firstColumn="0" w:lastColumn="0" w:oddVBand="0" w:evenVBand="0" w:oddHBand="0" w:evenHBand="1" w:firstRowFirstColumn="0" w:firstRowLastColumn="0" w:lastRowFirstColumn="0" w:lastRowLastColumn="0"/>
            </w:pPr>
            <w:r w:rsidRPr="004B5B19">
              <w:rPr>
                <w:color w:val="000000"/>
                <w:sz w:val="18"/>
                <w:szCs w:val="20"/>
              </w:rPr>
              <w:t>19.51642</w:t>
            </w:r>
          </w:p>
        </w:tc>
        <w:tc>
          <w:tcPr>
            <w:tcW w:w="776" w:type="pct"/>
            <w:vAlign w:val="bottom"/>
          </w:tcPr>
          <w:p w14:paraId="5426580E" w14:textId="61EEC175" w:rsidR="005550AF" w:rsidRDefault="005550AF" w:rsidP="003971DF">
            <w:pPr>
              <w:keepNext/>
              <w:cnfStyle w:val="000000010000" w:firstRow="0" w:lastRow="0" w:firstColumn="0" w:lastColumn="0" w:oddVBand="0" w:evenVBand="0" w:oddHBand="0" w:evenHBand="1" w:firstRowFirstColumn="0" w:firstRowLastColumn="0" w:lastRowFirstColumn="0" w:lastRowLastColumn="0"/>
            </w:pPr>
            <w:r w:rsidRPr="004B5B19">
              <w:rPr>
                <w:color w:val="000000"/>
                <w:sz w:val="18"/>
                <w:szCs w:val="20"/>
              </w:rPr>
              <w:t>8.37E-85</w:t>
            </w:r>
          </w:p>
        </w:tc>
        <w:tc>
          <w:tcPr>
            <w:tcW w:w="752" w:type="pct"/>
          </w:tcPr>
          <w:p w14:paraId="5E0D067F" w14:textId="1F8093CD" w:rsidR="005550AF" w:rsidRDefault="005550AF" w:rsidP="003971DF">
            <w:pPr>
              <w:keepNext/>
              <w:cnfStyle w:val="000000010000" w:firstRow="0" w:lastRow="0" w:firstColumn="0" w:lastColumn="0" w:oddVBand="0" w:evenVBand="0" w:oddHBand="0" w:evenHBand="1" w:firstRowFirstColumn="0" w:firstRowLastColumn="0" w:lastRowFirstColumn="0" w:lastRowLastColumn="0"/>
            </w:pPr>
            <w:r w:rsidRPr="004B5B19">
              <w:rPr>
                <w:rFonts w:cs="Palatino Linotype"/>
                <w:color w:val="000000"/>
                <w:sz w:val="18"/>
                <w:szCs w:val="20"/>
              </w:rPr>
              <w:t>***</w:t>
            </w:r>
          </w:p>
        </w:tc>
      </w:tr>
      <w:tr w:rsidR="005550AF" w14:paraId="5F51D113" w14:textId="77777777" w:rsidTr="003B38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5" w:type="pct"/>
            <w:vAlign w:val="bottom"/>
          </w:tcPr>
          <w:p w14:paraId="247531B9" w14:textId="22B2E156" w:rsidR="005550AF" w:rsidRDefault="005550AF" w:rsidP="003971DF">
            <w:pPr>
              <w:keepNext/>
              <w:jc w:val="left"/>
            </w:pPr>
            <w:r w:rsidRPr="004B5B19">
              <w:rPr>
                <w:color w:val="000000"/>
                <w:sz w:val="18"/>
                <w:szCs w:val="20"/>
              </w:rPr>
              <w:t>treatment:yrmo201410</w:t>
            </w:r>
          </w:p>
        </w:tc>
        <w:tc>
          <w:tcPr>
            <w:tcW w:w="776" w:type="pct"/>
            <w:vAlign w:val="bottom"/>
          </w:tcPr>
          <w:p w14:paraId="3F0144D9" w14:textId="437B6D1E" w:rsidR="005550AF" w:rsidRDefault="005550AF" w:rsidP="003971DF">
            <w:pPr>
              <w:keepNext/>
              <w:cnfStyle w:val="000000100000" w:firstRow="0" w:lastRow="0" w:firstColumn="0" w:lastColumn="0" w:oddVBand="0" w:evenVBand="0" w:oddHBand="1" w:evenHBand="0" w:firstRowFirstColumn="0" w:firstRowLastColumn="0" w:lastRowFirstColumn="0" w:lastRowLastColumn="0"/>
            </w:pPr>
            <w:r w:rsidRPr="004B5B19">
              <w:rPr>
                <w:color w:val="000000"/>
                <w:sz w:val="18"/>
                <w:szCs w:val="20"/>
              </w:rPr>
              <w:t>-0.03181</w:t>
            </w:r>
          </w:p>
        </w:tc>
        <w:tc>
          <w:tcPr>
            <w:tcW w:w="776" w:type="pct"/>
            <w:vAlign w:val="bottom"/>
          </w:tcPr>
          <w:p w14:paraId="2EBB0CFA" w14:textId="7115FFAC" w:rsidR="005550AF" w:rsidRDefault="005550AF" w:rsidP="003971DF">
            <w:pPr>
              <w:keepNext/>
              <w:cnfStyle w:val="000000100000" w:firstRow="0" w:lastRow="0" w:firstColumn="0" w:lastColumn="0" w:oddVBand="0" w:evenVBand="0" w:oddHBand="1" w:evenHBand="0" w:firstRowFirstColumn="0" w:firstRowLastColumn="0" w:lastRowFirstColumn="0" w:lastRowLastColumn="0"/>
            </w:pPr>
            <w:r w:rsidRPr="004B5B19">
              <w:rPr>
                <w:color w:val="000000"/>
                <w:sz w:val="18"/>
                <w:szCs w:val="20"/>
              </w:rPr>
              <w:t>0.025727</w:t>
            </w:r>
          </w:p>
        </w:tc>
        <w:tc>
          <w:tcPr>
            <w:tcW w:w="776" w:type="pct"/>
            <w:vAlign w:val="bottom"/>
          </w:tcPr>
          <w:p w14:paraId="58EDABFC" w14:textId="73FE5946" w:rsidR="005550AF" w:rsidRDefault="005550AF" w:rsidP="003971DF">
            <w:pPr>
              <w:keepNext/>
              <w:cnfStyle w:val="000000100000" w:firstRow="0" w:lastRow="0" w:firstColumn="0" w:lastColumn="0" w:oddVBand="0" w:evenVBand="0" w:oddHBand="1" w:evenHBand="0" w:firstRowFirstColumn="0" w:firstRowLastColumn="0" w:lastRowFirstColumn="0" w:lastRowLastColumn="0"/>
            </w:pPr>
            <w:r w:rsidRPr="004B5B19">
              <w:rPr>
                <w:color w:val="000000"/>
                <w:sz w:val="18"/>
                <w:szCs w:val="20"/>
              </w:rPr>
              <w:t>-1.23638</w:t>
            </w:r>
          </w:p>
        </w:tc>
        <w:tc>
          <w:tcPr>
            <w:tcW w:w="776" w:type="pct"/>
            <w:vAlign w:val="bottom"/>
          </w:tcPr>
          <w:p w14:paraId="30EBC23B" w14:textId="7FB3D2EE" w:rsidR="005550AF" w:rsidRDefault="005550AF" w:rsidP="003971DF">
            <w:pPr>
              <w:keepNext/>
              <w:cnfStyle w:val="000000100000" w:firstRow="0" w:lastRow="0" w:firstColumn="0" w:lastColumn="0" w:oddVBand="0" w:evenVBand="0" w:oddHBand="1" w:evenHBand="0" w:firstRowFirstColumn="0" w:firstRowLastColumn="0" w:lastRowFirstColumn="0" w:lastRowLastColumn="0"/>
            </w:pPr>
            <w:r w:rsidRPr="004B5B19">
              <w:rPr>
                <w:color w:val="000000"/>
                <w:sz w:val="18"/>
                <w:szCs w:val="20"/>
              </w:rPr>
              <w:t>0.216318</w:t>
            </w:r>
          </w:p>
        </w:tc>
        <w:tc>
          <w:tcPr>
            <w:tcW w:w="752" w:type="pct"/>
          </w:tcPr>
          <w:p w14:paraId="5F87298C" w14:textId="77777777" w:rsidR="005550AF" w:rsidRDefault="005550AF" w:rsidP="003971DF">
            <w:pPr>
              <w:keepNext/>
              <w:cnfStyle w:val="000000100000" w:firstRow="0" w:lastRow="0" w:firstColumn="0" w:lastColumn="0" w:oddVBand="0" w:evenVBand="0" w:oddHBand="1" w:evenHBand="0" w:firstRowFirstColumn="0" w:firstRowLastColumn="0" w:lastRowFirstColumn="0" w:lastRowLastColumn="0"/>
            </w:pPr>
          </w:p>
        </w:tc>
      </w:tr>
      <w:tr w:rsidR="005550AF" w14:paraId="638D6619" w14:textId="77777777" w:rsidTr="003B38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5" w:type="pct"/>
            <w:vAlign w:val="bottom"/>
          </w:tcPr>
          <w:p w14:paraId="60CEB159" w14:textId="30AFE215" w:rsidR="005550AF" w:rsidRDefault="005550AF" w:rsidP="003B38C3">
            <w:pPr>
              <w:keepNext/>
              <w:jc w:val="left"/>
            </w:pPr>
            <w:r w:rsidRPr="004B5B19">
              <w:rPr>
                <w:color w:val="000000"/>
                <w:sz w:val="18"/>
                <w:szCs w:val="20"/>
              </w:rPr>
              <w:t>treatment:yrmo201411</w:t>
            </w:r>
          </w:p>
        </w:tc>
        <w:tc>
          <w:tcPr>
            <w:tcW w:w="776" w:type="pct"/>
            <w:vAlign w:val="bottom"/>
          </w:tcPr>
          <w:p w14:paraId="74768F4D" w14:textId="66810F93"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color w:val="000000"/>
                <w:sz w:val="18"/>
                <w:szCs w:val="20"/>
              </w:rPr>
              <w:t>0.02907</w:t>
            </w:r>
          </w:p>
        </w:tc>
        <w:tc>
          <w:tcPr>
            <w:tcW w:w="776" w:type="pct"/>
            <w:vAlign w:val="bottom"/>
          </w:tcPr>
          <w:p w14:paraId="0364735D" w14:textId="003F7357"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color w:val="000000"/>
                <w:sz w:val="18"/>
                <w:szCs w:val="20"/>
              </w:rPr>
              <w:t>0.058487</w:t>
            </w:r>
          </w:p>
        </w:tc>
        <w:tc>
          <w:tcPr>
            <w:tcW w:w="776" w:type="pct"/>
            <w:vAlign w:val="bottom"/>
          </w:tcPr>
          <w:p w14:paraId="3FAA69F6" w14:textId="1D388A87"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color w:val="000000"/>
                <w:sz w:val="18"/>
                <w:szCs w:val="20"/>
              </w:rPr>
              <w:t>0.497037</w:t>
            </w:r>
          </w:p>
        </w:tc>
        <w:tc>
          <w:tcPr>
            <w:tcW w:w="776" w:type="pct"/>
            <w:vAlign w:val="bottom"/>
          </w:tcPr>
          <w:p w14:paraId="07AFDE88" w14:textId="1D27202F"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color w:val="000000"/>
                <w:sz w:val="18"/>
                <w:szCs w:val="20"/>
              </w:rPr>
              <w:t>0.619163</w:t>
            </w:r>
          </w:p>
        </w:tc>
        <w:tc>
          <w:tcPr>
            <w:tcW w:w="752" w:type="pct"/>
          </w:tcPr>
          <w:p w14:paraId="00F8CAEC" w14:textId="77777777" w:rsidR="005550AF" w:rsidRDefault="005550AF" w:rsidP="003B38C3">
            <w:pPr>
              <w:keepNext/>
              <w:cnfStyle w:val="000000010000" w:firstRow="0" w:lastRow="0" w:firstColumn="0" w:lastColumn="0" w:oddVBand="0" w:evenVBand="0" w:oddHBand="0" w:evenHBand="1" w:firstRowFirstColumn="0" w:firstRowLastColumn="0" w:lastRowFirstColumn="0" w:lastRowLastColumn="0"/>
            </w:pPr>
          </w:p>
        </w:tc>
      </w:tr>
      <w:tr w:rsidR="005550AF" w14:paraId="617F11FA" w14:textId="77777777" w:rsidTr="003B38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5" w:type="pct"/>
            <w:vAlign w:val="bottom"/>
          </w:tcPr>
          <w:p w14:paraId="4292A6EC" w14:textId="010A6359" w:rsidR="005550AF" w:rsidRDefault="005550AF" w:rsidP="003B38C3">
            <w:pPr>
              <w:keepNext/>
              <w:jc w:val="left"/>
            </w:pPr>
            <w:r w:rsidRPr="004B5B19">
              <w:rPr>
                <w:color w:val="000000"/>
                <w:sz w:val="18"/>
                <w:szCs w:val="20"/>
              </w:rPr>
              <w:t>treatment:yrmo201412</w:t>
            </w:r>
          </w:p>
        </w:tc>
        <w:tc>
          <w:tcPr>
            <w:tcW w:w="776" w:type="pct"/>
            <w:vAlign w:val="bottom"/>
          </w:tcPr>
          <w:p w14:paraId="0F1A88E0" w14:textId="0692109F"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color w:val="000000"/>
                <w:sz w:val="18"/>
                <w:szCs w:val="20"/>
              </w:rPr>
              <w:t>-0.02182</w:t>
            </w:r>
          </w:p>
        </w:tc>
        <w:tc>
          <w:tcPr>
            <w:tcW w:w="776" w:type="pct"/>
            <w:vAlign w:val="bottom"/>
          </w:tcPr>
          <w:p w14:paraId="0801A463" w14:textId="2C945B96"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color w:val="000000"/>
                <w:sz w:val="18"/>
                <w:szCs w:val="20"/>
              </w:rPr>
              <w:t>0.009387</w:t>
            </w:r>
          </w:p>
        </w:tc>
        <w:tc>
          <w:tcPr>
            <w:tcW w:w="776" w:type="pct"/>
            <w:vAlign w:val="bottom"/>
          </w:tcPr>
          <w:p w14:paraId="420C277B" w14:textId="528A54D4"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color w:val="000000"/>
                <w:sz w:val="18"/>
                <w:szCs w:val="20"/>
              </w:rPr>
              <w:t>-2.32507</w:t>
            </w:r>
          </w:p>
        </w:tc>
        <w:tc>
          <w:tcPr>
            <w:tcW w:w="776" w:type="pct"/>
            <w:vAlign w:val="bottom"/>
          </w:tcPr>
          <w:p w14:paraId="67537864" w14:textId="1FE52092"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color w:val="000000"/>
                <w:sz w:val="18"/>
                <w:szCs w:val="20"/>
              </w:rPr>
              <w:t>0.020069</w:t>
            </w:r>
          </w:p>
        </w:tc>
        <w:tc>
          <w:tcPr>
            <w:tcW w:w="752" w:type="pct"/>
          </w:tcPr>
          <w:p w14:paraId="083E84F3" w14:textId="341F5137"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rFonts w:cs="Palatino Linotype"/>
                <w:color w:val="000000"/>
                <w:sz w:val="18"/>
                <w:szCs w:val="20"/>
              </w:rPr>
              <w:t>*</w:t>
            </w:r>
          </w:p>
        </w:tc>
      </w:tr>
      <w:tr w:rsidR="005550AF" w14:paraId="229B8148" w14:textId="77777777" w:rsidTr="003B38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5" w:type="pct"/>
            <w:vAlign w:val="bottom"/>
          </w:tcPr>
          <w:p w14:paraId="62E18A65" w14:textId="307B6C18" w:rsidR="005550AF" w:rsidRDefault="005550AF" w:rsidP="003B38C3">
            <w:pPr>
              <w:keepNext/>
              <w:jc w:val="left"/>
            </w:pPr>
            <w:r w:rsidRPr="004B5B19">
              <w:rPr>
                <w:color w:val="000000"/>
                <w:sz w:val="18"/>
                <w:szCs w:val="20"/>
              </w:rPr>
              <w:t>treatment:yrmo201501</w:t>
            </w:r>
          </w:p>
        </w:tc>
        <w:tc>
          <w:tcPr>
            <w:tcW w:w="776" w:type="pct"/>
            <w:vAlign w:val="bottom"/>
          </w:tcPr>
          <w:p w14:paraId="01873816" w14:textId="09EEA8A4"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color w:val="000000"/>
                <w:sz w:val="18"/>
                <w:szCs w:val="20"/>
              </w:rPr>
              <w:t>-0.02933</w:t>
            </w:r>
          </w:p>
        </w:tc>
        <w:tc>
          <w:tcPr>
            <w:tcW w:w="776" w:type="pct"/>
            <w:vAlign w:val="bottom"/>
          </w:tcPr>
          <w:p w14:paraId="3B7F4CFB" w14:textId="23C85FD7"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color w:val="000000"/>
                <w:sz w:val="18"/>
                <w:szCs w:val="20"/>
              </w:rPr>
              <w:t>0.013967</w:t>
            </w:r>
          </w:p>
        </w:tc>
        <w:tc>
          <w:tcPr>
            <w:tcW w:w="776" w:type="pct"/>
            <w:vAlign w:val="bottom"/>
          </w:tcPr>
          <w:p w14:paraId="1DB8FA60" w14:textId="591180CA"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color w:val="000000"/>
                <w:sz w:val="18"/>
                <w:szCs w:val="20"/>
              </w:rPr>
              <w:t>-2.10028</w:t>
            </w:r>
          </w:p>
        </w:tc>
        <w:tc>
          <w:tcPr>
            <w:tcW w:w="776" w:type="pct"/>
            <w:vAlign w:val="bottom"/>
          </w:tcPr>
          <w:p w14:paraId="5C69F4DD" w14:textId="0F869C61"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color w:val="000000"/>
                <w:sz w:val="18"/>
                <w:szCs w:val="20"/>
              </w:rPr>
              <w:t>0.035704</w:t>
            </w:r>
          </w:p>
        </w:tc>
        <w:tc>
          <w:tcPr>
            <w:tcW w:w="752" w:type="pct"/>
          </w:tcPr>
          <w:p w14:paraId="67E3A0C5" w14:textId="3A29E44B"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rFonts w:cs="Palatino Linotype"/>
                <w:color w:val="000000"/>
                <w:sz w:val="18"/>
                <w:szCs w:val="20"/>
              </w:rPr>
              <w:t>*</w:t>
            </w:r>
          </w:p>
        </w:tc>
      </w:tr>
      <w:tr w:rsidR="005550AF" w14:paraId="5D8D7BE2" w14:textId="77777777" w:rsidTr="003B38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5" w:type="pct"/>
            <w:vAlign w:val="bottom"/>
          </w:tcPr>
          <w:p w14:paraId="42BB6738" w14:textId="7427EDC8" w:rsidR="005550AF" w:rsidRDefault="005550AF" w:rsidP="003B38C3">
            <w:pPr>
              <w:keepNext/>
              <w:jc w:val="left"/>
            </w:pPr>
            <w:r w:rsidRPr="004B5B19">
              <w:rPr>
                <w:color w:val="000000"/>
                <w:sz w:val="18"/>
                <w:szCs w:val="20"/>
              </w:rPr>
              <w:t>treatment:yrmo201502</w:t>
            </w:r>
          </w:p>
        </w:tc>
        <w:tc>
          <w:tcPr>
            <w:tcW w:w="776" w:type="pct"/>
            <w:vAlign w:val="bottom"/>
          </w:tcPr>
          <w:p w14:paraId="2A73B4CC" w14:textId="3AD9F802"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color w:val="000000"/>
                <w:sz w:val="18"/>
                <w:szCs w:val="20"/>
              </w:rPr>
              <w:t>-0.05103</w:t>
            </w:r>
          </w:p>
        </w:tc>
        <w:tc>
          <w:tcPr>
            <w:tcW w:w="776" w:type="pct"/>
            <w:vAlign w:val="bottom"/>
          </w:tcPr>
          <w:p w14:paraId="33EBCDB4" w14:textId="570C435C"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color w:val="000000"/>
                <w:sz w:val="18"/>
                <w:szCs w:val="20"/>
              </w:rPr>
              <w:t>0.011107</w:t>
            </w:r>
          </w:p>
        </w:tc>
        <w:tc>
          <w:tcPr>
            <w:tcW w:w="776" w:type="pct"/>
            <w:vAlign w:val="bottom"/>
          </w:tcPr>
          <w:p w14:paraId="783F32D3" w14:textId="0C810A13"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color w:val="000000"/>
                <w:sz w:val="18"/>
                <w:szCs w:val="20"/>
              </w:rPr>
              <w:t>-4.59437</w:t>
            </w:r>
          </w:p>
        </w:tc>
        <w:tc>
          <w:tcPr>
            <w:tcW w:w="776" w:type="pct"/>
            <w:vAlign w:val="bottom"/>
          </w:tcPr>
          <w:p w14:paraId="2B8DD0F3" w14:textId="4D6C32B9"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color w:val="000000"/>
                <w:sz w:val="18"/>
                <w:szCs w:val="20"/>
              </w:rPr>
              <w:t>4.34E-06</w:t>
            </w:r>
          </w:p>
        </w:tc>
        <w:tc>
          <w:tcPr>
            <w:tcW w:w="752" w:type="pct"/>
          </w:tcPr>
          <w:p w14:paraId="7A95BD56" w14:textId="4AE2C969"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rFonts w:cs="Palatino Linotype"/>
                <w:color w:val="000000"/>
                <w:sz w:val="18"/>
                <w:szCs w:val="20"/>
              </w:rPr>
              <w:t>***</w:t>
            </w:r>
          </w:p>
        </w:tc>
      </w:tr>
      <w:tr w:rsidR="005550AF" w14:paraId="5985190F" w14:textId="77777777" w:rsidTr="003B38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5" w:type="pct"/>
            <w:vAlign w:val="bottom"/>
          </w:tcPr>
          <w:p w14:paraId="17D67FD2" w14:textId="795591B0" w:rsidR="005550AF" w:rsidRDefault="005550AF" w:rsidP="003B38C3">
            <w:pPr>
              <w:keepNext/>
              <w:jc w:val="left"/>
            </w:pPr>
            <w:r w:rsidRPr="004B5B19">
              <w:rPr>
                <w:color w:val="000000"/>
                <w:sz w:val="18"/>
                <w:szCs w:val="20"/>
              </w:rPr>
              <w:t>treatment:yrmo201503</w:t>
            </w:r>
          </w:p>
        </w:tc>
        <w:tc>
          <w:tcPr>
            <w:tcW w:w="776" w:type="pct"/>
            <w:vAlign w:val="bottom"/>
          </w:tcPr>
          <w:p w14:paraId="1AF2524A" w14:textId="62C31741"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color w:val="000000"/>
                <w:sz w:val="18"/>
                <w:szCs w:val="20"/>
              </w:rPr>
              <w:t>-0.02905</w:t>
            </w:r>
          </w:p>
        </w:tc>
        <w:tc>
          <w:tcPr>
            <w:tcW w:w="776" w:type="pct"/>
            <w:vAlign w:val="bottom"/>
          </w:tcPr>
          <w:p w14:paraId="5D4BA0CC" w14:textId="715FFE70"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color w:val="000000"/>
                <w:sz w:val="18"/>
                <w:szCs w:val="20"/>
              </w:rPr>
              <w:t>0.015878</w:t>
            </w:r>
          </w:p>
        </w:tc>
        <w:tc>
          <w:tcPr>
            <w:tcW w:w="776" w:type="pct"/>
            <w:vAlign w:val="bottom"/>
          </w:tcPr>
          <w:p w14:paraId="396489A0" w14:textId="0AB10920"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color w:val="000000"/>
                <w:sz w:val="18"/>
                <w:szCs w:val="20"/>
              </w:rPr>
              <w:t>-1.82977</w:t>
            </w:r>
          </w:p>
        </w:tc>
        <w:tc>
          <w:tcPr>
            <w:tcW w:w="776" w:type="pct"/>
            <w:vAlign w:val="bottom"/>
          </w:tcPr>
          <w:p w14:paraId="61009EF5" w14:textId="44B7BC9C"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color w:val="000000"/>
                <w:sz w:val="18"/>
                <w:szCs w:val="20"/>
              </w:rPr>
              <w:t>0.067285</w:t>
            </w:r>
          </w:p>
        </w:tc>
        <w:tc>
          <w:tcPr>
            <w:tcW w:w="752" w:type="pct"/>
          </w:tcPr>
          <w:p w14:paraId="6FDF030E" w14:textId="57CB780C"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rFonts w:cs="Palatino Linotype"/>
                <w:color w:val="000000"/>
                <w:sz w:val="18"/>
                <w:szCs w:val="20"/>
              </w:rPr>
              <w:t>.</w:t>
            </w:r>
          </w:p>
        </w:tc>
      </w:tr>
      <w:tr w:rsidR="005550AF" w14:paraId="60DD5378" w14:textId="77777777" w:rsidTr="003B38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5" w:type="pct"/>
            <w:vAlign w:val="bottom"/>
          </w:tcPr>
          <w:p w14:paraId="621F40B8" w14:textId="33C95A39" w:rsidR="005550AF" w:rsidRDefault="005550AF" w:rsidP="003B38C3">
            <w:pPr>
              <w:keepNext/>
              <w:jc w:val="left"/>
            </w:pPr>
            <w:r w:rsidRPr="004B5B19">
              <w:rPr>
                <w:color w:val="000000"/>
                <w:sz w:val="18"/>
                <w:szCs w:val="20"/>
              </w:rPr>
              <w:t>yrmo201410:pre.therms</w:t>
            </w:r>
          </w:p>
        </w:tc>
        <w:tc>
          <w:tcPr>
            <w:tcW w:w="776" w:type="pct"/>
            <w:vAlign w:val="bottom"/>
          </w:tcPr>
          <w:p w14:paraId="6402BEBD" w14:textId="4E970BD5"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color w:val="000000"/>
                <w:sz w:val="18"/>
                <w:szCs w:val="20"/>
              </w:rPr>
              <w:t>0.680094</w:t>
            </w:r>
          </w:p>
        </w:tc>
        <w:tc>
          <w:tcPr>
            <w:tcW w:w="776" w:type="pct"/>
            <w:vAlign w:val="bottom"/>
          </w:tcPr>
          <w:p w14:paraId="585C4814" w14:textId="13ADBD07"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color w:val="000000"/>
                <w:sz w:val="18"/>
                <w:szCs w:val="20"/>
              </w:rPr>
              <w:t>0.024836</w:t>
            </w:r>
          </w:p>
        </w:tc>
        <w:tc>
          <w:tcPr>
            <w:tcW w:w="776" w:type="pct"/>
            <w:vAlign w:val="bottom"/>
          </w:tcPr>
          <w:p w14:paraId="674604ED" w14:textId="0B39766F"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color w:val="000000"/>
                <w:sz w:val="18"/>
                <w:szCs w:val="20"/>
              </w:rPr>
              <w:t>27.38326</w:t>
            </w:r>
          </w:p>
        </w:tc>
        <w:tc>
          <w:tcPr>
            <w:tcW w:w="776" w:type="pct"/>
            <w:vAlign w:val="bottom"/>
          </w:tcPr>
          <w:p w14:paraId="0437D3E4" w14:textId="36813F57"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color w:val="000000"/>
                <w:sz w:val="18"/>
                <w:szCs w:val="20"/>
              </w:rPr>
              <w:t>5.3E-165</w:t>
            </w:r>
          </w:p>
        </w:tc>
        <w:tc>
          <w:tcPr>
            <w:tcW w:w="752" w:type="pct"/>
          </w:tcPr>
          <w:p w14:paraId="6CC8727F" w14:textId="1767BD3B"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rFonts w:cs="Palatino Linotype"/>
                <w:color w:val="000000"/>
                <w:sz w:val="18"/>
                <w:szCs w:val="20"/>
              </w:rPr>
              <w:t>***</w:t>
            </w:r>
          </w:p>
        </w:tc>
      </w:tr>
      <w:tr w:rsidR="005550AF" w14:paraId="6ABDDB87" w14:textId="77777777" w:rsidTr="003B38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5" w:type="pct"/>
            <w:vAlign w:val="bottom"/>
          </w:tcPr>
          <w:p w14:paraId="25D7FAA3" w14:textId="01D344FF" w:rsidR="005550AF" w:rsidRDefault="005550AF" w:rsidP="003B38C3">
            <w:pPr>
              <w:keepNext/>
              <w:jc w:val="left"/>
            </w:pPr>
            <w:r w:rsidRPr="004B5B19">
              <w:rPr>
                <w:color w:val="000000"/>
                <w:sz w:val="18"/>
                <w:szCs w:val="20"/>
              </w:rPr>
              <w:t>yrmo201411:pre.therms</w:t>
            </w:r>
          </w:p>
        </w:tc>
        <w:tc>
          <w:tcPr>
            <w:tcW w:w="776" w:type="pct"/>
            <w:vAlign w:val="bottom"/>
          </w:tcPr>
          <w:p w14:paraId="69B70319" w14:textId="210AA5D5"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color w:val="000000"/>
                <w:sz w:val="18"/>
                <w:szCs w:val="20"/>
              </w:rPr>
              <w:t>0.988325</w:t>
            </w:r>
          </w:p>
        </w:tc>
        <w:tc>
          <w:tcPr>
            <w:tcW w:w="776" w:type="pct"/>
            <w:vAlign w:val="bottom"/>
          </w:tcPr>
          <w:p w14:paraId="2CFEC5A7" w14:textId="3088A2E4"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color w:val="000000"/>
                <w:sz w:val="18"/>
                <w:szCs w:val="20"/>
              </w:rPr>
              <w:t>0.028774</w:t>
            </w:r>
          </w:p>
        </w:tc>
        <w:tc>
          <w:tcPr>
            <w:tcW w:w="776" w:type="pct"/>
            <w:vAlign w:val="bottom"/>
          </w:tcPr>
          <w:p w14:paraId="44F15CE7" w14:textId="04DDCC63"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color w:val="000000"/>
                <w:sz w:val="18"/>
                <w:szCs w:val="20"/>
              </w:rPr>
              <w:t>34.34754</w:t>
            </w:r>
          </w:p>
        </w:tc>
        <w:tc>
          <w:tcPr>
            <w:tcW w:w="776" w:type="pct"/>
            <w:vAlign w:val="bottom"/>
          </w:tcPr>
          <w:p w14:paraId="7A85DD76" w14:textId="4BF6B759"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color w:val="000000"/>
                <w:sz w:val="18"/>
                <w:szCs w:val="20"/>
              </w:rPr>
              <w:t>2.5E-258</w:t>
            </w:r>
          </w:p>
        </w:tc>
        <w:tc>
          <w:tcPr>
            <w:tcW w:w="752" w:type="pct"/>
          </w:tcPr>
          <w:p w14:paraId="7C8DE602" w14:textId="52E4B2D0"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rFonts w:cs="Palatino Linotype"/>
                <w:color w:val="000000"/>
                <w:sz w:val="18"/>
                <w:szCs w:val="20"/>
              </w:rPr>
              <w:t>***</w:t>
            </w:r>
          </w:p>
        </w:tc>
      </w:tr>
      <w:tr w:rsidR="005550AF" w14:paraId="1AA4BC79" w14:textId="77777777" w:rsidTr="003B38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5" w:type="pct"/>
            <w:vAlign w:val="bottom"/>
          </w:tcPr>
          <w:p w14:paraId="109BAD2D" w14:textId="2AACBB77" w:rsidR="005550AF" w:rsidRDefault="005550AF" w:rsidP="003B38C3">
            <w:pPr>
              <w:keepNext/>
              <w:jc w:val="left"/>
            </w:pPr>
            <w:r w:rsidRPr="004B5B19">
              <w:rPr>
                <w:color w:val="000000"/>
                <w:sz w:val="18"/>
                <w:szCs w:val="20"/>
              </w:rPr>
              <w:t>yrmo201412:pre.therms</w:t>
            </w:r>
          </w:p>
        </w:tc>
        <w:tc>
          <w:tcPr>
            <w:tcW w:w="776" w:type="pct"/>
            <w:vAlign w:val="bottom"/>
          </w:tcPr>
          <w:p w14:paraId="3F4F56BD" w14:textId="3FA09F45"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color w:val="000000"/>
                <w:sz w:val="18"/>
                <w:szCs w:val="20"/>
              </w:rPr>
              <w:t>0.99808</w:t>
            </w:r>
          </w:p>
        </w:tc>
        <w:tc>
          <w:tcPr>
            <w:tcW w:w="776" w:type="pct"/>
            <w:vAlign w:val="bottom"/>
          </w:tcPr>
          <w:p w14:paraId="61BF5DC2" w14:textId="100AE825"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color w:val="000000"/>
                <w:sz w:val="18"/>
                <w:szCs w:val="20"/>
              </w:rPr>
              <w:t>0.004093</w:t>
            </w:r>
          </w:p>
        </w:tc>
        <w:tc>
          <w:tcPr>
            <w:tcW w:w="776" w:type="pct"/>
            <w:vAlign w:val="bottom"/>
          </w:tcPr>
          <w:p w14:paraId="057CD829" w14:textId="0D789143"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color w:val="000000"/>
                <w:sz w:val="18"/>
                <w:szCs w:val="20"/>
              </w:rPr>
              <w:t>243.8643</w:t>
            </w:r>
          </w:p>
        </w:tc>
        <w:tc>
          <w:tcPr>
            <w:tcW w:w="776" w:type="pct"/>
            <w:vAlign w:val="bottom"/>
          </w:tcPr>
          <w:p w14:paraId="217D59F7" w14:textId="65696532"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color w:val="000000"/>
                <w:sz w:val="18"/>
                <w:szCs w:val="20"/>
              </w:rPr>
              <w:t>0</w:t>
            </w:r>
          </w:p>
        </w:tc>
        <w:tc>
          <w:tcPr>
            <w:tcW w:w="752" w:type="pct"/>
          </w:tcPr>
          <w:p w14:paraId="60F10DA1" w14:textId="175C0F4D"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rFonts w:cs="Palatino Linotype"/>
                <w:color w:val="000000"/>
                <w:sz w:val="18"/>
                <w:szCs w:val="20"/>
              </w:rPr>
              <w:t>***</w:t>
            </w:r>
          </w:p>
        </w:tc>
      </w:tr>
      <w:tr w:rsidR="005550AF" w14:paraId="404237EA" w14:textId="77777777" w:rsidTr="003B38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5" w:type="pct"/>
            <w:vAlign w:val="bottom"/>
          </w:tcPr>
          <w:p w14:paraId="3CDF1F69" w14:textId="41C3B22C" w:rsidR="005550AF" w:rsidRDefault="005550AF" w:rsidP="003B38C3">
            <w:pPr>
              <w:keepNext/>
              <w:jc w:val="left"/>
            </w:pPr>
            <w:r w:rsidRPr="004B5B19">
              <w:rPr>
                <w:color w:val="000000"/>
                <w:sz w:val="18"/>
                <w:szCs w:val="20"/>
              </w:rPr>
              <w:t>yrmo201501:pre.therms</w:t>
            </w:r>
          </w:p>
        </w:tc>
        <w:tc>
          <w:tcPr>
            <w:tcW w:w="776" w:type="pct"/>
            <w:vAlign w:val="bottom"/>
          </w:tcPr>
          <w:p w14:paraId="56C4D47D" w14:textId="0B971A7A"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color w:val="000000"/>
                <w:sz w:val="18"/>
                <w:szCs w:val="20"/>
              </w:rPr>
              <w:t>1.028015</w:t>
            </w:r>
          </w:p>
        </w:tc>
        <w:tc>
          <w:tcPr>
            <w:tcW w:w="776" w:type="pct"/>
            <w:vAlign w:val="bottom"/>
          </w:tcPr>
          <w:p w14:paraId="581894FA" w14:textId="3EDF81A7"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color w:val="000000"/>
                <w:sz w:val="18"/>
                <w:szCs w:val="20"/>
              </w:rPr>
              <w:t>0.003193</w:t>
            </w:r>
          </w:p>
        </w:tc>
        <w:tc>
          <w:tcPr>
            <w:tcW w:w="776" w:type="pct"/>
            <w:vAlign w:val="bottom"/>
          </w:tcPr>
          <w:p w14:paraId="4218254B" w14:textId="1F7DBA83"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color w:val="000000"/>
                <w:sz w:val="18"/>
                <w:szCs w:val="20"/>
              </w:rPr>
              <w:t>321.9918</w:t>
            </w:r>
          </w:p>
        </w:tc>
        <w:tc>
          <w:tcPr>
            <w:tcW w:w="776" w:type="pct"/>
            <w:vAlign w:val="bottom"/>
          </w:tcPr>
          <w:p w14:paraId="335B8C5B" w14:textId="3568FB13"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color w:val="000000"/>
                <w:sz w:val="18"/>
                <w:szCs w:val="20"/>
              </w:rPr>
              <w:t>0</w:t>
            </w:r>
          </w:p>
        </w:tc>
        <w:tc>
          <w:tcPr>
            <w:tcW w:w="752" w:type="pct"/>
          </w:tcPr>
          <w:p w14:paraId="5A245E4B" w14:textId="1774C652"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rFonts w:cs="Palatino Linotype"/>
                <w:color w:val="000000"/>
                <w:sz w:val="18"/>
                <w:szCs w:val="20"/>
              </w:rPr>
              <w:t>***</w:t>
            </w:r>
          </w:p>
        </w:tc>
      </w:tr>
      <w:tr w:rsidR="005550AF" w14:paraId="694BAEB8" w14:textId="77777777" w:rsidTr="003B38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5" w:type="pct"/>
            <w:vAlign w:val="bottom"/>
          </w:tcPr>
          <w:p w14:paraId="4767EF96" w14:textId="75E8F707" w:rsidR="005550AF" w:rsidRDefault="005550AF" w:rsidP="003B38C3">
            <w:pPr>
              <w:keepNext/>
              <w:jc w:val="left"/>
            </w:pPr>
            <w:r w:rsidRPr="004B5B19">
              <w:rPr>
                <w:color w:val="000000"/>
                <w:sz w:val="18"/>
                <w:szCs w:val="20"/>
              </w:rPr>
              <w:t>yrmo201502:pre.therms</w:t>
            </w:r>
          </w:p>
        </w:tc>
        <w:tc>
          <w:tcPr>
            <w:tcW w:w="776" w:type="pct"/>
            <w:vAlign w:val="bottom"/>
          </w:tcPr>
          <w:p w14:paraId="795F36B0" w14:textId="0559AD13"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color w:val="000000"/>
                <w:sz w:val="18"/>
                <w:szCs w:val="20"/>
              </w:rPr>
              <w:t>0.978701</w:t>
            </w:r>
          </w:p>
        </w:tc>
        <w:tc>
          <w:tcPr>
            <w:tcW w:w="776" w:type="pct"/>
            <w:vAlign w:val="bottom"/>
          </w:tcPr>
          <w:p w14:paraId="54C1FF0A" w14:textId="5C516A2C"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color w:val="000000"/>
                <w:sz w:val="18"/>
                <w:szCs w:val="20"/>
              </w:rPr>
              <w:t>0.002295</w:t>
            </w:r>
          </w:p>
        </w:tc>
        <w:tc>
          <w:tcPr>
            <w:tcW w:w="776" w:type="pct"/>
            <w:vAlign w:val="bottom"/>
          </w:tcPr>
          <w:p w14:paraId="3161FB46" w14:textId="3A6303A2"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color w:val="000000"/>
                <w:sz w:val="18"/>
                <w:szCs w:val="20"/>
              </w:rPr>
              <w:t>426.5013</w:t>
            </w:r>
          </w:p>
        </w:tc>
        <w:tc>
          <w:tcPr>
            <w:tcW w:w="776" w:type="pct"/>
            <w:vAlign w:val="bottom"/>
          </w:tcPr>
          <w:p w14:paraId="16F181B3" w14:textId="038F3C0A"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color w:val="000000"/>
                <w:sz w:val="18"/>
                <w:szCs w:val="20"/>
              </w:rPr>
              <w:t>0</w:t>
            </w:r>
          </w:p>
        </w:tc>
        <w:tc>
          <w:tcPr>
            <w:tcW w:w="752" w:type="pct"/>
          </w:tcPr>
          <w:p w14:paraId="4A097EA0" w14:textId="28FF0B79"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rFonts w:cs="Palatino Linotype"/>
                <w:color w:val="000000"/>
                <w:sz w:val="18"/>
                <w:szCs w:val="20"/>
              </w:rPr>
              <w:t>***</w:t>
            </w:r>
          </w:p>
        </w:tc>
      </w:tr>
      <w:tr w:rsidR="005550AF" w14:paraId="15D65F85" w14:textId="77777777" w:rsidTr="003B38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5" w:type="pct"/>
            <w:vAlign w:val="bottom"/>
          </w:tcPr>
          <w:p w14:paraId="177AA695" w14:textId="5B67F181" w:rsidR="005550AF" w:rsidRDefault="005550AF" w:rsidP="003B38C3">
            <w:pPr>
              <w:keepNext/>
              <w:jc w:val="left"/>
            </w:pPr>
            <w:r w:rsidRPr="004B5B19">
              <w:rPr>
                <w:color w:val="000000"/>
                <w:sz w:val="18"/>
                <w:szCs w:val="20"/>
              </w:rPr>
              <w:t>yrmo201503:pre.therms</w:t>
            </w:r>
          </w:p>
        </w:tc>
        <w:tc>
          <w:tcPr>
            <w:tcW w:w="776" w:type="pct"/>
            <w:vAlign w:val="bottom"/>
          </w:tcPr>
          <w:p w14:paraId="57555E85" w14:textId="3DA8C5D1"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color w:val="000000"/>
                <w:sz w:val="18"/>
                <w:szCs w:val="20"/>
              </w:rPr>
              <w:t>0.934784</w:t>
            </w:r>
          </w:p>
        </w:tc>
        <w:tc>
          <w:tcPr>
            <w:tcW w:w="776" w:type="pct"/>
            <w:vAlign w:val="bottom"/>
          </w:tcPr>
          <w:p w14:paraId="0117FD98" w14:textId="0EB9C89B"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color w:val="000000"/>
                <w:sz w:val="18"/>
                <w:szCs w:val="20"/>
              </w:rPr>
              <w:t>0.002993</w:t>
            </w:r>
          </w:p>
        </w:tc>
        <w:tc>
          <w:tcPr>
            <w:tcW w:w="776" w:type="pct"/>
            <w:vAlign w:val="bottom"/>
          </w:tcPr>
          <w:p w14:paraId="10686B91" w14:textId="0851A872"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color w:val="000000"/>
                <w:sz w:val="18"/>
                <w:szCs w:val="20"/>
              </w:rPr>
              <w:t>312.2881</w:t>
            </w:r>
          </w:p>
        </w:tc>
        <w:tc>
          <w:tcPr>
            <w:tcW w:w="776" w:type="pct"/>
            <w:vAlign w:val="bottom"/>
          </w:tcPr>
          <w:p w14:paraId="10F347C3" w14:textId="3FB7D17D"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color w:val="000000"/>
                <w:sz w:val="18"/>
                <w:szCs w:val="20"/>
              </w:rPr>
              <w:t>0</w:t>
            </w:r>
          </w:p>
        </w:tc>
        <w:tc>
          <w:tcPr>
            <w:tcW w:w="752" w:type="pct"/>
          </w:tcPr>
          <w:p w14:paraId="6014B7A7" w14:textId="09EC8B78"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rFonts w:cs="Palatino Linotype"/>
                <w:color w:val="000000"/>
                <w:sz w:val="18"/>
                <w:szCs w:val="20"/>
              </w:rPr>
              <w:t>***</w:t>
            </w:r>
          </w:p>
        </w:tc>
      </w:tr>
      <w:tr w:rsidR="005550AF" w:rsidRPr="004B5B19" w14:paraId="3DF84FCA" w14:textId="77777777" w:rsidTr="003B38C3">
        <w:tblPrEx>
          <w:tblLook w:val="0000" w:firstRow="0" w:lastRow="0" w:firstColumn="0" w:lastColumn="0" w:noHBand="0" w:noVBand="0"/>
        </w:tblPrEx>
        <w:trPr>
          <w:cnfStyle w:val="000000100000" w:firstRow="0" w:lastRow="0" w:firstColumn="0" w:lastColumn="0" w:oddVBand="0" w:evenVBand="0" w:oddHBand="1" w:evenHBand="0" w:firstRowFirstColumn="0" w:firstRowLastColumn="0" w:lastRowFirstColumn="0" w:lastRowLastColumn="0"/>
          <w:trHeight w:val="1459"/>
        </w:trPr>
        <w:tc>
          <w:tcPr>
            <w:tcW w:w="5000" w:type="pct"/>
            <w:gridSpan w:val="6"/>
          </w:tcPr>
          <w:p w14:paraId="7A19DF55" w14:textId="77777777" w:rsidR="005550AF" w:rsidRPr="004B5B19" w:rsidRDefault="005550AF" w:rsidP="003B38C3">
            <w:pPr>
              <w:keepNext/>
              <w:autoSpaceDE w:val="0"/>
              <w:autoSpaceDN w:val="0"/>
              <w:adjustRightInd w:val="0"/>
              <w:jc w:val="left"/>
              <w:rPr>
                <w:rFonts w:cs="Palatino Linotype"/>
                <w:i/>
                <w:color w:val="000000"/>
                <w:sz w:val="18"/>
                <w:szCs w:val="20"/>
              </w:rPr>
            </w:pPr>
            <w:proofErr w:type="spellStart"/>
            <w:r w:rsidRPr="004B5B19">
              <w:rPr>
                <w:rFonts w:cs="Palatino Linotype"/>
                <w:i/>
                <w:color w:val="000000"/>
                <w:sz w:val="18"/>
                <w:szCs w:val="20"/>
              </w:rPr>
              <w:t>Signif</w:t>
            </w:r>
            <w:proofErr w:type="spellEnd"/>
            <w:r w:rsidRPr="004B5B19">
              <w:rPr>
                <w:rFonts w:cs="Palatino Linotype"/>
                <w:i/>
                <w:color w:val="000000"/>
                <w:sz w:val="18"/>
                <w:szCs w:val="20"/>
              </w:rPr>
              <w:t>. codes: 0 ‘***’ 0.001 ‘**’ 0.01 ‘*’ 0.05 ‘.’ 0.1 ‘ ’ 1</w:t>
            </w:r>
          </w:p>
          <w:p w14:paraId="4D99AFBF" w14:textId="77777777" w:rsidR="005550AF" w:rsidRPr="004B5B19" w:rsidRDefault="005550AF" w:rsidP="003B38C3">
            <w:pPr>
              <w:keepNext/>
              <w:autoSpaceDE w:val="0"/>
              <w:autoSpaceDN w:val="0"/>
              <w:adjustRightInd w:val="0"/>
              <w:jc w:val="left"/>
              <w:rPr>
                <w:rFonts w:cs="Palatino Linotype"/>
                <w:color w:val="000000"/>
                <w:sz w:val="18"/>
                <w:szCs w:val="20"/>
              </w:rPr>
            </w:pPr>
            <w:r w:rsidRPr="004B5B19">
              <w:rPr>
                <w:rFonts w:cs="Palatino Linotype"/>
                <w:color w:val="000000"/>
                <w:sz w:val="18"/>
                <w:szCs w:val="20"/>
              </w:rPr>
              <w:t>Residual standard error: 1.355 on 723406 degrees of freedom</w:t>
            </w:r>
          </w:p>
          <w:p w14:paraId="1BF81392" w14:textId="77777777" w:rsidR="005550AF" w:rsidRPr="004B5B19" w:rsidRDefault="005550AF" w:rsidP="003B38C3">
            <w:pPr>
              <w:keepNext/>
              <w:autoSpaceDE w:val="0"/>
              <w:autoSpaceDN w:val="0"/>
              <w:adjustRightInd w:val="0"/>
              <w:jc w:val="left"/>
              <w:rPr>
                <w:rFonts w:cs="Palatino Linotype"/>
                <w:color w:val="000000"/>
                <w:sz w:val="18"/>
                <w:szCs w:val="20"/>
              </w:rPr>
            </w:pPr>
            <w:r w:rsidRPr="004B5B19">
              <w:rPr>
                <w:rFonts w:cs="Palatino Linotype"/>
                <w:color w:val="000000"/>
                <w:sz w:val="18"/>
                <w:szCs w:val="20"/>
              </w:rPr>
              <w:t xml:space="preserve">Multiple R-squared: 0.9735, Adjusted R-squared: 0.9735 </w:t>
            </w:r>
          </w:p>
          <w:p w14:paraId="2644F1AD" w14:textId="17139212" w:rsidR="005550AF" w:rsidRPr="004B5B19" w:rsidRDefault="005550AF" w:rsidP="003B38C3">
            <w:pPr>
              <w:keepNext/>
              <w:autoSpaceDE w:val="0"/>
              <w:autoSpaceDN w:val="0"/>
              <w:adjustRightInd w:val="0"/>
              <w:jc w:val="left"/>
              <w:rPr>
                <w:rFonts w:cs="Palatino Linotype"/>
                <w:i/>
                <w:color w:val="000000"/>
                <w:sz w:val="18"/>
                <w:szCs w:val="20"/>
              </w:rPr>
            </w:pPr>
            <w:r w:rsidRPr="004B5B19">
              <w:rPr>
                <w:rFonts w:cs="Palatino Linotype"/>
                <w:color w:val="000000"/>
                <w:sz w:val="18"/>
                <w:szCs w:val="20"/>
              </w:rPr>
              <w:t>F-statistic: 1.476e+06 on 18 and 723406 DF, p-value: &lt; 2.2e-16</w:t>
            </w:r>
          </w:p>
        </w:tc>
      </w:tr>
    </w:tbl>
    <w:p w14:paraId="64800BBA" w14:textId="77777777" w:rsidR="00A9061E" w:rsidRPr="0084264B" w:rsidRDefault="00A9061E" w:rsidP="003B38C3">
      <w:pPr>
        <w:pStyle w:val="Source"/>
        <w:keepNext/>
        <w:ind w:left="0"/>
      </w:pPr>
      <w:r>
        <w:t>Source: Navigant analysis</w:t>
      </w:r>
    </w:p>
    <w:p w14:paraId="5443B451" w14:textId="77777777" w:rsidR="003B38C3" w:rsidRDefault="003B38C3">
      <w:pPr>
        <w:spacing w:line="240" w:lineRule="auto"/>
      </w:pPr>
      <w:r>
        <w:br w:type="page"/>
      </w:r>
    </w:p>
    <w:p w14:paraId="1F4ED901" w14:textId="7D6D8968" w:rsidR="00A9061E" w:rsidRDefault="003B38C3" w:rsidP="003B38C3">
      <w:pPr>
        <w:keepNext/>
      </w:pPr>
      <w:r>
        <w:lastRenderedPageBreak/>
        <w:fldChar w:fldCharType="begin"/>
      </w:r>
      <w:r>
        <w:instrText xml:space="preserve"> REF _Ref440981654 \h </w:instrText>
      </w:r>
      <w:r>
        <w:fldChar w:fldCharType="separate"/>
      </w:r>
      <w:r>
        <w:t xml:space="preserve">Table </w:t>
      </w:r>
      <w:r>
        <w:rPr>
          <w:noProof/>
        </w:rPr>
        <w:t>5</w:t>
      </w:r>
      <w:r>
        <w:noBreakHyphen/>
      </w:r>
      <w:r>
        <w:rPr>
          <w:noProof/>
        </w:rPr>
        <w:t>4</w:t>
      </w:r>
      <w:r>
        <w:fldChar w:fldCharType="end"/>
      </w:r>
      <w:r>
        <w:t xml:space="preserve"> </w:t>
      </w:r>
      <w:r w:rsidR="00A9061E">
        <w:t>shows the detailed model output for the PPR model for April 2015 to September 2015.</w:t>
      </w:r>
    </w:p>
    <w:p w14:paraId="3F348267" w14:textId="77777777" w:rsidR="005550AF" w:rsidRDefault="005550AF" w:rsidP="003B38C3">
      <w:pPr>
        <w:keepNext/>
      </w:pPr>
    </w:p>
    <w:p w14:paraId="5C7B8581" w14:textId="09BD88C6" w:rsidR="005550AF" w:rsidRDefault="005550AF" w:rsidP="003B38C3">
      <w:pPr>
        <w:pStyle w:val="Caption"/>
      </w:pPr>
      <w:bookmarkStart w:id="76" w:name="_Ref440981654"/>
      <w:bookmarkStart w:id="77" w:name="_Toc441752607"/>
      <w:r>
        <w:t xml:space="preserve">Table </w:t>
      </w:r>
      <w:r w:rsidR="00851D29">
        <w:fldChar w:fldCharType="begin"/>
      </w:r>
      <w:r w:rsidR="00851D29">
        <w:instrText xml:space="preserve"> STYLEREF 1 \s </w:instrText>
      </w:r>
      <w:r w:rsidR="00851D29">
        <w:fldChar w:fldCharType="separate"/>
      </w:r>
      <w:r w:rsidR="003B38C3">
        <w:rPr>
          <w:noProof/>
        </w:rPr>
        <w:t>5</w:t>
      </w:r>
      <w:r w:rsidR="00851D29">
        <w:rPr>
          <w:noProof/>
        </w:rPr>
        <w:fldChar w:fldCharType="end"/>
      </w:r>
      <w:r>
        <w:noBreakHyphen/>
      </w:r>
      <w:r w:rsidR="00851D29">
        <w:fldChar w:fldCharType="begin"/>
      </w:r>
      <w:r w:rsidR="00851D29">
        <w:instrText xml:space="preserve"> SEQ Table \* ARABIC \s 1 </w:instrText>
      </w:r>
      <w:r w:rsidR="00851D29">
        <w:fldChar w:fldCharType="separate"/>
      </w:r>
      <w:r w:rsidR="003B38C3">
        <w:rPr>
          <w:noProof/>
        </w:rPr>
        <w:t>4</w:t>
      </w:r>
      <w:r w:rsidR="00851D29">
        <w:rPr>
          <w:noProof/>
        </w:rPr>
        <w:fldChar w:fldCharType="end"/>
      </w:r>
      <w:bookmarkEnd w:id="76"/>
      <w:r>
        <w:t>. PPR Detailed Model Output: April 2015 – September 2015</w:t>
      </w:r>
      <w:bookmarkEnd w:id="77"/>
    </w:p>
    <w:tbl>
      <w:tblPr>
        <w:tblStyle w:val="EnergyTable"/>
        <w:tblW w:w="0" w:type="auto"/>
        <w:tblLook w:val="04A0" w:firstRow="1" w:lastRow="0" w:firstColumn="1" w:lastColumn="0" w:noHBand="0" w:noVBand="1"/>
      </w:tblPr>
      <w:tblGrid>
        <w:gridCol w:w="2127"/>
        <w:gridCol w:w="1457"/>
        <w:gridCol w:w="1417"/>
        <w:gridCol w:w="1420"/>
        <w:gridCol w:w="1431"/>
        <w:gridCol w:w="1436"/>
      </w:tblGrid>
      <w:tr w:rsidR="000B26EA" w14:paraId="4F51B809" w14:textId="77777777" w:rsidTr="000B26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60E3E527" w14:textId="77777777" w:rsidR="000B26EA" w:rsidRDefault="000B26EA" w:rsidP="003B38C3">
            <w:pPr>
              <w:keepNext/>
            </w:pPr>
          </w:p>
        </w:tc>
        <w:tc>
          <w:tcPr>
            <w:tcW w:w="1457" w:type="dxa"/>
          </w:tcPr>
          <w:p w14:paraId="21DAF7B0" w14:textId="791572CA" w:rsidR="000B26EA" w:rsidRDefault="000B26EA" w:rsidP="003B38C3">
            <w:pPr>
              <w:keepNext/>
              <w:cnfStyle w:val="100000000000" w:firstRow="1" w:lastRow="0" w:firstColumn="0" w:lastColumn="0" w:oddVBand="0" w:evenVBand="0" w:oddHBand="0" w:evenHBand="0" w:firstRowFirstColumn="0" w:firstRowLastColumn="0" w:lastRowFirstColumn="0" w:lastRowLastColumn="0"/>
            </w:pPr>
            <w:r w:rsidRPr="004B5B19">
              <w:rPr>
                <w:rFonts w:cs="Palatino Linotype"/>
                <w:sz w:val="18"/>
                <w:szCs w:val="20"/>
              </w:rPr>
              <w:t>Estimate</w:t>
            </w:r>
          </w:p>
        </w:tc>
        <w:tc>
          <w:tcPr>
            <w:tcW w:w="1417" w:type="dxa"/>
          </w:tcPr>
          <w:p w14:paraId="685CF1B4" w14:textId="46E1A818" w:rsidR="000B26EA" w:rsidRDefault="000B26EA" w:rsidP="003B38C3">
            <w:pPr>
              <w:keepNext/>
              <w:cnfStyle w:val="100000000000" w:firstRow="1" w:lastRow="0" w:firstColumn="0" w:lastColumn="0" w:oddVBand="0" w:evenVBand="0" w:oddHBand="0" w:evenHBand="0" w:firstRowFirstColumn="0" w:firstRowLastColumn="0" w:lastRowFirstColumn="0" w:lastRowLastColumn="0"/>
            </w:pPr>
            <w:r>
              <w:t>Std. Error</w:t>
            </w:r>
          </w:p>
        </w:tc>
        <w:tc>
          <w:tcPr>
            <w:tcW w:w="1420" w:type="dxa"/>
          </w:tcPr>
          <w:p w14:paraId="50B16D44" w14:textId="59FA6C2C" w:rsidR="000B26EA" w:rsidRDefault="000B26EA" w:rsidP="003B38C3">
            <w:pPr>
              <w:keepNext/>
              <w:cnfStyle w:val="100000000000" w:firstRow="1" w:lastRow="0" w:firstColumn="0" w:lastColumn="0" w:oddVBand="0" w:evenVBand="0" w:oddHBand="0" w:evenHBand="0" w:firstRowFirstColumn="0" w:firstRowLastColumn="0" w:lastRowFirstColumn="0" w:lastRowLastColumn="0"/>
            </w:pPr>
            <w:r>
              <w:t>t-value</w:t>
            </w:r>
          </w:p>
        </w:tc>
        <w:tc>
          <w:tcPr>
            <w:tcW w:w="1431" w:type="dxa"/>
          </w:tcPr>
          <w:p w14:paraId="41B9B29A" w14:textId="5A098B1D" w:rsidR="000B26EA" w:rsidRDefault="000B26EA" w:rsidP="003B38C3">
            <w:pPr>
              <w:keepNext/>
              <w:cnfStyle w:val="100000000000" w:firstRow="1" w:lastRow="0" w:firstColumn="0" w:lastColumn="0" w:oddVBand="0" w:evenVBand="0" w:oddHBand="0" w:evenHBand="0" w:firstRowFirstColumn="0" w:firstRowLastColumn="0" w:lastRowFirstColumn="0" w:lastRowLastColumn="0"/>
            </w:pPr>
            <w:proofErr w:type="spellStart"/>
            <w:r w:rsidRPr="004B5B19">
              <w:rPr>
                <w:rFonts w:cs="Palatino Linotype"/>
                <w:sz w:val="18"/>
                <w:szCs w:val="20"/>
              </w:rPr>
              <w:t>Pr</w:t>
            </w:r>
            <w:proofErr w:type="spellEnd"/>
            <w:r w:rsidRPr="004B5B19">
              <w:rPr>
                <w:rFonts w:cs="Palatino Linotype"/>
                <w:sz w:val="18"/>
                <w:szCs w:val="20"/>
              </w:rPr>
              <w:t>(&gt;|t|)</w:t>
            </w:r>
          </w:p>
        </w:tc>
        <w:tc>
          <w:tcPr>
            <w:tcW w:w="1436" w:type="dxa"/>
          </w:tcPr>
          <w:p w14:paraId="0C05A32D" w14:textId="3B2ACCA6" w:rsidR="000B26EA" w:rsidRDefault="000B26EA" w:rsidP="003B38C3">
            <w:pPr>
              <w:keepNext/>
              <w:cnfStyle w:val="100000000000" w:firstRow="1" w:lastRow="0" w:firstColumn="0" w:lastColumn="0" w:oddVBand="0" w:evenVBand="0" w:oddHBand="0" w:evenHBand="0" w:firstRowFirstColumn="0" w:firstRowLastColumn="0" w:lastRowFirstColumn="0" w:lastRowLastColumn="0"/>
            </w:pPr>
            <w:proofErr w:type="spellStart"/>
            <w:r>
              <w:t>Signif</w:t>
            </w:r>
            <w:proofErr w:type="spellEnd"/>
            <w:r>
              <w:t>.</w:t>
            </w:r>
          </w:p>
        </w:tc>
      </w:tr>
      <w:tr w:rsidR="000B26EA" w14:paraId="4AC8049B" w14:textId="77777777" w:rsidTr="000B26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vAlign w:val="top"/>
          </w:tcPr>
          <w:p w14:paraId="4D80E952" w14:textId="78D92D50" w:rsidR="000B26EA" w:rsidRDefault="000B26EA" w:rsidP="003B38C3">
            <w:pPr>
              <w:keepNext/>
              <w:jc w:val="left"/>
            </w:pPr>
            <w:r w:rsidRPr="004B5B19">
              <w:rPr>
                <w:sz w:val="18"/>
                <w:szCs w:val="20"/>
              </w:rPr>
              <w:t>treatment</w:t>
            </w:r>
          </w:p>
        </w:tc>
        <w:tc>
          <w:tcPr>
            <w:tcW w:w="1457" w:type="dxa"/>
            <w:vAlign w:val="top"/>
          </w:tcPr>
          <w:p w14:paraId="6583DD02" w14:textId="7BC36AEF" w:rsidR="000B26EA" w:rsidRDefault="000B26EA" w:rsidP="003B38C3">
            <w:pPr>
              <w:keepNext/>
              <w:cnfStyle w:val="000000100000" w:firstRow="0" w:lastRow="0" w:firstColumn="0" w:lastColumn="0" w:oddVBand="0" w:evenVBand="0" w:oddHBand="1" w:evenHBand="0" w:firstRowFirstColumn="0" w:firstRowLastColumn="0" w:lastRowFirstColumn="0" w:lastRowLastColumn="0"/>
            </w:pPr>
            <w:r w:rsidRPr="004B5B19">
              <w:rPr>
                <w:sz w:val="18"/>
                <w:szCs w:val="20"/>
              </w:rPr>
              <w:t>-0.009598</w:t>
            </w:r>
          </w:p>
        </w:tc>
        <w:tc>
          <w:tcPr>
            <w:tcW w:w="1417" w:type="dxa"/>
            <w:vAlign w:val="top"/>
          </w:tcPr>
          <w:p w14:paraId="0EC276FD" w14:textId="12EA4FF5" w:rsidR="000B26EA" w:rsidRDefault="000B26EA" w:rsidP="003B38C3">
            <w:pPr>
              <w:keepNext/>
              <w:cnfStyle w:val="000000100000" w:firstRow="0" w:lastRow="0" w:firstColumn="0" w:lastColumn="0" w:oddVBand="0" w:evenVBand="0" w:oddHBand="1" w:evenHBand="0" w:firstRowFirstColumn="0" w:firstRowLastColumn="0" w:lastRowFirstColumn="0" w:lastRowLastColumn="0"/>
            </w:pPr>
            <w:r w:rsidRPr="004B5B19">
              <w:rPr>
                <w:sz w:val="18"/>
                <w:szCs w:val="20"/>
              </w:rPr>
              <w:t>0.004255</w:t>
            </w:r>
          </w:p>
        </w:tc>
        <w:tc>
          <w:tcPr>
            <w:tcW w:w="1420" w:type="dxa"/>
            <w:vAlign w:val="top"/>
          </w:tcPr>
          <w:p w14:paraId="555B728B" w14:textId="420A2AAB" w:rsidR="000B26EA" w:rsidRDefault="000B26EA" w:rsidP="003B38C3">
            <w:pPr>
              <w:keepNext/>
              <w:cnfStyle w:val="000000100000" w:firstRow="0" w:lastRow="0" w:firstColumn="0" w:lastColumn="0" w:oddVBand="0" w:evenVBand="0" w:oddHBand="1" w:evenHBand="0" w:firstRowFirstColumn="0" w:firstRowLastColumn="0" w:lastRowFirstColumn="0" w:lastRowLastColumn="0"/>
            </w:pPr>
            <w:r w:rsidRPr="004B5B19">
              <w:rPr>
                <w:sz w:val="18"/>
                <w:szCs w:val="20"/>
              </w:rPr>
              <w:t>-2.255892</w:t>
            </w:r>
          </w:p>
        </w:tc>
        <w:tc>
          <w:tcPr>
            <w:tcW w:w="1431" w:type="dxa"/>
            <w:vAlign w:val="top"/>
          </w:tcPr>
          <w:p w14:paraId="304625E6" w14:textId="1B13B299" w:rsidR="000B26EA" w:rsidRDefault="000B26EA" w:rsidP="003B38C3">
            <w:pPr>
              <w:keepNext/>
              <w:cnfStyle w:val="000000100000" w:firstRow="0" w:lastRow="0" w:firstColumn="0" w:lastColumn="0" w:oddVBand="0" w:evenVBand="0" w:oddHBand="1" w:evenHBand="0" w:firstRowFirstColumn="0" w:firstRowLastColumn="0" w:lastRowFirstColumn="0" w:lastRowLastColumn="0"/>
            </w:pPr>
            <w:r w:rsidRPr="004B5B19">
              <w:rPr>
                <w:sz w:val="18"/>
                <w:szCs w:val="20"/>
              </w:rPr>
              <w:t>0.024077</w:t>
            </w:r>
          </w:p>
        </w:tc>
        <w:tc>
          <w:tcPr>
            <w:tcW w:w="1436" w:type="dxa"/>
          </w:tcPr>
          <w:p w14:paraId="0E28B582" w14:textId="5DB74E34" w:rsidR="000B26EA" w:rsidRDefault="000B26EA" w:rsidP="003B38C3">
            <w:pPr>
              <w:keepNext/>
              <w:cnfStyle w:val="000000100000" w:firstRow="0" w:lastRow="0" w:firstColumn="0" w:lastColumn="0" w:oddVBand="0" w:evenVBand="0" w:oddHBand="1" w:evenHBand="0" w:firstRowFirstColumn="0" w:firstRowLastColumn="0" w:lastRowFirstColumn="0" w:lastRowLastColumn="0"/>
            </w:pPr>
            <w:r w:rsidRPr="004B5B19">
              <w:rPr>
                <w:rFonts w:cs="Palatino Linotype"/>
                <w:color w:val="000000"/>
                <w:sz w:val="18"/>
                <w:szCs w:val="20"/>
              </w:rPr>
              <w:t>.</w:t>
            </w:r>
          </w:p>
        </w:tc>
      </w:tr>
      <w:tr w:rsidR="000B26EA" w14:paraId="2B64D8B8" w14:textId="77777777" w:rsidTr="000B26E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vAlign w:val="top"/>
          </w:tcPr>
          <w:p w14:paraId="766599FA" w14:textId="3EAC3C57" w:rsidR="000B26EA" w:rsidRDefault="000B26EA" w:rsidP="003B38C3">
            <w:pPr>
              <w:keepNext/>
              <w:jc w:val="left"/>
            </w:pPr>
            <w:r w:rsidRPr="004B5B19">
              <w:rPr>
                <w:sz w:val="18"/>
                <w:szCs w:val="20"/>
              </w:rPr>
              <w:t>yrmo201504</w:t>
            </w:r>
          </w:p>
        </w:tc>
        <w:tc>
          <w:tcPr>
            <w:tcW w:w="1457" w:type="dxa"/>
            <w:vAlign w:val="top"/>
          </w:tcPr>
          <w:p w14:paraId="32D10CB3" w14:textId="5C400AB0" w:rsidR="000B26EA" w:rsidRDefault="000B26EA" w:rsidP="003B38C3">
            <w:pPr>
              <w:keepNext/>
              <w:cnfStyle w:val="000000010000" w:firstRow="0" w:lastRow="0" w:firstColumn="0" w:lastColumn="0" w:oddVBand="0" w:evenVBand="0" w:oddHBand="0" w:evenHBand="1" w:firstRowFirstColumn="0" w:firstRowLastColumn="0" w:lastRowFirstColumn="0" w:lastRowLastColumn="0"/>
            </w:pPr>
            <w:r w:rsidRPr="004B5B19">
              <w:rPr>
                <w:sz w:val="18"/>
                <w:szCs w:val="20"/>
              </w:rPr>
              <w:t>0.5104526</w:t>
            </w:r>
          </w:p>
        </w:tc>
        <w:tc>
          <w:tcPr>
            <w:tcW w:w="1417" w:type="dxa"/>
            <w:vAlign w:val="top"/>
          </w:tcPr>
          <w:p w14:paraId="18E0F2B1" w14:textId="1FE6EE10" w:rsidR="000B26EA" w:rsidRDefault="000B26EA" w:rsidP="003B38C3">
            <w:pPr>
              <w:keepNext/>
              <w:cnfStyle w:val="000000010000" w:firstRow="0" w:lastRow="0" w:firstColumn="0" w:lastColumn="0" w:oddVBand="0" w:evenVBand="0" w:oddHBand="0" w:evenHBand="1" w:firstRowFirstColumn="0" w:firstRowLastColumn="0" w:lastRowFirstColumn="0" w:lastRowLastColumn="0"/>
            </w:pPr>
            <w:r w:rsidRPr="004B5B19">
              <w:rPr>
                <w:sz w:val="18"/>
                <w:szCs w:val="20"/>
              </w:rPr>
              <w:t>0.021415</w:t>
            </w:r>
          </w:p>
        </w:tc>
        <w:tc>
          <w:tcPr>
            <w:tcW w:w="1420" w:type="dxa"/>
            <w:vAlign w:val="top"/>
          </w:tcPr>
          <w:p w14:paraId="08CB249B" w14:textId="79479368" w:rsidR="000B26EA" w:rsidRDefault="000B26EA" w:rsidP="003B38C3">
            <w:pPr>
              <w:keepNext/>
              <w:cnfStyle w:val="000000010000" w:firstRow="0" w:lastRow="0" w:firstColumn="0" w:lastColumn="0" w:oddVBand="0" w:evenVBand="0" w:oddHBand="0" w:evenHBand="1" w:firstRowFirstColumn="0" w:firstRowLastColumn="0" w:lastRowFirstColumn="0" w:lastRowLastColumn="0"/>
            </w:pPr>
            <w:r w:rsidRPr="004B5B19">
              <w:rPr>
                <w:sz w:val="18"/>
                <w:szCs w:val="20"/>
              </w:rPr>
              <w:t>23.835787</w:t>
            </w:r>
          </w:p>
        </w:tc>
        <w:tc>
          <w:tcPr>
            <w:tcW w:w="1431" w:type="dxa"/>
            <w:vAlign w:val="top"/>
          </w:tcPr>
          <w:p w14:paraId="7447F98A" w14:textId="49EEF471" w:rsidR="000B26EA" w:rsidRDefault="000B26EA" w:rsidP="003B38C3">
            <w:pPr>
              <w:keepNext/>
              <w:cnfStyle w:val="000000010000" w:firstRow="0" w:lastRow="0" w:firstColumn="0" w:lastColumn="0" w:oddVBand="0" w:evenVBand="0" w:oddHBand="0" w:evenHBand="1" w:firstRowFirstColumn="0" w:firstRowLastColumn="0" w:lastRowFirstColumn="0" w:lastRowLastColumn="0"/>
            </w:pPr>
            <w:r w:rsidRPr="004B5B19">
              <w:rPr>
                <w:sz w:val="18"/>
                <w:szCs w:val="20"/>
              </w:rPr>
              <w:t>1.5E-125</w:t>
            </w:r>
          </w:p>
        </w:tc>
        <w:tc>
          <w:tcPr>
            <w:tcW w:w="1436" w:type="dxa"/>
          </w:tcPr>
          <w:p w14:paraId="083D1BEC" w14:textId="6F247009" w:rsidR="000B26EA" w:rsidRDefault="000B26EA" w:rsidP="003B38C3">
            <w:pPr>
              <w:keepNext/>
              <w:cnfStyle w:val="000000010000" w:firstRow="0" w:lastRow="0" w:firstColumn="0" w:lastColumn="0" w:oddVBand="0" w:evenVBand="0" w:oddHBand="0" w:evenHBand="1" w:firstRowFirstColumn="0" w:firstRowLastColumn="0" w:lastRowFirstColumn="0" w:lastRowLastColumn="0"/>
            </w:pPr>
            <w:r w:rsidRPr="004B5B19">
              <w:rPr>
                <w:rFonts w:cs="Palatino Linotype"/>
                <w:color w:val="000000"/>
                <w:sz w:val="18"/>
                <w:szCs w:val="20"/>
              </w:rPr>
              <w:t>***</w:t>
            </w:r>
          </w:p>
        </w:tc>
      </w:tr>
      <w:tr w:rsidR="000B26EA" w14:paraId="7947AF99" w14:textId="77777777" w:rsidTr="000B26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vAlign w:val="top"/>
          </w:tcPr>
          <w:p w14:paraId="56DAD638" w14:textId="7093AD32" w:rsidR="000B26EA" w:rsidRDefault="000B26EA" w:rsidP="003B38C3">
            <w:pPr>
              <w:keepNext/>
              <w:jc w:val="left"/>
            </w:pPr>
            <w:r w:rsidRPr="004B5B19">
              <w:rPr>
                <w:sz w:val="18"/>
                <w:szCs w:val="20"/>
              </w:rPr>
              <w:t>yrmo201505</w:t>
            </w:r>
          </w:p>
        </w:tc>
        <w:tc>
          <w:tcPr>
            <w:tcW w:w="1457" w:type="dxa"/>
            <w:vAlign w:val="top"/>
          </w:tcPr>
          <w:p w14:paraId="24591835" w14:textId="63EAF311" w:rsidR="000B26EA" w:rsidRDefault="000B26EA" w:rsidP="003B38C3">
            <w:pPr>
              <w:keepNext/>
              <w:cnfStyle w:val="000000100000" w:firstRow="0" w:lastRow="0" w:firstColumn="0" w:lastColumn="0" w:oddVBand="0" w:evenVBand="0" w:oddHBand="1" w:evenHBand="0" w:firstRowFirstColumn="0" w:firstRowLastColumn="0" w:lastRowFirstColumn="0" w:lastRowLastColumn="0"/>
            </w:pPr>
            <w:r w:rsidRPr="004B5B19">
              <w:rPr>
                <w:sz w:val="18"/>
                <w:szCs w:val="20"/>
              </w:rPr>
              <w:t>0.4708511</w:t>
            </w:r>
          </w:p>
        </w:tc>
        <w:tc>
          <w:tcPr>
            <w:tcW w:w="1417" w:type="dxa"/>
            <w:vAlign w:val="top"/>
          </w:tcPr>
          <w:p w14:paraId="09027862" w14:textId="477BBF4C" w:rsidR="000B26EA" w:rsidRDefault="000B26EA" w:rsidP="003B38C3">
            <w:pPr>
              <w:keepNext/>
              <w:cnfStyle w:val="000000100000" w:firstRow="0" w:lastRow="0" w:firstColumn="0" w:lastColumn="0" w:oddVBand="0" w:evenVBand="0" w:oddHBand="1" w:evenHBand="0" w:firstRowFirstColumn="0" w:firstRowLastColumn="0" w:lastRowFirstColumn="0" w:lastRowLastColumn="0"/>
            </w:pPr>
            <w:r w:rsidRPr="004B5B19">
              <w:rPr>
                <w:sz w:val="18"/>
                <w:szCs w:val="20"/>
              </w:rPr>
              <w:t>0.019796</w:t>
            </w:r>
          </w:p>
        </w:tc>
        <w:tc>
          <w:tcPr>
            <w:tcW w:w="1420" w:type="dxa"/>
            <w:vAlign w:val="top"/>
          </w:tcPr>
          <w:p w14:paraId="3ED0F3E2" w14:textId="7166A491" w:rsidR="000B26EA" w:rsidRDefault="000B26EA" w:rsidP="003B38C3">
            <w:pPr>
              <w:keepNext/>
              <w:cnfStyle w:val="000000100000" w:firstRow="0" w:lastRow="0" w:firstColumn="0" w:lastColumn="0" w:oddVBand="0" w:evenVBand="0" w:oddHBand="1" w:evenHBand="0" w:firstRowFirstColumn="0" w:firstRowLastColumn="0" w:lastRowFirstColumn="0" w:lastRowLastColumn="0"/>
            </w:pPr>
            <w:r w:rsidRPr="004B5B19">
              <w:rPr>
                <w:sz w:val="18"/>
                <w:szCs w:val="20"/>
              </w:rPr>
              <w:t>23.785007</w:t>
            </w:r>
          </w:p>
        </w:tc>
        <w:tc>
          <w:tcPr>
            <w:tcW w:w="1431" w:type="dxa"/>
            <w:vAlign w:val="top"/>
          </w:tcPr>
          <w:p w14:paraId="71290C5A" w14:textId="09C44657" w:rsidR="000B26EA" w:rsidRDefault="000B26EA" w:rsidP="003B38C3">
            <w:pPr>
              <w:keepNext/>
              <w:cnfStyle w:val="000000100000" w:firstRow="0" w:lastRow="0" w:firstColumn="0" w:lastColumn="0" w:oddVBand="0" w:evenVBand="0" w:oddHBand="1" w:evenHBand="0" w:firstRowFirstColumn="0" w:firstRowLastColumn="0" w:lastRowFirstColumn="0" w:lastRowLastColumn="0"/>
            </w:pPr>
            <w:r w:rsidRPr="004B5B19">
              <w:rPr>
                <w:sz w:val="18"/>
                <w:szCs w:val="20"/>
              </w:rPr>
              <w:t>5.2E-125</w:t>
            </w:r>
          </w:p>
        </w:tc>
        <w:tc>
          <w:tcPr>
            <w:tcW w:w="1436" w:type="dxa"/>
          </w:tcPr>
          <w:p w14:paraId="4ECBBE13" w14:textId="49CB2E3A" w:rsidR="000B26EA" w:rsidRDefault="000B26EA" w:rsidP="003B38C3">
            <w:pPr>
              <w:keepNext/>
              <w:cnfStyle w:val="000000100000" w:firstRow="0" w:lastRow="0" w:firstColumn="0" w:lastColumn="0" w:oddVBand="0" w:evenVBand="0" w:oddHBand="1" w:evenHBand="0" w:firstRowFirstColumn="0" w:firstRowLastColumn="0" w:lastRowFirstColumn="0" w:lastRowLastColumn="0"/>
            </w:pPr>
            <w:r w:rsidRPr="004B5B19">
              <w:rPr>
                <w:rFonts w:cs="Palatino Linotype"/>
                <w:color w:val="000000"/>
                <w:sz w:val="18"/>
                <w:szCs w:val="20"/>
              </w:rPr>
              <w:t>***</w:t>
            </w:r>
          </w:p>
        </w:tc>
      </w:tr>
      <w:tr w:rsidR="000B26EA" w14:paraId="5E71D7A5" w14:textId="77777777" w:rsidTr="000B26E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vAlign w:val="top"/>
          </w:tcPr>
          <w:p w14:paraId="4E287279" w14:textId="6C683DF7" w:rsidR="000B26EA" w:rsidRDefault="000B26EA" w:rsidP="003B38C3">
            <w:pPr>
              <w:keepNext/>
              <w:jc w:val="left"/>
            </w:pPr>
            <w:r w:rsidRPr="004B5B19">
              <w:rPr>
                <w:sz w:val="18"/>
                <w:szCs w:val="20"/>
              </w:rPr>
              <w:t>yrmo201506</w:t>
            </w:r>
          </w:p>
        </w:tc>
        <w:tc>
          <w:tcPr>
            <w:tcW w:w="1457" w:type="dxa"/>
            <w:vAlign w:val="top"/>
          </w:tcPr>
          <w:p w14:paraId="00BC6966" w14:textId="12B950DF" w:rsidR="000B26EA" w:rsidRDefault="000B26EA" w:rsidP="003B38C3">
            <w:pPr>
              <w:keepNext/>
              <w:cnfStyle w:val="000000010000" w:firstRow="0" w:lastRow="0" w:firstColumn="0" w:lastColumn="0" w:oddVBand="0" w:evenVBand="0" w:oddHBand="0" w:evenHBand="1" w:firstRowFirstColumn="0" w:firstRowLastColumn="0" w:lastRowFirstColumn="0" w:lastRowLastColumn="0"/>
            </w:pPr>
            <w:r w:rsidRPr="004B5B19">
              <w:rPr>
                <w:sz w:val="18"/>
                <w:szCs w:val="20"/>
              </w:rPr>
              <w:t>0.4166791</w:t>
            </w:r>
          </w:p>
        </w:tc>
        <w:tc>
          <w:tcPr>
            <w:tcW w:w="1417" w:type="dxa"/>
            <w:vAlign w:val="top"/>
          </w:tcPr>
          <w:p w14:paraId="57240E93" w14:textId="6A6040C5" w:rsidR="000B26EA" w:rsidRDefault="000B26EA" w:rsidP="003B38C3">
            <w:pPr>
              <w:keepNext/>
              <w:cnfStyle w:val="000000010000" w:firstRow="0" w:lastRow="0" w:firstColumn="0" w:lastColumn="0" w:oddVBand="0" w:evenVBand="0" w:oddHBand="0" w:evenHBand="1" w:firstRowFirstColumn="0" w:firstRowLastColumn="0" w:lastRowFirstColumn="0" w:lastRowLastColumn="0"/>
            </w:pPr>
            <w:r w:rsidRPr="004B5B19">
              <w:rPr>
                <w:sz w:val="18"/>
                <w:szCs w:val="20"/>
              </w:rPr>
              <w:t>0.0118506</w:t>
            </w:r>
          </w:p>
        </w:tc>
        <w:tc>
          <w:tcPr>
            <w:tcW w:w="1420" w:type="dxa"/>
            <w:vAlign w:val="top"/>
          </w:tcPr>
          <w:p w14:paraId="1D4FF0CD" w14:textId="09A1A388" w:rsidR="000B26EA" w:rsidRDefault="000B26EA" w:rsidP="003B38C3">
            <w:pPr>
              <w:keepNext/>
              <w:cnfStyle w:val="000000010000" w:firstRow="0" w:lastRow="0" w:firstColumn="0" w:lastColumn="0" w:oddVBand="0" w:evenVBand="0" w:oddHBand="0" w:evenHBand="1" w:firstRowFirstColumn="0" w:firstRowLastColumn="0" w:lastRowFirstColumn="0" w:lastRowLastColumn="0"/>
            </w:pPr>
            <w:r w:rsidRPr="004B5B19">
              <w:rPr>
                <w:sz w:val="18"/>
                <w:szCs w:val="20"/>
              </w:rPr>
              <w:t>35.160850</w:t>
            </w:r>
          </w:p>
        </w:tc>
        <w:tc>
          <w:tcPr>
            <w:tcW w:w="1431" w:type="dxa"/>
            <w:vAlign w:val="top"/>
          </w:tcPr>
          <w:p w14:paraId="1ED5ADC9" w14:textId="190B4358" w:rsidR="000B26EA" w:rsidRDefault="000B26EA" w:rsidP="003B38C3">
            <w:pPr>
              <w:keepNext/>
              <w:cnfStyle w:val="000000010000" w:firstRow="0" w:lastRow="0" w:firstColumn="0" w:lastColumn="0" w:oddVBand="0" w:evenVBand="0" w:oddHBand="0" w:evenHBand="1" w:firstRowFirstColumn="0" w:firstRowLastColumn="0" w:lastRowFirstColumn="0" w:lastRowLastColumn="0"/>
            </w:pPr>
            <w:r w:rsidRPr="004B5B19">
              <w:rPr>
                <w:sz w:val="18"/>
                <w:szCs w:val="20"/>
              </w:rPr>
              <w:t>1.2E-270</w:t>
            </w:r>
          </w:p>
        </w:tc>
        <w:tc>
          <w:tcPr>
            <w:tcW w:w="1436" w:type="dxa"/>
          </w:tcPr>
          <w:p w14:paraId="0678AC2C" w14:textId="60233D84" w:rsidR="000B26EA" w:rsidRDefault="000B26EA" w:rsidP="003B38C3">
            <w:pPr>
              <w:keepNext/>
              <w:cnfStyle w:val="000000010000" w:firstRow="0" w:lastRow="0" w:firstColumn="0" w:lastColumn="0" w:oddVBand="0" w:evenVBand="0" w:oddHBand="0" w:evenHBand="1" w:firstRowFirstColumn="0" w:firstRowLastColumn="0" w:lastRowFirstColumn="0" w:lastRowLastColumn="0"/>
            </w:pPr>
            <w:r w:rsidRPr="004B5B19">
              <w:rPr>
                <w:rFonts w:cs="Palatino Linotype"/>
                <w:color w:val="000000"/>
                <w:sz w:val="18"/>
                <w:szCs w:val="20"/>
              </w:rPr>
              <w:t>***</w:t>
            </w:r>
          </w:p>
        </w:tc>
      </w:tr>
      <w:tr w:rsidR="000B26EA" w14:paraId="2C0CDB8D" w14:textId="77777777" w:rsidTr="000B26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vAlign w:val="top"/>
          </w:tcPr>
          <w:p w14:paraId="506AAF9B" w14:textId="761E0EA9" w:rsidR="000B26EA" w:rsidRDefault="000B26EA" w:rsidP="003B38C3">
            <w:pPr>
              <w:keepNext/>
              <w:jc w:val="left"/>
            </w:pPr>
            <w:r w:rsidRPr="004B5B19">
              <w:rPr>
                <w:sz w:val="18"/>
                <w:szCs w:val="20"/>
              </w:rPr>
              <w:t>yrmo201507</w:t>
            </w:r>
          </w:p>
        </w:tc>
        <w:tc>
          <w:tcPr>
            <w:tcW w:w="1457" w:type="dxa"/>
            <w:vAlign w:val="top"/>
          </w:tcPr>
          <w:p w14:paraId="27DF9EE8" w14:textId="42FBD3C9" w:rsidR="000B26EA" w:rsidRDefault="000B26EA" w:rsidP="003B38C3">
            <w:pPr>
              <w:keepNext/>
              <w:cnfStyle w:val="000000100000" w:firstRow="0" w:lastRow="0" w:firstColumn="0" w:lastColumn="0" w:oddVBand="0" w:evenVBand="0" w:oddHBand="1" w:evenHBand="0" w:firstRowFirstColumn="0" w:firstRowLastColumn="0" w:lastRowFirstColumn="0" w:lastRowLastColumn="0"/>
            </w:pPr>
            <w:r w:rsidRPr="004B5B19">
              <w:rPr>
                <w:sz w:val="18"/>
                <w:szCs w:val="20"/>
              </w:rPr>
              <w:t>0.1605291</w:t>
            </w:r>
          </w:p>
        </w:tc>
        <w:tc>
          <w:tcPr>
            <w:tcW w:w="1417" w:type="dxa"/>
            <w:vAlign w:val="top"/>
          </w:tcPr>
          <w:p w14:paraId="48DFFCB4" w14:textId="51F88FE6" w:rsidR="000B26EA" w:rsidRDefault="000B26EA" w:rsidP="003B38C3">
            <w:pPr>
              <w:keepNext/>
              <w:cnfStyle w:val="000000100000" w:firstRow="0" w:lastRow="0" w:firstColumn="0" w:lastColumn="0" w:oddVBand="0" w:evenVBand="0" w:oddHBand="1" w:evenHBand="0" w:firstRowFirstColumn="0" w:firstRowLastColumn="0" w:lastRowFirstColumn="0" w:lastRowLastColumn="0"/>
            </w:pPr>
            <w:r w:rsidRPr="004B5B19">
              <w:rPr>
                <w:sz w:val="18"/>
                <w:szCs w:val="20"/>
              </w:rPr>
              <w:t>0.0110367</w:t>
            </w:r>
          </w:p>
        </w:tc>
        <w:tc>
          <w:tcPr>
            <w:tcW w:w="1420" w:type="dxa"/>
            <w:vAlign w:val="top"/>
          </w:tcPr>
          <w:p w14:paraId="53EE57BC" w14:textId="47B54824" w:rsidR="000B26EA" w:rsidRDefault="000B26EA" w:rsidP="003B38C3">
            <w:pPr>
              <w:keepNext/>
              <w:cnfStyle w:val="000000100000" w:firstRow="0" w:lastRow="0" w:firstColumn="0" w:lastColumn="0" w:oddVBand="0" w:evenVBand="0" w:oddHBand="1" w:evenHBand="0" w:firstRowFirstColumn="0" w:firstRowLastColumn="0" w:lastRowFirstColumn="0" w:lastRowLastColumn="0"/>
            </w:pPr>
            <w:r w:rsidRPr="004B5B19">
              <w:rPr>
                <w:sz w:val="18"/>
                <w:szCs w:val="20"/>
              </w:rPr>
              <w:t>14.544975</w:t>
            </w:r>
          </w:p>
        </w:tc>
        <w:tc>
          <w:tcPr>
            <w:tcW w:w="1431" w:type="dxa"/>
            <w:vAlign w:val="top"/>
          </w:tcPr>
          <w:p w14:paraId="79A8B909" w14:textId="109D61E6" w:rsidR="000B26EA" w:rsidRDefault="000B26EA" w:rsidP="003B38C3">
            <w:pPr>
              <w:keepNext/>
              <w:cnfStyle w:val="000000100000" w:firstRow="0" w:lastRow="0" w:firstColumn="0" w:lastColumn="0" w:oddVBand="0" w:evenVBand="0" w:oddHBand="1" w:evenHBand="0" w:firstRowFirstColumn="0" w:firstRowLastColumn="0" w:lastRowFirstColumn="0" w:lastRowLastColumn="0"/>
            </w:pPr>
            <w:r w:rsidRPr="004B5B19">
              <w:rPr>
                <w:sz w:val="18"/>
                <w:szCs w:val="20"/>
              </w:rPr>
              <w:t>6.3E-48</w:t>
            </w:r>
          </w:p>
        </w:tc>
        <w:tc>
          <w:tcPr>
            <w:tcW w:w="1436" w:type="dxa"/>
          </w:tcPr>
          <w:p w14:paraId="58CF8421" w14:textId="00C17FB6" w:rsidR="000B26EA" w:rsidRDefault="000B26EA" w:rsidP="003B38C3">
            <w:pPr>
              <w:keepNext/>
              <w:cnfStyle w:val="000000100000" w:firstRow="0" w:lastRow="0" w:firstColumn="0" w:lastColumn="0" w:oddVBand="0" w:evenVBand="0" w:oddHBand="1" w:evenHBand="0" w:firstRowFirstColumn="0" w:firstRowLastColumn="0" w:lastRowFirstColumn="0" w:lastRowLastColumn="0"/>
            </w:pPr>
            <w:r w:rsidRPr="004B5B19">
              <w:rPr>
                <w:rFonts w:cs="Palatino Linotype"/>
                <w:color w:val="000000"/>
                <w:sz w:val="18"/>
                <w:szCs w:val="20"/>
              </w:rPr>
              <w:t>***</w:t>
            </w:r>
          </w:p>
        </w:tc>
      </w:tr>
      <w:tr w:rsidR="000B26EA" w14:paraId="35B54DA4" w14:textId="77777777" w:rsidTr="000B26E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vAlign w:val="top"/>
          </w:tcPr>
          <w:p w14:paraId="044F89D7" w14:textId="7A2552D1" w:rsidR="000B26EA" w:rsidRDefault="000B26EA" w:rsidP="003B38C3">
            <w:pPr>
              <w:keepNext/>
              <w:jc w:val="left"/>
            </w:pPr>
            <w:r w:rsidRPr="004B5B19">
              <w:rPr>
                <w:sz w:val="18"/>
                <w:szCs w:val="20"/>
              </w:rPr>
              <w:t>yrmo201508</w:t>
            </w:r>
          </w:p>
        </w:tc>
        <w:tc>
          <w:tcPr>
            <w:tcW w:w="1457" w:type="dxa"/>
            <w:vAlign w:val="top"/>
          </w:tcPr>
          <w:p w14:paraId="7A67B9DE" w14:textId="1A4D23B7" w:rsidR="000B26EA" w:rsidRDefault="000B26EA" w:rsidP="003B38C3">
            <w:pPr>
              <w:keepNext/>
              <w:cnfStyle w:val="000000010000" w:firstRow="0" w:lastRow="0" w:firstColumn="0" w:lastColumn="0" w:oddVBand="0" w:evenVBand="0" w:oddHBand="0" w:evenHBand="1" w:firstRowFirstColumn="0" w:firstRowLastColumn="0" w:lastRowFirstColumn="0" w:lastRowLastColumn="0"/>
            </w:pPr>
            <w:r w:rsidRPr="004B5B19">
              <w:rPr>
                <w:sz w:val="18"/>
                <w:szCs w:val="20"/>
              </w:rPr>
              <w:t>0.2243528</w:t>
            </w:r>
          </w:p>
        </w:tc>
        <w:tc>
          <w:tcPr>
            <w:tcW w:w="1417" w:type="dxa"/>
            <w:vAlign w:val="top"/>
          </w:tcPr>
          <w:p w14:paraId="785285C3" w14:textId="1C5FD89C" w:rsidR="000B26EA" w:rsidRDefault="000B26EA" w:rsidP="003B38C3">
            <w:pPr>
              <w:keepNext/>
              <w:cnfStyle w:val="000000010000" w:firstRow="0" w:lastRow="0" w:firstColumn="0" w:lastColumn="0" w:oddVBand="0" w:evenVBand="0" w:oddHBand="0" w:evenHBand="1" w:firstRowFirstColumn="0" w:firstRowLastColumn="0" w:lastRowFirstColumn="0" w:lastRowLastColumn="0"/>
            </w:pPr>
            <w:r w:rsidRPr="004B5B19">
              <w:rPr>
                <w:sz w:val="18"/>
                <w:szCs w:val="20"/>
              </w:rPr>
              <w:t>0.0091654</w:t>
            </w:r>
          </w:p>
        </w:tc>
        <w:tc>
          <w:tcPr>
            <w:tcW w:w="1420" w:type="dxa"/>
            <w:vAlign w:val="top"/>
          </w:tcPr>
          <w:p w14:paraId="10E27D75" w14:textId="24058F56" w:rsidR="000B26EA" w:rsidRDefault="000B26EA" w:rsidP="003B38C3">
            <w:pPr>
              <w:keepNext/>
              <w:cnfStyle w:val="000000010000" w:firstRow="0" w:lastRow="0" w:firstColumn="0" w:lastColumn="0" w:oddVBand="0" w:evenVBand="0" w:oddHBand="0" w:evenHBand="1" w:firstRowFirstColumn="0" w:firstRowLastColumn="0" w:lastRowFirstColumn="0" w:lastRowLastColumn="0"/>
            </w:pPr>
            <w:r w:rsidRPr="004B5B19">
              <w:rPr>
                <w:sz w:val="18"/>
                <w:szCs w:val="20"/>
              </w:rPr>
              <w:t>24.478140</w:t>
            </w:r>
          </w:p>
        </w:tc>
        <w:tc>
          <w:tcPr>
            <w:tcW w:w="1431" w:type="dxa"/>
            <w:vAlign w:val="top"/>
          </w:tcPr>
          <w:p w14:paraId="5BF3AF78" w14:textId="045889FC" w:rsidR="000B26EA" w:rsidRDefault="000B26EA" w:rsidP="003B38C3">
            <w:pPr>
              <w:keepNext/>
              <w:cnfStyle w:val="000000010000" w:firstRow="0" w:lastRow="0" w:firstColumn="0" w:lastColumn="0" w:oddVBand="0" w:evenVBand="0" w:oddHBand="0" w:evenHBand="1" w:firstRowFirstColumn="0" w:firstRowLastColumn="0" w:lastRowFirstColumn="0" w:lastRowLastColumn="0"/>
            </w:pPr>
            <w:r w:rsidRPr="004B5B19">
              <w:rPr>
                <w:sz w:val="18"/>
                <w:szCs w:val="20"/>
              </w:rPr>
              <w:t>2.7E-132</w:t>
            </w:r>
          </w:p>
        </w:tc>
        <w:tc>
          <w:tcPr>
            <w:tcW w:w="1436" w:type="dxa"/>
          </w:tcPr>
          <w:p w14:paraId="2E9F70C0" w14:textId="53B23910" w:rsidR="000B26EA" w:rsidRDefault="000B26EA" w:rsidP="003B38C3">
            <w:pPr>
              <w:keepNext/>
              <w:cnfStyle w:val="000000010000" w:firstRow="0" w:lastRow="0" w:firstColumn="0" w:lastColumn="0" w:oddVBand="0" w:evenVBand="0" w:oddHBand="0" w:evenHBand="1" w:firstRowFirstColumn="0" w:firstRowLastColumn="0" w:lastRowFirstColumn="0" w:lastRowLastColumn="0"/>
            </w:pPr>
            <w:r w:rsidRPr="004B5B19">
              <w:rPr>
                <w:rFonts w:cs="Palatino Linotype"/>
                <w:color w:val="000000"/>
                <w:sz w:val="18"/>
                <w:szCs w:val="20"/>
              </w:rPr>
              <w:t>***</w:t>
            </w:r>
          </w:p>
        </w:tc>
      </w:tr>
      <w:tr w:rsidR="000B26EA" w14:paraId="4748F426" w14:textId="77777777" w:rsidTr="000B26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vAlign w:val="top"/>
          </w:tcPr>
          <w:p w14:paraId="58F5B865" w14:textId="54CB40E0" w:rsidR="000B26EA" w:rsidRPr="004B5B19" w:rsidRDefault="000B26EA" w:rsidP="003B38C3">
            <w:pPr>
              <w:keepNext/>
              <w:jc w:val="left"/>
              <w:rPr>
                <w:sz w:val="18"/>
                <w:szCs w:val="20"/>
              </w:rPr>
            </w:pPr>
            <w:r w:rsidRPr="004B5B19">
              <w:rPr>
                <w:sz w:val="18"/>
                <w:szCs w:val="20"/>
              </w:rPr>
              <w:t>yrmo201509</w:t>
            </w:r>
          </w:p>
        </w:tc>
        <w:tc>
          <w:tcPr>
            <w:tcW w:w="1457" w:type="dxa"/>
            <w:vAlign w:val="top"/>
          </w:tcPr>
          <w:p w14:paraId="65AFD055" w14:textId="7743F8F5" w:rsidR="000B26EA" w:rsidRDefault="000B26EA" w:rsidP="003B38C3">
            <w:pPr>
              <w:keepNext/>
              <w:cnfStyle w:val="000000100000" w:firstRow="0" w:lastRow="0" w:firstColumn="0" w:lastColumn="0" w:oddVBand="0" w:evenVBand="0" w:oddHBand="1" w:evenHBand="0" w:firstRowFirstColumn="0" w:firstRowLastColumn="0" w:lastRowFirstColumn="0" w:lastRowLastColumn="0"/>
            </w:pPr>
            <w:r w:rsidRPr="004B5B19">
              <w:rPr>
                <w:sz w:val="18"/>
                <w:szCs w:val="20"/>
              </w:rPr>
              <w:t>0.3272082</w:t>
            </w:r>
          </w:p>
        </w:tc>
        <w:tc>
          <w:tcPr>
            <w:tcW w:w="1417" w:type="dxa"/>
            <w:vAlign w:val="top"/>
          </w:tcPr>
          <w:p w14:paraId="24D83E53" w14:textId="05B2C4F2" w:rsidR="000B26EA" w:rsidRDefault="000B26EA" w:rsidP="003B38C3">
            <w:pPr>
              <w:keepNext/>
              <w:cnfStyle w:val="000000100000" w:firstRow="0" w:lastRow="0" w:firstColumn="0" w:lastColumn="0" w:oddVBand="0" w:evenVBand="0" w:oddHBand="1" w:evenHBand="0" w:firstRowFirstColumn="0" w:firstRowLastColumn="0" w:lastRowFirstColumn="0" w:lastRowLastColumn="0"/>
            </w:pPr>
            <w:r w:rsidRPr="004B5B19">
              <w:rPr>
                <w:sz w:val="18"/>
                <w:szCs w:val="20"/>
              </w:rPr>
              <w:t>0.0103334</w:t>
            </w:r>
          </w:p>
        </w:tc>
        <w:tc>
          <w:tcPr>
            <w:tcW w:w="1420" w:type="dxa"/>
            <w:vAlign w:val="top"/>
          </w:tcPr>
          <w:p w14:paraId="16DBA9C8" w14:textId="363A27CB" w:rsidR="000B26EA" w:rsidRDefault="000B26EA" w:rsidP="003B38C3">
            <w:pPr>
              <w:keepNext/>
              <w:cnfStyle w:val="000000100000" w:firstRow="0" w:lastRow="0" w:firstColumn="0" w:lastColumn="0" w:oddVBand="0" w:evenVBand="0" w:oddHBand="1" w:evenHBand="0" w:firstRowFirstColumn="0" w:firstRowLastColumn="0" w:lastRowFirstColumn="0" w:lastRowLastColumn="0"/>
            </w:pPr>
            <w:r w:rsidRPr="004B5B19">
              <w:rPr>
                <w:sz w:val="18"/>
                <w:szCs w:val="20"/>
              </w:rPr>
              <w:t>31.664831</w:t>
            </w:r>
          </w:p>
        </w:tc>
        <w:tc>
          <w:tcPr>
            <w:tcW w:w="1431" w:type="dxa"/>
            <w:vAlign w:val="top"/>
          </w:tcPr>
          <w:p w14:paraId="040D16E8" w14:textId="70157334" w:rsidR="000B26EA" w:rsidRDefault="000B26EA" w:rsidP="003B38C3">
            <w:pPr>
              <w:keepNext/>
              <w:cnfStyle w:val="000000100000" w:firstRow="0" w:lastRow="0" w:firstColumn="0" w:lastColumn="0" w:oddVBand="0" w:evenVBand="0" w:oddHBand="1" w:evenHBand="0" w:firstRowFirstColumn="0" w:firstRowLastColumn="0" w:lastRowFirstColumn="0" w:lastRowLastColumn="0"/>
            </w:pPr>
            <w:r w:rsidRPr="004B5B19">
              <w:rPr>
                <w:sz w:val="18"/>
                <w:szCs w:val="20"/>
              </w:rPr>
              <w:t>6.2E-220</w:t>
            </w:r>
          </w:p>
        </w:tc>
        <w:tc>
          <w:tcPr>
            <w:tcW w:w="1436" w:type="dxa"/>
          </w:tcPr>
          <w:p w14:paraId="05346D12" w14:textId="01F197A4" w:rsidR="000B26EA" w:rsidRDefault="000B26EA" w:rsidP="003B38C3">
            <w:pPr>
              <w:keepNext/>
              <w:cnfStyle w:val="000000100000" w:firstRow="0" w:lastRow="0" w:firstColumn="0" w:lastColumn="0" w:oddVBand="0" w:evenVBand="0" w:oddHBand="1" w:evenHBand="0" w:firstRowFirstColumn="0" w:firstRowLastColumn="0" w:lastRowFirstColumn="0" w:lastRowLastColumn="0"/>
            </w:pPr>
            <w:r w:rsidRPr="004B5B19">
              <w:rPr>
                <w:rFonts w:cs="Palatino Linotype"/>
                <w:color w:val="000000"/>
                <w:sz w:val="18"/>
                <w:szCs w:val="20"/>
              </w:rPr>
              <w:t>***</w:t>
            </w:r>
          </w:p>
        </w:tc>
      </w:tr>
      <w:tr w:rsidR="000B26EA" w14:paraId="336E79F1" w14:textId="77777777" w:rsidTr="000B26E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vAlign w:val="top"/>
          </w:tcPr>
          <w:p w14:paraId="31E45D42" w14:textId="3048DE88" w:rsidR="000B26EA" w:rsidRPr="004B5B19" w:rsidRDefault="000B26EA" w:rsidP="003B38C3">
            <w:pPr>
              <w:keepNext/>
              <w:jc w:val="left"/>
              <w:rPr>
                <w:sz w:val="18"/>
                <w:szCs w:val="20"/>
              </w:rPr>
            </w:pPr>
            <w:r w:rsidRPr="004B5B19">
              <w:rPr>
                <w:sz w:val="18"/>
                <w:szCs w:val="20"/>
              </w:rPr>
              <w:t>pre.therms:yrmo201504</w:t>
            </w:r>
          </w:p>
        </w:tc>
        <w:tc>
          <w:tcPr>
            <w:tcW w:w="1457" w:type="dxa"/>
            <w:vAlign w:val="top"/>
          </w:tcPr>
          <w:p w14:paraId="20DA68B2" w14:textId="2C532AE6" w:rsidR="000B26EA" w:rsidRDefault="000B26EA" w:rsidP="003B38C3">
            <w:pPr>
              <w:keepNext/>
              <w:cnfStyle w:val="000000010000" w:firstRow="0" w:lastRow="0" w:firstColumn="0" w:lastColumn="0" w:oddVBand="0" w:evenVBand="0" w:oddHBand="0" w:evenHBand="1" w:firstRowFirstColumn="0" w:firstRowLastColumn="0" w:lastRowFirstColumn="0" w:lastRowLastColumn="0"/>
            </w:pPr>
            <w:r w:rsidRPr="004B5B19">
              <w:rPr>
                <w:sz w:val="18"/>
                <w:szCs w:val="20"/>
              </w:rPr>
              <w:t>0.5797928</w:t>
            </w:r>
          </w:p>
        </w:tc>
        <w:tc>
          <w:tcPr>
            <w:tcW w:w="1417" w:type="dxa"/>
            <w:vAlign w:val="top"/>
          </w:tcPr>
          <w:p w14:paraId="75EF4595" w14:textId="0DA17581" w:rsidR="000B26EA" w:rsidRDefault="000B26EA" w:rsidP="003B38C3">
            <w:pPr>
              <w:keepNext/>
              <w:cnfStyle w:val="000000010000" w:firstRow="0" w:lastRow="0" w:firstColumn="0" w:lastColumn="0" w:oddVBand="0" w:evenVBand="0" w:oddHBand="0" w:evenHBand="1" w:firstRowFirstColumn="0" w:firstRowLastColumn="0" w:lastRowFirstColumn="0" w:lastRowLastColumn="0"/>
            </w:pPr>
            <w:r w:rsidRPr="004B5B19">
              <w:rPr>
                <w:sz w:val="18"/>
                <w:szCs w:val="20"/>
              </w:rPr>
              <w:t>0.0031387</w:t>
            </w:r>
          </w:p>
        </w:tc>
        <w:tc>
          <w:tcPr>
            <w:tcW w:w="1420" w:type="dxa"/>
            <w:vAlign w:val="top"/>
          </w:tcPr>
          <w:p w14:paraId="774D6BEC" w14:textId="062585F9" w:rsidR="000B26EA" w:rsidRDefault="000B26EA" w:rsidP="003B38C3">
            <w:pPr>
              <w:keepNext/>
              <w:cnfStyle w:val="000000010000" w:firstRow="0" w:lastRow="0" w:firstColumn="0" w:lastColumn="0" w:oddVBand="0" w:evenVBand="0" w:oddHBand="0" w:evenHBand="1" w:firstRowFirstColumn="0" w:firstRowLastColumn="0" w:lastRowFirstColumn="0" w:lastRowLastColumn="0"/>
            </w:pPr>
            <w:r w:rsidRPr="004B5B19">
              <w:rPr>
                <w:sz w:val="18"/>
                <w:szCs w:val="20"/>
              </w:rPr>
              <w:t>184.723189</w:t>
            </w:r>
          </w:p>
        </w:tc>
        <w:tc>
          <w:tcPr>
            <w:tcW w:w="1431" w:type="dxa"/>
            <w:vAlign w:val="top"/>
          </w:tcPr>
          <w:p w14:paraId="7032343E" w14:textId="68914618" w:rsidR="000B26EA" w:rsidRDefault="000B26EA" w:rsidP="003B38C3">
            <w:pPr>
              <w:keepNext/>
              <w:cnfStyle w:val="000000010000" w:firstRow="0" w:lastRow="0" w:firstColumn="0" w:lastColumn="0" w:oddVBand="0" w:evenVBand="0" w:oddHBand="0" w:evenHBand="1" w:firstRowFirstColumn="0" w:firstRowLastColumn="0" w:lastRowFirstColumn="0" w:lastRowLastColumn="0"/>
            </w:pPr>
            <w:r w:rsidRPr="004B5B19">
              <w:rPr>
                <w:sz w:val="18"/>
                <w:szCs w:val="20"/>
              </w:rPr>
              <w:t>0</w:t>
            </w:r>
          </w:p>
        </w:tc>
        <w:tc>
          <w:tcPr>
            <w:tcW w:w="1436" w:type="dxa"/>
          </w:tcPr>
          <w:p w14:paraId="510B23EF" w14:textId="283B001B" w:rsidR="000B26EA" w:rsidRDefault="000B26EA" w:rsidP="003B38C3">
            <w:pPr>
              <w:keepNext/>
              <w:cnfStyle w:val="000000010000" w:firstRow="0" w:lastRow="0" w:firstColumn="0" w:lastColumn="0" w:oddVBand="0" w:evenVBand="0" w:oddHBand="0" w:evenHBand="1" w:firstRowFirstColumn="0" w:firstRowLastColumn="0" w:lastRowFirstColumn="0" w:lastRowLastColumn="0"/>
            </w:pPr>
            <w:r w:rsidRPr="004B5B19">
              <w:rPr>
                <w:rFonts w:cs="Palatino Linotype"/>
                <w:color w:val="000000"/>
                <w:sz w:val="18"/>
                <w:szCs w:val="20"/>
              </w:rPr>
              <w:t>***</w:t>
            </w:r>
          </w:p>
        </w:tc>
      </w:tr>
      <w:tr w:rsidR="000B26EA" w14:paraId="17241706" w14:textId="77777777" w:rsidTr="000B26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vAlign w:val="top"/>
          </w:tcPr>
          <w:p w14:paraId="488A76D6" w14:textId="5E93FF85" w:rsidR="000B26EA" w:rsidRPr="004B5B19" w:rsidRDefault="000B26EA" w:rsidP="003B38C3">
            <w:pPr>
              <w:keepNext/>
              <w:jc w:val="left"/>
              <w:rPr>
                <w:sz w:val="18"/>
                <w:szCs w:val="20"/>
              </w:rPr>
            </w:pPr>
            <w:r w:rsidRPr="004B5B19">
              <w:rPr>
                <w:sz w:val="18"/>
                <w:szCs w:val="20"/>
              </w:rPr>
              <w:t>pre.therms:yrmo201505</w:t>
            </w:r>
          </w:p>
        </w:tc>
        <w:tc>
          <w:tcPr>
            <w:tcW w:w="1457" w:type="dxa"/>
            <w:vAlign w:val="top"/>
          </w:tcPr>
          <w:p w14:paraId="02FDBEB8" w14:textId="7A7FC92C" w:rsidR="000B26EA" w:rsidRDefault="000B26EA" w:rsidP="003B38C3">
            <w:pPr>
              <w:keepNext/>
              <w:cnfStyle w:val="000000100000" w:firstRow="0" w:lastRow="0" w:firstColumn="0" w:lastColumn="0" w:oddVBand="0" w:evenVBand="0" w:oddHBand="1" w:evenHBand="0" w:firstRowFirstColumn="0" w:firstRowLastColumn="0" w:lastRowFirstColumn="0" w:lastRowLastColumn="0"/>
            </w:pPr>
            <w:r w:rsidRPr="004B5B19">
              <w:rPr>
                <w:sz w:val="18"/>
                <w:szCs w:val="20"/>
              </w:rPr>
              <w:t>0.7053623</w:t>
            </w:r>
          </w:p>
        </w:tc>
        <w:tc>
          <w:tcPr>
            <w:tcW w:w="1417" w:type="dxa"/>
            <w:vAlign w:val="top"/>
          </w:tcPr>
          <w:p w14:paraId="5B8A5D8D" w14:textId="13559420" w:rsidR="000B26EA" w:rsidRDefault="000B26EA" w:rsidP="003B38C3">
            <w:pPr>
              <w:keepNext/>
              <w:cnfStyle w:val="000000100000" w:firstRow="0" w:lastRow="0" w:firstColumn="0" w:lastColumn="0" w:oddVBand="0" w:evenVBand="0" w:oddHBand="1" w:evenHBand="0" w:firstRowFirstColumn="0" w:firstRowLastColumn="0" w:lastRowFirstColumn="0" w:lastRowLastColumn="0"/>
            </w:pPr>
            <w:r w:rsidRPr="004B5B19">
              <w:rPr>
                <w:sz w:val="18"/>
                <w:szCs w:val="20"/>
              </w:rPr>
              <w:t>0.0053413</w:t>
            </w:r>
          </w:p>
        </w:tc>
        <w:tc>
          <w:tcPr>
            <w:tcW w:w="1420" w:type="dxa"/>
            <w:vAlign w:val="top"/>
          </w:tcPr>
          <w:p w14:paraId="6633D9B7" w14:textId="55203BE8" w:rsidR="000B26EA" w:rsidRDefault="000B26EA" w:rsidP="003B38C3">
            <w:pPr>
              <w:keepNext/>
              <w:cnfStyle w:val="000000100000" w:firstRow="0" w:lastRow="0" w:firstColumn="0" w:lastColumn="0" w:oddVBand="0" w:evenVBand="0" w:oddHBand="1" w:evenHBand="0" w:firstRowFirstColumn="0" w:firstRowLastColumn="0" w:lastRowFirstColumn="0" w:lastRowLastColumn="0"/>
            </w:pPr>
            <w:r w:rsidRPr="004B5B19">
              <w:rPr>
                <w:sz w:val="18"/>
                <w:szCs w:val="20"/>
              </w:rPr>
              <w:t>132.057311</w:t>
            </w:r>
          </w:p>
        </w:tc>
        <w:tc>
          <w:tcPr>
            <w:tcW w:w="1431" w:type="dxa"/>
            <w:vAlign w:val="top"/>
          </w:tcPr>
          <w:p w14:paraId="6E343D1C" w14:textId="50A71A88" w:rsidR="000B26EA" w:rsidRDefault="000B26EA" w:rsidP="003B38C3">
            <w:pPr>
              <w:keepNext/>
              <w:cnfStyle w:val="000000100000" w:firstRow="0" w:lastRow="0" w:firstColumn="0" w:lastColumn="0" w:oddVBand="0" w:evenVBand="0" w:oddHBand="1" w:evenHBand="0" w:firstRowFirstColumn="0" w:firstRowLastColumn="0" w:lastRowFirstColumn="0" w:lastRowLastColumn="0"/>
            </w:pPr>
            <w:r w:rsidRPr="004B5B19">
              <w:rPr>
                <w:sz w:val="18"/>
                <w:szCs w:val="20"/>
              </w:rPr>
              <w:t>0</w:t>
            </w:r>
          </w:p>
        </w:tc>
        <w:tc>
          <w:tcPr>
            <w:tcW w:w="1436" w:type="dxa"/>
          </w:tcPr>
          <w:p w14:paraId="65195022" w14:textId="35B1B8C9" w:rsidR="000B26EA" w:rsidRDefault="000B26EA" w:rsidP="003B38C3">
            <w:pPr>
              <w:keepNext/>
              <w:cnfStyle w:val="000000100000" w:firstRow="0" w:lastRow="0" w:firstColumn="0" w:lastColumn="0" w:oddVBand="0" w:evenVBand="0" w:oddHBand="1" w:evenHBand="0" w:firstRowFirstColumn="0" w:firstRowLastColumn="0" w:lastRowFirstColumn="0" w:lastRowLastColumn="0"/>
            </w:pPr>
            <w:r w:rsidRPr="004B5B19">
              <w:rPr>
                <w:rFonts w:cs="Palatino Linotype"/>
                <w:color w:val="000000"/>
                <w:sz w:val="18"/>
                <w:szCs w:val="20"/>
              </w:rPr>
              <w:t>***</w:t>
            </w:r>
          </w:p>
        </w:tc>
      </w:tr>
      <w:tr w:rsidR="000B26EA" w14:paraId="4D947CA4" w14:textId="77777777" w:rsidTr="000B26E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vAlign w:val="top"/>
          </w:tcPr>
          <w:p w14:paraId="11B5B7C7" w14:textId="547E8C13" w:rsidR="000B26EA" w:rsidRPr="004B5B19" w:rsidRDefault="000B26EA" w:rsidP="003B38C3">
            <w:pPr>
              <w:keepNext/>
              <w:jc w:val="left"/>
              <w:rPr>
                <w:sz w:val="18"/>
                <w:szCs w:val="20"/>
              </w:rPr>
            </w:pPr>
            <w:r w:rsidRPr="004B5B19">
              <w:rPr>
                <w:sz w:val="18"/>
                <w:szCs w:val="20"/>
              </w:rPr>
              <w:t>pre.therms:yrmo201506</w:t>
            </w:r>
          </w:p>
        </w:tc>
        <w:tc>
          <w:tcPr>
            <w:tcW w:w="1457" w:type="dxa"/>
            <w:vAlign w:val="top"/>
          </w:tcPr>
          <w:p w14:paraId="03581095" w14:textId="7E0AC7A4" w:rsidR="000B26EA" w:rsidRDefault="000B26EA" w:rsidP="003B38C3">
            <w:pPr>
              <w:keepNext/>
              <w:cnfStyle w:val="000000010000" w:firstRow="0" w:lastRow="0" w:firstColumn="0" w:lastColumn="0" w:oddVBand="0" w:evenVBand="0" w:oddHBand="0" w:evenHBand="1" w:firstRowFirstColumn="0" w:firstRowLastColumn="0" w:lastRowFirstColumn="0" w:lastRowLastColumn="0"/>
            </w:pPr>
            <w:r w:rsidRPr="004B5B19">
              <w:rPr>
                <w:sz w:val="18"/>
                <w:szCs w:val="20"/>
              </w:rPr>
              <w:t>0.7205351</w:t>
            </w:r>
          </w:p>
        </w:tc>
        <w:tc>
          <w:tcPr>
            <w:tcW w:w="1417" w:type="dxa"/>
            <w:vAlign w:val="top"/>
          </w:tcPr>
          <w:p w14:paraId="6480DBF3" w14:textId="7E99C97F" w:rsidR="000B26EA" w:rsidRDefault="000B26EA" w:rsidP="003B38C3">
            <w:pPr>
              <w:keepNext/>
              <w:cnfStyle w:val="000000010000" w:firstRow="0" w:lastRow="0" w:firstColumn="0" w:lastColumn="0" w:oddVBand="0" w:evenVBand="0" w:oddHBand="0" w:evenHBand="1" w:firstRowFirstColumn="0" w:firstRowLastColumn="0" w:lastRowFirstColumn="0" w:lastRowLastColumn="0"/>
            </w:pPr>
            <w:r w:rsidRPr="004B5B19">
              <w:rPr>
                <w:sz w:val="18"/>
                <w:szCs w:val="20"/>
              </w:rPr>
              <w:t>0.0057758</w:t>
            </w:r>
          </w:p>
        </w:tc>
        <w:tc>
          <w:tcPr>
            <w:tcW w:w="1420" w:type="dxa"/>
            <w:vAlign w:val="top"/>
          </w:tcPr>
          <w:p w14:paraId="3E82DF7B" w14:textId="6CD41521" w:rsidR="000B26EA" w:rsidRDefault="000B26EA" w:rsidP="003B38C3">
            <w:pPr>
              <w:keepNext/>
              <w:cnfStyle w:val="000000010000" w:firstRow="0" w:lastRow="0" w:firstColumn="0" w:lastColumn="0" w:oddVBand="0" w:evenVBand="0" w:oddHBand="0" w:evenHBand="1" w:firstRowFirstColumn="0" w:firstRowLastColumn="0" w:lastRowFirstColumn="0" w:lastRowLastColumn="0"/>
            </w:pPr>
            <w:r w:rsidRPr="004B5B19">
              <w:rPr>
                <w:sz w:val="18"/>
                <w:szCs w:val="20"/>
              </w:rPr>
              <w:t>124.748961</w:t>
            </w:r>
          </w:p>
        </w:tc>
        <w:tc>
          <w:tcPr>
            <w:tcW w:w="1431" w:type="dxa"/>
            <w:vAlign w:val="top"/>
          </w:tcPr>
          <w:p w14:paraId="3DC4423B" w14:textId="1F3B86E8" w:rsidR="000B26EA" w:rsidRDefault="000B26EA" w:rsidP="003B38C3">
            <w:pPr>
              <w:keepNext/>
              <w:cnfStyle w:val="000000010000" w:firstRow="0" w:lastRow="0" w:firstColumn="0" w:lastColumn="0" w:oddVBand="0" w:evenVBand="0" w:oddHBand="0" w:evenHBand="1" w:firstRowFirstColumn="0" w:firstRowLastColumn="0" w:lastRowFirstColumn="0" w:lastRowLastColumn="0"/>
            </w:pPr>
            <w:r w:rsidRPr="004B5B19">
              <w:rPr>
                <w:sz w:val="18"/>
                <w:szCs w:val="20"/>
              </w:rPr>
              <w:t>0</w:t>
            </w:r>
          </w:p>
        </w:tc>
        <w:tc>
          <w:tcPr>
            <w:tcW w:w="1436" w:type="dxa"/>
          </w:tcPr>
          <w:p w14:paraId="2D2DB564" w14:textId="49B325C2" w:rsidR="000B26EA" w:rsidRDefault="000B26EA" w:rsidP="003B38C3">
            <w:pPr>
              <w:keepNext/>
              <w:cnfStyle w:val="000000010000" w:firstRow="0" w:lastRow="0" w:firstColumn="0" w:lastColumn="0" w:oddVBand="0" w:evenVBand="0" w:oddHBand="0" w:evenHBand="1" w:firstRowFirstColumn="0" w:firstRowLastColumn="0" w:lastRowFirstColumn="0" w:lastRowLastColumn="0"/>
            </w:pPr>
            <w:r w:rsidRPr="004B5B19">
              <w:rPr>
                <w:rFonts w:cs="Palatino Linotype"/>
                <w:color w:val="000000"/>
                <w:sz w:val="18"/>
                <w:szCs w:val="20"/>
              </w:rPr>
              <w:t>***</w:t>
            </w:r>
          </w:p>
        </w:tc>
      </w:tr>
      <w:tr w:rsidR="000B26EA" w14:paraId="2504C654" w14:textId="77777777" w:rsidTr="000B26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vAlign w:val="top"/>
          </w:tcPr>
          <w:p w14:paraId="2DD3AA3D" w14:textId="43394FF8" w:rsidR="000B26EA" w:rsidRPr="004B5B19" w:rsidRDefault="000B26EA" w:rsidP="003B38C3">
            <w:pPr>
              <w:keepNext/>
              <w:jc w:val="left"/>
              <w:rPr>
                <w:sz w:val="18"/>
                <w:szCs w:val="20"/>
              </w:rPr>
            </w:pPr>
            <w:r w:rsidRPr="004B5B19">
              <w:rPr>
                <w:sz w:val="18"/>
                <w:szCs w:val="20"/>
              </w:rPr>
              <w:t>pre.therms:yrmo201507</w:t>
            </w:r>
          </w:p>
        </w:tc>
        <w:tc>
          <w:tcPr>
            <w:tcW w:w="1457" w:type="dxa"/>
            <w:vAlign w:val="top"/>
          </w:tcPr>
          <w:p w14:paraId="2C36C3BF" w14:textId="78BC5525" w:rsidR="000B26EA" w:rsidRDefault="000B26EA" w:rsidP="003B38C3">
            <w:pPr>
              <w:keepNext/>
              <w:cnfStyle w:val="000000100000" w:firstRow="0" w:lastRow="0" w:firstColumn="0" w:lastColumn="0" w:oddVBand="0" w:evenVBand="0" w:oddHBand="1" w:evenHBand="0" w:firstRowFirstColumn="0" w:firstRowLastColumn="0" w:lastRowFirstColumn="0" w:lastRowLastColumn="0"/>
            </w:pPr>
            <w:r w:rsidRPr="004B5B19">
              <w:rPr>
                <w:sz w:val="18"/>
                <w:szCs w:val="20"/>
              </w:rPr>
              <w:t>0.8666876</w:t>
            </w:r>
          </w:p>
        </w:tc>
        <w:tc>
          <w:tcPr>
            <w:tcW w:w="1417" w:type="dxa"/>
            <w:vAlign w:val="top"/>
          </w:tcPr>
          <w:p w14:paraId="4C004B35" w14:textId="6C1B6C31" w:rsidR="000B26EA" w:rsidRDefault="000B26EA" w:rsidP="003B38C3">
            <w:pPr>
              <w:keepNext/>
              <w:cnfStyle w:val="000000100000" w:firstRow="0" w:lastRow="0" w:firstColumn="0" w:lastColumn="0" w:oddVBand="0" w:evenVBand="0" w:oddHBand="1" w:evenHBand="0" w:firstRowFirstColumn="0" w:firstRowLastColumn="0" w:lastRowFirstColumn="0" w:lastRowLastColumn="0"/>
            </w:pPr>
            <w:r w:rsidRPr="004B5B19">
              <w:rPr>
                <w:sz w:val="18"/>
                <w:szCs w:val="20"/>
              </w:rPr>
              <w:t>0.0101158</w:t>
            </w:r>
          </w:p>
        </w:tc>
        <w:tc>
          <w:tcPr>
            <w:tcW w:w="1420" w:type="dxa"/>
            <w:vAlign w:val="top"/>
          </w:tcPr>
          <w:p w14:paraId="4251FB68" w14:textId="73128876" w:rsidR="000B26EA" w:rsidRDefault="000B26EA" w:rsidP="003B38C3">
            <w:pPr>
              <w:keepNext/>
              <w:cnfStyle w:val="000000100000" w:firstRow="0" w:lastRow="0" w:firstColumn="0" w:lastColumn="0" w:oddVBand="0" w:evenVBand="0" w:oddHBand="1" w:evenHBand="0" w:firstRowFirstColumn="0" w:firstRowLastColumn="0" w:lastRowFirstColumn="0" w:lastRowLastColumn="0"/>
            </w:pPr>
            <w:r w:rsidRPr="004B5B19">
              <w:rPr>
                <w:sz w:val="18"/>
                <w:szCs w:val="20"/>
              </w:rPr>
              <w:t>85.676606</w:t>
            </w:r>
          </w:p>
        </w:tc>
        <w:tc>
          <w:tcPr>
            <w:tcW w:w="1431" w:type="dxa"/>
            <w:vAlign w:val="top"/>
          </w:tcPr>
          <w:p w14:paraId="5E26A5BD" w14:textId="290A1007" w:rsidR="000B26EA" w:rsidRDefault="000B26EA" w:rsidP="003B38C3">
            <w:pPr>
              <w:keepNext/>
              <w:cnfStyle w:val="000000100000" w:firstRow="0" w:lastRow="0" w:firstColumn="0" w:lastColumn="0" w:oddVBand="0" w:evenVBand="0" w:oddHBand="1" w:evenHBand="0" w:firstRowFirstColumn="0" w:firstRowLastColumn="0" w:lastRowFirstColumn="0" w:lastRowLastColumn="0"/>
            </w:pPr>
            <w:r w:rsidRPr="004B5B19">
              <w:rPr>
                <w:sz w:val="18"/>
                <w:szCs w:val="20"/>
              </w:rPr>
              <w:t>0</w:t>
            </w:r>
          </w:p>
        </w:tc>
        <w:tc>
          <w:tcPr>
            <w:tcW w:w="1436" w:type="dxa"/>
          </w:tcPr>
          <w:p w14:paraId="0BB11F27" w14:textId="0215AB72" w:rsidR="000B26EA" w:rsidRDefault="000B26EA" w:rsidP="003B38C3">
            <w:pPr>
              <w:keepNext/>
              <w:cnfStyle w:val="000000100000" w:firstRow="0" w:lastRow="0" w:firstColumn="0" w:lastColumn="0" w:oddVBand="0" w:evenVBand="0" w:oddHBand="1" w:evenHBand="0" w:firstRowFirstColumn="0" w:firstRowLastColumn="0" w:lastRowFirstColumn="0" w:lastRowLastColumn="0"/>
            </w:pPr>
            <w:r w:rsidRPr="004B5B19">
              <w:rPr>
                <w:rFonts w:cs="Palatino Linotype"/>
                <w:color w:val="000000"/>
                <w:sz w:val="18"/>
                <w:szCs w:val="20"/>
              </w:rPr>
              <w:t>***</w:t>
            </w:r>
          </w:p>
        </w:tc>
      </w:tr>
      <w:tr w:rsidR="000B26EA" w14:paraId="4D80D22B" w14:textId="77777777" w:rsidTr="000B26E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vAlign w:val="top"/>
          </w:tcPr>
          <w:p w14:paraId="06814EA3" w14:textId="620B984E" w:rsidR="000B26EA" w:rsidRPr="004B5B19" w:rsidRDefault="000B26EA" w:rsidP="003B38C3">
            <w:pPr>
              <w:keepNext/>
              <w:jc w:val="left"/>
              <w:rPr>
                <w:sz w:val="18"/>
                <w:szCs w:val="20"/>
              </w:rPr>
            </w:pPr>
            <w:r w:rsidRPr="004B5B19">
              <w:rPr>
                <w:sz w:val="18"/>
                <w:szCs w:val="20"/>
              </w:rPr>
              <w:t>pre.therms:yrmo201508</w:t>
            </w:r>
          </w:p>
        </w:tc>
        <w:tc>
          <w:tcPr>
            <w:tcW w:w="1457" w:type="dxa"/>
            <w:vAlign w:val="top"/>
          </w:tcPr>
          <w:p w14:paraId="29B28A79" w14:textId="145EF228" w:rsidR="000B26EA" w:rsidRDefault="000B26EA" w:rsidP="003B38C3">
            <w:pPr>
              <w:keepNext/>
              <w:cnfStyle w:val="000000010000" w:firstRow="0" w:lastRow="0" w:firstColumn="0" w:lastColumn="0" w:oddVBand="0" w:evenVBand="0" w:oddHBand="0" w:evenHBand="1" w:firstRowFirstColumn="0" w:firstRowLastColumn="0" w:lastRowFirstColumn="0" w:lastRowLastColumn="0"/>
            </w:pPr>
            <w:r w:rsidRPr="004B5B19">
              <w:rPr>
                <w:sz w:val="18"/>
                <w:szCs w:val="20"/>
              </w:rPr>
              <w:t>0.7725700</w:t>
            </w:r>
          </w:p>
        </w:tc>
        <w:tc>
          <w:tcPr>
            <w:tcW w:w="1417" w:type="dxa"/>
            <w:vAlign w:val="top"/>
          </w:tcPr>
          <w:p w14:paraId="417713D5" w14:textId="197CB5CA" w:rsidR="000B26EA" w:rsidRDefault="000B26EA" w:rsidP="003B38C3">
            <w:pPr>
              <w:keepNext/>
              <w:cnfStyle w:val="000000010000" w:firstRow="0" w:lastRow="0" w:firstColumn="0" w:lastColumn="0" w:oddVBand="0" w:evenVBand="0" w:oddHBand="0" w:evenHBand="1" w:firstRowFirstColumn="0" w:firstRowLastColumn="0" w:lastRowFirstColumn="0" w:lastRowLastColumn="0"/>
            </w:pPr>
            <w:r w:rsidRPr="004B5B19">
              <w:rPr>
                <w:sz w:val="18"/>
                <w:szCs w:val="20"/>
              </w:rPr>
              <w:t>0.0094735</w:t>
            </w:r>
          </w:p>
        </w:tc>
        <w:tc>
          <w:tcPr>
            <w:tcW w:w="1420" w:type="dxa"/>
            <w:vAlign w:val="top"/>
          </w:tcPr>
          <w:p w14:paraId="10409DFC" w14:textId="6056B4E9" w:rsidR="000B26EA" w:rsidRDefault="000B26EA" w:rsidP="003B38C3">
            <w:pPr>
              <w:keepNext/>
              <w:cnfStyle w:val="000000010000" w:firstRow="0" w:lastRow="0" w:firstColumn="0" w:lastColumn="0" w:oddVBand="0" w:evenVBand="0" w:oddHBand="0" w:evenHBand="1" w:firstRowFirstColumn="0" w:firstRowLastColumn="0" w:lastRowFirstColumn="0" w:lastRowLastColumn="0"/>
            </w:pPr>
            <w:r w:rsidRPr="004B5B19">
              <w:rPr>
                <w:sz w:val="18"/>
                <w:szCs w:val="20"/>
              </w:rPr>
              <w:t>81.549934</w:t>
            </w:r>
          </w:p>
        </w:tc>
        <w:tc>
          <w:tcPr>
            <w:tcW w:w="1431" w:type="dxa"/>
            <w:vAlign w:val="top"/>
          </w:tcPr>
          <w:p w14:paraId="19F98A97" w14:textId="79674720" w:rsidR="000B26EA" w:rsidRDefault="000B26EA" w:rsidP="003B38C3">
            <w:pPr>
              <w:keepNext/>
              <w:cnfStyle w:val="000000010000" w:firstRow="0" w:lastRow="0" w:firstColumn="0" w:lastColumn="0" w:oddVBand="0" w:evenVBand="0" w:oddHBand="0" w:evenHBand="1" w:firstRowFirstColumn="0" w:firstRowLastColumn="0" w:lastRowFirstColumn="0" w:lastRowLastColumn="0"/>
            </w:pPr>
            <w:r w:rsidRPr="004B5B19">
              <w:rPr>
                <w:sz w:val="18"/>
                <w:szCs w:val="20"/>
              </w:rPr>
              <w:t>0</w:t>
            </w:r>
          </w:p>
        </w:tc>
        <w:tc>
          <w:tcPr>
            <w:tcW w:w="1436" w:type="dxa"/>
          </w:tcPr>
          <w:p w14:paraId="1546859F" w14:textId="0A2099D4" w:rsidR="000B26EA" w:rsidRDefault="000B26EA" w:rsidP="003B38C3">
            <w:pPr>
              <w:keepNext/>
              <w:cnfStyle w:val="000000010000" w:firstRow="0" w:lastRow="0" w:firstColumn="0" w:lastColumn="0" w:oddVBand="0" w:evenVBand="0" w:oddHBand="0" w:evenHBand="1" w:firstRowFirstColumn="0" w:firstRowLastColumn="0" w:lastRowFirstColumn="0" w:lastRowLastColumn="0"/>
            </w:pPr>
            <w:r w:rsidRPr="004B5B19">
              <w:rPr>
                <w:rFonts w:cs="Palatino Linotype"/>
                <w:color w:val="000000"/>
                <w:sz w:val="18"/>
                <w:szCs w:val="20"/>
              </w:rPr>
              <w:t>***</w:t>
            </w:r>
          </w:p>
        </w:tc>
      </w:tr>
      <w:tr w:rsidR="000B26EA" w14:paraId="58595A42" w14:textId="77777777" w:rsidTr="000B26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vAlign w:val="top"/>
          </w:tcPr>
          <w:p w14:paraId="4769D4D4" w14:textId="76E88937" w:rsidR="000B26EA" w:rsidRPr="004B5B19" w:rsidRDefault="000B26EA" w:rsidP="003B38C3">
            <w:pPr>
              <w:keepNext/>
              <w:jc w:val="left"/>
              <w:rPr>
                <w:sz w:val="18"/>
                <w:szCs w:val="20"/>
              </w:rPr>
            </w:pPr>
            <w:r w:rsidRPr="004B5B19">
              <w:rPr>
                <w:sz w:val="18"/>
                <w:szCs w:val="20"/>
              </w:rPr>
              <w:t>pre.therms:yrmo201509</w:t>
            </w:r>
          </w:p>
        </w:tc>
        <w:tc>
          <w:tcPr>
            <w:tcW w:w="1457" w:type="dxa"/>
            <w:vAlign w:val="top"/>
          </w:tcPr>
          <w:p w14:paraId="4216AF4B" w14:textId="1FBA0F97" w:rsidR="000B26EA" w:rsidRDefault="000B26EA" w:rsidP="003B38C3">
            <w:pPr>
              <w:keepNext/>
              <w:cnfStyle w:val="000000100000" w:firstRow="0" w:lastRow="0" w:firstColumn="0" w:lastColumn="0" w:oddVBand="0" w:evenVBand="0" w:oddHBand="1" w:evenHBand="0" w:firstRowFirstColumn="0" w:firstRowLastColumn="0" w:lastRowFirstColumn="0" w:lastRowLastColumn="0"/>
            </w:pPr>
            <w:r w:rsidRPr="004B5B19">
              <w:rPr>
                <w:sz w:val="18"/>
                <w:szCs w:val="20"/>
              </w:rPr>
              <w:t>0.6314063</w:t>
            </w:r>
          </w:p>
        </w:tc>
        <w:tc>
          <w:tcPr>
            <w:tcW w:w="1417" w:type="dxa"/>
            <w:vAlign w:val="top"/>
          </w:tcPr>
          <w:p w14:paraId="7B4FA7C2" w14:textId="3FF4E8D3" w:rsidR="000B26EA" w:rsidRDefault="000B26EA" w:rsidP="003B38C3">
            <w:pPr>
              <w:keepNext/>
              <w:cnfStyle w:val="000000100000" w:firstRow="0" w:lastRow="0" w:firstColumn="0" w:lastColumn="0" w:oddVBand="0" w:evenVBand="0" w:oddHBand="1" w:evenHBand="0" w:firstRowFirstColumn="0" w:firstRowLastColumn="0" w:lastRowFirstColumn="0" w:lastRowLastColumn="0"/>
            </w:pPr>
            <w:r w:rsidRPr="004B5B19">
              <w:rPr>
                <w:sz w:val="18"/>
                <w:szCs w:val="20"/>
              </w:rPr>
              <w:t>0.0106505</w:t>
            </w:r>
          </w:p>
        </w:tc>
        <w:tc>
          <w:tcPr>
            <w:tcW w:w="1420" w:type="dxa"/>
            <w:vAlign w:val="top"/>
          </w:tcPr>
          <w:p w14:paraId="39E3C3AD" w14:textId="3194BFBE" w:rsidR="000B26EA" w:rsidRDefault="000B26EA" w:rsidP="003B38C3">
            <w:pPr>
              <w:keepNext/>
              <w:cnfStyle w:val="000000100000" w:firstRow="0" w:lastRow="0" w:firstColumn="0" w:lastColumn="0" w:oddVBand="0" w:evenVBand="0" w:oddHBand="1" w:evenHBand="0" w:firstRowFirstColumn="0" w:firstRowLastColumn="0" w:lastRowFirstColumn="0" w:lastRowLastColumn="0"/>
            </w:pPr>
            <w:r w:rsidRPr="004B5B19">
              <w:rPr>
                <w:sz w:val="18"/>
                <w:szCs w:val="20"/>
              </w:rPr>
              <w:t>59.284147</w:t>
            </w:r>
          </w:p>
        </w:tc>
        <w:tc>
          <w:tcPr>
            <w:tcW w:w="1431" w:type="dxa"/>
            <w:vAlign w:val="top"/>
          </w:tcPr>
          <w:p w14:paraId="71D6839C" w14:textId="328CB4BD" w:rsidR="000B26EA" w:rsidRDefault="000B26EA" w:rsidP="003B38C3">
            <w:pPr>
              <w:keepNext/>
              <w:cnfStyle w:val="000000100000" w:firstRow="0" w:lastRow="0" w:firstColumn="0" w:lastColumn="0" w:oddVBand="0" w:evenVBand="0" w:oddHBand="1" w:evenHBand="0" w:firstRowFirstColumn="0" w:firstRowLastColumn="0" w:lastRowFirstColumn="0" w:lastRowLastColumn="0"/>
            </w:pPr>
            <w:r w:rsidRPr="004B5B19">
              <w:rPr>
                <w:sz w:val="18"/>
                <w:szCs w:val="20"/>
              </w:rPr>
              <w:t>0</w:t>
            </w:r>
          </w:p>
        </w:tc>
        <w:tc>
          <w:tcPr>
            <w:tcW w:w="1436" w:type="dxa"/>
          </w:tcPr>
          <w:p w14:paraId="4D83E79D" w14:textId="5AFE92E5" w:rsidR="000B26EA" w:rsidRDefault="000B26EA" w:rsidP="003B38C3">
            <w:pPr>
              <w:keepNext/>
              <w:cnfStyle w:val="000000100000" w:firstRow="0" w:lastRow="0" w:firstColumn="0" w:lastColumn="0" w:oddVBand="0" w:evenVBand="0" w:oddHBand="1" w:evenHBand="0" w:firstRowFirstColumn="0" w:firstRowLastColumn="0" w:lastRowFirstColumn="0" w:lastRowLastColumn="0"/>
            </w:pPr>
            <w:r w:rsidRPr="004B5B19">
              <w:rPr>
                <w:rFonts w:cs="Palatino Linotype"/>
                <w:color w:val="000000"/>
                <w:sz w:val="18"/>
                <w:szCs w:val="20"/>
              </w:rPr>
              <w:t>***</w:t>
            </w:r>
          </w:p>
        </w:tc>
      </w:tr>
      <w:tr w:rsidR="000B26EA" w14:paraId="021278E6" w14:textId="77777777" w:rsidTr="000B26E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88" w:type="dxa"/>
            <w:gridSpan w:val="6"/>
            <w:vAlign w:val="top"/>
          </w:tcPr>
          <w:p w14:paraId="3E38C8D6" w14:textId="77777777" w:rsidR="000B26EA" w:rsidRPr="004B5B19" w:rsidRDefault="000B26EA" w:rsidP="003B38C3">
            <w:pPr>
              <w:keepNext/>
              <w:autoSpaceDE w:val="0"/>
              <w:autoSpaceDN w:val="0"/>
              <w:adjustRightInd w:val="0"/>
              <w:jc w:val="left"/>
              <w:rPr>
                <w:rFonts w:cs="Palatino Linotype"/>
                <w:i/>
                <w:color w:val="000000"/>
                <w:sz w:val="18"/>
                <w:szCs w:val="20"/>
              </w:rPr>
            </w:pPr>
            <w:proofErr w:type="spellStart"/>
            <w:r w:rsidRPr="004B5B19">
              <w:rPr>
                <w:rFonts w:cs="Palatino Linotype"/>
                <w:i/>
                <w:color w:val="000000"/>
                <w:sz w:val="18"/>
                <w:szCs w:val="20"/>
              </w:rPr>
              <w:t>Signif</w:t>
            </w:r>
            <w:proofErr w:type="spellEnd"/>
            <w:r w:rsidRPr="004B5B19">
              <w:rPr>
                <w:rFonts w:cs="Palatino Linotype"/>
                <w:i/>
                <w:color w:val="000000"/>
                <w:sz w:val="18"/>
                <w:szCs w:val="20"/>
              </w:rPr>
              <w:t>. codes: 0 ‘***’ 0.001 ‘**’ 0.01 ‘*’ 0.05 ‘.’ 0.1 ‘ ’ 1</w:t>
            </w:r>
          </w:p>
          <w:p w14:paraId="237D966F" w14:textId="77777777" w:rsidR="000B26EA" w:rsidRPr="004B5B19" w:rsidRDefault="000B26EA" w:rsidP="003B38C3">
            <w:pPr>
              <w:keepNext/>
              <w:autoSpaceDE w:val="0"/>
              <w:autoSpaceDN w:val="0"/>
              <w:adjustRightInd w:val="0"/>
              <w:jc w:val="left"/>
              <w:rPr>
                <w:rFonts w:cs="Palatino Linotype"/>
                <w:color w:val="000000"/>
                <w:sz w:val="18"/>
                <w:szCs w:val="20"/>
              </w:rPr>
            </w:pPr>
            <w:r w:rsidRPr="004B5B19">
              <w:rPr>
                <w:rFonts w:cs="Palatino Linotype"/>
                <w:color w:val="000000"/>
                <w:sz w:val="18"/>
                <w:szCs w:val="20"/>
              </w:rPr>
              <w:t>Residual standard error: 0.9888 on 899634 degrees of freedom</w:t>
            </w:r>
          </w:p>
          <w:p w14:paraId="2400DEE4" w14:textId="77777777" w:rsidR="000B26EA" w:rsidRPr="004B5B19" w:rsidRDefault="000B26EA" w:rsidP="003B38C3">
            <w:pPr>
              <w:keepNext/>
              <w:autoSpaceDE w:val="0"/>
              <w:autoSpaceDN w:val="0"/>
              <w:adjustRightInd w:val="0"/>
              <w:jc w:val="left"/>
              <w:rPr>
                <w:rFonts w:cs="Palatino Linotype"/>
                <w:color w:val="000000"/>
                <w:sz w:val="18"/>
                <w:szCs w:val="20"/>
              </w:rPr>
            </w:pPr>
            <w:r w:rsidRPr="004B5B19">
              <w:rPr>
                <w:rFonts w:cs="Palatino Linotype"/>
                <w:color w:val="000000"/>
                <w:sz w:val="18"/>
                <w:szCs w:val="20"/>
              </w:rPr>
              <w:t>Multiple R-squared: 0.8876, Adjusted R-squared: 0.8876</w:t>
            </w:r>
          </w:p>
          <w:p w14:paraId="5A5821B8" w14:textId="50739E01" w:rsidR="000B26EA" w:rsidRDefault="000B26EA" w:rsidP="003B38C3">
            <w:pPr>
              <w:keepNext/>
              <w:jc w:val="left"/>
            </w:pPr>
            <w:r w:rsidRPr="004B5B19">
              <w:rPr>
                <w:rFonts w:cs="Palatino Linotype"/>
                <w:color w:val="000000"/>
                <w:sz w:val="18"/>
                <w:szCs w:val="20"/>
              </w:rPr>
              <w:t>F-statistic: 5.465e+05 on 13 and 899634 DF, p-value: &lt; 2.2e-16</w:t>
            </w:r>
          </w:p>
        </w:tc>
      </w:tr>
    </w:tbl>
    <w:p w14:paraId="3F676DAF" w14:textId="77777777" w:rsidR="00A9061E" w:rsidRDefault="00A9061E" w:rsidP="00A9061E">
      <w:pPr>
        <w:rPr>
          <w:i/>
        </w:rPr>
      </w:pPr>
    </w:p>
    <w:p w14:paraId="7DE797E1" w14:textId="7C380CBB" w:rsidR="00A9061E" w:rsidRDefault="005550AF" w:rsidP="00A9061E">
      <w:r>
        <w:fldChar w:fldCharType="begin"/>
      </w:r>
      <w:r>
        <w:instrText xml:space="preserve"> REF _Ref440980502 \h </w:instrText>
      </w:r>
      <w:r>
        <w:fldChar w:fldCharType="separate"/>
      </w:r>
      <w:r w:rsidR="003B38C3">
        <w:t xml:space="preserve">Table </w:t>
      </w:r>
      <w:r w:rsidR="003B38C3">
        <w:rPr>
          <w:noProof/>
        </w:rPr>
        <w:t>5</w:t>
      </w:r>
      <w:r w:rsidR="003B38C3">
        <w:noBreakHyphen/>
      </w:r>
      <w:r w:rsidR="003B38C3">
        <w:rPr>
          <w:noProof/>
        </w:rPr>
        <w:t>5</w:t>
      </w:r>
      <w:r>
        <w:fldChar w:fldCharType="end"/>
      </w:r>
      <w:r w:rsidR="00A9061E">
        <w:t xml:space="preserve"> shows the detailed model output for the LFER model for April 2015 to September 2015.</w:t>
      </w:r>
    </w:p>
    <w:p w14:paraId="6D2E4B68" w14:textId="77777777" w:rsidR="005550AF" w:rsidRDefault="005550AF" w:rsidP="00A9061E"/>
    <w:p w14:paraId="7CA892E2" w14:textId="7BA6D8BF" w:rsidR="005550AF" w:rsidRDefault="005550AF" w:rsidP="005550AF">
      <w:pPr>
        <w:pStyle w:val="Caption"/>
      </w:pPr>
      <w:bookmarkStart w:id="78" w:name="_Ref440980502"/>
      <w:bookmarkStart w:id="79" w:name="_Toc441752608"/>
      <w:r>
        <w:t xml:space="preserve">Table </w:t>
      </w:r>
      <w:r w:rsidR="00851D29">
        <w:fldChar w:fldCharType="begin"/>
      </w:r>
      <w:r w:rsidR="00851D29">
        <w:instrText xml:space="preserve"> STYLEREF 1 \s </w:instrText>
      </w:r>
      <w:r w:rsidR="00851D29">
        <w:fldChar w:fldCharType="separate"/>
      </w:r>
      <w:r w:rsidR="003B38C3">
        <w:rPr>
          <w:noProof/>
        </w:rPr>
        <w:t>5</w:t>
      </w:r>
      <w:r w:rsidR="00851D29">
        <w:rPr>
          <w:noProof/>
        </w:rPr>
        <w:fldChar w:fldCharType="end"/>
      </w:r>
      <w:r>
        <w:noBreakHyphen/>
      </w:r>
      <w:r w:rsidR="00851D29">
        <w:fldChar w:fldCharType="begin"/>
      </w:r>
      <w:r w:rsidR="00851D29">
        <w:instrText xml:space="preserve"> SEQ Table \* ARABIC \s 1 </w:instrText>
      </w:r>
      <w:r w:rsidR="00851D29">
        <w:fldChar w:fldCharType="separate"/>
      </w:r>
      <w:r w:rsidR="003B38C3">
        <w:rPr>
          <w:noProof/>
        </w:rPr>
        <w:t>5</w:t>
      </w:r>
      <w:r w:rsidR="00851D29">
        <w:rPr>
          <w:noProof/>
        </w:rPr>
        <w:fldChar w:fldCharType="end"/>
      </w:r>
      <w:bookmarkEnd w:id="78"/>
      <w:r>
        <w:t>. LFER Detailed Model Output: April 2015 – September 2015</w:t>
      </w:r>
      <w:bookmarkEnd w:id="79"/>
    </w:p>
    <w:p w14:paraId="38BA939E" w14:textId="77777777" w:rsidR="00A9061E" w:rsidRDefault="00A9061E" w:rsidP="00A9061E"/>
    <w:tbl>
      <w:tblPr>
        <w:tblStyle w:val="EnergyTable"/>
        <w:tblW w:w="0" w:type="auto"/>
        <w:tblLook w:val="04A0" w:firstRow="1" w:lastRow="0" w:firstColumn="1" w:lastColumn="0" w:noHBand="0" w:noVBand="1"/>
      </w:tblPr>
      <w:tblGrid>
        <w:gridCol w:w="1698"/>
        <w:gridCol w:w="1519"/>
        <w:gridCol w:w="1519"/>
        <w:gridCol w:w="1524"/>
        <w:gridCol w:w="1520"/>
        <w:gridCol w:w="1508"/>
      </w:tblGrid>
      <w:tr w:rsidR="003B38C3" w14:paraId="65AB0D55" w14:textId="77777777" w:rsidTr="003B38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8" w:type="dxa"/>
          </w:tcPr>
          <w:p w14:paraId="04D2508C" w14:textId="77777777" w:rsidR="005550AF" w:rsidRDefault="005550AF" w:rsidP="005550AF"/>
        </w:tc>
        <w:tc>
          <w:tcPr>
            <w:tcW w:w="1519" w:type="dxa"/>
          </w:tcPr>
          <w:p w14:paraId="1368AF5A" w14:textId="1927DB16" w:rsidR="005550AF" w:rsidRDefault="005550AF" w:rsidP="005550AF">
            <w:pPr>
              <w:cnfStyle w:val="100000000000" w:firstRow="1" w:lastRow="0" w:firstColumn="0" w:lastColumn="0" w:oddVBand="0" w:evenVBand="0" w:oddHBand="0" w:evenHBand="0" w:firstRowFirstColumn="0" w:firstRowLastColumn="0" w:lastRowFirstColumn="0" w:lastRowLastColumn="0"/>
            </w:pPr>
            <w:r w:rsidRPr="004B5B19">
              <w:rPr>
                <w:rFonts w:cs="Palatino Linotype"/>
                <w:b w:val="0"/>
                <w:sz w:val="18"/>
                <w:szCs w:val="20"/>
              </w:rPr>
              <w:t>Estimate</w:t>
            </w:r>
          </w:p>
        </w:tc>
        <w:tc>
          <w:tcPr>
            <w:tcW w:w="1519" w:type="dxa"/>
          </w:tcPr>
          <w:p w14:paraId="321BD4C8" w14:textId="290C912B" w:rsidR="005550AF" w:rsidRDefault="005550AF" w:rsidP="005550AF">
            <w:pPr>
              <w:cnfStyle w:val="100000000000" w:firstRow="1" w:lastRow="0" w:firstColumn="0" w:lastColumn="0" w:oddVBand="0" w:evenVBand="0" w:oddHBand="0" w:evenHBand="0" w:firstRowFirstColumn="0" w:firstRowLastColumn="0" w:lastRowFirstColumn="0" w:lastRowLastColumn="0"/>
            </w:pPr>
            <w:r w:rsidRPr="004B5B19">
              <w:rPr>
                <w:rFonts w:cs="Palatino Linotype"/>
                <w:b w:val="0"/>
                <w:sz w:val="18"/>
                <w:szCs w:val="20"/>
              </w:rPr>
              <w:t>Std. Error</w:t>
            </w:r>
          </w:p>
        </w:tc>
        <w:tc>
          <w:tcPr>
            <w:tcW w:w="1524" w:type="dxa"/>
          </w:tcPr>
          <w:p w14:paraId="70BEC243" w14:textId="6229DE9C" w:rsidR="005550AF" w:rsidRDefault="005550AF" w:rsidP="005550AF">
            <w:pPr>
              <w:cnfStyle w:val="100000000000" w:firstRow="1" w:lastRow="0" w:firstColumn="0" w:lastColumn="0" w:oddVBand="0" w:evenVBand="0" w:oddHBand="0" w:evenHBand="0" w:firstRowFirstColumn="0" w:firstRowLastColumn="0" w:lastRowFirstColumn="0" w:lastRowLastColumn="0"/>
            </w:pPr>
            <w:r w:rsidRPr="004B5B19">
              <w:rPr>
                <w:rFonts w:cs="Palatino Linotype"/>
                <w:b w:val="0"/>
                <w:sz w:val="18"/>
                <w:szCs w:val="20"/>
              </w:rPr>
              <w:t>t value</w:t>
            </w:r>
          </w:p>
        </w:tc>
        <w:tc>
          <w:tcPr>
            <w:tcW w:w="1520" w:type="dxa"/>
          </w:tcPr>
          <w:p w14:paraId="612F7ABA" w14:textId="7B4DE527" w:rsidR="005550AF" w:rsidRDefault="005550AF" w:rsidP="005550AF">
            <w:pPr>
              <w:cnfStyle w:val="100000000000" w:firstRow="1" w:lastRow="0" w:firstColumn="0" w:lastColumn="0" w:oddVBand="0" w:evenVBand="0" w:oddHBand="0" w:evenHBand="0" w:firstRowFirstColumn="0" w:firstRowLastColumn="0" w:lastRowFirstColumn="0" w:lastRowLastColumn="0"/>
            </w:pPr>
            <w:proofErr w:type="spellStart"/>
            <w:r w:rsidRPr="004B5B19">
              <w:rPr>
                <w:rFonts w:cs="Palatino Linotype"/>
                <w:b w:val="0"/>
                <w:sz w:val="18"/>
                <w:szCs w:val="20"/>
              </w:rPr>
              <w:t>Pr</w:t>
            </w:r>
            <w:proofErr w:type="spellEnd"/>
            <w:r w:rsidRPr="004B5B19">
              <w:rPr>
                <w:rFonts w:cs="Palatino Linotype"/>
                <w:b w:val="0"/>
                <w:sz w:val="18"/>
                <w:szCs w:val="20"/>
              </w:rPr>
              <w:t>(&gt;|t|)</w:t>
            </w:r>
          </w:p>
        </w:tc>
        <w:tc>
          <w:tcPr>
            <w:tcW w:w="1508" w:type="dxa"/>
          </w:tcPr>
          <w:p w14:paraId="75840B1B" w14:textId="765D0B3E" w:rsidR="005550AF" w:rsidRDefault="005550AF" w:rsidP="005550AF">
            <w:pPr>
              <w:cnfStyle w:val="100000000000" w:firstRow="1" w:lastRow="0" w:firstColumn="0" w:lastColumn="0" w:oddVBand="0" w:evenVBand="0" w:oddHBand="0" w:evenHBand="0" w:firstRowFirstColumn="0" w:firstRowLastColumn="0" w:lastRowFirstColumn="0" w:lastRowLastColumn="0"/>
            </w:pPr>
            <w:proofErr w:type="spellStart"/>
            <w:r w:rsidRPr="004B5B19">
              <w:rPr>
                <w:rFonts w:cs="Palatino Linotype"/>
                <w:b w:val="0"/>
                <w:sz w:val="18"/>
                <w:szCs w:val="20"/>
              </w:rPr>
              <w:t>Signif</w:t>
            </w:r>
            <w:proofErr w:type="spellEnd"/>
            <w:r w:rsidRPr="004B5B19">
              <w:rPr>
                <w:rFonts w:cs="Palatino Linotype"/>
                <w:b w:val="0"/>
                <w:sz w:val="18"/>
                <w:szCs w:val="20"/>
              </w:rPr>
              <w:t>.</w:t>
            </w:r>
          </w:p>
        </w:tc>
      </w:tr>
      <w:tr w:rsidR="005550AF" w14:paraId="6CBED4F7" w14:textId="77777777" w:rsidTr="003B38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8" w:type="dxa"/>
          </w:tcPr>
          <w:p w14:paraId="6E2B5FE6" w14:textId="6C858012" w:rsidR="005550AF" w:rsidRDefault="005550AF" w:rsidP="003B38C3">
            <w:pPr>
              <w:jc w:val="left"/>
            </w:pPr>
            <w:r w:rsidRPr="004B5B19">
              <w:rPr>
                <w:sz w:val="18"/>
              </w:rPr>
              <w:t>post</w:t>
            </w:r>
          </w:p>
        </w:tc>
        <w:tc>
          <w:tcPr>
            <w:tcW w:w="1519" w:type="dxa"/>
          </w:tcPr>
          <w:p w14:paraId="110AFB96" w14:textId="588F3510" w:rsidR="005550AF" w:rsidRDefault="005550AF" w:rsidP="005550AF">
            <w:pPr>
              <w:cnfStyle w:val="000000100000" w:firstRow="0" w:lastRow="0" w:firstColumn="0" w:lastColumn="0" w:oddVBand="0" w:evenVBand="0" w:oddHBand="1" w:evenHBand="0" w:firstRowFirstColumn="0" w:firstRowLastColumn="0" w:lastRowFirstColumn="0" w:lastRowLastColumn="0"/>
            </w:pPr>
            <w:r w:rsidRPr="004B5B19">
              <w:rPr>
                <w:sz w:val="18"/>
              </w:rPr>
              <w:t>-2.038371</w:t>
            </w:r>
          </w:p>
        </w:tc>
        <w:tc>
          <w:tcPr>
            <w:tcW w:w="1519" w:type="dxa"/>
          </w:tcPr>
          <w:p w14:paraId="6D6254E0" w14:textId="08F390D7" w:rsidR="005550AF" w:rsidRDefault="005550AF" w:rsidP="005550AF">
            <w:pPr>
              <w:cnfStyle w:val="000000100000" w:firstRow="0" w:lastRow="0" w:firstColumn="0" w:lastColumn="0" w:oddVBand="0" w:evenVBand="0" w:oddHBand="1" w:evenHBand="0" w:firstRowFirstColumn="0" w:firstRowLastColumn="0" w:lastRowFirstColumn="0" w:lastRowLastColumn="0"/>
            </w:pPr>
            <w:r w:rsidRPr="004B5B19">
              <w:rPr>
                <w:sz w:val="18"/>
              </w:rPr>
              <w:t>0.007139</w:t>
            </w:r>
          </w:p>
        </w:tc>
        <w:tc>
          <w:tcPr>
            <w:tcW w:w="1524" w:type="dxa"/>
          </w:tcPr>
          <w:p w14:paraId="705EF5BB" w14:textId="03083C69" w:rsidR="005550AF" w:rsidRDefault="005550AF" w:rsidP="005550AF">
            <w:pPr>
              <w:cnfStyle w:val="000000100000" w:firstRow="0" w:lastRow="0" w:firstColumn="0" w:lastColumn="0" w:oddVBand="0" w:evenVBand="0" w:oddHBand="1" w:evenHBand="0" w:firstRowFirstColumn="0" w:firstRowLastColumn="0" w:lastRowFirstColumn="0" w:lastRowLastColumn="0"/>
            </w:pPr>
            <w:r w:rsidRPr="004B5B19">
              <w:rPr>
                <w:sz w:val="18"/>
              </w:rPr>
              <w:t>-285.52415</w:t>
            </w:r>
          </w:p>
        </w:tc>
        <w:tc>
          <w:tcPr>
            <w:tcW w:w="1520" w:type="dxa"/>
          </w:tcPr>
          <w:p w14:paraId="0605F78E" w14:textId="6E023360" w:rsidR="005550AF" w:rsidRDefault="005550AF" w:rsidP="005550AF">
            <w:pPr>
              <w:cnfStyle w:val="000000100000" w:firstRow="0" w:lastRow="0" w:firstColumn="0" w:lastColumn="0" w:oddVBand="0" w:evenVBand="0" w:oddHBand="1" w:evenHBand="0" w:firstRowFirstColumn="0" w:firstRowLastColumn="0" w:lastRowFirstColumn="0" w:lastRowLastColumn="0"/>
            </w:pPr>
            <w:r w:rsidRPr="004B5B19">
              <w:rPr>
                <w:sz w:val="18"/>
              </w:rPr>
              <w:t>0</w:t>
            </w:r>
          </w:p>
        </w:tc>
        <w:tc>
          <w:tcPr>
            <w:tcW w:w="1508" w:type="dxa"/>
          </w:tcPr>
          <w:p w14:paraId="2DF6B65D" w14:textId="77777777" w:rsidR="005550AF" w:rsidRDefault="005550AF" w:rsidP="005550AF">
            <w:pPr>
              <w:cnfStyle w:val="000000100000" w:firstRow="0" w:lastRow="0" w:firstColumn="0" w:lastColumn="0" w:oddVBand="0" w:evenVBand="0" w:oddHBand="1" w:evenHBand="0" w:firstRowFirstColumn="0" w:firstRowLastColumn="0" w:lastRowFirstColumn="0" w:lastRowLastColumn="0"/>
            </w:pPr>
          </w:p>
        </w:tc>
      </w:tr>
      <w:tr w:rsidR="005550AF" w14:paraId="6BDE55D2" w14:textId="77777777" w:rsidTr="003B38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8" w:type="dxa"/>
          </w:tcPr>
          <w:p w14:paraId="6FFCF6FF" w14:textId="6579E2A9" w:rsidR="005550AF" w:rsidRDefault="005550AF" w:rsidP="003B38C3">
            <w:pPr>
              <w:jc w:val="left"/>
            </w:pPr>
            <w:proofErr w:type="spellStart"/>
            <w:r w:rsidRPr="004B5B19">
              <w:rPr>
                <w:sz w:val="18"/>
              </w:rPr>
              <w:t>post.trt</w:t>
            </w:r>
            <w:proofErr w:type="spellEnd"/>
          </w:p>
        </w:tc>
        <w:tc>
          <w:tcPr>
            <w:tcW w:w="1519" w:type="dxa"/>
          </w:tcPr>
          <w:p w14:paraId="569C8ACC" w14:textId="0FF956D2" w:rsidR="005550AF" w:rsidRDefault="005550AF" w:rsidP="005550AF">
            <w:pPr>
              <w:cnfStyle w:val="000000010000" w:firstRow="0" w:lastRow="0" w:firstColumn="0" w:lastColumn="0" w:oddVBand="0" w:evenVBand="0" w:oddHBand="0" w:evenHBand="1" w:firstRowFirstColumn="0" w:firstRowLastColumn="0" w:lastRowFirstColumn="0" w:lastRowLastColumn="0"/>
            </w:pPr>
            <w:r w:rsidRPr="004B5B19">
              <w:rPr>
                <w:sz w:val="18"/>
              </w:rPr>
              <w:t>-0.008517</w:t>
            </w:r>
          </w:p>
        </w:tc>
        <w:tc>
          <w:tcPr>
            <w:tcW w:w="1519" w:type="dxa"/>
          </w:tcPr>
          <w:p w14:paraId="4E859F2E" w14:textId="6B847F91" w:rsidR="005550AF" w:rsidRDefault="005550AF" w:rsidP="005550AF">
            <w:pPr>
              <w:cnfStyle w:val="000000010000" w:firstRow="0" w:lastRow="0" w:firstColumn="0" w:lastColumn="0" w:oddVBand="0" w:evenVBand="0" w:oddHBand="0" w:evenHBand="1" w:firstRowFirstColumn="0" w:firstRowLastColumn="0" w:lastRowFirstColumn="0" w:lastRowLastColumn="0"/>
            </w:pPr>
            <w:r w:rsidRPr="004B5B19">
              <w:rPr>
                <w:sz w:val="18"/>
              </w:rPr>
              <w:t>0.007432</w:t>
            </w:r>
          </w:p>
        </w:tc>
        <w:tc>
          <w:tcPr>
            <w:tcW w:w="1524" w:type="dxa"/>
          </w:tcPr>
          <w:p w14:paraId="77389734" w14:textId="551ED03D" w:rsidR="005550AF" w:rsidRDefault="005550AF" w:rsidP="005550AF">
            <w:pPr>
              <w:cnfStyle w:val="000000010000" w:firstRow="0" w:lastRow="0" w:firstColumn="0" w:lastColumn="0" w:oddVBand="0" w:evenVBand="0" w:oddHBand="0" w:evenHBand="1" w:firstRowFirstColumn="0" w:firstRowLastColumn="0" w:lastRowFirstColumn="0" w:lastRowLastColumn="0"/>
            </w:pPr>
            <w:r w:rsidRPr="004B5B19">
              <w:rPr>
                <w:sz w:val="18"/>
              </w:rPr>
              <w:t>-1.1461086</w:t>
            </w:r>
          </w:p>
        </w:tc>
        <w:tc>
          <w:tcPr>
            <w:tcW w:w="1520" w:type="dxa"/>
          </w:tcPr>
          <w:p w14:paraId="510D8A85" w14:textId="1A27AA06" w:rsidR="005550AF" w:rsidRDefault="005550AF" w:rsidP="005550AF">
            <w:pPr>
              <w:cnfStyle w:val="000000010000" w:firstRow="0" w:lastRow="0" w:firstColumn="0" w:lastColumn="0" w:oddVBand="0" w:evenVBand="0" w:oddHBand="0" w:evenHBand="1" w:firstRowFirstColumn="0" w:firstRowLastColumn="0" w:lastRowFirstColumn="0" w:lastRowLastColumn="0"/>
            </w:pPr>
            <w:r w:rsidRPr="004B5B19">
              <w:rPr>
                <w:sz w:val="18"/>
              </w:rPr>
              <w:t>0.251750</w:t>
            </w:r>
          </w:p>
        </w:tc>
        <w:tc>
          <w:tcPr>
            <w:tcW w:w="1508" w:type="dxa"/>
          </w:tcPr>
          <w:p w14:paraId="0F87E810" w14:textId="7EB2774D" w:rsidR="005550AF" w:rsidRDefault="005550AF" w:rsidP="005550AF">
            <w:pPr>
              <w:cnfStyle w:val="000000010000" w:firstRow="0" w:lastRow="0" w:firstColumn="0" w:lastColumn="0" w:oddVBand="0" w:evenVBand="0" w:oddHBand="0" w:evenHBand="1" w:firstRowFirstColumn="0" w:firstRowLastColumn="0" w:lastRowFirstColumn="0" w:lastRowLastColumn="0"/>
            </w:pPr>
            <w:r w:rsidRPr="004B5B19">
              <w:rPr>
                <w:rFonts w:cs="Palatino Linotype"/>
                <w:color w:val="000000"/>
                <w:sz w:val="18"/>
                <w:szCs w:val="20"/>
              </w:rPr>
              <w:t>***</w:t>
            </w:r>
          </w:p>
        </w:tc>
      </w:tr>
      <w:tr w:rsidR="005550AF" w14:paraId="6D98F626" w14:textId="77777777" w:rsidTr="003B38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88" w:type="dxa"/>
            <w:gridSpan w:val="6"/>
          </w:tcPr>
          <w:p w14:paraId="7B798EF5" w14:textId="77777777" w:rsidR="005550AF" w:rsidRPr="004B5B19" w:rsidRDefault="005550AF" w:rsidP="005550AF">
            <w:pPr>
              <w:keepNext/>
              <w:autoSpaceDE w:val="0"/>
              <w:autoSpaceDN w:val="0"/>
              <w:adjustRightInd w:val="0"/>
              <w:jc w:val="left"/>
              <w:rPr>
                <w:rFonts w:cs="Palatino Linotype"/>
                <w:i/>
                <w:color w:val="000000"/>
                <w:sz w:val="18"/>
                <w:szCs w:val="20"/>
              </w:rPr>
            </w:pPr>
            <w:proofErr w:type="spellStart"/>
            <w:r w:rsidRPr="004B5B19">
              <w:rPr>
                <w:rFonts w:cs="Palatino Linotype"/>
                <w:i/>
                <w:color w:val="000000"/>
                <w:sz w:val="18"/>
                <w:szCs w:val="20"/>
              </w:rPr>
              <w:t>Signif</w:t>
            </w:r>
            <w:proofErr w:type="spellEnd"/>
            <w:r w:rsidRPr="004B5B19">
              <w:rPr>
                <w:rFonts w:cs="Palatino Linotype"/>
                <w:i/>
                <w:color w:val="000000"/>
                <w:sz w:val="18"/>
                <w:szCs w:val="20"/>
              </w:rPr>
              <w:t>. codes: 0 ‘***’ 0.001 ‘**’ 0.01 ‘*’ 0.05 ‘.’ 0.1 ‘ ’ 1</w:t>
            </w:r>
          </w:p>
          <w:p w14:paraId="016E4545" w14:textId="77777777" w:rsidR="005550AF" w:rsidRPr="004B5B19" w:rsidRDefault="005550AF" w:rsidP="005550AF">
            <w:pPr>
              <w:keepNext/>
              <w:autoSpaceDE w:val="0"/>
              <w:autoSpaceDN w:val="0"/>
              <w:adjustRightInd w:val="0"/>
              <w:jc w:val="left"/>
              <w:rPr>
                <w:rFonts w:cs="Palatino Linotype"/>
                <w:color w:val="000000"/>
                <w:sz w:val="18"/>
                <w:szCs w:val="20"/>
              </w:rPr>
            </w:pPr>
            <w:r w:rsidRPr="004B5B19">
              <w:rPr>
                <w:rFonts w:cs="Palatino Linotype"/>
                <w:color w:val="000000"/>
                <w:sz w:val="18"/>
                <w:szCs w:val="20"/>
              </w:rPr>
              <w:t>Total Sum of Squares: 30490000</w:t>
            </w:r>
          </w:p>
          <w:p w14:paraId="7E6409B5" w14:textId="77777777" w:rsidR="005550AF" w:rsidRPr="004B5B19" w:rsidRDefault="005550AF" w:rsidP="005550AF">
            <w:pPr>
              <w:keepNext/>
              <w:autoSpaceDE w:val="0"/>
              <w:autoSpaceDN w:val="0"/>
              <w:adjustRightInd w:val="0"/>
              <w:jc w:val="left"/>
              <w:rPr>
                <w:rFonts w:cs="Palatino Linotype"/>
                <w:color w:val="000000"/>
                <w:sz w:val="18"/>
                <w:szCs w:val="20"/>
              </w:rPr>
            </w:pPr>
            <w:r w:rsidRPr="004B5B19">
              <w:rPr>
                <w:rFonts w:cs="Palatino Linotype"/>
                <w:color w:val="000000"/>
                <w:sz w:val="18"/>
                <w:szCs w:val="20"/>
              </w:rPr>
              <w:t>Residual Sum of Squares: 27748000</w:t>
            </w:r>
          </w:p>
          <w:p w14:paraId="5ED553F2" w14:textId="77777777" w:rsidR="005550AF" w:rsidRPr="004B5B19" w:rsidRDefault="005550AF" w:rsidP="005550AF">
            <w:pPr>
              <w:keepNext/>
              <w:autoSpaceDE w:val="0"/>
              <w:autoSpaceDN w:val="0"/>
              <w:adjustRightInd w:val="0"/>
              <w:jc w:val="left"/>
              <w:rPr>
                <w:rFonts w:cs="Palatino Linotype"/>
                <w:color w:val="000000"/>
                <w:sz w:val="18"/>
                <w:szCs w:val="20"/>
              </w:rPr>
            </w:pPr>
            <w:r w:rsidRPr="004B5B19">
              <w:rPr>
                <w:rFonts w:cs="Palatino Linotype"/>
                <w:color w:val="000000"/>
                <w:sz w:val="18"/>
                <w:szCs w:val="20"/>
              </w:rPr>
              <w:t xml:space="preserve">R-Squared0.089934, Adj. R-Squared: 0.080026 </w:t>
            </w:r>
          </w:p>
          <w:p w14:paraId="02255776" w14:textId="39026593" w:rsidR="005550AF" w:rsidRPr="004B5B19" w:rsidRDefault="005550AF" w:rsidP="005550AF">
            <w:pPr>
              <w:rPr>
                <w:rFonts w:cs="Palatino Linotype"/>
                <w:color w:val="000000"/>
                <w:sz w:val="18"/>
                <w:szCs w:val="20"/>
              </w:rPr>
            </w:pPr>
            <w:r w:rsidRPr="004B5B19">
              <w:rPr>
                <w:rFonts w:cs="Palatino Linotype"/>
                <w:color w:val="000000"/>
                <w:sz w:val="18"/>
                <w:szCs w:val="20"/>
              </w:rPr>
              <w:t>F-statistic: 147789 on 2 and 2991057 DF, p-value: &lt; 2.22e-16</w:t>
            </w:r>
          </w:p>
        </w:tc>
      </w:tr>
    </w:tbl>
    <w:p w14:paraId="6197FD98" w14:textId="77777777" w:rsidR="00A9061E" w:rsidRPr="00522B4A" w:rsidRDefault="00A9061E" w:rsidP="005550AF">
      <w:pPr>
        <w:pStyle w:val="Source"/>
        <w:ind w:left="0"/>
      </w:pPr>
      <w:r>
        <w:t>Source: Navigant analysis</w:t>
      </w:r>
    </w:p>
    <w:p w14:paraId="1EE88D5B" w14:textId="28606547" w:rsidR="00A9061E" w:rsidRDefault="003B38C3" w:rsidP="003B38C3">
      <w:pPr>
        <w:keepNext/>
      </w:pPr>
      <w:r>
        <w:fldChar w:fldCharType="begin"/>
      </w:r>
      <w:r>
        <w:instrText xml:space="preserve"> REF _Ref440981240 \h </w:instrText>
      </w:r>
      <w:r>
        <w:fldChar w:fldCharType="separate"/>
      </w:r>
      <w:r>
        <w:t xml:space="preserve">Table </w:t>
      </w:r>
      <w:r>
        <w:rPr>
          <w:noProof/>
        </w:rPr>
        <w:t>5</w:t>
      </w:r>
      <w:r>
        <w:noBreakHyphen/>
      </w:r>
      <w:r>
        <w:rPr>
          <w:noProof/>
        </w:rPr>
        <w:t>6</w:t>
      </w:r>
      <w:r>
        <w:fldChar w:fldCharType="end"/>
      </w:r>
      <w:r>
        <w:t xml:space="preserve"> </w:t>
      </w:r>
      <w:r w:rsidR="00A9061E">
        <w:t>shows the detailed model output for the monthly PPR model for April 2015 to September 2015.</w:t>
      </w:r>
    </w:p>
    <w:p w14:paraId="5A83AD6E" w14:textId="77777777" w:rsidR="00A9061E" w:rsidRDefault="00A9061E" w:rsidP="003B38C3">
      <w:pPr>
        <w:keepNext/>
      </w:pPr>
    </w:p>
    <w:p w14:paraId="08A138D8" w14:textId="77777777" w:rsidR="00A9061E" w:rsidRDefault="00A9061E" w:rsidP="003B38C3">
      <w:pPr>
        <w:pStyle w:val="Caption"/>
      </w:pPr>
      <w:bookmarkStart w:id="80" w:name="_Ref440981240"/>
      <w:bookmarkStart w:id="81" w:name="_Toc441752609"/>
      <w:r>
        <w:t xml:space="preserve">Table </w:t>
      </w:r>
      <w:r w:rsidR="00851D29">
        <w:fldChar w:fldCharType="begin"/>
      </w:r>
      <w:r w:rsidR="00851D29">
        <w:instrText xml:space="preserve"> STYLEREF 1 \s </w:instrText>
      </w:r>
      <w:r w:rsidR="00851D29">
        <w:fldChar w:fldCharType="separate"/>
      </w:r>
      <w:r w:rsidR="003B38C3">
        <w:rPr>
          <w:noProof/>
        </w:rPr>
        <w:t>5</w:t>
      </w:r>
      <w:r w:rsidR="00851D29">
        <w:rPr>
          <w:noProof/>
        </w:rPr>
        <w:fldChar w:fldCharType="end"/>
      </w:r>
      <w:r>
        <w:noBreakHyphen/>
      </w:r>
      <w:r w:rsidR="00851D29">
        <w:fldChar w:fldCharType="begin"/>
      </w:r>
      <w:r w:rsidR="00851D29">
        <w:instrText xml:space="preserve"> SEQ Table \* ARABIC \s 1 </w:instrText>
      </w:r>
      <w:r w:rsidR="00851D29">
        <w:fldChar w:fldCharType="separate"/>
      </w:r>
      <w:r w:rsidR="003B38C3">
        <w:rPr>
          <w:noProof/>
        </w:rPr>
        <w:t>6</w:t>
      </w:r>
      <w:r w:rsidR="00851D29">
        <w:rPr>
          <w:noProof/>
        </w:rPr>
        <w:fldChar w:fldCharType="end"/>
      </w:r>
      <w:bookmarkEnd w:id="80"/>
      <w:r>
        <w:t>. Monthly PPR Detailed Model Output: April 2015 – September 2015</w:t>
      </w:r>
      <w:bookmarkEnd w:id="81"/>
    </w:p>
    <w:tbl>
      <w:tblPr>
        <w:tblStyle w:val="EnergyTable"/>
        <w:tblW w:w="0" w:type="auto"/>
        <w:tblLook w:val="04A0" w:firstRow="1" w:lastRow="0" w:firstColumn="1" w:lastColumn="0" w:noHBand="0" w:noVBand="1"/>
      </w:tblPr>
      <w:tblGrid>
        <w:gridCol w:w="2160"/>
        <w:gridCol w:w="1338"/>
        <w:gridCol w:w="1456"/>
        <w:gridCol w:w="1501"/>
        <w:gridCol w:w="1449"/>
        <w:gridCol w:w="1384"/>
      </w:tblGrid>
      <w:tr w:rsidR="005550AF" w14:paraId="733A225E" w14:textId="77777777" w:rsidTr="003B38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14:paraId="585B2CB0" w14:textId="77777777" w:rsidR="005550AF" w:rsidRDefault="005550AF" w:rsidP="003B38C3">
            <w:pPr>
              <w:keepNext/>
            </w:pPr>
          </w:p>
        </w:tc>
        <w:tc>
          <w:tcPr>
            <w:tcW w:w="1338" w:type="dxa"/>
          </w:tcPr>
          <w:p w14:paraId="3CCE3421" w14:textId="530F06C1" w:rsidR="005550AF" w:rsidRDefault="005550AF" w:rsidP="003B38C3">
            <w:pPr>
              <w:keepNext/>
              <w:cnfStyle w:val="100000000000" w:firstRow="1" w:lastRow="0" w:firstColumn="0" w:lastColumn="0" w:oddVBand="0" w:evenVBand="0" w:oddHBand="0" w:evenHBand="0" w:firstRowFirstColumn="0" w:firstRowLastColumn="0" w:lastRowFirstColumn="0" w:lastRowLastColumn="0"/>
            </w:pPr>
            <w:r w:rsidRPr="004B5B19">
              <w:rPr>
                <w:rFonts w:cs="Palatino Linotype"/>
                <w:b w:val="0"/>
                <w:sz w:val="18"/>
                <w:szCs w:val="20"/>
              </w:rPr>
              <w:t>Estimate</w:t>
            </w:r>
          </w:p>
        </w:tc>
        <w:tc>
          <w:tcPr>
            <w:tcW w:w="1456" w:type="dxa"/>
          </w:tcPr>
          <w:p w14:paraId="4DB2A7CF" w14:textId="0282EBA4" w:rsidR="005550AF" w:rsidRDefault="005550AF" w:rsidP="003B38C3">
            <w:pPr>
              <w:keepNext/>
              <w:cnfStyle w:val="100000000000" w:firstRow="1" w:lastRow="0" w:firstColumn="0" w:lastColumn="0" w:oddVBand="0" w:evenVBand="0" w:oddHBand="0" w:evenHBand="0" w:firstRowFirstColumn="0" w:firstRowLastColumn="0" w:lastRowFirstColumn="0" w:lastRowLastColumn="0"/>
            </w:pPr>
            <w:r w:rsidRPr="004B5B19">
              <w:rPr>
                <w:rFonts w:cs="Palatino Linotype"/>
                <w:b w:val="0"/>
                <w:sz w:val="18"/>
                <w:szCs w:val="20"/>
              </w:rPr>
              <w:t>Std. Error</w:t>
            </w:r>
          </w:p>
        </w:tc>
        <w:tc>
          <w:tcPr>
            <w:tcW w:w="1501" w:type="dxa"/>
          </w:tcPr>
          <w:p w14:paraId="59DC9786" w14:textId="739697AA" w:rsidR="005550AF" w:rsidRDefault="005550AF" w:rsidP="003B38C3">
            <w:pPr>
              <w:keepNext/>
              <w:cnfStyle w:val="100000000000" w:firstRow="1" w:lastRow="0" w:firstColumn="0" w:lastColumn="0" w:oddVBand="0" w:evenVBand="0" w:oddHBand="0" w:evenHBand="0" w:firstRowFirstColumn="0" w:firstRowLastColumn="0" w:lastRowFirstColumn="0" w:lastRowLastColumn="0"/>
            </w:pPr>
            <w:r w:rsidRPr="004B5B19">
              <w:rPr>
                <w:rFonts w:cs="Palatino Linotype"/>
                <w:b w:val="0"/>
                <w:sz w:val="18"/>
                <w:szCs w:val="20"/>
              </w:rPr>
              <w:t>t value</w:t>
            </w:r>
          </w:p>
        </w:tc>
        <w:tc>
          <w:tcPr>
            <w:tcW w:w="1449" w:type="dxa"/>
          </w:tcPr>
          <w:p w14:paraId="7EADDC06" w14:textId="73455196" w:rsidR="005550AF" w:rsidRDefault="005550AF" w:rsidP="003B38C3">
            <w:pPr>
              <w:keepNext/>
              <w:cnfStyle w:val="100000000000" w:firstRow="1" w:lastRow="0" w:firstColumn="0" w:lastColumn="0" w:oddVBand="0" w:evenVBand="0" w:oddHBand="0" w:evenHBand="0" w:firstRowFirstColumn="0" w:firstRowLastColumn="0" w:lastRowFirstColumn="0" w:lastRowLastColumn="0"/>
            </w:pPr>
            <w:proofErr w:type="spellStart"/>
            <w:r w:rsidRPr="004B5B19">
              <w:rPr>
                <w:rFonts w:cs="Palatino Linotype"/>
                <w:b w:val="0"/>
                <w:sz w:val="18"/>
                <w:szCs w:val="20"/>
              </w:rPr>
              <w:t>Pr</w:t>
            </w:r>
            <w:proofErr w:type="spellEnd"/>
            <w:r w:rsidRPr="004B5B19">
              <w:rPr>
                <w:rFonts w:cs="Palatino Linotype"/>
                <w:b w:val="0"/>
                <w:sz w:val="18"/>
                <w:szCs w:val="20"/>
              </w:rPr>
              <w:t>(&gt;|t|)</w:t>
            </w:r>
          </w:p>
        </w:tc>
        <w:tc>
          <w:tcPr>
            <w:tcW w:w="1384" w:type="dxa"/>
          </w:tcPr>
          <w:p w14:paraId="6EDEC50B" w14:textId="4557EFF0" w:rsidR="005550AF" w:rsidRDefault="005550AF" w:rsidP="003B38C3">
            <w:pPr>
              <w:keepNext/>
              <w:cnfStyle w:val="100000000000" w:firstRow="1" w:lastRow="0" w:firstColumn="0" w:lastColumn="0" w:oddVBand="0" w:evenVBand="0" w:oddHBand="0" w:evenHBand="0" w:firstRowFirstColumn="0" w:firstRowLastColumn="0" w:lastRowFirstColumn="0" w:lastRowLastColumn="0"/>
            </w:pPr>
            <w:proofErr w:type="spellStart"/>
            <w:r w:rsidRPr="004B5B19">
              <w:rPr>
                <w:rFonts w:cs="Palatino Linotype"/>
                <w:b w:val="0"/>
                <w:sz w:val="18"/>
                <w:szCs w:val="20"/>
              </w:rPr>
              <w:t>Signif</w:t>
            </w:r>
            <w:proofErr w:type="spellEnd"/>
            <w:r w:rsidRPr="004B5B19">
              <w:rPr>
                <w:rFonts w:cs="Palatino Linotype"/>
                <w:b w:val="0"/>
                <w:sz w:val="18"/>
                <w:szCs w:val="20"/>
              </w:rPr>
              <w:t>.</w:t>
            </w:r>
          </w:p>
        </w:tc>
      </w:tr>
      <w:tr w:rsidR="005550AF" w14:paraId="49B4AC07" w14:textId="77777777" w:rsidTr="003B38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vAlign w:val="top"/>
          </w:tcPr>
          <w:p w14:paraId="1845553B" w14:textId="73BA4658" w:rsidR="005550AF" w:rsidRDefault="005550AF" w:rsidP="003B38C3">
            <w:pPr>
              <w:keepNext/>
              <w:jc w:val="left"/>
            </w:pPr>
            <w:r w:rsidRPr="004B5B19">
              <w:rPr>
                <w:sz w:val="18"/>
              </w:rPr>
              <w:t>yrmo201504</w:t>
            </w:r>
          </w:p>
        </w:tc>
        <w:tc>
          <w:tcPr>
            <w:tcW w:w="1338" w:type="dxa"/>
            <w:vAlign w:val="top"/>
          </w:tcPr>
          <w:p w14:paraId="36E36D42" w14:textId="4C298EA9"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sz w:val="18"/>
              </w:rPr>
              <w:t>0.527872</w:t>
            </w:r>
          </w:p>
        </w:tc>
        <w:tc>
          <w:tcPr>
            <w:tcW w:w="1456" w:type="dxa"/>
            <w:vAlign w:val="top"/>
          </w:tcPr>
          <w:p w14:paraId="4DE358FD" w14:textId="7152CA6D"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sz w:val="18"/>
              </w:rPr>
              <w:t>0.0245189</w:t>
            </w:r>
          </w:p>
        </w:tc>
        <w:tc>
          <w:tcPr>
            <w:tcW w:w="1501" w:type="dxa"/>
            <w:vAlign w:val="top"/>
          </w:tcPr>
          <w:p w14:paraId="25D9BDD9" w14:textId="102C9A0F"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sz w:val="18"/>
              </w:rPr>
              <w:t>21.529161</w:t>
            </w:r>
          </w:p>
        </w:tc>
        <w:tc>
          <w:tcPr>
            <w:tcW w:w="1449" w:type="dxa"/>
            <w:vAlign w:val="top"/>
          </w:tcPr>
          <w:p w14:paraId="2D5502CD" w14:textId="1A1ED8A4"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sz w:val="18"/>
              </w:rPr>
              <w:t>8.8E-103</w:t>
            </w:r>
          </w:p>
        </w:tc>
        <w:tc>
          <w:tcPr>
            <w:tcW w:w="1384" w:type="dxa"/>
          </w:tcPr>
          <w:p w14:paraId="31594B90" w14:textId="2C69BEFB"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rFonts w:cs="Palatino Linotype"/>
                <w:color w:val="000000"/>
                <w:sz w:val="18"/>
                <w:szCs w:val="20"/>
              </w:rPr>
              <w:t>***</w:t>
            </w:r>
          </w:p>
        </w:tc>
      </w:tr>
      <w:tr w:rsidR="005550AF" w14:paraId="13C928A2" w14:textId="77777777" w:rsidTr="003B38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vAlign w:val="top"/>
          </w:tcPr>
          <w:p w14:paraId="333864C8" w14:textId="6FD06DE2" w:rsidR="005550AF" w:rsidRDefault="005550AF" w:rsidP="003B38C3">
            <w:pPr>
              <w:keepNext/>
              <w:jc w:val="left"/>
            </w:pPr>
            <w:r w:rsidRPr="004B5B19">
              <w:rPr>
                <w:sz w:val="18"/>
              </w:rPr>
              <w:t>yrmo201505</w:t>
            </w:r>
          </w:p>
        </w:tc>
        <w:tc>
          <w:tcPr>
            <w:tcW w:w="1338" w:type="dxa"/>
            <w:vAlign w:val="top"/>
          </w:tcPr>
          <w:p w14:paraId="157F1723" w14:textId="2A147AFA"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sz w:val="18"/>
              </w:rPr>
              <w:t>0.474581</w:t>
            </w:r>
          </w:p>
        </w:tc>
        <w:tc>
          <w:tcPr>
            <w:tcW w:w="1456" w:type="dxa"/>
            <w:vAlign w:val="top"/>
          </w:tcPr>
          <w:p w14:paraId="47A76252" w14:textId="6EBE96AB"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sz w:val="18"/>
              </w:rPr>
              <w:t>0.0216131</w:t>
            </w:r>
          </w:p>
        </w:tc>
        <w:tc>
          <w:tcPr>
            <w:tcW w:w="1501" w:type="dxa"/>
            <w:vAlign w:val="top"/>
          </w:tcPr>
          <w:p w14:paraId="7B73BE00" w14:textId="20A713C3"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sz w:val="18"/>
              </w:rPr>
              <w:t>21.958035</w:t>
            </w:r>
          </w:p>
        </w:tc>
        <w:tc>
          <w:tcPr>
            <w:tcW w:w="1449" w:type="dxa"/>
            <w:vAlign w:val="top"/>
          </w:tcPr>
          <w:p w14:paraId="224CFA84" w14:textId="44ADDA36"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sz w:val="18"/>
              </w:rPr>
              <w:t>7.7E-107</w:t>
            </w:r>
          </w:p>
        </w:tc>
        <w:tc>
          <w:tcPr>
            <w:tcW w:w="1384" w:type="dxa"/>
          </w:tcPr>
          <w:p w14:paraId="7E335ECF" w14:textId="5C991033"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rFonts w:cs="Palatino Linotype"/>
                <w:color w:val="000000"/>
                <w:sz w:val="18"/>
                <w:szCs w:val="20"/>
              </w:rPr>
              <w:t>***</w:t>
            </w:r>
          </w:p>
        </w:tc>
      </w:tr>
      <w:tr w:rsidR="005550AF" w14:paraId="5D3B0802" w14:textId="77777777" w:rsidTr="003B38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vAlign w:val="top"/>
          </w:tcPr>
          <w:p w14:paraId="27288507" w14:textId="770F5269" w:rsidR="005550AF" w:rsidRDefault="005550AF" w:rsidP="003B38C3">
            <w:pPr>
              <w:keepNext/>
              <w:jc w:val="left"/>
            </w:pPr>
            <w:r w:rsidRPr="004B5B19">
              <w:rPr>
                <w:sz w:val="18"/>
              </w:rPr>
              <w:t>yrmo201506</w:t>
            </w:r>
          </w:p>
        </w:tc>
        <w:tc>
          <w:tcPr>
            <w:tcW w:w="1338" w:type="dxa"/>
            <w:vAlign w:val="top"/>
          </w:tcPr>
          <w:p w14:paraId="58841D88" w14:textId="21D976D7"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sz w:val="18"/>
              </w:rPr>
              <w:t>0.414513</w:t>
            </w:r>
          </w:p>
        </w:tc>
        <w:tc>
          <w:tcPr>
            <w:tcW w:w="1456" w:type="dxa"/>
            <w:vAlign w:val="top"/>
          </w:tcPr>
          <w:p w14:paraId="5F6DC8E4" w14:textId="2EB0D0C7"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sz w:val="18"/>
              </w:rPr>
              <w:t>0.012558</w:t>
            </w:r>
          </w:p>
        </w:tc>
        <w:tc>
          <w:tcPr>
            <w:tcW w:w="1501" w:type="dxa"/>
            <w:vAlign w:val="top"/>
          </w:tcPr>
          <w:p w14:paraId="11C0AE8B" w14:textId="50461E63"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sz w:val="18"/>
              </w:rPr>
              <w:t>33.007204</w:t>
            </w:r>
          </w:p>
        </w:tc>
        <w:tc>
          <w:tcPr>
            <w:tcW w:w="1449" w:type="dxa"/>
            <w:vAlign w:val="top"/>
          </w:tcPr>
          <w:p w14:paraId="27F4CA90" w14:textId="2D08895E"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sz w:val="18"/>
              </w:rPr>
              <w:t>8.9E-239</w:t>
            </w:r>
          </w:p>
        </w:tc>
        <w:tc>
          <w:tcPr>
            <w:tcW w:w="1384" w:type="dxa"/>
          </w:tcPr>
          <w:p w14:paraId="750BB566" w14:textId="3B8AA6FA"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rFonts w:cs="Palatino Linotype"/>
                <w:color w:val="000000"/>
                <w:sz w:val="18"/>
                <w:szCs w:val="20"/>
              </w:rPr>
              <w:t>***</w:t>
            </w:r>
          </w:p>
        </w:tc>
      </w:tr>
      <w:tr w:rsidR="005550AF" w14:paraId="1A30DF49" w14:textId="77777777" w:rsidTr="003B38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vAlign w:val="top"/>
          </w:tcPr>
          <w:p w14:paraId="3CAF1B9B" w14:textId="513497C4" w:rsidR="005550AF" w:rsidRDefault="005550AF" w:rsidP="003B38C3">
            <w:pPr>
              <w:keepNext/>
              <w:jc w:val="left"/>
            </w:pPr>
            <w:r w:rsidRPr="004B5B19">
              <w:rPr>
                <w:sz w:val="18"/>
              </w:rPr>
              <w:t>yrmo201507</w:t>
            </w:r>
          </w:p>
        </w:tc>
        <w:tc>
          <w:tcPr>
            <w:tcW w:w="1338" w:type="dxa"/>
            <w:vAlign w:val="top"/>
          </w:tcPr>
          <w:p w14:paraId="24C2CBD9" w14:textId="69AF16F6"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sz w:val="18"/>
              </w:rPr>
              <w:t>0.165872</w:t>
            </w:r>
          </w:p>
        </w:tc>
        <w:tc>
          <w:tcPr>
            <w:tcW w:w="1456" w:type="dxa"/>
            <w:vAlign w:val="top"/>
          </w:tcPr>
          <w:p w14:paraId="601302B2" w14:textId="7D10D69F"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sz w:val="18"/>
              </w:rPr>
              <w:t>0.012268</w:t>
            </w:r>
          </w:p>
        </w:tc>
        <w:tc>
          <w:tcPr>
            <w:tcW w:w="1501" w:type="dxa"/>
            <w:vAlign w:val="top"/>
          </w:tcPr>
          <w:p w14:paraId="545B4FB6" w14:textId="0A068A40"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sz w:val="18"/>
              </w:rPr>
              <w:t>13.520431</w:t>
            </w:r>
          </w:p>
        </w:tc>
        <w:tc>
          <w:tcPr>
            <w:tcW w:w="1449" w:type="dxa"/>
            <w:vAlign w:val="top"/>
          </w:tcPr>
          <w:p w14:paraId="4E0DEC48" w14:textId="37F26FB9"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sz w:val="18"/>
              </w:rPr>
              <w:t>1.2E-41</w:t>
            </w:r>
          </w:p>
        </w:tc>
        <w:tc>
          <w:tcPr>
            <w:tcW w:w="1384" w:type="dxa"/>
          </w:tcPr>
          <w:p w14:paraId="072E66F8" w14:textId="6AB4E811"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rFonts w:cs="Palatino Linotype"/>
                <w:color w:val="000000"/>
                <w:sz w:val="18"/>
                <w:szCs w:val="20"/>
              </w:rPr>
              <w:t>***</w:t>
            </w:r>
          </w:p>
        </w:tc>
      </w:tr>
      <w:tr w:rsidR="005550AF" w14:paraId="1BE130E3" w14:textId="77777777" w:rsidTr="003B38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vAlign w:val="top"/>
          </w:tcPr>
          <w:p w14:paraId="5FF2A6EB" w14:textId="3937C88A" w:rsidR="005550AF" w:rsidRDefault="005550AF" w:rsidP="003B38C3">
            <w:pPr>
              <w:keepNext/>
              <w:jc w:val="left"/>
            </w:pPr>
            <w:r w:rsidRPr="004B5B19">
              <w:rPr>
                <w:sz w:val="18"/>
              </w:rPr>
              <w:t>yrmo201508</w:t>
            </w:r>
          </w:p>
        </w:tc>
        <w:tc>
          <w:tcPr>
            <w:tcW w:w="1338" w:type="dxa"/>
            <w:vAlign w:val="top"/>
          </w:tcPr>
          <w:p w14:paraId="7AFA766F" w14:textId="2C153358"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sz w:val="18"/>
              </w:rPr>
              <w:t>0.210464</w:t>
            </w:r>
          </w:p>
        </w:tc>
        <w:tc>
          <w:tcPr>
            <w:tcW w:w="1456" w:type="dxa"/>
            <w:vAlign w:val="top"/>
          </w:tcPr>
          <w:p w14:paraId="759E8432" w14:textId="445F8F4F"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sz w:val="18"/>
              </w:rPr>
              <w:t>0.009595</w:t>
            </w:r>
          </w:p>
        </w:tc>
        <w:tc>
          <w:tcPr>
            <w:tcW w:w="1501" w:type="dxa"/>
            <w:vAlign w:val="top"/>
          </w:tcPr>
          <w:p w14:paraId="5D426660" w14:textId="2109A976"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sz w:val="18"/>
              </w:rPr>
              <w:t>21.934112</w:t>
            </w:r>
          </w:p>
        </w:tc>
        <w:tc>
          <w:tcPr>
            <w:tcW w:w="1449" w:type="dxa"/>
            <w:vAlign w:val="top"/>
          </w:tcPr>
          <w:p w14:paraId="575E6696" w14:textId="0AB6CC97"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sz w:val="18"/>
              </w:rPr>
              <w:t>1.3E-106</w:t>
            </w:r>
          </w:p>
        </w:tc>
        <w:tc>
          <w:tcPr>
            <w:tcW w:w="1384" w:type="dxa"/>
          </w:tcPr>
          <w:p w14:paraId="5B92700B" w14:textId="21D38397"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rFonts w:cs="Palatino Linotype"/>
                <w:color w:val="000000"/>
                <w:sz w:val="18"/>
                <w:szCs w:val="20"/>
              </w:rPr>
              <w:t>***</w:t>
            </w:r>
          </w:p>
        </w:tc>
      </w:tr>
      <w:tr w:rsidR="005550AF" w14:paraId="5B4E02C6" w14:textId="77777777" w:rsidTr="003B38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vAlign w:val="top"/>
          </w:tcPr>
          <w:p w14:paraId="291D349B" w14:textId="4A6BFD50" w:rsidR="005550AF" w:rsidRDefault="005550AF" w:rsidP="003B38C3">
            <w:pPr>
              <w:keepNext/>
              <w:jc w:val="left"/>
            </w:pPr>
            <w:r w:rsidRPr="004B5B19">
              <w:rPr>
                <w:sz w:val="18"/>
              </w:rPr>
              <w:t>yrmo201509</w:t>
            </w:r>
          </w:p>
        </w:tc>
        <w:tc>
          <w:tcPr>
            <w:tcW w:w="1338" w:type="dxa"/>
            <w:vAlign w:val="top"/>
          </w:tcPr>
          <w:p w14:paraId="6077E45D" w14:textId="2BE1CE84"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sz w:val="18"/>
              </w:rPr>
              <w:t>0.314404</w:t>
            </w:r>
          </w:p>
        </w:tc>
        <w:tc>
          <w:tcPr>
            <w:tcW w:w="1456" w:type="dxa"/>
            <w:vAlign w:val="top"/>
          </w:tcPr>
          <w:p w14:paraId="7280BD9E" w14:textId="10BC5960"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sz w:val="18"/>
              </w:rPr>
              <w:t>0.011941</w:t>
            </w:r>
          </w:p>
        </w:tc>
        <w:tc>
          <w:tcPr>
            <w:tcW w:w="1501" w:type="dxa"/>
            <w:vAlign w:val="top"/>
          </w:tcPr>
          <w:p w14:paraId="4FF73D93" w14:textId="24BD6CED"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sz w:val="18"/>
              </w:rPr>
              <w:t>26.329557</w:t>
            </w:r>
          </w:p>
        </w:tc>
        <w:tc>
          <w:tcPr>
            <w:tcW w:w="1449" w:type="dxa"/>
            <w:vAlign w:val="top"/>
          </w:tcPr>
          <w:p w14:paraId="5B020EE3" w14:textId="12088AA8"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sz w:val="18"/>
              </w:rPr>
              <w:t>1.0E-152</w:t>
            </w:r>
          </w:p>
        </w:tc>
        <w:tc>
          <w:tcPr>
            <w:tcW w:w="1384" w:type="dxa"/>
          </w:tcPr>
          <w:p w14:paraId="7901F62D" w14:textId="6CBBF83D"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rFonts w:cs="Palatino Linotype"/>
                <w:color w:val="000000"/>
                <w:sz w:val="18"/>
                <w:szCs w:val="20"/>
              </w:rPr>
              <w:t>***</w:t>
            </w:r>
          </w:p>
        </w:tc>
      </w:tr>
      <w:tr w:rsidR="005550AF" w14:paraId="6BAC6A94" w14:textId="77777777" w:rsidTr="003B38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vAlign w:val="top"/>
          </w:tcPr>
          <w:p w14:paraId="5ACD4B75" w14:textId="022F389F" w:rsidR="005550AF" w:rsidRDefault="005550AF" w:rsidP="003B38C3">
            <w:pPr>
              <w:keepNext/>
              <w:jc w:val="left"/>
            </w:pPr>
            <w:r w:rsidRPr="004B5B19">
              <w:rPr>
                <w:sz w:val="18"/>
              </w:rPr>
              <w:t>treatment:yrmo201504</w:t>
            </w:r>
          </w:p>
        </w:tc>
        <w:tc>
          <w:tcPr>
            <w:tcW w:w="1338" w:type="dxa"/>
            <w:vAlign w:val="top"/>
          </w:tcPr>
          <w:p w14:paraId="10D4A611" w14:textId="689BD3FF"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sz w:val="18"/>
              </w:rPr>
              <w:t>-0.0285119</w:t>
            </w:r>
          </w:p>
        </w:tc>
        <w:tc>
          <w:tcPr>
            <w:tcW w:w="1456" w:type="dxa"/>
            <w:vAlign w:val="top"/>
          </w:tcPr>
          <w:p w14:paraId="48F3967E" w14:textId="3D20CC3C"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sz w:val="18"/>
              </w:rPr>
              <w:t>0.013514</w:t>
            </w:r>
          </w:p>
        </w:tc>
        <w:tc>
          <w:tcPr>
            <w:tcW w:w="1501" w:type="dxa"/>
            <w:vAlign w:val="top"/>
          </w:tcPr>
          <w:p w14:paraId="43E14214" w14:textId="2E47E82C"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sz w:val="18"/>
              </w:rPr>
              <w:t>-2.109683</w:t>
            </w:r>
          </w:p>
        </w:tc>
        <w:tc>
          <w:tcPr>
            <w:tcW w:w="1449" w:type="dxa"/>
            <w:vAlign w:val="top"/>
          </w:tcPr>
          <w:p w14:paraId="33B0DF18" w14:textId="17A2B9AD"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sz w:val="18"/>
              </w:rPr>
              <w:t>0.034885</w:t>
            </w:r>
          </w:p>
        </w:tc>
        <w:tc>
          <w:tcPr>
            <w:tcW w:w="1384" w:type="dxa"/>
          </w:tcPr>
          <w:p w14:paraId="236B6FCA" w14:textId="77777777" w:rsidR="005550AF" w:rsidRDefault="005550AF" w:rsidP="003B38C3">
            <w:pPr>
              <w:keepNext/>
              <w:cnfStyle w:val="000000100000" w:firstRow="0" w:lastRow="0" w:firstColumn="0" w:lastColumn="0" w:oddVBand="0" w:evenVBand="0" w:oddHBand="1" w:evenHBand="0" w:firstRowFirstColumn="0" w:firstRowLastColumn="0" w:lastRowFirstColumn="0" w:lastRowLastColumn="0"/>
            </w:pPr>
          </w:p>
        </w:tc>
      </w:tr>
      <w:tr w:rsidR="005550AF" w14:paraId="3B96488A" w14:textId="77777777" w:rsidTr="003B38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vAlign w:val="top"/>
          </w:tcPr>
          <w:p w14:paraId="50819392" w14:textId="58B9E595" w:rsidR="005550AF" w:rsidRDefault="005550AF" w:rsidP="003B38C3">
            <w:pPr>
              <w:keepNext/>
              <w:jc w:val="left"/>
            </w:pPr>
            <w:r w:rsidRPr="004B5B19">
              <w:rPr>
                <w:sz w:val="18"/>
              </w:rPr>
              <w:t>treatment:yrmo201505</w:t>
            </w:r>
          </w:p>
        </w:tc>
        <w:tc>
          <w:tcPr>
            <w:tcW w:w="1338" w:type="dxa"/>
            <w:vAlign w:val="top"/>
          </w:tcPr>
          <w:p w14:paraId="16071FC8" w14:textId="6EA966C2"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sz w:val="18"/>
              </w:rPr>
              <w:t>-0.01364029</w:t>
            </w:r>
          </w:p>
        </w:tc>
        <w:tc>
          <w:tcPr>
            <w:tcW w:w="1456" w:type="dxa"/>
            <w:vAlign w:val="top"/>
          </w:tcPr>
          <w:p w14:paraId="2A5B0A08" w14:textId="73D81450"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sz w:val="18"/>
              </w:rPr>
              <w:t>0.009914</w:t>
            </w:r>
          </w:p>
        </w:tc>
        <w:tc>
          <w:tcPr>
            <w:tcW w:w="1501" w:type="dxa"/>
            <w:vAlign w:val="top"/>
          </w:tcPr>
          <w:p w14:paraId="019CAE99" w14:textId="43903A5F"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sz w:val="18"/>
              </w:rPr>
              <w:t>-1.375805</w:t>
            </w:r>
          </w:p>
        </w:tc>
        <w:tc>
          <w:tcPr>
            <w:tcW w:w="1449" w:type="dxa"/>
            <w:vAlign w:val="top"/>
          </w:tcPr>
          <w:p w14:paraId="72E2E750" w14:textId="0F1C2B5A"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sz w:val="18"/>
              </w:rPr>
              <w:t>0.168882</w:t>
            </w:r>
          </w:p>
        </w:tc>
        <w:tc>
          <w:tcPr>
            <w:tcW w:w="1384" w:type="dxa"/>
          </w:tcPr>
          <w:p w14:paraId="05D0F010" w14:textId="77777777" w:rsidR="005550AF" w:rsidRDefault="005550AF" w:rsidP="003B38C3">
            <w:pPr>
              <w:keepNext/>
              <w:cnfStyle w:val="000000010000" w:firstRow="0" w:lastRow="0" w:firstColumn="0" w:lastColumn="0" w:oddVBand="0" w:evenVBand="0" w:oddHBand="0" w:evenHBand="1" w:firstRowFirstColumn="0" w:firstRowLastColumn="0" w:lastRowFirstColumn="0" w:lastRowLastColumn="0"/>
            </w:pPr>
          </w:p>
        </w:tc>
      </w:tr>
      <w:tr w:rsidR="005550AF" w14:paraId="2E45453F" w14:textId="77777777" w:rsidTr="003B38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vAlign w:val="top"/>
          </w:tcPr>
          <w:p w14:paraId="0F69AEDA" w14:textId="46B7D132" w:rsidR="005550AF" w:rsidRDefault="005550AF" w:rsidP="003B38C3">
            <w:pPr>
              <w:keepNext/>
              <w:jc w:val="left"/>
            </w:pPr>
            <w:r w:rsidRPr="004B5B19">
              <w:rPr>
                <w:sz w:val="18"/>
              </w:rPr>
              <w:t>treatment:yrmo201506</w:t>
            </w:r>
          </w:p>
        </w:tc>
        <w:tc>
          <w:tcPr>
            <w:tcW w:w="1338" w:type="dxa"/>
            <w:vAlign w:val="top"/>
          </w:tcPr>
          <w:p w14:paraId="64659711" w14:textId="14E1392B"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sz w:val="18"/>
              </w:rPr>
              <w:t>-0.00724571</w:t>
            </w:r>
          </w:p>
        </w:tc>
        <w:tc>
          <w:tcPr>
            <w:tcW w:w="1456" w:type="dxa"/>
            <w:vAlign w:val="top"/>
          </w:tcPr>
          <w:p w14:paraId="28615805" w14:textId="1F5ADD79"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sz w:val="18"/>
              </w:rPr>
              <w:t>0.006121</w:t>
            </w:r>
          </w:p>
        </w:tc>
        <w:tc>
          <w:tcPr>
            <w:tcW w:w="1501" w:type="dxa"/>
            <w:vAlign w:val="top"/>
          </w:tcPr>
          <w:p w14:paraId="397A806C" w14:textId="7BEF1CEE"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sz w:val="18"/>
              </w:rPr>
              <w:t>-1.183674</w:t>
            </w:r>
          </w:p>
        </w:tc>
        <w:tc>
          <w:tcPr>
            <w:tcW w:w="1449" w:type="dxa"/>
            <w:vAlign w:val="top"/>
          </w:tcPr>
          <w:p w14:paraId="2B9D8973" w14:textId="1F35DC96"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sz w:val="18"/>
              </w:rPr>
              <w:t>0.236542</w:t>
            </w:r>
          </w:p>
        </w:tc>
        <w:tc>
          <w:tcPr>
            <w:tcW w:w="1384" w:type="dxa"/>
          </w:tcPr>
          <w:p w14:paraId="55AECEED" w14:textId="705C1F5C"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rFonts w:cs="Palatino Linotype"/>
                <w:color w:val="000000"/>
                <w:sz w:val="18"/>
                <w:szCs w:val="20"/>
              </w:rPr>
              <w:t>*</w:t>
            </w:r>
          </w:p>
        </w:tc>
      </w:tr>
      <w:tr w:rsidR="005550AF" w14:paraId="23C98955" w14:textId="77777777" w:rsidTr="003B38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vAlign w:val="top"/>
          </w:tcPr>
          <w:p w14:paraId="327E51FC" w14:textId="192C0775" w:rsidR="005550AF" w:rsidRDefault="005550AF" w:rsidP="003B38C3">
            <w:pPr>
              <w:keepNext/>
              <w:jc w:val="left"/>
            </w:pPr>
            <w:r w:rsidRPr="004B5B19">
              <w:rPr>
                <w:sz w:val="18"/>
              </w:rPr>
              <w:t>treatment:yrmo201507</w:t>
            </w:r>
          </w:p>
        </w:tc>
        <w:tc>
          <w:tcPr>
            <w:tcW w:w="1338" w:type="dxa"/>
            <w:vAlign w:val="top"/>
          </w:tcPr>
          <w:p w14:paraId="331C110E" w14:textId="4926D0DF"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sz w:val="18"/>
              </w:rPr>
              <w:t>-0.01539520</w:t>
            </w:r>
          </w:p>
        </w:tc>
        <w:tc>
          <w:tcPr>
            <w:tcW w:w="1456" w:type="dxa"/>
            <w:vAlign w:val="top"/>
          </w:tcPr>
          <w:p w14:paraId="56C71E20" w14:textId="7127CBC8"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sz w:val="18"/>
              </w:rPr>
              <w:t>0.007527</w:t>
            </w:r>
          </w:p>
        </w:tc>
        <w:tc>
          <w:tcPr>
            <w:tcW w:w="1501" w:type="dxa"/>
            <w:vAlign w:val="top"/>
          </w:tcPr>
          <w:p w14:paraId="2FDB9BE0" w14:textId="1EC1B085"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sz w:val="18"/>
              </w:rPr>
              <w:t>-2.045247</w:t>
            </w:r>
          </w:p>
        </w:tc>
        <w:tc>
          <w:tcPr>
            <w:tcW w:w="1449" w:type="dxa"/>
            <w:vAlign w:val="top"/>
          </w:tcPr>
          <w:p w14:paraId="16F7A995" w14:textId="079D9159"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sz w:val="18"/>
              </w:rPr>
              <w:t>0.040830</w:t>
            </w:r>
          </w:p>
        </w:tc>
        <w:tc>
          <w:tcPr>
            <w:tcW w:w="1384" w:type="dxa"/>
          </w:tcPr>
          <w:p w14:paraId="36317E5D" w14:textId="42DDAB32"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rFonts w:cs="Palatino Linotype"/>
                <w:color w:val="000000"/>
                <w:sz w:val="18"/>
                <w:szCs w:val="20"/>
              </w:rPr>
              <w:t>*</w:t>
            </w:r>
          </w:p>
        </w:tc>
      </w:tr>
      <w:tr w:rsidR="005550AF" w14:paraId="4BA697FE" w14:textId="77777777" w:rsidTr="003B38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vAlign w:val="top"/>
          </w:tcPr>
          <w:p w14:paraId="05A649AA" w14:textId="4CFD68EB" w:rsidR="005550AF" w:rsidRDefault="005550AF" w:rsidP="003B38C3">
            <w:pPr>
              <w:keepNext/>
              <w:jc w:val="left"/>
            </w:pPr>
            <w:r w:rsidRPr="004B5B19">
              <w:rPr>
                <w:sz w:val="18"/>
              </w:rPr>
              <w:t>treatment:yrmo201508</w:t>
            </w:r>
          </w:p>
        </w:tc>
        <w:tc>
          <w:tcPr>
            <w:tcW w:w="1338" w:type="dxa"/>
            <w:vAlign w:val="top"/>
          </w:tcPr>
          <w:p w14:paraId="5764B2AF" w14:textId="30AECB5A"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sz w:val="18"/>
              </w:rPr>
              <w:t>0.005484</w:t>
            </w:r>
          </w:p>
        </w:tc>
        <w:tc>
          <w:tcPr>
            <w:tcW w:w="1456" w:type="dxa"/>
            <w:vAlign w:val="top"/>
          </w:tcPr>
          <w:p w14:paraId="4D27B8B1" w14:textId="3CBBF637"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sz w:val="18"/>
              </w:rPr>
              <w:t>0.005213</w:t>
            </w:r>
          </w:p>
        </w:tc>
        <w:tc>
          <w:tcPr>
            <w:tcW w:w="1501" w:type="dxa"/>
            <w:vAlign w:val="top"/>
          </w:tcPr>
          <w:p w14:paraId="07E54555" w14:textId="11E17081"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sz w:val="18"/>
              </w:rPr>
              <w:t>1.051798</w:t>
            </w:r>
          </w:p>
        </w:tc>
        <w:tc>
          <w:tcPr>
            <w:tcW w:w="1449" w:type="dxa"/>
            <w:vAlign w:val="top"/>
          </w:tcPr>
          <w:p w14:paraId="01A177FE" w14:textId="10A5B425"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sz w:val="18"/>
              </w:rPr>
              <w:t>0.292892</w:t>
            </w:r>
          </w:p>
        </w:tc>
        <w:tc>
          <w:tcPr>
            <w:tcW w:w="1384" w:type="dxa"/>
          </w:tcPr>
          <w:p w14:paraId="2A8501E6" w14:textId="3FFCBA85" w:rsidR="005550AF" w:rsidRDefault="005550AF" w:rsidP="003B38C3">
            <w:pPr>
              <w:keepNext/>
              <w:cnfStyle w:val="000000100000" w:firstRow="0" w:lastRow="0" w:firstColumn="0" w:lastColumn="0" w:oddVBand="0" w:evenVBand="0" w:oddHBand="1" w:evenHBand="0" w:firstRowFirstColumn="0" w:firstRowLastColumn="0" w:lastRowFirstColumn="0" w:lastRowLastColumn="0"/>
            </w:pPr>
            <w:r w:rsidRPr="004B5B19">
              <w:rPr>
                <w:rFonts w:cs="Palatino Linotype"/>
                <w:color w:val="000000"/>
                <w:sz w:val="18"/>
                <w:szCs w:val="20"/>
              </w:rPr>
              <w:t>***</w:t>
            </w:r>
          </w:p>
        </w:tc>
      </w:tr>
      <w:tr w:rsidR="005550AF" w14:paraId="23C307D9" w14:textId="77777777" w:rsidTr="003B38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vAlign w:val="top"/>
          </w:tcPr>
          <w:p w14:paraId="5121BC88" w14:textId="5D8C5A4E" w:rsidR="005550AF" w:rsidRDefault="005550AF" w:rsidP="003B38C3">
            <w:pPr>
              <w:keepNext/>
              <w:jc w:val="left"/>
            </w:pPr>
            <w:r w:rsidRPr="004B5B19">
              <w:rPr>
                <w:sz w:val="18"/>
              </w:rPr>
              <w:t>treatment:yrmo201509</w:t>
            </w:r>
          </w:p>
        </w:tc>
        <w:tc>
          <w:tcPr>
            <w:tcW w:w="1338" w:type="dxa"/>
            <w:vAlign w:val="top"/>
          </w:tcPr>
          <w:p w14:paraId="164A9A0E" w14:textId="6C7141F1"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sz w:val="18"/>
              </w:rPr>
              <w:t>0.004286</w:t>
            </w:r>
          </w:p>
        </w:tc>
        <w:tc>
          <w:tcPr>
            <w:tcW w:w="1456" w:type="dxa"/>
            <w:vAlign w:val="top"/>
          </w:tcPr>
          <w:p w14:paraId="4704CD19" w14:textId="4FFBB210"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sz w:val="18"/>
              </w:rPr>
              <w:t>0.007306</w:t>
            </w:r>
          </w:p>
        </w:tc>
        <w:tc>
          <w:tcPr>
            <w:tcW w:w="1501" w:type="dxa"/>
            <w:vAlign w:val="top"/>
          </w:tcPr>
          <w:p w14:paraId="1E3D12E6" w14:textId="05EADEDE"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sz w:val="18"/>
              </w:rPr>
              <w:t>0.586731</w:t>
            </w:r>
          </w:p>
        </w:tc>
        <w:tc>
          <w:tcPr>
            <w:tcW w:w="1449" w:type="dxa"/>
            <w:vAlign w:val="top"/>
          </w:tcPr>
          <w:p w14:paraId="280ABABA" w14:textId="1E748FF7"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sz w:val="18"/>
              </w:rPr>
              <w:t>0.557384</w:t>
            </w:r>
          </w:p>
        </w:tc>
        <w:tc>
          <w:tcPr>
            <w:tcW w:w="1384" w:type="dxa"/>
          </w:tcPr>
          <w:p w14:paraId="3EAA3BC0" w14:textId="78C3BBBC" w:rsidR="005550AF" w:rsidRDefault="005550AF" w:rsidP="003B38C3">
            <w:pPr>
              <w:keepNext/>
              <w:cnfStyle w:val="000000010000" w:firstRow="0" w:lastRow="0" w:firstColumn="0" w:lastColumn="0" w:oddVBand="0" w:evenVBand="0" w:oddHBand="0" w:evenHBand="1" w:firstRowFirstColumn="0" w:firstRowLastColumn="0" w:lastRowFirstColumn="0" w:lastRowLastColumn="0"/>
            </w:pPr>
            <w:r w:rsidRPr="004B5B19">
              <w:rPr>
                <w:rFonts w:cs="Palatino Linotype"/>
                <w:color w:val="000000"/>
                <w:sz w:val="18"/>
                <w:szCs w:val="20"/>
              </w:rPr>
              <w:t>.</w:t>
            </w:r>
          </w:p>
        </w:tc>
      </w:tr>
      <w:tr w:rsidR="005550AF" w:rsidRPr="004B5B19" w14:paraId="145B5832" w14:textId="77777777" w:rsidTr="005550AF">
        <w:tblPrEx>
          <w:tblLook w:val="0000" w:firstRow="0" w:lastRow="0" w:firstColumn="0" w:lastColumn="0" w:noHBand="0" w:noVBand="0"/>
        </w:tblPrEx>
        <w:trPr>
          <w:cnfStyle w:val="000000100000" w:firstRow="0" w:lastRow="0" w:firstColumn="0" w:lastColumn="0" w:oddVBand="0" w:evenVBand="0" w:oddHBand="1" w:evenHBand="0" w:firstRowFirstColumn="0" w:firstRowLastColumn="0" w:lastRowFirstColumn="0" w:lastRowLastColumn="0"/>
          <w:trHeight w:val="305"/>
        </w:trPr>
        <w:tc>
          <w:tcPr>
            <w:tcW w:w="2160" w:type="dxa"/>
            <w:vAlign w:val="top"/>
          </w:tcPr>
          <w:p w14:paraId="5DF02F2A" w14:textId="0F5339C1" w:rsidR="005550AF" w:rsidRPr="004B5B19" w:rsidRDefault="005550AF" w:rsidP="003B38C3">
            <w:pPr>
              <w:keepNext/>
              <w:autoSpaceDE w:val="0"/>
              <w:autoSpaceDN w:val="0"/>
              <w:adjustRightInd w:val="0"/>
              <w:jc w:val="left"/>
              <w:rPr>
                <w:sz w:val="18"/>
              </w:rPr>
            </w:pPr>
            <w:r w:rsidRPr="004B5B19">
              <w:rPr>
                <w:sz w:val="18"/>
              </w:rPr>
              <w:t>yrmo201504:pre.therms</w:t>
            </w:r>
          </w:p>
        </w:tc>
        <w:tc>
          <w:tcPr>
            <w:tcW w:w="1338" w:type="dxa"/>
            <w:vAlign w:val="top"/>
          </w:tcPr>
          <w:p w14:paraId="624E432F" w14:textId="06DB4E73" w:rsidR="005550AF" w:rsidRPr="004B5B19" w:rsidRDefault="005550AF" w:rsidP="003B38C3">
            <w:pPr>
              <w:keepNext/>
              <w:autoSpaceDE w:val="0"/>
              <w:autoSpaceDN w:val="0"/>
              <w:adjustRightInd w:val="0"/>
              <w:rPr>
                <w:sz w:val="18"/>
              </w:rPr>
            </w:pPr>
            <w:r w:rsidRPr="004B5B19">
              <w:rPr>
                <w:sz w:val="18"/>
              </w:rPr>
              <w:t>0.579794</w:t>
            </w:r>
          </w:p>
        </w:tc>
        <w:tc>
          <w:tcPr>
            <w:tcW w:w="1456" w:type="dxa"/>
            <w:vAlign w:val="top"/>
          </w:tcPr>
          <w:p w14:paraId="6F74559C" w14:textId="265D4122" w:rsidR="005550AF" w:rsidRPr="004B5B19" w:rsidRDefault="005550AF" w:rsidP="003B38C3">
            <w:pPr>
              <w:keepNext/>
              <w:autoSpaceDE w:val="0"/>
              <w:autoSpaceDN w:val="0"/>
              <w:adjustRightInd w:val="0"/>
              <w:rPr>
                <w:sz w:val="18"/>
              </w:rPr>
            </w:pPr>
            <w:r w:rsidRPr="004B5B19">
              <w:rPr>
                <w:sz w:val="18"/>
              </w:rPr>
              <w:t>0.003138</w:t>
            </w:r>
          </w:p>
        </w:tc>
        <w:tc>
          <w:tcPr>
            <w:tcW w:w="1501" w:type="dxa"/>
            <w:vAlign w:val="top"/>
          </w:tcPr>
          <w:p w14:paraId="5D054552" w14:textId="62988765" w:rsidR="005550AF" w:rsidRPr="004B5B19" w:rsidRDefault="005550AF" w:rsidP="003B38C3">
            <w:pPr>
              <w:keepNext/>
              <w:autoSpaceDE w:val="0"/>
              <w:autoSpaceDN w:val="0"/>
              <w:adjustRightInd w:val="0"/>
              <w:rPr>
                <w:sz w:val="18"/>
              </w:rPr>
            </w:pPr>
            <w:r w:rsidRPr="004B5B19">
              <w:rPr>
                <w:sz w:val="18"/>
              </w:rPr>
              <w:t>184.725564</w:t>
            </w:r>
          </w:p>
        </w:tc>
        <w:tc>
          <w:tcPr>
            <w:tcW w:w="1449" w:type="dxa"/>
            <w:vAlign w:val="top"/>
          </w:tcPr>
          <w:p w14:paraId="2E413A2D" w14:textId="108F29ED" w:rsidR="005550AF" w:rsidRPr="004B5B19" w:rsidRDefault="005550AF" w:rsidP="003B38C3">
            <w:pPr>
              <w:keepNext/>
              <w:autoSpaceDE w:val="0"/>
              <w:autoSpaceDN w:val="0"/>
              <w:adjustRightInd w:val="0"/>
              <w:rPr>
                <w:sz w:val="18"/>
              </w:rPr>
            </w:pPr>
            <w:r w:rsidRPr="004B5B19">
              <w:rPr>
                <w:sz w:val="18"/>
              </w:rPr>
              <w:t>0</w:t>
            </w:r>
          </w:p>
        </w:tc>
        <w:tc>
          <w:tcPr>
            <w:tcW w:w="1384" w:type="dxa"/>
          </w:tcPr>
          <w:p w14:paraId="17618C98" w14:textId="5F4822B7" w:rsidR="005550AF" w:rsidRPr="004B5B19" w:rsidRDefault="005550AF" w:rsidP="003B38C3">
            <w:pPr>
              <w:keepNext/>
              <w:autoSpaceDE w:val="0"/>
              <w:autoSpaceDN w:val="0"/>
              <w:adjustRightInd w:val="0"/>
              <w:rPr>
                <w:rFonts w:cs="Palatino Linotype"/>
                <w:color w:val="000000"/>
                <w:sz w:val="18"/>
                <w:szCs w:val="20"/>
              </w:rPr>
            </w:pPr>
            <w:r w:rsidRPr="004B5B19">
              <w:rPr>
                <w:rFonts w:cs="Palatino Linotype"/>
                <w:color w:val="000000"/>
                <w:sz w:val="18"/>
                <w:szCs w:val="20"/>
              </w:rPr>
              <w:t>***</w:t>
            </w:r>
          </w:p>
        </w:tc>
      </w:tr>
      <w:tr w:rsidR="005550AF" w:rsidRPr="004B5B19" w14:paraId="7CC5E87E" w14:textId="77777777" w:rsidTr="005550AF">
        <w:tblPrEx>
          <w:tblLook w:val="0000" w:firstRow="0" w:lastRow="0" w:firstColumn="0" w:lastColumn="0" w:noHBand="0" w:noVBand="0"/>
        </w:tblPrEx>
        <w:trPr>
          <w:cnfStyle w:val="000000010000" w:firstRow="0" w:lastRow="0" w:firstColumn="0" w:lastColumn="0" w:oddVBand="0" w:evenVBand="0" w:oddHBand="0" w:evenHBand="1" w:firstRowFirstColumn="0" w:firstRowLastColumn="0" w:lastRowFirstColumn="0" w:lastRowLastColumn="0"/>
          <w:trHeight w:val="305"/>
        </w:trPr>
        <w:tc>
          <w:tcPr>
            <w:tcW w:w="2160" w:type="dxa"/>
            <w:vAlign w:val="top"/>
          </w:tcPr>
          <w:p w14:paraId="51D21D87" w14:textId="4F751E96" w:rsidR="005550AF" w:rsidRPr="004B5B19" w:rsidRDefault="005550AF" w:rsidP="003B38C3">
            <w:pPr>
              <w:keepNext/>
              <w:autoSpaceDE w:val="0"/>
              <w:autoSpaceDN w:val="0"/>
              <w:adjustRightInd w:val="0"/>
              <w:jc w:val="left"/>
              <w:rPr>
                <w:sz w:val="18"/>
              </w:rPr>
            </w:pPr>
            <w:r w:rsidRPr="004B5B19">
              <w:rPr>
                <w:sz w:val="18"/>
              </w:rPr>
              <w:t>yrmo201505:pre.therms</w:t>
            </w:r>
          </w:p>
        </w:tc>
        <w:tc>
          <w:tcPr>
            <w:tcW w:w="1338" w:type="dxa"/>
            <w:vAlign w:val="top"/>
          </w:tcPr>
          <w:p w14:paraId="04C3A348" w14:textId="5B234139" w:rsidR="005550AF" w:rsidRPr="004B5B19" w:rsidRDefault="005550AF" w:rsidP="003B38C3">
            <w:pPr>
              <w:keepNext/>
              <w:autoSpaceDE w:val="0"/>
              <w:autoSpaceDN w:val="0"/>
              <w:adjustRightInd w:val="0"/>
              <w:rPr>
                <w:sz w:val="18"/>
              </w:rPr>
            </w:pPr>
            <w:r w:rsidRPr="004B5B19">
              <w:rPr>
                <w:sz w:val="18"/>
              </w:rPr>
              <w:t>0.705361</w:t>
            </w:r>
          </w:p>
        </w:tc>
        <w:tc>
          <w:tcPr>
            <w:tcW w:w="1456" w:type="dxa"/>
            <w:vAlign w:val="top"/>
          </w:tcPr>
          <w:p w14:paraId="605BAF76" w14:textId="728A14A6" w:rsidR="005550AF" w:rsidRPr="004B5B19" w:rsidRDefault="005550AF" w:rsidP="003B38C3">
            <w:pPr>
              <w:keepNext/>
              <w:autoSpaceDE w:val="0"/>
              <w:autoSpaceDN w:val="0"/>
              <w:adjustRightInd w:val="0"/>
              <w:rPr>
                <w:sz w:val="18"/>
              </w:rPr>
            </w:pPr>
            <w:r w:rsidRPr="004B5B19">
              <w:rPr>
                <w:sz w:val="18"/>
              </w:rPr>
              <w:t>0.005341</w:t>
            </w:r>
          </w:p>
        </w:tc>
        <w:tc>
          <w:tcPr>
            <w:tcW w:w="1501" w:type="dxa"/>
            <w:vAlign w:val="top"/>
          </w:tcPr>
          <w:p w14:paraId="38672573" w14:textId="3647288E" w:rsidR="005550AF" w:rsidRPr="004B5B19" w:rsidRDefault="005550AF" w:rsidP="003B38C3">
            <w:pPr>
              <w:keepNext/>
              <w:autoSpaceDE w:val="0"/>
              <w:autoSpaceDN w:val="0"/>
              <w:adjustRightInd w:val="0"/>
              <w:rPr>
                <w:sz w:val="18"/>
              </w:rPr>
            </w:pPr>
            <w:r w:rsidRPr="004B5B19">
              <w:rPr>
                <w:sz w:val="18"/>
              </w:rPr>
              <w:t>132.058498</w:t>
            </w:r>
          </w:p>
        </w:tc>
        <w:tc>
          <w:tcPr>
            <w:tcW w:w="1449" w:type="dxa"/>
            <w:vAlign w:val="top"/>
          </w:tcPr>
          <w:p w14:paraId="68146F9C" w14:textId="62EB99FD" w:rsidR="005550AF" w:rsidRPr="004B5B19" w:rsidRDefault="005550AF" w:rsidP="003B38C3">
            <w:pPr>
              <w:keepNext/>
              <w:autoSpaceDE w:val="0"/>
              <w:autoSpaceDN w:val="0"/>
              <w:adjustRightInd w:val="0"/>
              <w:rPr>
                <w:sz w:val="18"/>
              </w:rPr>
            </w:pPr>
            <w:r w:rsidRPr="004B5B19">
              <w:rPr>
                <w:sz w:val="18"/>
              </w:rPr>
              <w:t>0</w:t>
            </w:r>
          </w:p>
        </w:tc>
        <w:tc>
          <w:tcPr>
            <w:tcW w:w="1384" w:type="dxa"/>
          </w:tcPr>
          <w:p w14:paraId="730AB4C5" w14:textId="037F66EA" w:rsidR="005550AF" w:rsidRPr="004B5B19" w:rsidRDefault="005550AF" w:rsidP="003B38C3">
            <w:pPr>
              <w:keepNext/>
              <w:autoSpaceDE w:val="0"/>
              <w:autoSpaceDN w:val="0"/>
              <w:adjustRightInd w:val="0"/>
              <w:rPr>
                <w:rFonts w:cs="Palatino Linotype"/>
                <w:color w:val="000000"/>
                <w:sz w:val="18"/>
                <w:szCs w:val="20"/>
              </w:rPr>
            </w:pPr>
            <w:r w:rsidRPr="004B5B19">
              <w:rPr>
                <w:rFonts w:cs="Palatino Linotype"/>
                <w:color w:val="000000"/>
                <w:sz w:val="18"/>
                <w:szCs w:val="20"/>
              </w:rPr>
              <w:t>***</w:t>
            </w:r>
          </w:p>
        </w:tc>
      </w:tr>
      <w:tr w:rsidR="005550AF" w:rsidRPr="004B5B19" w14:paraId="14AE8C27" w14:textId="77777777" w:rsidTr="005550AF">
        <w:tblPrEx>
          <w:tblLook w:val="0000" w:firstRow="0" w:lastRow="0" w:firstColumn="0" w:lastColumn="0" w:noHBand="0" w:noVBand="0"/>
        </w:tblPrEx>
        <w:trPr>
          <w:cnfStyle w:val="000000100000" w:firstRow="0" w:lastRow="0" w:firstColumn="0" w:lastColumn="0" w:oddVBand="0" w:evenVBand="0" w:oddHBand="1" w:evenHBand="0" w:firstRowFirstColumn="0" w:firstRowLastColumn="0" w:lastRowFirstColumn="0" w:lastRowLastColumn="0"/>
          <w:trHeight w:val="305"/>
        </w:trPr>
        <w:tc>
          <w:tcPr>
            <w:tcW w:w="2160" w:type="dxa"/>
            <w:vAlign w:val="top"/>
          </w:tcPr>
          <w:p w14:paraId="6BEB19B7" w14:textId="07436C11" w:rsidR="005550AF" w:rsidRPr="004B5B19" w:rsidRDefault="005550AF" w:rsidP="003B38C3">
            <w:pPr>
              <w:keepNext/>
              <w:autoSpaceDE w:val="0"/>
              <w:autoSpaceDN w:val="0"/>
              <w:adjustRightInd w:val="0"/>
              <w:jc w:val="left"/>
              <w:rPr>
                <w:sz w:val="18"/>
              </w:rPr>
            </w:pPr>
            <w:r w:rsidRPr="004B5B19">
              <w:rPr>
                <w:sz w:val="18"/>
              </w:rPr>
              <w:t>yrmo201506:pre.therms</w:t>
            </w:r>
          </w:p>
        </w:tc>
        <w:tc>
          <w:tcPr>
            <w:tcW w:w="1338" w:type="dxa"/>
            <w:vAlign w:val="top"/>
          </w:tcPr>
          <w:p w14:paraId="35466489" w14:textId="40958EFC" w:rsidR="005550AF" w:rsidRPr="004B5B19" w:rsidRDefault="005550AF" w:rsidP="003B38C3">
            <w:pPr>
              <w:keepNext/>
              <w:autoSpaceDE w:val="0"/>
              <w:autoSpaceDN w:val="0"/>
              <w:adjustRightInd w:val="0"/>
              <w:rPr>
                <w:sz w:val="18"/>
              </w:rPr>
            </w:pPr>
            <w:r w:rsidRPr="004B5B19">
              <w:rPr>
                <w:sz w:val="18"/>
              </w:rPr>
              <w:t>0.720534</w:t>
            </w:r>
          </w:p>
        </w:tc>
        <w:tc>
          <w:tcPr>
            <w:tcW w:w="1456" w:type="dxa"/>
            <w:vAlign w:val="top"/>
          </w:tcPr>
          <w:p w14:paraId="688BBAB4" w14:textId="449B25F9" w:rsidR="005550AF" w:rsidRPr="004B5B19" w:rsidRDefault="005550AF" w:rsidP="003B38C3">
            <w:pPr>
              <w:keepNext/>
              <w:autoSpaceDE w:val="0"/>
              <w:autoSpaceDN w:val="0"/>
              <w:adjustRightInd w:val="0"/>
              <w:rPr>
                <w:sz w:val="18"/>
              </w:rPr>
            </w:pPr>
            <w:r w:rsidRPr="004B5B19">
              <w:rPr>
                <w:sz w:val="18"/>
              </w:rPr>
              <w:t>0.005775</w:t>
            </w:r>
          </w:p>
        </w:tc>
        <w:tc>
          <w:tcPr>
            <w:tcW w:w="1501" w:type="dxa"/>
            <w:vAlign w:val="top"/>
          </w:tcPr>
          <w:p w14:paraId="53866A8C" w14:textId="0F0CA5CA" w:rsidR="005550AF" w:rsidRPr="004B5B19" w:rsidRDefault="005550AF" w:rsidP="003B38C3">
            <w:pPr>
              <w:keepNext/>
              <w:autoSpaceDE w:val="0"/>
              <w:autoSpaceDN w:val="0"/>
              <w:adjustRightInd w:val="0"/>
              <w:rPr>
                <w:sz w:val="18"/>
              </w:rPr>
            </w:pPr>
            <w:r w:rsidRPr="004B5B19">
              <w:rPr>
                <w:sz w:val="18"/>
              </w:rPr>
              <w:t>124.748651</w:t>
            </w:r>
          </w:p>
        </w:tc>
        <w:tc>
          <w:tcPr>
            <w:tcW w:w="1449" w:type="dxa"/>
            <w:vAlign w:val="top"/>
          </w:tcPr>
          <w:p w14:paraId="66B270EC" w14:textId="7340F22C" w:rsidR="005550AF" w:rsidRPr="004B5B19" w:rsidRDefault="005550AF" w:rsidP="003B38C3">
            <w:pPr>
              <w:keepNext/>
              <w:autoSpaceDE w:val="0"/>
              <w:autoSpaceDN w:val="0"/>
              <w:adjustRightInd w:val="0"/>
              <w:rPr>
                <w:sz w:val="18"/>
              </w:rPr>
            </w:pPr>
            <w:r w:rsidRPr="004B5B19">
              <w:rPr>
                <w:sz w:val="18"/>
              </w:rPr>
              <w:t>0</w:t>
            </w:r>
          </w:p>
        </w:tc>
        <w:tc>
          <w:tcPr>
            <w:tcW w:w="1384" w:type="dxa"/>
          </w:tcPr>
          <w:p w14:paraId="66A2F56F" w14:textId="1D97803E" w:rsidR="005550AF" w:rsidRPr="004B5B19" w:rsidRDefault="005550AF" w:rsidP="003B38C3">
            <w:pPr>
              <w:keepNext/>
              <w:autoSpaceDE w:val="0"/>
              <w:autoSpaceDN w:val="0"/>
              <w:adjustRightInd w:val="0"/>
              <w:rPr>
                <w:rFonts w:cs="Palatino Linotype"/>
                <w:color w:val="000000"/>
                <w:sz w:val="18"/>
                <w:szCs w:val="20"/>
              </w:rPr>
            </w:pPr>
            <w:r w:rsidRPr="004B5B19">
              <w:rPr>
                <w:rFonts w:cs="Palatino Linotype"/>
                <w:color w:val="000000"/>
                <w:sz w:val="18"/>
                <w:szCs w:val="20"/>
              </w:rPr>
              <w:t>***</w:t>
            </w:r>
          </w:p>
        </w:tc>
      </w:tr>
      <w:tr w:rsidR="005550AF" w:rsidRPr="004B5B19" w14:paraId="7391D9B6" w14:textId="77777777" w:rsidTr="005550AF">
        <w:tblPrEx>
          <w:tblLook w:val="0000" w:firstRow="0" w:lastRow="0" w:firstColumn="0" w:lastColumn="0" w:noHBand="0" w:noVBand="0"/>
        </w:tblPrEx>
        <w:trPr>
          <w:cnfStyle w:val="000000010000" w:firstRow="0" w:lastRow="0" w:firstColumn="0" w:lastColumn="0" w:oddVBand="0" w:evenVBand="0" w:oddHBand="0" w:evenHBand="1" w:firstRowFirstColumn="0" w:firstRowLastColumn="0" w:lastRowFirstColumn="0" w:lastRowLastColumn="0"/>
          <w:trHeight w:val="305"/>
        </w:trPr>
        <w:tc>
          <w:tcPr>
            <w:tcW w:w="2160" w:type="dxa"/>
            <w:vAlign w:val="top"/>
          </w:tcPr>
          <w:p w14:paraId="08978F27" w14:textId="3D5A03A5" w:rsidR="005550AF" w:rsidRPr="004B5B19" w:rsidRDefault="005550AF" w:rsidP="003B38C3">
            <w:pPr>
              <w:keepNext/>
              <w:autoSpaceDE w:val="0"/>
              <w:autoSpaceDN w:val="0"/>
              <w:adjustRightInd w:val="0"/>
              <w:jc w:val="left"/>
              <w:rPr>
                <w:sz w:val="18"/>
              </w:rPr>
            </w:pPr>
            <w:r w:rsidRPr="004B5B19">
              <w:rPr>
                <w:sz w:val="18"/>
              </w:rPr>
              <w:t>yrmo201507:pre.therms</w:t>
            </w:r>
          </w:p>
        </w:tc>
        <w:tc>
          <w:tcPr>
            <w:tcW w:w="1338" w:type="dxa"/>
            <w:vAlign w:val="top"/>
          </w:tcPr>
          <w:p w14:paraId="395B8517" w14:textId="414A9367" w:rsidR="005550AF" w:rsidRPr="004B5B19" w:rsidRDefault="005550AF" w:rsidP="003B38C3">
            <w:pPr>
              <w:keepNext/>
              <w:autoSpaceDE w:val="0"/>
              <w:autoSpaceDN w:val="0"/>
              <w:adjustRightInd w:val="0"/>
              <w:rPr>
                <w:sz w:val="18"/>
              </w:rPr>
            </w:pPr>
            <w:r w:rsidRPr="004B5B19">
              <w:rPr>
                <w:sz w:val="18"/>
              </w:rPr>
              <w:t>0.866688</w:t>
            </w:r>
          </w:p>
        </w:tc>
        <w:tc>
          <w:tcPr>
            <w:tcW w:w="1456" w:type="dxa"/>
            <w:vAlign w:val="top"/>
          </w:tcPr>
          <w:p w14:paraId="070D867F" w14:textId="6505B4AD" w:rsidR="005550AF" w:rsidRPr="004B5B19" w:rsidRDefault="005550AF" w:rsidP="003B38C3">
            <w:pPr>
              <w:keepNext/>
              <w:autoSpaceDE w:val="0"/>
              <w:autoSpaceDN w:val="0"/>
              <w:adjustRightInd w:val="0"/>
              <w:rPr>
                <w:sz w:val="18"/>
              </w:rPr>
            </w:pPr>
            <w:r w:rsidRPr="004B5B19">
              <w:rPr>
                <w:sz w:val="18"/>
              </w:rPr>
              <w:t>0.010115</w:t>
            </w:r>
          </w:p>
        </w:tc>
        <w:tc>
          <w:tcPr>
            <w:tcW w:w="1501" w:type="dxa"/>
            <w:vAlign w:val="top"/>
          </w:tcPr>
          <w:p w14:paraId="2CED6006" w14:textId="26F13E05" w:rsidR="005550AF" w:rsidRPr="004B5B19" w:rsidRDefault="005550AF" w:rsidP="003B38C3">
            <w:pPr>
              <w:keepNext/>
              <w:autoSpaceDE w:val="0"/>
              <w:autoSpaceDN w:val="0"/>
              <w:adjustRightInd w:val="0"/>
              <w:rPr>
                <w:sz w:val="18"/>
              </w:rPr>
            </w:pPr>
            <w:r w:rsidRPr="004B5B19">
              <w:rPr>
                <w:sz w:val="18"/>
              </w:rPr>
              <w:t>85.677899</w:t>
            </w:r>
          </w:p>
        </w:tc>
        <w:tc>
          <w:tcPr>
            <w:tcW w:w="1449" w:type="dxa"/>
            <w:vAlign w:val="top"/>
          </w:tcPr>
          <w:p w14:paraId="29898E43" w14:textId="0FE5123F" w:rsidR="005550AF" w:rsidRPr="004B5B19" w:rsidRDefault="005550AF" w:rsidP="003B38C3">
            <w:pPr>
              <w:keepNext/>
              <w:autoSpaceDE w:val="0"/>
              <w:autoSpaceDN w:val="0"/>
              <w:adjustRightInd w:val="0"/>
              <w:rPr>
                <w:sz w:val="18"/>
              </w:rPr>
            </w:pPr>
            <w:r w:rsidRPr="004B5B19">
              <w:rPr>
                <w:sz w:val="18"/>
              </w:rPr>
              <w:t>0</w:t>
            </w:r>
          </w:p>
        </w:tc>
        <w:tc>
          <w:tcPr>
            <w:tcW w:w="1384" w:type="dxa"/>
          </w:tcPr>
          <w:p w14:paraId="1D237024" w14:textId="61F9B8DA" w:rsidR="005550AF" w:rsidRPr="004B5B19" w:rsidRDefault="005550AF" w:rsidP="003B38C3">
            <w:pPr>
              <w:keepNext/>
              <w:autoSpaceDE w:val="0"/>
              <w:autoSpaceDN w:val="0"/>
              <w:adjustRightInd w:val="0"/>
              <w:rPr>
                <w:rFonts w:cs="Palatino Linotype"/>
                <w:color w:val="000000"/>
                <w:sz w:val="18"/>
                <w:szCs w:val="20"/>
              </w:rPr>
            </w:pPr>
            <w:r w:rsidRPr="004B5B19">
              <w:rPr>
                <w:rFonts w:cs="Palatino Linotype"/>
                <w:color w:val="000000"/>
                <w:sz w:val="18"/>
                <w:szCs w:val="20"/>
              </w:rPr>
              <w:t>***</w:t>
            </w:r>
          </w:p>
        </w:tc>
      </w:tr>
      <w:tr w:rsidR="005550AF" w:rsidRPr="004B5B19" w14:paraId="6228230C" w14:textId="77777777" w:rsidTr="005550AF">
        <w:tblPrEx>
          <w:tblLook w:val="0000" w:firstRow="0" w:lastRow="0" w:firstColumn="0" w:lastColumn="0" w:noHBand="0" w:noVBand="0"/>
        </w:tblPrEx>
        <w:trPr>
          <w:cnfStyle w:val="000000100000" w:firstRow="0" w:lastRow="0" w:firstColumn="0" w:lastColumn="0" w:oddVBand="0" w:evenVBand="0" w:oddHBand="1" w:evenHBand="0" w:firstRowFirstColumn="0" w:firstRowLastColumn="0" w:lastRowFirstColumn="0" w:lastRowLastColumn="0"/>
          <w:trHeight w:val="305"/>
        </w:trPr>
        <w:tc>
          <w:tcPr>
            <w:tcW w:w="2160" w:type="dxa"/>
            <w:vAlign w:val="top"/>
          </w:tcPr>
          <w:p w14:paraId="104CBF46" w14:textId="38D575A0" w:rsidR="005550AF" w:rsidRPr="004B5B19" w:rsidRDefault="005550AF" w:rsidP="003B38C3">
            <w:pPr>
              <w:keepNext/>
              <w:autoSpaceDE w:val="0"/>
              <w:autoSpaceDN w:val="0"/>
              <w:adjustRightInd w:val="0"/>
              <w:jc w:val="left"/>
              <w:rPr>
                <w:sz w:val="18"/>
              </w:rPr>
            </w:pPr>
            <w:r w:rsidRPr="004B5B19">
              <w:rPr>
                <w:sz w:val="18"/>
              </w:rPr>
              <w:t>yrmo201508:pre.therms</w:t>
            </w:r>
          </w:p>
        </w:tc>
        <w:tc>
          <w:tcPr>
            <w:tcW w:w="1338" w:type="dxa"/>
            <w:vAlign w:val="top"/>
          </w:tcPr>
          <w:p w14:paraId="6B52909B" w14:textId="700E5509" w:rsidR="005550AF" w:rsidRPr="004B5B19" w:rsidRDefault="005550AF" w:rsidP="003B38C3">
            <w:pPr>
              <w:keepNext/>
              <w:autoSpaceDE w:val="0"/>
              <w:autoSpaceDN w:val="0"/>
              <w:adjustRightInd w:val="0"/>
              <w:rPr>
                <w:sz w:val="18"/>
              </w:rPr>
            </w:pPr>
            <w:r w:rsidRPr="004B5B19">
              <w:rPr>
                <w:sz w:val="18"/>
              </w:rPr>
              <w:t>0.772558</w:t>
            </w:r>
          </w:p>
        </w:tc>
        <w:tc>
          <w:tcPr>
            <w:tcW w:w="1456" w:type="dxa"/>
            <w:vAlign w:val="top"/>
          </w:tcPr>
          <w:p w14:paraId="598282A4" w14:textId="70E13945" w:rsidR="005550AF" w:rsidRPr="004B5B19" w:rsidRDefault="005550AF" w:rsidP="003B38C3">
            <w:pPr>
              <w:keepNext/>
              <w:autoSpaceDE w:val="0"/>
              <w:autoSpaceDN w:val="0"/>
              <w:adjustRightInd w:val="0"/>
              <w:rPr>
                <w:sz w:val="18"/>
              </w:rPr>
            </w:pPr>
            <w:r w:rsidRPr="004B5B19">
              <w:rPr>
                <w:sz w:val="18"/>
              </w:rPr>
              <w:t>0.009473</w:t>
            </w:r>
          </w:p>
        </w:tc>
        <w:tc>
          <w:tcPr>
            <w:tcW w:w="1501" w:type="dxa"/>
            <w:vAlign w:val="top"/>
          </w:tcPr>
          <w:p w14:paraId="7EDAC2FD" w14:textId="0B5F07C7" w:rsidR="005550AF" w:rsidRPr="004B5B19" w:rsidRDefault="005550AF" w:rsidP="003B38C3">
            <w:pPr>
              <w:keepNext/>
              <w:autoSpaceDE w:val="0"/>
              <w:autoSpaceDN w:val="0"/>
              <w:adjustRightInd w:val="0"/>
              <w:rPr>
                <w:sz w:val="18"/>
              </w:rPr>
            </w:pPr>
            <w:r w:rsidRPr="004B5B19">
              <w:rPr>
                <w:sz w:val="18"/>
              </w:rPr>
              <w:t>81.550687</w:t>
            </w:r>
          </w:p>
        </w:tc>
        <w:tc>
          <w:tcPr>
            <w:tcW w:w="1449" w:type="dxa"/>
            <w:vAlign w:val="top"/>
          </w:tcPr>
          <w:p w14:paraId="297755F4" w14:textId="57BA0C92" w:rsidR="005550AF" w:rsidRPr="004B5B19" w:rsidRDefault="005550AF" w:rsidP="003B38C3">
            <w:pPr>
              <w:keepNext/>
              <w:autoSpaceDE w:val="0"/>
              <w:autoSpaceDN w:val="0"/>
              <w:adjustRightInd w:val="0"/>
              <w:rPr>
                <w:sz w:val="18"/>
              </w:rPr>
            </w:pPr>
            <w:r w:rsidRPr="004B5B19">
              <w:rPr>
                <w:sz w:val="18"/>
              </w:rPr>
              <w:t>0</w:t>
            </w:r>
          </w:p>
        </w:tc>
        <w:tc>
          <w:tcPr>
            <w:tcW w:w="1384" w:type="dxa"/>
          </w:tcPr>
          <w:p w14:paraId="622936CC" w14:textId="17812E7C" w:rsidR="005550AF" w:rsidRPr="004B5B19" w:rsidRDefault="005550AF" w:rsidP="003B38C3">
            <w:pPr>
              <w:keepNext/>
              <w:autoSpaceDE w:val="0"/>
              <w:autoSpaceDN w:val="0"/>
              <w:adjustRightInd w:val="0"/>
              <w:rPr>
                <w:rFonts w:cs="Palatino Linotype"/>
                <w:color w:val="000000"/>
                <w:sz w:val="18"/>
                <w:szCs w:val="20"/>
              </w:rPr>
            </w:pPr>
            <w:r w:rsidRPr="004B5B19">
              <w:rPr>
                <w:rFonts w:cs="Palatino Linotype"/>
                <w:color w:val="000000"/>
                <w:sz w:val="18"/>
                <w:szCs w:val="20"/>
              </w:rPr>
              <w:t>***</w:t>
            </w:r>
          </w:p>
        </w:tc>
      </w:tr>
      <w:tr w:rsidR="005550AF" w:rsidRPr="004B5B19" w14:paraId="6A5EE60D" w14:textId="77777777" w:rsidTr="005550AF">
        <w:tblPrEx>
          <w:tblLook w:val="0000" w:firstRow="0" w:lastRow="0" w:firstColumn="0" w:lastColumn="0" w:noHBand="0" w:noVBand="0"/>
        </w:tblPrEx>
        <w:trPr>
          <w:cnfStyle w:val="000000010000" w:firstRow="0" w:lastRow="0" w:firstColumn="0" w:lastColumn="0" w:oddVBand="0" w:evenVBand="0" w:oddHBand="0" w:evenHBand="1" w:firstRowFirstColumn="0" w:firstRowLastColumn="0" w:lastRowFirstColumn="0" w:lastRowLastColumn="0"/>
          <w:trHeight w:val="305"/>
        </w:trPr>
        <w:tc>
          <w:tcPr>
            <w:tcW w:w="2160" w:type="dxa"/>
            <w:vAlign w:val="top"/>
          </w:tcPr>
          <w:p w14:paraId="736043A3" w14:textId="55AC6547" w:rsidR="005550AF" w:rsidRPr="004B5B19" w:rsidRDefault="005550AF" w:rsidP="003B38C3">
            <w:pPr>
              <w:keepNext/>
              <w:autoSpaceDE w:val="0"/>
              <w:autoSpaceDN w:val="0"/>
              <w:adjustRightInd w:val="0"/>
              <w:jc w:val="left"/>
              <w:rPr>
                <w:sz w:val="18"/>
              </w:rPr>
            </w:pPr>
            <w:r w:rsidRPr="004B5B19">
              <w:rPr>
                <w:sz w:val="18"/>
              </w:rPr>
              <w:t>yrmo201509:pre.therms</w:t>
            </w:r>
          </w:p>
        </w:tc>
        <w:tc>
          <w:tcPr>
            <w:tcW w:w="1338" w:type="dxa"/>
            <w:vAlign w:val="top"/>
          </w:tcPr>
          <w:p w14:paraId="4F0FC252" w14:textId="51B6257D" w:rsidR="005550AF" w:rsidRPr="004B5B19" w:rsidRDefault="005550AF" w:rsidP="003B38C3">
            <w:pPr>
              <w:keepNext/>
              <w:autoSpaceDE w:val="0"/>
              <w:autoSpaceDN w:val="0"/>
              <w:adjustRightInd w:val="0"/>
              <w:rPr>
                <w:sz w:val="18"/>
              </w:rPr>
            </w:pPr>
            <w:r w:rsidRPr="004B5B19">
              <w:rPr>
                <w:sz w:val="18"/>
              </w:rPr>
              <w:t>0.631411</w:t>
            </w:r>
          </w:p>
        </w:tc>
        <w:tc>
          <w:tcPr>
            <w:tcW w:w="1456" w:type="dxa"/>
            <w:vAlign w:val="top"/>
          </w:tcPr>
          <w:p w14:paraId="2A9E923E" w14:textId="53C91E4D" w:rsidR="005550AF" w:rsidRPr="004B5B19" w:rsidRDefault="005550AF" w:rsidP="003B38C3">
            <w:pPr>
              <w:keepNext/>
              <w:autoSpaceDE w:val="0"/>
              <w:autoSpaceDN w:val="0"/>
              <w:adjustRightInd w:val="0"/>
              <w:rPr>
                <w:sz w:val="18"/>
              </w:rPr>
            </w:pPr>
            <w:r w:rsidRPr="004B5B19">
              <w:rPr>
                <w:sz w:val="18"/>
              </w:rPr>
              <w:t>0.010650</w:t>
            </w:r>
          </w:p>
        </w:tc>
        <w:tc>
          <w:tcPr>
            <w:tcW w:w="1501" w:type="dxa"/>
            <w:vAlign w:val="top"/>
          </w:tcPr>
          <w:p w14:paraId="205D0ED2" w14:textId="659C4D68" w:rsidR="005550AF" w:rsidRPr="004B5B19" w:rsidRDefault="005550AF" w:rsidP="003B38C3">
            <w:pPr>
              <w:keepNext/>
              <w:autoSpaceDE w:val="0"/>
              <w:autoSpaceDN w:val="0"/>
              <w:adjustRightInd w:val="0"/>
              <w:rPr>
                <w:sz w:val="18"/>
              </w:rPr>
            </w:pPr>
            <w:r w:rsidRPr="004B5B19">
              <w:rPr>
                <w:sz w:val="18"/>
              </w:rPr>
              <w:t>59.284948</w:t>
            </w:r>
          </w:p>
        </w:tc>
        <w:tc>
          <w:tcPr>
            <w:tcW w:w="1449" w:type="dxa"/>
            <w:vAlign w:val="top"/>
          </w:tcPr>
          <w:p w14:paraId="2D0E4DE8" w14:textId="38527C07" w:rsidR="005550AF" w:rsidRPr="004B5B19" w:rsidRDefault="005550AF" w:rsidP="003B38C3">
            <w:pPr>
              <w:keepNext/>
              <w:autoSpaceDE w:val="0"/>
              <w:autoSpaceDN w:val="0"/>
              <w:adjustRightInd w:val="0"/>
              <w:rPr>
                <w:sz w:val="18"/>
              </w:rPr>
            </w:pPr>
            <w:r w:rsidRPr="004B5B19">
              <w:rPr>
                <w:sz w:val="18"/>
              </w:rPr>
              <w:t>0</w:t>
            </w:r>
          </w:p>
        </w:tc>
        <w:tc>
          <w:tcPr>
            <w:tcW w:w="1384" w:type="dxa"/>
          </w:tcPr>
          <w:p w14:paraId="18CF78ED" w14:textId="4F6CEBF0" w:rsidR="005550AF" w:rsidRPr="004B5B19" w:rsidRDefault="005550AF" w:rsidP="003B38C3">
            <w:pPr>
              <w:keepNext/>
              <w:autoSpaceDE w:val="0"/>
              <w:autoSpaceDN w:val="0"/>
              <w:adjustRightInd w:val="0"/>
              <w:rPr>
                <w:rFonts w:cs="Palatino Linotype"/>
                <w:color w:val="000000"/>
                <w:sz w:val="18"/>
                <w:szCs w:val="20"/>
              </w:rPr>
            </w:pPr>
            <w:r w:rsidRPr="004B5B19">
              <w:rPr>
                <w:rFonts w:cs="Palatino Linotype"/>
                <w:color w:val="000000"/>
                <w:sz w:val="18"/>
                <w:szCs w:val="20"/>
              </w:rPr>
              <w:t>***</w:t>
            </w:r>
          </w:p>
        </w:tc>
      </w:tr>
      <w:tr w:rsidR="005550AF" w:rsidRPr="004B5B19" w14:paraId="43CD9614" w14:textId="77777777" w:rsidTr="005550AF">
        <w:tblPrEx>
          <w:tblLook w:val="0000" w:firstRow="0" w:lastRow="0" w:firstColumn="0" w:lastColumn="0" w:noHBand="0" w:noVBand="0"/>
        </w:tblPrEx>
        <w:trPr>
          <w:cnfStyle w:val="000000100000" w:firstRow="0" w:lastRow="0" w:firstColumn="0" w:lastColumn="0" w:oddVBand="0" w:evenVBand="0" w:oddHBand="1" w:evenHBand="0" w:firstRowFirstColumn="0" w:firstRowLastColumn="0" w:lastRowFirstColumn="0" w:lastRowLastColumn="0"/>
          <w:trHeight w:val="1459"/>
        </w:trPr>
        <w:tc>
          <w:tcPr>
            <w:tcW w:w="9288" w:type="dxa"/>
            <w:gridSpan w:val="6"/>
          </w:tcPr>
          <w:p w14:paraId="410344F9" w14:textId="77777777" w:rsidR="005550AF" w:rsidRPr="004B5B19" w:rsidRDefault="005550AF" w:rsidP="003B38C3">
            <w:pPr>
              <w:keepNext/>
              <w:autoSpaceDE w:val="0"/>
              <w:autoSpaceDN w:val="0"/>
              <w:adjustRightInd w:val="0"/>
              <w:jc w:val="left"/>
              <w:rPr>
                <w:rFonts w:cs="Palatino Linotype"/>
                <w:i/>
                <w:color w:val="000000"/>
                <w:sz w:val="18"/>
                <w:szCs w:val="20"/>
              </w:rPr>
            </w:pPr>
            <w:proofErr w:type="spellStart"/>
            <w:r w:rsidRPr="004B5B19">
              <w:rPr>
                <w:rFonts w:cs="Palatino Linotype"/>
                <w:i/>
                <w:color w:val="000000"/>
                <w:sz w:val="18"/>
                <w:szCs w:val="20"/>
              </w:rPr>
              <w:t>Signif</w:t>
            </w:r>
            <w:proofErr w:type="spellEnd"/>
            <w:r w:rsidRPr="004B5B19">
              <w:rPr>
                <w:rFonts w:cs="Palatino Linotype"/>
                <w:i/>
                <w:color w:val="000000"/>
                <w:sz w:val="18"/>
                <w:szCs w:val="20"/>
              </w:rPr>
              <w:t>. codes: 0 ‘***’ 0.001 ‘**’ 0.01 ‘*’ 0.05 ‘.’ 0.1 ‘ ’ 1</w:t>
            </w:r>
          </w:p>
          <w:p w14:paraId="3579D7C7" w14:textId="77777777" w:rsidR="005550AF" w:rsidRPr="004B5B19" w:rsidRDefault="005550AF" w:rsidP="003B38C3">
            <w:pPr>
              <w:keepNext/>
              <w:autoSpaceDE w:val="0"/>
              <w:autoSpaceDN w:val="0"/>
              <w:adjustRightInd w:val="0"/>
              <w:jc w:val="left"/>
              <w:rPr>
                <w:rFonts w:cs="Palatino Linotype"/>
                <w:color w:val="000000"/>
                <w:sz w:val="18"/>
                <w:szCs w:val="20"/>
              </w:rPr>
            </w:pPr>
            <w:r w:rsidRPr="004B5B19">
              <w:rPr>
                <w:rFonts w:cs="Palatino Linotype"/>
                <w:color w:val="000000"/>
                <w:sz w:val="18"/>
                <w:szCs w:val="20"/>
              </w:rPr>
              <w:t>Residual standard error: 0.9888 on 899629 degrees of freedom</w:t>
            </w:r>
          </w:p>
          <w:p w14:paraId="1E57C689" w14:textId="77777777" w:rsidR="005550AF" w:rsidRPr="004B5B19" w:rsidRDefault="005550AF" w:rsidP="003B38C3">
            <w:pPr>
              <w:keepNext/>
              <w:autoSpaceDE w:val="0"/>
              <w:autoSpaceDN w:val="0"/>
              <w:adjustRightInd w:val="0"/>
              <w:jc w:val="left"/>
              <w:rPr>
                <w:rFonts w:cs="Palatino Linotype"/>
                <w:color w:val="000000"/>
                <w:sz w:val="18"/>
                <w:szCs w:val="20"/>
              </w:rPr>
            </w:pPr>
            <w:r w:rsidRPr="004B5B19">
              <w:rPr>
                <w:rFonts w:cs="Palatino Linotype"/>
                <w:color w:val="000000"/>
                <w:sz w:val="18"/>
                <w:szCs w:val="20"/>
              </w:rPr>
              <w:t>Multiple R-squared:  0.8876,</w:t>
            </w:r>
            <w:r w:rsidRPr="004B5B19">
              <w:rPr>
                <w:rFonts w:cs="Palatino Linotype"/>
                <w:color w:val="000000"/>
                <w:sz w:val="18"/>
                <w:szCs w:val="20"/>
              </w:rPr>
              <w:tab/>
              <w:t xml:space="preserve">Adjusted R-squared:  0.8876 </w:t>
            </w:r>
          </w:p>
          <w:p w14:paraId="56C7A339" w14:textId="2868360F" w:rsidR="005550AF" w:rsidRPr="004B5B19" w:rsidRDefault="005550AF" w:rsidP="003B38C3">
            <w:pPr>
              <w:keepNext/>
              <w:autoSpaceDE w:val="0"/>
              <w:autoSpaceDN w:val="0"/>
              <w:adjustRightInd w:val="0"/>
              <w:jc w:val="left"/>
              <w:rPr>
                <w:rFonts w:cs="Palatino Linotype"/>
                <w:i/>
                <w:color w:val="000000"/>
                <w:sz w:val="18"/>
                <w:szCs w:val="20"/>
              </w:rPr>
            </w:pPr>
            <w:r w:rsidRPr="004B5B19">
              <w:rPr>
                <w:rFonts w:cs="Palatino Linotype"/>
                <w:color w:val="000000"/>
                <w:sz w:val="18"/>
                <w:szCs w:val="20"/>
              </w:rPr>
              <w:t>F-statistic: 3.947e+05 on 18 and 899629 DF,  p-value:&lt; 2.2e-16</w:t>
            </w:r>
          </w:p>
        </w:tc>
      </w:tr>
    </w:tbl>
    <w:p w14:paraId="74552AB4" w14:textId="77777777" w:rsidR="00A9061E" w:rsidRDefault="00A9061E" w:rsidP="003B38C3">
      <w:pPr>
        <w:pStyle w:val="Source"/>
        <w:keepNext/>
        <w:ind w:left="0"/>
      </w:pPr>
      <w:r>
        <w:t>Source: Navigant analysis</w:t>
      </w:r>
    </w:p>
    <w:sectPr w:rsidR="00A9061E" w:rsidSect="00361187">
      <w:headerReference w:type="default" r:id="rId29"/>
      <w:pgSz w:w="12240" w:h="15840" w:code="1"/>
      <w:pgMar w:top="720" w:right="1152" w:bottom="792" w:left="1800" w:header="720" w:footer="720"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3" w:author="Carly Olig" w:date="2016-01-14T17:11:00Z" w:initials="CO">
    <w:p w14:paraId="2F0DDAF3" w14:textId="77777777" w:rsidR="008D6F3F" w:rsidRDefault="008D6F3F" w:rsidP="00A9061E">
      <w:pPr>
        <w:pStyle w:val="CommentText"/>
      </w:pPr>
      <w:r>
        <w:rPr>
          <w:rStyle w:val="CommentReference"/>
        </w:rPr>
        <w:annotationRef/>
      </w:r>
      <w:r>
        <w:t>Nicor Gas Team – Navigant has decided to send out a draft before these numbers are available to facilitate use of the results of this study in the IL-TRM.</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F0DDAF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A4EFAC" w14:textId="77777777" w:rsidR="000F05A3" w:rsidRDefault="000F05A3">
      <w:r>
        <w:separator/>
      </w:r>
    </w:p>
  </w:endnote>
  <w:endnote w:type="continuationSeparator" w:id="0">
    <w:p w14:paraId="66528322" w14:textId="77777777" w:rsidR="000F05A3" w:rsidRDefault="000F05A3">
      <w:r>
        <w:continuationSeparator/>
      </w:r>
    </w:p>
  </w:endnote>
  <w:endnote w:type="continuationNotice" w:id="1">
    <w:p w14:paraId="1A861D25" w14:textId="77777777" w:rsidR="000F05A3" w:rsidRDefault="000F05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26A560" w14:textId="77777777" w:rsidR="0060376B" w:rsidRDefault="0060376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B9F27" w14:textId="77777777" w:rsidR="008D6F3F" w:rsidRPr="005C23B8" w:rsidRDefault="008D6F3F" w:rsidP="00514D1B">
    <w:pPr>
      <w:pStyle w:val="Footer"/>
      <w:ind w:right="360"/>
      <w:rPr>
        <w:rFonts w:cs="Arial"/>
        <w:sz w:val="16"/>
      </w:rPr>
    </w:pPr>
  </w:p>
  <w:p w14:paraId="22F57635" w14:textId="058557A4" w:rsidR="008D6F3F" w:rsidRPr="000D3D04" w:rsidRDefault="008D6F3F" w:rsidP="00514D1B">
    <w:pPr>
      <w:pStyle w:val="Footer"/>
      <w:tabs>
        <w:tab w:val="clear" w:pos="8640"/>
        <w:tab w:val="right" w:pos="9270"/>
      </w:tabs>
      <w:ind w:right="18"/>
      <w:rPr>
        <w:rFonts w:cs="Arial"/>
        <w:color w:val="555759" w:themeColor="accent2"/>
        <w:sz w:val="16"/>
      </w:rPr>
    </w:pPr>
    <w:r w:rsidRPr="000D3D04">
      <w:rPr>
        <w:rFonts w:cs="Arial"/>
        <w:color w:val="555759" w:themeColor="accent2"/>
        <w:sz w:val="16"/>
      </w:rPr>
      <w:tab/>
    </w:r>
    <w:r w:rsidRPr="000D3D04">
      <w:rPr>
        <w:rFonts w:cs="Arial"/>
        <w:color w:val="555759" w:themeColor="accent2"/>
        <w:sz w:val="16"/>
      </w:rPr>
      <w:tab/>
    </w:r>
  </w:p>
  <w:p w14:paraId="3DC49D54" w14:textId="77777777" w:rsidR="008D6F3F" w:rsidRPr="000D3D04" w:rsidRDefault="008D6F3F" w:rsidP="00514D1B">
    <w:pPr>
      <w:pStyle w:val="Footer"/>
      <w:tabs>
        <w:tab w:val="right" w:pos="9270"/>
      </w:tabs>
      <w:ind w:right="18"/>
      <w:rPr>
        <w:rFonts w:cs="Arial"/>
        <w:color w:val="555759" w:themeColor="accent2"/>
        <w:sz w:val="16"/>
      </w:rPr>
    </w:pPr>
    <w:r w:rsidRPr="000D3D04">
      <w:rPr>
        <w:rFonts w:cs="Arial"/>
        <w:color w:val="555759" w:themeColor="accent2"/>
        <w:sz w:val="16"/>
      </w:rPr>
      <w:t>©2016 Navigant Consulting, Inc.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84FDA0" w14:textId="77777777" w:rsidR="0060376B" w:rsidRDefault="0060376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C99EB4" w14:textId="77777777" w:rsidR="008D6F3F" w:rsidRPr="005C23B8" w:rsidRDefault="008D6F3F" w:rsidP="001412F5">
    <w:pPr>
      <w:pStyle w:val="Footer"/>
      <w:ind w:right="360"/>
      <w:rPr>
        <w:rFonts w:cs="Arial"/>
        <w:sz w:val="16"/>
      </w:rPr>
    </w:pPr>
  </w:p>
  <w:p w14:paraId="50DA218D" w14:textId="4DF580E6" w:rsidR="008D6F3F" w:rsidRPr="000D3D04" w:rsidRDefault="008D6F3F" w:rsidP="00873D07">
    <w:pPr>
      <w:pStyle w:val="Footer"/>
      <w:tabs>
        <w:tab w:val="clear" w:pos="8640"/>
        <w:tab w:val="right" w:pos="9270"/>
      </w:tabs>
      <w:ind w:right="18"/>
      <w:rPr>
        <w:rFonts w:cs="Arial"/>
        <w:color w:val="555759" w:themeColor="accent2"/>
        <w:sz w:val="16"/>
      </w:rPr>
    </w:pPr>
    <w:r>
      <w:rPr>
        <w:i/>
        <w:szCs w:val="18"/>
      </w:rPr>
      <w:t>Nicor Gas Behavioral Energy Savings Programs: Home Energy Reports Persistence Study Part 2--DRAFT</w:t>
    </w:r>
    <w:r w:rsidRPr="000D3D04">
      <w:rPr>
        <w:rFonts w:cs="Arial"/>
        <w:color w:val="555759" w:themeColor="accent2"/>
        <w:sz w:val="16"/>
      </w:rPr>
      <w:tab/>
    </w:r>
    <w:r w:rsidRPr="000D3D04">
      <w:rPr>
        <w:rFonts w:cs="Arial"/>
        <w:color w:val="555759" w:themeColor="accent2"/>
      </w:rPr>
      <w:t xml:space="preserve">Page </w:t>
    </w:r>
    <w:r w:rsidRPr="000D3D04">
      <w:rPr>
        <w:rFonts w:cs="Arial"/>
        <w:color w:val="555759" w:themeColor="accent2"/>
      </w:rPr>
      <w:fldChar w:fldCharType="begin"/>
    </w:r>
    <w:r w:rsidRPr="000D3D04">
      <w:rPr>
        <w:rFonts w:cs="Arial"/>
        <w:color w:val="555759" w:themeColor="accent2"/>
      </w:rPr>
      <w:instrText xml:space="preserve"> PAGE </w:instrText>
    </w:r>
    <w:r w:rsidRPr="000D3D04">
      <w:rPr>
        <w:rFonts w:cs="Arial"/>
        <w:color w:val="555759" w:themeColor="accent2"/>
      </w:rPr>
      <w:fldChar w:fldCharType="separate"/>
    </w:r>
    <w:r w:rsidR="00851D29">
      <w:rPr>
        <w:rFonts w:cs="Arial"/>
        <w:noProof/>
        <w:color w:val="555759" w:themeColor="accent2"/>
      </w:rPr>
      <w:t>22</w:t>
    </w:r>
    <w:r w:rsidRPr="000D3D04">
      <w:rPr>
        <w:rFonts w:cs="Arial"/>
        <w:color w:val="555759" w:themeColor="accent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C44F58" w14:textId="77777777" w:rsidR="000F05A3" w:rsidRDefault="000F05A3">
      <w:r>
        <w:separator/>
      </w:r>
    </w:p>
  </w:footnote>
  <w:footnote w:type="continuationSeparator" w:id="0">
    <w:p w14:paraId="17D90704" w14:textId="77777777" w:rsidR="000F05A3" w:rsidRDefault="000F05A3">
      <w:r>
        <w:continuationSeparator/>
      </w:r>
    </w:p>
  </w:footnote>
  <w:footnote w:type="continuationNotice" w:id="1">
    <w:p w14:paraId="14ADB956" w14:textId="77777777" w:rsidR="000F05A3" w:rsidRDefault="000F05A3"/>
  </w:footnote>
  <w:footnote w:id="2">
    <w:p w14:paraId="65B4CDBE" w14:textId="77777777" w:rsidR="008D6F3F" w:rsidRDefault="008D6F3F" w:rsidP="00A9061E">
      <w:pPr>
        <w:pStyle w:val="FootnoteText"/>
      </w:pPr>
      <w:r>
        <w:rPr>
          <w:rStyle w:val="FootnoteReference"/>
        </w:rPr>
        <w:footnoteRef/>
      </w:r>
      <w:r>
        <w:t xml:space="preserve"> GPY3 began June 1, 2013, and ended May 31, 2014.</w:t>
      </w:r>
    </w:p>
  </w:footnote>
  <w:footnote w:id="3">
    <w:p w14:paraId="6445EFFA" w14:textId="77777777" w:rsidR="008D6F3F" w:rsidRPr="00A869EA" w:rsidRDefault="008D6F3F" w:rsidP="00A9061E">
      <w:pPr>
        <w:pStyle w:val="FootnoteText"/>
        <w:rPr>
          <w:i/>
        </w:rPr>
      </w:pPr>
      <w:r>
        <w:rPr>
          <w:rStyle w:val="FootnoteReference"/>
        </w:rPr>
        <w:footnoteRef/>
      </w:r>
      <w:r>
        <w:t xml:space="preserve"> Navigant Consulting Inc. 2015. “</w:t>
      </w:r>
      <w:r w:rsidRPr="0027452D">
        <w:t>Behavioral Energy Savings Program GPY3 Evaluation Report.</w:t>
      </w:r>
      <w:r>
        <w:t xml:space="preserve">” Presented to Nicor Gas. </w:t>
      </w:r>
    </w:p>
  </w:footnote>
  <w:footnote w:id="4">
    <w:p w14:paraId="6A14309F" w14:textId="77777777" w:rsidR="008D6F3F" w:rsidRDefault="008D6F3F" w:rsidP="00A9061E">
      <w:pPr>
        <w:pStyle w:val="FootnoteText"/>
      </w:pPr>
      <w:r>
        <w:rPr>
          <w:rStyle w:val="FootnoteReference"/>
        </w:rPr>
        <w:footnoteRef/>
      </w:r>
      <w:r>
        <w:t xml:space="preserve"> Navigant Consulting Inc. 2015. “Behavioral Energy Savings Programs: Home Energy Reports Persistence Study Part 1 – October 2014 to March 2015” Presented to Nicor Gas.</w:t>
      </w:r>
    </w:p>
  </w:footnote>
  <w:footnote w:id="5">
    <w:p w14:paraId="239A25B2" w14:textId="77777777" w:rsidR="008D6F3F" w:rsidRDefault="008D6F3F" w:rsidP="00A9061E">
      <w:pPr>
        <w:pStyle w:val="FootnoteText"/>
      </w:pPr>
      <w:r>
        <w:rPr>
          <w:rStyle w:val="FootnoteReference"/>
        </w:rPr>
        <w:footnoteRef/>
      </w:r>
      <w:r>
        <w:t xml:space="preserve"> In GPY3 Navigant found that savings from uplift were 3.6% of total program savings.</w:t>
      </w:r>
    </w:p>
  </w:footnote>
  <w:footnote w:id="6">
    <w:p w14:paraId="6BA4E0A6" w14:textId="77777777" w:rsidR="008D6F3F" w:rsidRDefault="008D6F3F" w:rsidP="00A9061E">
      <w:pPr>
        <w:pStyle w:val="FootnoteText"/>
      </w:pPr>
      <w:r>
        <w:rPr>
          <w:rStyle w:val="FootnoteReference"/>
        </w:rPr>
        <w:footnoteRef/>
      </w:r>
      <w:r>
        <w:t xml:space="preserve"> See Footnote </w:t>
      </w:r>
      <w:r>
        <w:fldChar w:fldCharType="begin"/>
      </w:r>
      <w:r>
        <w:instrText xml:space="preserve"> NOTEREF _Ref440444027 \h </w:instrText>
      </w:r>
      <w:r>
        <w:fldChar w:fldCharType="separate"/>
      </w:r>
      <w:r>
        <w:t>4</w:t>
      </w:r>
      <w:r>
        <w:fldChar w:fldCharType="end"/>
      </w:r>
      <w:r>
        <w:t>.</w:t>
      </w:r>
    </w:p>
  </w:footnote>
  <w:footnote w:id="7">
    <w:p w14:paraId="2F4B28FB" w14:textId="77777777" w:rsidR="008D6F3F" w:rsidRDefault="008D6F3F" w:rsidP="00A9061E">
      <w:pPr>
        <w:pStyle w:val="FootnoteText"/>
      </w:pPr>
      <w:r>
        <w:rPr>
          <w:rStyle w:val="FootnoteReference"/>
        </w:rPr>
        <w:footnoteRef/>
      </w:r>
      <w:r>
        <w:t xml:space="preserve"> These estimates assume an annual attrition rate due to residence changes of 3.17% which was calculated based on the attrition during the year for which the HER program ran. </w:t>
      </w:r>
    </w:p>
  </w:footnote>
  <w:footnote w:id="8">
    <w:p w14:paraId="716FF594" w14:textId="77777777" w:rsidR="008D6F3F" w:rsidRDefault="008D6F3F" w:rsidP="00A9061E">
      <w:pPr>
        <w:pStyle w:val="FootnoteText"/>
      </w:pPr>
      <w:r>
        <w:rPr>
          <w:rStyle w:val="FootnoteReference"/>
        </w:rPr>
        <w:footnoteRef/>
      </w:r>
      <w:r>
        <w:t xml:space="preserve"> GPY3 began June 1, 2013, and ended May 31, 2014.</w:t>
      </w:r>
    </w:p>
  </w:footnote>
  <w:footnote w:id="9">
    <w:p w14:paraId="6F2D2B25" w14:textId="77777777" w:rsidR="008D6F3F" w:rsidRPr="00A869EA" w:rsidRDefault="008D6F3F" w:rsidP="00A9061E">
      <w:pPr>
        <w:pStyle w:val="FootnoteText"/>
        <w:rPr>
          <w:i/>
        </w:rPr>
      </w:pPr>
      <w:r>
        <w:rPr>
          <w:rStyle w:val="FootnoteReference"/>
        </w:rPr>
        <w:footnoteRef/>
      </w:r>
      <w:r>
        <w:t xml:space="preserve"> Navigant Consulting Inc. 2015. “</w:t>
      </w:r>
      <w:r w:rsidRPr="0027452D">
        <w:t>Behavioral Energy Savings Program GPY3 Evaluation Report.</w:t>
      </w:r>
      <w:r>
        <w:t>” Presented to Nicor Gas.</w:t>
      </w:r>
    </w:p>
  </w:footnote>
  <w:footnote w:id="10">
    <w:p w14:paraId="32DD185D" w14:textId="77777777" w:rsidR="008D6F3F" w:rsidRDefault="008D6F3F" w:rsidP="00A9061E">
      <w:pPr>
        <w:pStyle w:val="FootnoteText"/>
      </w:pPr>
      <w:r>
        <w:rPr>
          <w:rStyle w:val="FootnoteReference"/>
        </w:rPr>
        <w:footnoteRef/>
      </w:r>
      <w:r>
        <w:t xml:space="preserve"> In GPY3 Navigant found that savings from uplift were 3.6% of total program savings.</w:t>
      </w:r>
    </w:p>
  </w:footnote>
  <w:footnote w:id="11">
    <w:p w14:paraId="66FC6D3E" w14:textId="77777777" w:rsidR="008D6F3F" w:rsidRDefault="008D6F3F" w:rsidP="00A9061E">
      <w:pPr>
        <w:pStyle w:val="FootnoteText"/>
      </w:pPr>
      <w:r>
        <w:rPr>
          <w:rStyle w:val="FootnoteReference"/>
        </w:rPr>
        <w:footnoteRef/>
      </w:r>
      <w:r>
        <w:t xml:space="preserve"> </w:t>
      </w:r>
      <w:r w:rsidRPr="00F716D7">
        <w:rPr>
          <w:szCs w:val="18"/>
        </w:rPr>
        <w:t xml:space="preserve">In other words, if there are </w:t>
      </w:r>
      <w:r w:rsidRPr="00F716D7">
        <w:rPr>
          <w:i/>
          <w:szCs w:val="18"/>
        </w:rPr>
        <w:t>T</w:t>
      </w:r>
      <w:r w:rsidRPr="00F716D7">
        <w:rPr>
          <w:szCs w:val="18"/>
        </w:rPr>
        <w:t xml:space="preserve"> post-program months, there are </w:t>
      </w:r>
      <w:r w:rsidRPr="00F716D7">
        <w:rPr>
          <w:i/>
          <w:szCs w:val="18"/>
        </w:rPr>
        <w:t>T</w:t>
      </w:r>
      <w:r w:rsidRPr="00F716D7">
        <w:rPr>
          <w:szCs w:val="18"/>
        </w:rPr>
        <w:t xml:space="preserve"> monthly dummy variables in the model, with the dummy variable </w:t>
      </w:r>
      <w:proofErr w:type="spellStart"/>
      <w:r w:rsidRPr="00F716D7">
        <w:rPr>
          <w:i/>
          <w:szCs w:val="18"/>
        </w:rPr>
        <w:t>Month</w:t>
      </w:r>
      <w:r w:rsidRPr="00F716D7">
        <w:rPr>
          <w:i/>
          <w:szCs w:val="18"/>
          <w:vertAlign w:val="subscript"/>
        </w:rPr>
        <w:t>tt</w:t>
      </w:r>
      <w:proofErr w:type="spellEnd"/>
      <w:r w:rsidRPr="00F716D7">
        <w:rPr>
          <w:i/>
          <w:szCs w:val="18"/>
          <w:vertAlign w:val="subscript"/>
        </w:rPr>
        <w:t xml:space="preserve"> </w:t>
      </w:r>
      <w:r w:rsidRPr="00F716D7">
        <w:rPr>
          <w:szCs w:val="18"/>
        </w:rPr>
        <w:t xml:space="preserve">the only one to take a value of 1 at time t. </w:t>
      </w:r>
      <w:r>
        <w:rPr>
          <w:szCs w:val="18"/>
        </w:rPr>
        <w:t>Simply put, t</w:t>
      </w:r>
      <w:r w:rsidRPr="00F716D7">
        <w:rPr>
          <w:szCs w:val="18"/>
        </w:rPr>
        <w:t>hese are monthly fixed effects.</w:t>
      </w:r>
    </w:p>
  </w:footnote>
  <w:footnote w:id="12">
    <w:p w14:paraId="7CF7CBF8" w14:textId="77777777" w:rsidR="008D6F3F" w:rsidRDefault="008D6F3F" w:rsidP="00A9061E">
      <w:pPr>
        <w:pStyle w:val="FootnoteText"/>
      </w:pPr>
      <w:r>
        <w:rPr>
          <w:rStyle w:val="FootnoteReference"/>
        </w:rPr>
        <w:footnoteRef/>
      </w:r>
      <w:r>
        <w:t xml:space="preserve"> In GPY3 Navigant found that savings from uplift were 3.6% of total program savings.</w:t>
      </w:r>
    </w:p>
  </w:footnote>
  <w:footnote w:id="13">
    <w:p w14:paraId="4958F13D" w14:textId="77777777" w:rsidR="008D6F3F" w:rsidRDefault="008D6F3F" w:rsidP="00A9061E">
      <w:pPr>
        <w:pStyle w:val="FootnoteText"/>
      </w:pPr>
      <w:r>
        <w:rPr>
          <w:rStyle w:val="FootnoteReference"/>
        </w:rPr>
        <w:footnoteRef/>
      </w:r>
      <w:r>
        <w:t xml:space="preserve"> The convergence assumes that savings decay infinitely at a constant annual rate of </w:t>
      </w:r>
      <w:r w:rsidRPr="00E55942">
        <w:rPr>
          <w:i/>
        </w:rPr>
        <w:t>(1-δ)(1-α)</w:t>
      </w:r>
      <w:r>
        <w:t>.</w:t>
      </w:r>
    </w:p>
  </w:footnote>
  <w:footnote w:id="14">
    <w:p w14:paraId="742B8CA5" w14:textId="77777777" w:rsidR="008D6F3F" w:rsidRDefault="008D6F3F" w:rsidP="00A9061E">
      <w:pPr>
        <w:pStyle w:val="FootnoteText"/>
      </w:pPr>
      <w:r>
        <w:rPr>
          <w:rStyle w:val="FootnoteReference"/>
        </w:rPr>
        <w:footnoteRef/>
      </w:r>
      <w:r>
        <w:t xml:space="preserve"> The Cadmus Group, Inc. 2014. “Long-Run Savings and Cost-Effectiveness of Home Energy Report Programs.” Prepared by M. Sami Khawaja, PhD. And James Stewart, PhD.</w:t>
      </w:r>
    </w:p>
  </w:footnote>
  <w:footnote w:id="15">
    <w:p w14:paraId="45BF8DD4" w14:textId="77777777" w:rsidR="008D6F3F" w:rsidRDefault="008D6F3F" w:rsidP="00A9061E">
      <w:pPr>
        <w:pStyle w:val="FootnoteText"/>
      </w:pPr>
      <w:r>
        <w:rPr>
          <w:rStyle w:val="FootnoteReference"/>
        </w:rPr>
        <w:footnoteRef/>
      </w:r>
      <w:r>
        <w:t xml:space="preserve"> The program implementer marks for exclusion any “VIP” treatment customers who receive the reports for any reason other than random assignment, for example utility executives who request reports to get the “report experience”.</w:t>
      </w:r>
    </w:p>
  </w:footnote>
  <w:footnote w:id="16">
    <w:p w14:paraId="60B0C977" w14:textId="40B834C1" w:rsidR="008D6F3F" w:rsidRDefault="008D6F3F" w:rsidP="00A9061E">
      <w:pPr>
        <w:pStyle w:val="FootnoteText"/>
      </w:pPr>
      <w:r>
        <w:rPr>
          <w:rStyle w:val="FootnoteReference"/>
        </w:rPr>
        <w:footnoteRef/>
      </w:r>
      <w:r>
        <w:t xml:space="preserve"> Customers with no bills in the analysis period had presumably changed residences.</w:t>
      </w:r>
    </w:p>
  </w:footnote>
  <w:footnote w:id="17">
    <w:p w14:paraId="792DD70F" w14:textId="77777777" w:rsidR="008D6F3F" w:rsidRDefault="008D6F3F" w:rsidP="00A9061E">
      <w:pPr>
        <w:pStyle w:val="FootnoteText"/>
      </w:pPr>
      <w:r>
        <w:rPr>
          <w:rStyle w:val="FootnoteReference"/>
        </w:rPr>
        <w:footnoteRef/>
      </w:r>
      <w:r>
        <w:t xml:space="preserve"> Just under 99% of participants receive their first report on or before October 9</w:t>
      </w:r>
      <w:r w:rsidRPr="00377278">
        <w:rPr>
          <w:vertAlign w:val="superscript"/>
        </w:rPr>
        <w:t>th</w:t>
      </w:r>
      <w:r>
        <w:t>, 2013. After that customers’ first reports are delayed from a few weeks up to several months.</w:t>
      </w:r>
    </w:p>
  </w:footnote>
  <w:footnote w:id="18">
    <w:p w14:paraId="6EA04BD0" w14:textId="77777777" w:rsidR="008D6F3F" w:rsidRPr="00093C6D" w:rsidRDefault="008D6F3F" w:rsidP="00A9061E">
      <w:pPr>
        <w:pStyle w:val="FootnoteText"/>
        <w:rPr>
          <w:szCs w:val="18"/>
        </w:rPr>
      </w:pPr>
      <w:r>
        <w:rPr>
          <w:rStyle w:val="FootnoteReference"/>
        </w:rPr>
        <w:footnoteRef/>
      </w:r>
      <w:r>
        <w:t xml:space="preserve"> </w:t>
      </w:r>
      <w:r>
        <w:rPr>
          <w:szCs w:val="18"/>
        </w:rPr>
        <w:t xml:space="preserve">The median usage from September through April was 4.843 therms per day. Observations with usage values greater than 48.43 therms per day were excluded from the analysis. </w:t>
      </w:r>
    </w:p>
  </w:footnote>
  <w:footnote w:id="19">
    <w:p w14:paraId="16896406" w14:textId="77777777" w:rsidR="008D6F3F" w:rsidRDefault="008D6F3F" w:rsidP="00A9061E">
      <w:pPr>
        <w:pStyle w:val="FootnoteText"/>
      </w:pPr>
      <w:r>
        <w:rPr>
          <w:rStyle w:val="FootnoteReference"/>
        </w:rPr>
        <w:footnoteRef/>
      </w:r>
      <w:r>
        <w:t xml:space="preserve"> </w:t>
      </w:r>
      <w:r w:rsidRPr="007D0DD1">
        <w:rPr>
          <w:szCs w:val="18"/>
        </w:rPr>
        <w:t xml:space="preserve">State and Local Energy Efficiency Action Network. 2012. </w:t>
      </w:r>
      <w:r w:rsidRPr="007D0DD1">
        <w:rPr>
          <w:i/>
          <w:iCs/>
          <w:szCs w:val="18"/>
        </w:rPr>
        <w:t>Evaluation, Measurement, and Verification (EM&amp;V) of Residential Behavior-Based Energy Efficiency Programs: Issues and Recommendations</w:t>
      </w:r>
      <w:r w:rsidRPr="007D0DD1">
        <w:rPr>
          <w:szCs w:val="18"/>
        </w:rPr>
        <w:t xml:space="preserve">. Prepared by A. Todd, E. Stuart, S. Schiller, and C. Goldman, Lawrence Berkeley National Laboratory. </w:t>
      </w:r>
      <w:hyperlink r:id="rId1" w:history="1">
        <w:r w:rsidRPr="00B46C29">
          <w:rPr>
            <w:rStyle w:val="Hyperlink"/>
            <w:sz w:val="18"/>
            <w:szCs w:val="18"/>
          </w:rPr>
          <w:t>http://behavioranalytics.lbl.gov</w:t>
        </w:r>
      </w:hyperlink>
      <w:r w:rsidRPr="007D0DD1">
        <w:rPr>
          <w:szCs w:val="18"/>
        </w:rPr>
        <w:t>.</w:t>
      </w:r>
      <w:r>
        <w:rPr>
          <w:szCs w:val="18"/>
        </w:rPr>
        <w:t xml:space="preserve"> Page 13.</w:t>
      </w:r>
    </w:p>
  </w:footnote>
  <w:footnote w:id="20">
    <w:p w14:paraId="2FCEFE97" w14:textId="77777777" w:rsidR="008D6F3F" w:rsidRDefault="008D6F3F" w:rsidP="00A9061E">
      <w:pPr>
        <w:pStyle w:val="FootnoteText"/>
      </w:pPr>
      <w:r>
        <w:rPr>
          <w:rStyle w:val="FootnoteReference"/>
        </w:rPr>
        <w:footnoteRef/>
      </w:r>
      <w:r>
        <w:t xml:space="preserve"> Ibid. Page 30.</w:t>
      </w:r>
    </w:p>
  </w:footnote>
  <w:footnote w:id="21">
    <w:p w14:paraId="3309BA7A" w14:textId="77777777" w:rsidR="008D6F3F" w:rsidRDefault="008D6F3F" w:rsidP="00A9061E">
      <w:pPr>
        <w:pStyle w:val="FootnoteText"/>
      </w:pPr>
      <w:r>
        <w:rPr>
          <w:rStyle w:val="FootnoteReference"/>
        </w:rPr>
        <w:footnoteRef/>
      </w:r>
      <w:r>
        <w:t xml:space="preserve"> The one therm discrepancy in this summation is due to rounding error.</w:t>
      </w:r>
    </w:p>
  </w:footnote>
  <w:footnote w:id="22">
    <w:p w14:paraId="1743A913" w14:textId="77777777" w:rsidR="008D6F3F" w:rsidRDefault="008D6F3F" w:rsidP="00A9061E">
      <w:r>
        <w:rPr>
          <w:rStyle w:val="FootnoteReference"/>
        </w:rPr>
        <w:footnoteRef/>
      </w:r>
      <w:r>
        <w:t xml:space="preserve"> </w:t>
      </w:r>
      <w:r w:rsidRPr="00143FA8">
        <w:rPr>
          <w:sz w:val="18"/>
        </w:rPr>
        <w:t>Total verified net savings in each part of this study are calculated using the number of verified participants in each evaluation period. Total savings are calculated as (verified participants)*(savings per day)*(days as an active customer in the evaluation period). For example, if all customers had been active for the entire post period for Part 1 this calculation would work out to be 341,308*0.032*182=1,987,778. The difference between our estimated savings and this number is due to people moving out partway through the evaluation period.</w:t>
      </w:r>
    </w:p>
  </w:footnote>
  <w:footnote w:id="23">
    <w:p w14:paraId="19B9EDB6" w14:textId="77777777" w:rsidR="008D6F3F" w:rsidRDefault="008D6F3F" w:rsidP="00A9061E">
      <w:pPr>
        <w:pStyle w:val="FootnoteText"/>
      </w:pPr>
      <w:r>
        <w:rPr>
          <w:rStyle w:val="FootnoteReference"/>
        </w:rPr>
        <w:footnoteRef/>
      </w:r>
      <w:r>
        <w:t xml:space="preserve"> These estimates assume an annual attrition rate due to residence changes of 3.17% which was calculated based on the attrition during the year for which the HER program ran. </w:t>
      </w:r>
    </w:p>
  </w:footnote>
  <w:footnote w:id="24">
    <w:p w14:paraId="0CE10E40" w14:textId="77777777" w:rsidR="008D6F3F" w:rsidRDefault="008D6F3F" w:rsidP="00A9061E">
      <w:pPr>
        <w:pStyle w:val="FootnoteText"/>
      </w:pPr>
      <w:r>
        <w:rPr>
          <w:rStyle w:val="FootnoteReference"/>
        </w:rPr>
        <w:footnoteRef/>
      </w:r>
      <w:r>
        <w:t xml:space="preserve"> The persistence factor is defined as one minus the decay rate, 1-δ.</w:t>
      </w:r>
    </w:p>
  </w:footnote>
  <w:footnote w:id="25">
    <w:p w14:paraId="30EC6A65" w14:textId="77777777" w:rsidR="008D6F3F" w:rsidRDefault="008D6F3F" w:rsidP="00A9061E">
      <w:pPr>
        <w:pStyle w:val="FootnoteText"/>
      </w:pPr>
      <w:r>
        <w:rPr>
          <w:rStyle w:val="FootnoteReference"/>
          <w:rFonts w:eastAsiaTheme="majorEastAsia"/>
        </w:rPr>
        <w:footnoteRef/>
      </w:r>
      <w:r>
        <w:t xml:space="preserve"> Note that using a 90% confidence interval we would expect on average one out of every ten months to have a statistically significant difference in average consumption, due to random chance. Here we found that one month had a statistically significant difference, but had we found that zero, two, or even three months had a statistically significant difference, we would still conclude that the treatment and control groups were determined via random assignment.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C87DA6" w14:textId="77777777" w:rsidR="0060376B" w:rsidRDefault="0060376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ECE052" w14:textId="77777777" w:rsidR="008D6F3F" w:rsidRDefault="008D6F3F" w:rsidP="00476BCF">
    <w:pPr>
      <w:pStyle w:val="Header"/>
    </w:pPr>
    <w:r>
      <w:rPr>
        <w:noProof/>
      </w:rPr>
      <w:drawing>
        <wp:anchor distT="0" distB="0" distL="114300" distR="114300" simplePos="0" relativeHeight="251673088" behindDoc="1" locked="0" layoutInCell="1" allowOverlap="1" wp14:anchorId="6FD840FD" wp14:editId="2349B37B">
          <wp:simplePos x="0" y="0"/>
          <wp:positionH relativeFrom="page">
            <wp:align>left</wp:align>
          </wp:positionH>
          <wp:positionV relativeFrom="margin">
            <wp:posOffset>-1611415</wp:posOffset>
          </wp:positionV>
          <wp:extent cx="7886915" cy="10277627"/>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y-triangle.jpg"/>
                  <pic:cNvPicPr/>
                </pic:nvPicPr>
                <pic:blipFill>
                  <a:blip r:embed="rId1">
                    <a:extLst>
                      <a:ext uri="{28A0092B-C50C-407E-A947-70E740481C1C}">
                        <a14:useLocalDpi xmlns:a14="http://schemas.microsoft.com/office/drawing/2010/main" val="0"/>
                      </a:ext>
                    </a:extLst>
                  </a:blip>
                  <a:stretch>
                    <a:fillRect/>
                  </a:stretch>
                </pic:blipFill>
                <pic:spPr>
                  <a:xfrm>
                    <a:off x="0" y="0"/>
                    <a:ext cx="7886915" cy="1027762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2064" behindDoc="0" locked="0" layoutInCell="1" allowOverlap="1" wp14:anchorId="4070CDA6" wp14:editId="428E2EB9">
          <wp:simplePos x="0" y="0"/>
          <wp:positionH relativeFrom="column">
            <wp:posOffset>-342900</wp:posOffset>
          </wp:positionH>
          <wp:positionV relativeFrom="paragraph">
            <wp:posOffset>228600</wp:posOffset>
          </wp:positionV>
          <wp:extent cx="1854200" cy="324256"/>
          <wp:effectExtent l="0" t="0" r="0" b="635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_NavigantLogo_RGB"/>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854200" cy="324256"/>
                  </a:xfrm>
                  <a:prstGeom prst="rect">
                    <a:avLst/>
                  </a:prstGeom>
                  <a:noFill/>
                </pic:spPr>
              </pic:pic>
            </a:graphicData>
          </a:graphic>
          <wp14:sizeRelH relativeFrom="page">
            <wp14:pctWidth>0</wp14:pctWidth>
          </wp14:sizeRelH>
          <wp14:sizeRelV relativeFrom="page">
            <wp14:pctHeight>0</wp14:pctHeight>
          </wp14:sizeRelV>
        </wp:anchor>
      </w:drawing>
    </w:r>
  </w:p>
  <w:p w14:paraId="1E66958A" w14:textId="77777777" w:rsidR="008D6F3F" w:rsidRPr="00476BCF" w:rsidRDefault="008D6F3F" w:rsidP="00476BC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FEA69D" w14:textId="77777777" w:rsidR="0060376B" w:rsidRDefault="0060376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1A193D" w14:textId="77777777" w:rsidR="008D6F3F" w:rsidRDefault="008D6F3F" w:rsidP="00476BCF">
    <w:pPr>
      <w:pStyle w:val="Header"/>
    </w:pPr>
  </w:p>
  <w:p w14:paraId="0C46EE5D" w14:textId="77777777" w:rsidR="008D6F3F" w:rsidRDefault="008D6F3F" w:rsidP="00476BCF">
    <w:pPr>
      <w:pStyle w:val="Header"/>
      <w:rPr>
        <w:sz w:val="24"/>
      </w:rPr>
    </w:pPr>
    <w:r>
      <w:rPr>
        <w:noProof/>
      </w:rPr>
      <w:drawing>
        <wp:anchor distT="0" distB="0" distL="114300" distR="114300" simplePos="0" relativeHeight="251675136" behindDoc="0" locked="0" layoutInCell="1" allowOverlap="1" wp14:anchorId="14393517" wp14:editId="71B67644">
          <wp:simplePos x="0" y="0"/>
          <wp:positionH relativeFrom="column">
            <wp:posOffset>-367665</wp:posOffset>
          </wp:positionH>
          <wp:positionV relativeFrom="paragraph">
            <wp:posOffset>2972</wp:posOffset>
          </wp:positionV>
          <wp:extent cx="1854200" cy="324256"/>
          <wp:effectExtent l="0" t="0" r="0" b="635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_NavigantLogo_RGB"/>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54200" cy="324256"/>
                  </a:xfrm>
                  <a:prstGeom prst="rect">
                    <a:avLst/>
                  </a:prstGeom>
                  <a:noFill/>
                </pic:spPr>
              </pic:pic>
            </a:graphicData>
          </a:graphic>
          <wp14:sizeRelH relativeFrom="page">
            <wp14:pctWidth>0</wp14:pctWidth>
          </wp14:sizeRelH>
          <wp14:sizeRelV relativeFrom="page">
            <wp14:pctHeight>0</wp14:pctHeight>
          </wp14:sizeRelV>
        </wp:anchor>
      </w:drawing>
    </w:r>
  </w:p>
  <w:p w14:paraId="183317EA" w14:textId="77777777" w:rsidR="008D6F3F" w:rsidRDefault="008D6F3F" w:rsidP="00476BCF">
    <w:pPr>
      <w:pStyle w:val="Header"/>
    </w:pPr>
  </w:p>
  <w:p w14:paraId="7B293356" w14:textId="77777777" w:rsidR="008D6F3F" w:rsidRDefault="008D6F3F" w:rsidP="00476BCF">
    <w:pPr>
      <w:pStyle w:val="Header"/>
    </w:pPr>
  </w:p>
  <w:p w14:paraId="76A36772" w14:textId="77777777" w:rsidR="008D6F3F" w:rsidRDefault="008D6F3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D9EC44" w14:textId="77777777" w:rsidR="008D6F3F" w:rsidRDefault="008D6F3F" w:rsidP="001E56FD">
    <w:pPr>
      <w:pStyle w:val="Header"/>
    </w:pPr>
  </w:p>
  <w:p w14:paraId="7C49AE30" w14:textId="77777777" w:rsidR="008D6F3F" w:rsidRDefault="008D6F3F" w:rsidP="001E56FD">
    <w:pPr>
      <w:pStyle w:val="Header"/>
      <w:rPr>
        <w:sz w:val="24"/>
      </w:rPr>
    </w:pPr>
    <w:r>
      <w:rPr>
        <w:noProof/>
      </w:rPr>
      <w:drawing>
        <wp:anchor distT="0" distB="0" distL="114300" distR="114300" simplePos="0" relativeHeight="251682304" behindDoc="0" locked="0" layoutInCell="1" allowOverlap="1" wp14:anchorId="4E7519EE" wp14:editId="7D708D02">
          <wp:simplePos x="0" y="0"/>
          <wp:positionH relativeFrom="column">
            <wp:posOffset>-367665</wp:posOffset>
          </wp:positionH>
          <wp:positionV relativeFrom="paragraph">
            <wp:posOffset>2972</wp:posOffset>
          </wp:positionV>
          <wp:extent cx="1854200" cy="324256"/>
          <wp:effectExtent l="0" t="0" r="0" b="6350"/>
          <wp:wrapNone/>
          <wp:docPr id="1034" name="Picture 1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_NavigantLogo_RGB"/>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54200" cy="324256"/>
                  </a:xfrm>
                  <a:prstGeom prst="rect">
                    <a:avLst/>
                  </a:prstGeom>
                  <a:noFill/>
                </pic:spPr>
              </pic:pic>
            </a:graphicData>
          </a:graphic>
          <wp14:sizeRelH relativeFrom="page">
            <wp14:pctWidth>0</wp14:pctWidth>
          </wp14:sizeRelH>
          <wp14:sizeRelV relativeFrom="page">
            <wp14:pctHeight>0</wp14:pctHeight>
          </wp14:sizeRelV>
        </wp:anchor>
      </w:drawing>
    </w:r>
  </w:p>
  <w:p w14:paraId="31AC5E33" w14:textId="77777777" w:rsidR="008D6F3F" w:rsidRDefault="008D6F3F" w:rsidP="001E56FD">
    <w:pPr>
      <w:pStyle w:val="Header"/>
    </w:pPr>
  </w:p>
  <w:p w14:paraId="3CA6A09F" w14:textId="77777777" w:rsidR="008D6F3F" w:rsidRDefault="008D6F3F" w:rsidP="001E56FD">
    <w:pPr>
      <w:pStyle w:val="Header"/>
    </w:pPr>
  </w:p>
  <w:p w14:paraId="5F6CC249" w14:textId="77777777" w:rsidR="008D6F3F" w:rsidRDefault="008D6F3F" w:rsidP="001E56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624C5"/>
    <w:multiLevelType w:val="hybridMultilevel"/>
    <w:tmpl w:val="8CA88956"/>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
    <w:nsid w:val="065179FF"/>
    <w:multiLevelType w:val="multilevel"/>
    <w:tmpl w:val="2C60DEFA"/>
    <w:lvl w:ilvl="0">
      <w:start w:val="1"/>
      <w:numFmt w:val="decimal"/>
      <w:pStyle w:val="Heading1"/>
      <w:suff w:val="space"/>
      <w:lvlText w:val="%1."/>
      <w:lvlJc w:val="left"/>
      <w:pPr>
        <w:ind w:left="432" w:hanging="432"/>
      </w:pPr>
      <w:rPr>
        <w:rFonts w:ascii="Arial Bold" w:hAnsi="Arial Bold" w:hint="default"/>
        <w:b/>
        <w:i w:val="0"/>
        <w:color w:val="FFFFFF" w:themeColor="background1"/>
        <w:sz w:val="26"/>
        <w:szCs w:val="26"/>
      </w:rPr>
    </w:lvl>
    <w:lvl w:ilvl="1">
      <w:start w:val="1"/>
      <w:numFmt w:val="decimal"/>
      <w:pStyle w:val="Heading2"/>
      <w:suff w:val="space"/>
      <w:lvlText w:val="%1.%2"/>
      <w:lvlJc w:val="left"/>
      <w:pPr>
        <w:ind w:left="720" w:hanging="720"/>
      </w:pPr>
      <w:rPr>
        <w:rFonts w:ascii="Arial Bold" w:hAnsi="Arial Bold" w:hint="default"/>
        <w:b/>
        <w:i w:val="0"/>
        <w:color w:val="95D600"/>
        <w:sz w:val="26"/>
      </w:rPr>
    </w:lvl>
    <w:lvl w:ilvl="2">
      <w:start w:val="1"/>
      <w:numFmt w:val="decimal"/>
      <w:pStyle w:val="Heading3"/>
      <w:suff w:val="space"/>
      <w:lvlText w:val="%1.%2.%3"/>
      <w:lvlJc w:val="left"/>
      <w:pPr>
        <w:ind w:left="720" w:hanging="720"/>
      </w:pPr>
      <w:rPr>
        <w:rFonts w:ascii="Arial Bold" w:hAnsi="Arial Bold" w:hint="default"/>
        <w:b/>
        <w:i w:val="0"/>
        <w:color w:val="545759"/>
        <w:sz w:val="22"/>
      </w:rPr>
    </w:lvl>
    <w:lvl w:ilvl="3">
      <w:start w:val="1"/>
      <w:numFmt w:val="decimal"/>
      <w:pStyle w:val="Heading4"/>
      <w:suff w:val="space"/>
      <w:lvlText w:val="%1.%2.%3.%4"/>
      <w:lvlJc w:val="left"/>
      <w:pPr>
        <w:ind w:left="864" w:hanging="864"/>
      </w:pPr>
      <w:rPr>
        <w:rFonts w:ascii="Arial Bold" w:hAnsi="Arial Bold" w:hint="default"/>
        <w:b/>
        <w:i/>
        <w:color w:val="555759"/>
        <w:kern w:val="0"/>
        <w:position w:val="0"/>
        <w:sz w:val="20"/>
      </w:rPr>
    </w:lvl>
    <w:lvl w:ilvl="4">
      <w:start w:val="1"/>
      <w:numFmt w:val="upperLetter"/>
      <w:pStyle w:val="Heading5"/>
      <w:suff w:val="space"/>
      <w:lvlText w:val="Appendix %5."/>
      <w:lvlJc w:val="left"/>
      <w:pPr>
        <w:ind w:left="1098" w:hanging="1008"/>
      </w:pPr>
      <w:rPr>
        <w:rFonts w:ascii="Arial Bold" w:hAnsi="Arial Bold" w:hint="default"/>
        <w:b/>
        <w:i w:val="0"/>
        <w:caps/>
        <w:color w:val="FFFFFF" w:themeColor="background1"/>
        <w:kern w:val="28"/>
        <w:position w:val="6"/>
        <w:sz w:val="26"/>
        <w:szCs w:val="26"/>
      </w:rPr>
    </w:lvl>
    <w:lvl w:ilvl="5">
      <w:start w:val="1"/>
      <w:numFmt w:val="decimal"/>
      <w:pStyle w:val="Heading6"/>
      <w:suff w:val="space"/>
      <w:lvlText w:val="%5.%6"/>
      <w:lvlJc w:val="left"/>
      <w:pPr>
        <w:ind w:left="720" w:hanging="720"/>
      </w:pPr>
      <w:rPr>
        <w:rFonts w:ascii="Arial Bold" w:hAnsi="Arial Bold" w:hint="default"/>
        <w:b/>
        <w:i w:val="0"/>
        <w:color w:val="95D600" w:themeColor="accent1"/>
        <w:kern w:val="0"/>
        <w:sz w:val="24"/>
      </w:rPr>
    </w:lvl>
    <w:lvl w:ilvl="6">
      <w:start w:val="1"/>
      <w:numFmt w:val="none"/>
      <w:lvlText w:val=""/>
      <w:lvlJc w:val="left"/>
      <w:pPr>
        <w:ind w:left="720" w:hanging="720"/>
      </w:pPr>
      <w:rPr>
        <w:rFonts w:ascii="Palatino Linotype" w:hAnsi="Palatino Linotype" w:hint="default"/>
        <w:b/>
        <w:i/>
        <w:color w:val="auto"/>
        <w:sz w:val="24"/>
      </w:rPr>
    </w:lvl>
    <w:lvl w:ilvl="7">
      <w:start w:val="1"/>
      <w:numFmt w:val="none"/>
      <w:lvlText w:val=""/>
      <w:lvlJc w:val="left"/>
      <w:pPr>
        <w:ind w:left="720" w:hanging="720"/>
      </w:pPr>
      <w:rPr>
        <w:rFonts w:ascii="Arial Narrow" w:hAnsi="Arial Narrow" w:hint="default"/>
        <w:b/>
        <w:i w:val="0"/>
        <w:color w:val="A15500"/>
        <w:sz w:val="20"/>
        <w:u w:color="FFFFFF" w:themeColor="background1"/>
      </w:rPr>
    </w:lvl>
    <w:lvl w:ilvl="8">
      <w:start w:val="1"/>
      <w:numFmt w:val="none"/>
      <w:lvlText w:val=""/>
      <w:lvlJc w:val="left"/>
      <w:pPr>
        <w:ind w:left="1584" w:hanging="1584"/>
      </w:pPr>
      <w:rPr>
        <w:rFonts w:hint="default"/>
      </w:rPr>
    </w:lvl>
  </w:abstractNum>
  <w:abstractNum w:abstractNumId="2">
    <w:nsid w:val="098720FF"/>
    <w:multiLevelType w:val="hybridMultilevel"/>
    <w:tmpl w:val="5678D34E"/>
    <w:lvl w:ilvl="0" w:tplc="21983A38">
      <w:start w:val="1"/>
      <w:numFmt w:val="bullet"/>
      <w:pStyle w:val="Bullets-SingleSpace"/>
      <w:lvlText w:val=""/>
      <w:lvlJc w:val="left"/>
      <w:pPr>
        <w:tabs>
          <w:tab w:val="num" w:pos="1080"/>
        </w:tabs>
        <w:ind w:left="1440" w:hanging="720"/>
      </w:pPr>
      <w:rPr>
        <w:rFonts w:ascii="Symbol" w:hAnsi="Symbol" w:hint="default"/>
      </w:rPr>
    </w:lvl>
    <w:lvl w:ilvl="1" w:tplc="F4BC6224" w:tentative="1">
      <w:start w:val="1"/>
      <w:numFmt w:val="bullet"/>
      <w:lvlText w:val="o"/>
      <w:lvlJc w:val="left"/>
      <w:pPr>
        <w:tabs>
          <w:tab w:val="num" w:pos="2160"/>
        </w:tabs>
        <w:ind w:left="2160" w:hanging="360"/>
      </w:pPr>
      <w:rPr>
        <w:rFonts w:ascii="Courier New" w:hAnsi="Courier New" w:hint="default"/>
      </w:rPr>
    </w:lvl>
    <w:lvl w:ilvl="2" w:tplc="8E80502E" w:tentative="1">
      <w:start w:val="1"/>
      <w:numFmt w:val="bullet"/>
      <w:lvlText w:val=""/>
      <w:lvlJc w:val="left"/>
      <w:pPr>
        <w:tabs>
          <w:tab w:val="num" w:pos="2880"/>
        </w:tabs>
        <w:ind w:left="2880" w:hanging="360"/>
      </w:pPr>
      <w:rPr>
        <w:rFonts w:ascii="Wingdings" w:hAnsi="Wingdings" w:hint="default"/>
      </w:rPr>
    </w:lvl>
    <w:lvl w:ilvl="3" w:tplc="4836C440" w:tentative="1">
      <w:start w:val="1"/>
      <w:numFmt w:val="bullet"/>
      <w:lvlText w:val=""/>
      <w:lvlJc w:val="left"/>
      <w:pPr>
        <w:tabs>
          <w:tab w:val="num" w:pos="3600"/>
        </w:tabs>
        <w:ind w:left="3600" w:hanging="360"/>
      </w:pPr>
      <w:rPr>
        <w:rFonts w:ascii="Symbol" w:hAnsi="Symbol" w:hint="default"/>
      </w:rPr>
    </w:lvl>
    <w:lvl w:ilvl="4" w:tplc="81E84218" w:tentative="1">
      <w:start w:val="1"/>
      <w:numFmt w:val="bullet"/>
      <w:lvlText w:val="o"/>
      <w:lvlJc w:val="left"/>
      <w:pPr>
        <w:tabs>
          <w:tab w:val="num" w:pos="4320"/>
        </w:tabs>
        <w:ind w:left="4320" w:hanging="360"/>
      </w:pPr>
      <w:rPr>
        <w:rFonts w:ascii="Courier New" w:hAnsi="Courier New" w:hint="default"/>
      </w:rPr>
    </w:lvl>
    <w:lvl w:ilvl="5" w:tplc="EC0E8406" w:tentative="1">
      <w:start w:val="1"/>
      <w:numFmt w:val="bullet"/>
      <w:lvlText w:val=""/>
      <w:lvlJc w:val="left"/>
      <w:pPr>
        <w:tabs>
          <w:tab w:val="num" w:pos="5040"/>
        </w:tabs>
        <w:ind w:left="5040" w:hanging="360"/>
      </w:pPr>
      <w:rPr>
        <w:rFonts w:ascii="Wingdings" w:hAnsi="Wingdings" w:hint="default"/>
      </w:rPr>
    </w:lvl>
    <w:lvl w:ilvl="6" w:tplc="55C272DE" w:tentative="1">
      <w:start w:val="1"/>
      <w:numFmt w:val="bullet"/>
      <w:lvlText w:val=""/>
      <w:lvlJc w:val="left"/>
      <w:pPr>
        <w:tabs>
          <w:tab w:val="num" w:pos="5760"/>
        </w:tabs>
        <w:ind w:left="5760" w:hanging="360"/>
      </w:pPr>
      <w:rPr>
        <w:rFonts w:ascii="Symbol" w:hAnsi="Symbol" w:hint="default"/>
      </w:rPr>
    </w:lvl>
    <w:lvl w:ilvl="7" w:tplc="1984388C" w:tentative="1">
      <w:start w:val="1"/>
      <w:numFmt w:val="bullet"/>
      <w:lvlText w:val="o"/>
      <w:lvlJc w:val="left"/>
      <w:pPr>
        <w:tabs>
          <w:tab w:val="num" w:pos="6480"/>
        </w:tabs>
        <w:ind w:left="6480" w:hanging="360"/>
      </w:pPr>
      <w:rPr>
        <w:rFonts w:ascii="Courier New" w:hAnsi="Courier New" w:hint="default"/>
      </w:rPr>
    </w:lvl>
    <w:lvl w:ilvl="8" w:tplc="E0F47026" w:tentative="1">
      <w:start w:val="1"/>
      <w:numFmt w:val="bullet"/>
      <w:lvlText w:val=""/>
      <w:lvlJc w:val="left"/>
      <w:pPr>
        <w:tabs>
          <w:tab w:val="num" w:pos="7200"/>
        </w:tabs>
        <w:ind w:left="7200" w:hanging="360"/>
      </w:pPr>
      <w:rPr>
        <w:rFonts w:ascii="Wingdings" w:hAnsi="Wingdings" w:hint="default"/>
      </w:rPr>
    </w:lvl>
  </w:abstractNum>
  <w:abstractNum w:abstractNumId="3">
    <w:nsid w:val="0C6644E4"/>
    <w:multiLevelType w:val="multilevel"/>
    <w:tmpl w:val="D8304EC2"/>
    <w:styleLink w:val="StyleBulleted9"/>
    <w:lvl w:ilvl="0">
      <w:start w:val="1"/>
      <w:numFmt w:val="bullet"/>
      <w:lvlText w:val="»"/>
      <w:lvlJc w:val="left"/>
      <w:pPr>
        <w:tabs>
          <w:tab w:val="num" w:pos="720"/>
        </w:tabs>
        <w:ind w:left="720" w:hanging="360"/>
      </w:pPr>
      <w:rPr>
        <w:rFonts w:ascii="Palatino Linotype" w:hAnsi="Palatino Linotype"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0D262BC8"/>
    <w:multiLevelType w:val="multilevel"/>
    <w:tmpl w:val="51FECC92"/>
    <w:styleLink w:val="StyleNumberedLeft025Hanging025"/>
    <w:lvl w:ilvl="0">
      <w:start w:val="1"/>
      <w:numFmt w:val="decimal"/>
      <w:lvlText w:val="%1."/>
      <w:lvlJc w:val="left"/>
      <w:pPr>
        <w:tabs>
          <w:tab w:val="num" w:pos="936"/>
        </w:tabs>
        <w:ind w:left="936" w:hanging="360"/>
      </w:pPr>
      <w:rPr>
        <w:rFonts w:ascii="Palatino Linotype" w:hAnsi="Palatino Linotype"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nsid w:val="0D6F04E1"/>
    <w:multiLevelType w:val="hybridMultilevel"/>
    <w:tmpl w:val="91ACD960"/>
    <w:lvl w:ilvl="0" w:tplc="718EBBA0">
      <w:start w:val="1"/>
      <w:numFmt w:val="bullet"/>
      <w:pStyle w:val="Bullets"/>
      <w:lvlText w:val=""/>
      <w:lvlJc w:val="left"/>
      <w:pPr>
        <w:tabs>
          <w:tab w:val="num" w:pos="0"/>
        </w:tabs>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1E4A4455"/>
    <w:multiLevelType w:val="hybridMultilevel"/>
    <w:tmpl w:val="780252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5A42A0"/>
    <w:multiLevelType w:val="hybridMultilevel"/>
    <w:tmpl w:val="F6688E40"/>
    <w:lvl w:ilvl="0" w:tplc="BF0843F6">
      <w:start w:val="1"/>
      <w:numFmt w:val="bullet"/>
      <w:pStyle w:val="Resum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D63E1C"/>
    <w:multiLevelType w:val="multilevel"/>
    <w:tmpl w:val="42E6EFA2"/>
    <w:styleLink w:val="StyleBulleted"/>
    <w:lvl w:ilvl="0">
      <w:start w:val="1"/>
      <w:numFmt w:val="bullet"/>
      <w:lvlText w:val="»"/>
      <w:lvlJc w:val="left"/>
      <w:pPr>
        <w:tabs>
          <w:tab w:val="num" w:pos="972"/>
        </w:tabs>
        <w:ind w:left="972" w:hanging="432"/>
      </w:pPr>
      <w:rPr>
        <w:rFonts w:ascii="Palatino Linotype" w:hAnsi="Palatino Linotype"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3A3668F3"/>
    <w:multiLevelType w:val="hybridMultilevel"/>
    <w:tmpl w:val="EB0E2202"/>
    <w:lvl w:ilvl="0" w:tplc="58FAFA6A">
      <w:start w:val="1"/>
      <w:numFmt w:val="decimal"/>
      <w:pStyle w:val="ESHeading3"/>
      <w:lvlText w:val="E.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AC96003"/>
    <w:multiLevelType w:val="multilevel"/>
    <w:tmpl w:val="FA2899C8"/>
    <w:styleLink w:val="StyleBulleted6"/>
    <w:lvl w:ilvl="0">
      <w:start w:val="1"/>
      <w:numFmt w:val="bullet"/>
      <w:lvlText w:val="»"/>
      <w:lvlJc w:val="left"/>
      <w:pPr>
        <w:tabs>
          <w:tab w:val="num" w:pos="720"/>
        </w:tabs>
        <w:ind w:left="720" w:hanging="360"/>
      </w:pPr>
      <w:rPr>
        <w:rFonts w:ascii="Palatino Linotype" w:hAnsi="Palatino Linotype"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3CEA2E11"/>
    <w:multiLevelType w:val="multilevel"/>
    <w:tmpl w:val="55669770"/>
    <w:styleLink w:val="StyleBulletedLeft0Hanging03"/>
    <w:lvl w:ilvl="0">
      <w:start w:val="1"/>
      <w:numFmt w:val="bullet"/>
      <w:lvlText w:val="»"/>
      <w:lvlJc w:val="left"/>
      <w:pPr>
        <w:tabs>
          <w:tab w:val="num" w:pos="864"/>
        </w:tabs>
        <w:ind w:left="720" w:hanging="288"/>
      </w:pPr>
      <w:rPr>
        <w:rFonts w:ascii="Palatino Linotype" w:hAnsi="Palatino Linotype"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46C00671"/>
    <w:multiLevelType w:val="hybridMultilevel"/>
    <w:tmpl w:val="4DD2D904"/>
    <w:lvl w:ilvl="0" w:tplc="F0743BF0">
      <w:start w:val="1"/>
      <w:numFmt w:val="bullet"/>
      <w:pStyle w:val="Sidebar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78A34F3F"/>
    <w:multiLevelType w:val="hybridMultilevel"/>
    <w:tmpl w:val="13C488C4"/>
    <w:lvl w:ilvl="0" w:tplc="57106754">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4"/>
  </w:num>
  <w:num w:numId="4">
    <w:abstractNumId w:val="11"/>
  </w:num>
  <w:num w:numId="5">
    <w:abstractNumId w:val="8"/>
  </w:num>
  <w:num w:numId="6">
    <w:abstractNumId w:val="1"/>
  </w:num>
  <w:num w:numId="7">
    <w:abstractNumId w:val="13"/>
  </w:num>
  <w:num w:numId="8">
    <w:abstractNumId w:val="12"/>
  </w:num>
  <w:num w:numId="9">
    <w:abstractNumId w:val="7"/>
  </w:num>
  <w:num w:numId="10">
    <w:abstractNumId w:val="5"/>
  </w:num>
  <w:num w:numId="11">
    <w:abstractNumId w:val="9"/>
  </w:num>
  <w:num w:numId="12">
    <w:abstractNumId w:val="2"/>
  </w:num>
  <w:num w:numId="13">
    <w:abstractNumId w:val="0"/>
  </w:num>
  <w:num w:numId="14">
    <w:abstractNumId w:val="6"/>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ly Olig">
    <w15:presenceInfo w15:providerId="AD" w15:userId="S-1-5-21-861567501-2052111302-725345543-1577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AB6"/>
    <w:rsid w:val="00007C30"/>
    <w:rsid w:val="000157F9"/>
    <w:rsid w:val="000222C1"/>
    <w:rsid w:val="0002316D"/>
    <w:rsid w:val="00023D0C"/>
    <w:rsid w:val="000245F7"/>
    <w:rsid w:val="000253AB"/>
    <w:rsid w:val="00025546"/>
    <w:rsid w:val="00026BD9"/>
    <w:rsid w:val="00032256"/>
    <w:rsid w:val="00032A54"/>
    <w:rsid w:val="00035126"/>
    <w:rsid w:val="00041DBE"/>
    <w:rsid w:val="000427D4"/>
    <w:rsid w:val="0004343E"/>
    <w:rsid w:val="000457BB"/>
    <w:rsid w:val="00047D33"/>
    <w:rsid w:val="00050476"/>
    <w:rsid w:val="00052075"/>
    <w:rsid w:val="00053D94"/>
    <w:rsid w:val="00063548"/>
    <w:rsid w:val="00064B2F"/>
    <w:rsid w:val="00073D61"/>
    <w:rsid w:val="00083B73"/>
    <w:rsid w:val="000972A9"/>
    <w:rsid w:val="000A03B3"/>
    <w:rsid w:val="000A3784"/>
    <w:rsid w:val="000A38CE"/>
    <w:rsid w:val="000B26EA"/>
    <w:rsid w:val="000B2D1E"/>
    <w:rsid w:val="000C20F4"/>
    <w:rsid w:val="000C2CB0"/>
    <w:rsid w:val="000C4628"/>
    <w:rsid w:val="000C63EC"/>
    <w:rsid w:val="000C6D87"/>
    <w:rsid w:val="000D3D04"/>
    <w:rsid w:val="000D54AD"/>
    <w:rsid w:val="000E5A68"/>
    <w:rsid w:val="000F05A3"/>
    <w:rsid w:val="000F20A3"/>
    <w:rsid w:val="000F2625"/>
    <w:rsid w:val="000F473E"/>
    <w:rsid w:val="00102D8C"/>
    <w:rsid w:val="00113E9C"/>
    <w:rsid w:val="001167D5"/>
    <w:rsid w:val="00123751"/>
    <w:rsid w:val="00127E6A"/>
    <w:rsid w:val="00130123"/>
    <w:rsid w:val="00136C06"/>
    <w:rsid w:val="00140F43"/>
    <w:rsid w:val="001412F5"/>
    <w:rsid w:val="00154839"/>
    <w:rsid w:val="00157277"/>
    <w:rsid w:val="00173661"/>
    <w:rsid w:val="001806B8"/>
    <w:rsid w:val="0018310B"/>
    <w:rsid w:val="0018435A"/>
    <w:rsid w:val="001938A9"/>
    <w:rsid w:val="00195E34"/>
    <w:rsid w:val="001B1A06"/>
    <w:rsid w:val="001C0F93"/>
    <w:rsid w:val="001C4B46"/>
    <w:rsid w:val="001C5559"/>
    <w:rsid w:val="001C5BA2"/>
    <w:rsid w:val="001D3D85"/>
    <w:rsid w:val="001E56FD"/>
    <w:rsid w:val="001E6048"/>
    <w:rsid w:val="001F086B"/>
    <w:rsid w:val="001F4D0B"/>
    <w:rsid w:val="0020410C"/>
    <w:rsid w:val="00204BA0"/>
    <w:rsid w:val="00210591"/>
    <w:rsid w:val="0021166E"/>
    <w:rsid w:val="002207CD"/>
    <w:rsid w:val="00220E33"/>
    <w:rsid w:val="002232B6"/>
    <w:rsid w:val="00230217"/>
    <w:rsid w:val="0023376C"/>
    <w:rsid w:val="00234E8D"/>
    <w:rsid w:val="00254446"/>
    <w:rsid w:val="00257B78"/>
    <w:rsid w:val="002744EA"/>
    <w:rsid w:val="00285D33"/>
    <w:rsid w:val="0029250B"/>
    <w:rsid w:val="0029544E"/>
    <w:rsid w:val="002A2726"/>
    <w:rsid w:val="002A448C"/>
    <w:rsid w:val="002B359E"/>
    <w:rsid w:val="002B3A85"/>
    <w:rsid w:val="002D472C"/>
    <w:rsid w:val="002D632D"/>
    <w:rsid w:val="002D7723"/>
    <w:rsid w:val="002E4C9C"/>
    <w:rsid w:val="002F2124"/>
    <w:rsid w:val="002F68B4"/>
    <w:rsid w:val="002F7BF5"/>
    <w:rsid w:val="0030192D"/>
    <w:rsid w:val="003058AA"/>
    <w:rsid w:val="003209E3"/>
    <w:rsid w:val="00321B8F"/>
    <w:rsid w:val="00326CDB"/>
    <w:rsid w:val="00361187"/>
    <w:rsid w:val="00361E01"/>
    <w:rsid w:val="003629AA"/>
    <w:rsid w:val="003657CE"/>
    <w:rsid w:val="00377A47"/>
    <w:rsid w:val="00380FB9"/>
    <w:rsid w:val="0038786A"/>
    <w:rsid w:val="00390E19"/>
    <w:rsid w:val="00394E01"/>
    <w:rsid w:val="003971DF"/>
    <w:rsid w:val="003A5764"/>
    <w:rsid w:val="003B38C3"/>
    <w:rsid w:val="003B469E"/>
    <w:rsid w:val="003B7884"/>
    <w:rsid w:val="003C2962"/>
    <w:rsid w:val="003C61B8"/>
    <w:rsid w:val="003E0DD3"/>
    <w:rsid w:val="003E2C35"/>
    <w:rsid w:val="00403A63"/>
    <w:rsid w:val="004045C5"/>
    <w:rsid w:val="00405185"/>
    <w:rsid w:val="00407C3B"/>
    <w:rsid w:val="004166CF"/>
    <w:rsid w:val="00416D1E"/>
    <w:rsid w:val="004175F4"/>
    <w:rsid w:val="00420F9B"/>
    <w:rsid w:val="00421870"/>
    <w:rsid w:val="0042309A"/>
    <w:rsid w:val="00436A8E"/>
    <w:rsid w:val="00436E14"/>
    <w:rsid w:val="004465B4"/>
    <w:rsid w:val="004468B2"/>
    <w:rsid w:val="00453AF6"/>
    <w:rsid w:val="00454CCE"/>
    <w:rsid w:val="00455601"/>
    <w:rsid w:val="00463BCD"/>
    <w:rsid w:val="00470E6D"/>
    <w:rsid w:val="004721FB"/>
    <w:rsid w:val="00474639"/>
    <w:rsid w:val="00476BCF"/>
    <w:rsid w:val="00495117"/>
    <w:rsid w:val="00496080"/>
    <w:rsid w:val="00497533"/>
    <w:rsid w:val="004A701E"/>
    <w:rsid w:val="004A7D97"/>
    <w:rsid w:val="004B393C"/>
    <w:rsid w:val="004B4F5F"/>
    <w:rsid w:val="004B7A58"/>
    <w:rsid w:val="004B7C53"/>
    <w:rsid w:val="004C1C32"/>
    <w:rsid w:val="004C38FE"/>
    <w:rsid w:val="004E7A99"/>
    <w:rsid w:val="004F4D54"/>
    <w:rsid w:val="00500293"/>
    <w:rsid w:val="00502CCD"/>
    <w:rsid w:val="00505E45"/>
    <w:rsid w:val="00506E34"/>
    <w:rsid w:val="00514D1B"/>
    <w:rsid w:val="00516276"/>
    <w:rsid w:val="0051710C"/>
    <w:rsid w:val="005226DB"/>
    <w:rsid w:val="00522F1F"/>
    <w:rsid w:val="00544D36"/>
    <w:rsid w:val="005510D2"/>
    <w:rsid w:val="005517FF"/>
    <w:rsid w:val="005550AF"/>
    <w:rsid w:val="00557403"/>
    <w:rsid w:val="00560D84"/>
    <w:rsid w:val="00566A09"/>
    <w:rsid w:val="00573807"/>
    <w:rsid w:val="00590619"/>
    <w:rsid w:val="00590834"/>
    <w:rsid w:val="00593CAA"/>
    <w:rsid w:val="005B1235"/>
    <w:rsid w:val="005B24F9"/>
    <w:rsid w:val="005B3CE0"/>
    <w:rsid w:val="005C23B8"/>
    <w:rsid w:val="005C3FFB"/>
    <w:rsid w:val="005E53D6"/>
    <w:rsid w:val="005F1566"/>
    <w:rsid w:val="005F1838"/>
    <w:rsid w:val="005F2DB7"/>
    <w:rsid w:val="005F6E25"/>
    <w:rsid w:val="0060376B"/>
    <w:rsid w:val="0060627A"/>
    <w:rsid w:val="006207AE"/>
    <w:rsid w:val="0062130C"/>
    <w:rsid w:val="006412E3"/>
    <w:rsid w:val="00651A28"/>
    <w:rsid w:val="00657AAA"/>
    <w:rsid w:val="006674ED"/>
    <w:rsid w:val="00673B07"/>
    <w:rsid w:val="00681B72"/>
    <w:rsid w:val="0068335F"/>
    <w:rsid w:val="006934A5"/>
    <w:rsid w:val="006940CA"/>
    <w:rsid w:val="006A1B94"/>
    <w:rsid w:val="006A2B73"/>
    <w:rsid w:val="006B1BCC"/>
    <w:rsid w:val="006B78A9"/>
    <w:rsid w:val="006C42E5"/>
    <w:rsid w:val="006D7C30"/>
    <w:rsid w:val="006E11D3"/>
    <w:rsid w:val="006E364F"/>
    <w:rsid w:val="006E4E9D"/>
    <w:rsid w:val="006F18F6"/>
    <w:rsid w:val="00701A04"/>
    <w:rsid w:val="00702CC6"/>
    <w:rsid w:val="00713FBC"/>
    <w:rsid w:val="0071475E"/>
    <w:rsid w:val="00717B0E"/>
    <w:rsid w:val="00735EAB"/>
    <w:rsid w:val="00745ED3"/>
    <w:rsid w:val="00751BAE"/>
    <w:rsid w:val="0075437A"/>
    <w:rsid w:val="00757749"/>
    <w:rsid w:val="00760320"/>
    <w:rsid w:val="00760600"/>
    <w:rsid w:val="00771268"/>
    <w:rsid w:val="0077471E"/>
    <w:rsid w:val="00796EFF"/>
    <w:rsid w:val="0079794C"/>
    <w:rsid w:val="00797F9D"/>
    <w:rsid w:val="007B114B"/>
    <w:rsid w:val="007B2FBD"/>
    <w:rsid w:val="007B3144"/>
    <w:rsid w:val="007B43D1"/>
    <w:rsid w:val="007D3CF7"/>
    <w:rsid w:val="007E17E0"/>
    <w:rsid w:val="008005E0"/>
    <w:rsid w:val="008024E9"/>
    <w:rsid w:val="008137BD"/>
    <w:rsid w:val="00814D99"/>
    <w:rsid w:val="00821A55"/>
    <w:rsid w:val="00826349"/>
    <w:rsid w:val="00827655"/>
    <w:rsid w:val="00831766"/>
    <w:rsid w:val="00832913"/>
    <w:rsid w:val="00840211"/>
    <w:rsid w:val="00847E9D"/>
    <w:rsid w:val="00851D29"/>
    <w:rsid w:val="008525B0"/>
    <w:rsid w:val="0085321D"/>
    <w:rsid w:val="00855152"/>
    <w:rsid w:val="00870CD0"/>
    <w:rsid w:val="00873D07"/>
    <w:rsid w:val="00875317"/>
    <w:rsid w:val="00875D37"/>
    <w:rsid w:val="0089079C"/>
    <w:rsid w:val="00895452"/>
    <w:rsid w:val="008972FF"/>
    <w:rsid w:val="008A2A3E"/>
    <w:rsid w:val="008A5AF8"/>
    <w:rsid w:val="008A620A"/>
    <w:rsid w:val="008B0830"/>
    <w:rsid w:val="008C09DD"/>
    <w:rsid w:val="008D0E9A"/>
    <w:rsid w:val="008D1910"/>
    <w:rsid w:val="008D4ACD"/>
    <w:rsid w:val="008D51CF"/>
    <w:rsid w:val="008D6F3F"/>
    <w:rsid w:val="008E1317"/>
    <w:rsid w:val="008E13F6"/>
    <w:rsid w:val="008E4E53"/>
    <w:rsid w:val="008E5671"/>
    <w:rsid w:val="008E6853"/>
    <w:rsid w:val="008F2323"/>
    <w:rsid w:val="008F469F"/>
    <w:rsid w:val="009006A9"/>
    <w:rsid w:val="00902AC7"/>
    <w:rsid w:val="009176EA"/>
    <w:rsid w:val="009341F2"/>
    <w:rsid w:val="009342B3"/>
    <w:rsid w:val="00936439"/>
    <w:rsid w:val="0095087E"/>
    <w:rsid w:val="00957563"/>
    <w:rsid w:val="009641BB"/>
    <w:rsid w:val="00964EDB"/>
    <w:rsid w:val="00971B7A"/>
    <w:rsid w:val="0098053B"/>
    <w:rsid w:val="00992EFC"/>
    <w:rsid w:val="00993090"/>
    <w:rsid w:val="00996132"/>
    <w:rsid w:val="009B70E8"/>
    <w:rsid w:val="009C6BE2"/>
    <w:rsid w:val="009D3D95"/>
    <w:rsid w:val="009E2A5F"/>
    <w:rsid w:val="009E2DAB"/>
    <w:rsid w:val="009F0AB8"/>
    <w:rsid w:val="00A11C20"/>
    <w:rsid w:val="00A1320F"/>
    <w:rsid w:val="00A217B9"/>
    <w:rsid w:val="00A230E1"/>
    <w:rsid w:val="00A31D1C"/>
    <w:rsid w:val="00A3298A"/>
    <w:rsid w:val="00A33EA1"/>
    <w:rsid w:val="00A4109F"/>
    <w:rsid w:val="00A419BF"/>
    <w:rsid w:val="00A4416D"/>
    <w:rsid w:val="00A4512D"/>
    <w:rsid w:val="00A4787E"/>
    <w:rsid w:val="00A5340A"/>
    <w:rsid w:val="00A60DC7"/>
    <w:rsid w:val="00A65F2B"/>
    <w:rsid w:val="00A9061E"/>
    <w:rsid w:val="00A95D9D"/>
    <w:rsid w:val="00A962F9"/>
    <w:rsid w:val="00A979F6"/>
    <w:rsid w:val="00AA5889"/>
    <w:rsid w:val="00AA65C0"/>
    <w:rsid w:val="00AB1929"/>
    <w:rsid w:val="00AB1A95"/>
    <w:rsid w:val="00AC4319"/>
    <w:rsid w:val="00AE1B50"/>
    <w:rsid w:val="00AE23ED"/>
    <w:rsid w:val="00AE6273"/>
    <w:rsid w:val="00AF6C48"/>
    <w:rsid w:val="00B02586"/>
    <w:rsid w:val="00B046AA"/>
    <w:rsid w:val="00B15FA4"/>
    <w:rsid w:val="00B2019B"/>
    <w:rsid w:val="00B257C3"/>
    <w:rsid w:val="00B26E66"/>
    <w:rsid w:val="00B328AE"/>
    <w:rsid w:val="00B36A1B"/>
    <w:rsid w:val="00B40C4A"/>
    <w:rsid w:val="00B41CDD"/>
    <w:rsid w:val="00B52087"/>
    <w:rsid w:val="00B533D4"/>
    <w:rsid w:val="00B557A9"/>
    <w:rsid w:val="00B55EC6"/>
    <w:rsid w:val="00B60C56"/>
    <w:rsid w:val="00B6315F"/>
    <w:rsid w:val="00B67238"/>
    <w:rsid w:val="00B9017B"/>
    <w:rsid w:val="00B907CF"/>
    <w:rsid w:val="00B920BC"/>
    <w:rsid w:val="00B9308B"/>
    <w:rsid w:val="00B97393"/>
    <w:rsid w:val="00BB08B9"/>
    <w:rsid w:val="00BD0AC7"/>
    <w:rsid w:val="00BD467E"/>
    <w:rsid w:val="00BE1F8E"/>
    <w:rsid w:val="00BF1F15"/>
    <w:rsid w:val="00BF3438"/>
    <w:rsid w:val="00BF39F0"/>
    <w:rsid w:val="00BF4181"/>
    <w:rsid w:val="00BF539F"/>
    <w:rsid w:val="00C05E15"/>
    <w:rsid w:val="00C10BD5"/>
    <w:rsid w:val="00C11A56"/>
    <w:rsid w:val="00C139B9"/>
    <w:rsid w:val="00C22F0D"/>
    <w:rsid w:val="00C3004E"/>
    <w:rsid w:val="00C30E80"/>
    <w:rsid w:val="00C36AB6"/>
    <w:rsid w:val="00C40404"/>
    <w:rsid w:val="00C45926"/>
    <w:rsid w:val="00C45A5B"/>
    <w:rsid w:val="00C6321F"/>
    <w:rsid w:val="00C7107B"/>
    <w:rsid w:val="00C73E9C"/>
    <w:rsid w:val="00C818D2"/>
    <w:rsid w:val="00C94162"/>
    <w:rsid w:val="00C95325"/>
    <w:rsid w:val="00CA2F4C"/>
    <w:rsid w:val="00CA5C57"/>
    <w:rsid w:val="00CA75B7"/>
    <w:rsid w:val="00CC1524"/>
    <w:rsid w:val="00CC2350"/>
    <w:rsid w:val="00CD12E8"/>
    <w:rsid w:val="00CD1CDC"/>
    <w:rsid w:val="00CE5236"/>
    <w:rsid w:val="00CE61C0"/>
    <w:rsid w:val="00CF354D"/>
    <w:rsid w:val="00D05231"/>
    <w:rsid w:val="00D20239"/>
    <w:rsid w:val="00D26781"/>
    <w:rsid w:val="00D30C69"/>
    <w:rsid w:val="00D310A4"/>
    <w:rsid w:val="00D33EE2"/>
    <w:rsid w:val="00D347D9"/>
    <w:rsid w:val="00D37846"/>
    <w:rsid w:val="00D435DA"/>
    <w:rsid w:val="00D47CDD"/>
    <w:rsid w:val="00D60388"/>
    <w:rsid w:val="00D67197"/>
    <w:rsid w:val="00D80D8E"/>
    <w:rsid w:val="00D82890"/>
    <w:rsid w:val="00D921C6"/>
    <w:rsid w:val="00D963BA"/>
    <w:rsid w:val="00D975DF"/>
    <w:rsid w:val="00DB788B"/>
    <w:rsid w:val="00DC423C"/>
    <w:rsid w:val="00DC45E4"/>
    <w:rsid w:val="00DC683F"/>
    <w:rsid w:val="00DD1252"/>
    <w:rsid w:val="00DE30F1"/>
    <w:rsid w:val="00DE6CC2"/>
    <w:rsid w:val="00DF667F"/>
    <w:rsid w:val="00DF7FA6"/>
    <w:rsid w:val="00E01468"/>
    <w:rsid w:val="00E2633A"/>
    <w:rsid w:val="00E31CB4"/>
    <w:rsid w:val="00E33A68"/>
    <w:rsid w:val="00E3636E"/>
    <w:rsid w:val="00E372AF"/>
    <w:rsid w:val="00E40AED"/>
    <w:rsid w:val="00E51E80"/>
    <w:rsid w:val="00E61079"/>
    <w:rsid w:val="00E636D2"/>
    <w:rsid w:val="00E664E9"/>
    <w:rsid w:val="00E71135"/>
    <w:rsid w:val="00E77FF9"/>
    <w:rsid w:val="00E86831"/>
    <w:rsid w:val="00EB199C"/>
    <w:rsid w:val="00EB38FA"/>
    <w:rsid w:val="00EB4B3F"/>
    <w:rsid w:val="00EB4B79"/>
    <w:rsid w:val="00EC02FE"/>
    <w:rsid w:val="00EC08A2"/>
    <w:rsid w:val="00EC7496"/>
    <w:rsid w:val="00ED4AED"/>
    <w:rsid w:val="00ED4DC4"/>
    <w:rsid w:val="00ED6045"/>
    <w:rsid w:val="00ED7942"/>
    <w:rsid w:val="00EE0FDE"/>
    <w:rsid w:val="00EE37D7"/>
    <w:rsid w:val="00EE7950"/>
    <w:rsid w:val="00EF2378"/>
    <w:rsid w:val="00EF52B8"/>
    <w:rsid w:val="00F04CC9"/>
    <w:rsid w:val="00F07846"/>
    <w:rsid w:val="00F10FAE"/>
    <w:rsid w:val="00F24C76"/>
    <w:rsid w:val="00F26244"/>
    <w:rsid w:val="00F27FDA"/>
    <w:rsid w:val="00F313F1"/>
    <w:rsid w:val="00F32F10"/>
    <w:rsid w:val="00F35752"/>
    <w:rsid w:val="00F449E9"/>
    <w:rsid w:val="00F44A16"/>
    <w:rsid w:val="00F7298D"/>
    <w:rsid w:val="00F85AC0"/>
    <w:rsid w:val="00F85D30"/>
    <w:rsid w:val="00F8704E"/>
    <w:rsid w:val="00F90B35"/>
    <w:rsid w:val="00FA2CD6"/>
    <w:rsid w:val="00FA6862"/>
    <w:rsid w:val="00FB699E"/>
    <w:rsid w:val="00FB6A52"/>
    <w:rsid w:val="00FC1F86"/>
    <w:rsid w:val="00FC3C35"/>
    <w:rsid w:val="00FD03D7"/>
    <w:rsid w:val="00FD3DC2"/>
    <w:rsid w:val="00FD7390"/>
    <w:rsid w:val="00FE7705"/>
    <w:rsid w:val="00FF0150"/>
    <w:rsid w:val="00FF29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1914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note text" w:uiPriority="99"/>
    <w:lsdException w:name="footer" w:uiPriority="99"/>
    <w:lsdException w:name="caption" w:qFormat="1"/>
    <w:lsdException w:name="table of figures" w:uiPriority="99"/>
    <w:lsdException w:name="footnote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qFormat="1"/>
  </w:latentStyles>
  <w:style w:type="paragraph" w:default="1" w:styleId="Normal">
    <w:name w:val="Normal"/>
    <w:qFormat/>
    <w:rsid w:val="00502CCD"/>
    <w:pPr>
      <w:spacing w:line="240" w:lineRule="atLeast"/>
    </w:pPr>
    <w:rPr>
      <w:rFonts w:ascii="Arial" w:hAnsi="Arial"/>
      <w:szCs w:val="24"/>
    </w:rPr>
  </w:style>
  <w:style w:type="paragraph" w:styleId="Heading1">
    <w:name w:val="heading 1"/>
    <w:basedOn w:val="Normal"/>
    <w:next w:val="Normal"/>
    <w:link w:val="Heading1Char"/>
    <w:qFormat/>
    <w:rsid w:val="001C5559"/>
    <w:pPr>
      <w:keepNext/>
      <w:keepLines/>
      <w:pageBreakBefore/>
      <w:numPr>
        <w:numId w:val="6"/>
      </w:numPr>
      <w:pBdr>
        <w:top w:val="single" w:sz="12" w:space="1" w:color="555759" w:themeColor="accent2"/>
        <w:left w:val="single" w:sz="12" w:space="4" w:color="555759" w:themeColor="accent2"/>
        <w:bottom w:val="single" w:sz="12" w:space="1" w:color="555759" w:themeColor="accent2"/>
        <w:right w:val="single" w:sz="12" w:space="4" w:color="555759" w:themeColor="accent2"/>
      </w:pBdr>
      <w:shd w:val="clear" w:color="auto" w:fill="555759" w:themeFill="accent2"/>
      <w:spacing w:before="360" w:after="360" w:line="240" w:lineRule="auto"/>
      <w:outlineLvl w:val="0"/>
    </w:pPr>
    <w:rPr>
      <w:rFonts w:ascii="Arial Bold" w:hAnsi="Arial Bold" w:cs="Arial"/>
      <w:b/>
      <w:bCs/>
      <w:caps/>
      <w:color w:val="FFFFFF" w:themeColor="background1"/>
      <w:kern w:val="28"/>
      <w:position w:val="6"/>
      <w:sz w:val="26"/>
      <w:szCs w:val="26"/>
    </w:rPr>
  </w:style>
  <w:style w:type="paragraph" w:styleId="Heading2">
    <w:name w:val="heading 2"/>
    <w:basedOn w:val="Normal"/>
    <w:next w:val="Normal"/>
    <w:link w:val="Heading2Char"/>
    <w:qFormat/>
    <w:rsid w:val="00F04CC9"/>
    <w:pPr>
      <w:keepNext/>
      <w:numPr>
        <w:ilvl w:val="1"/>
        <w:numId w:val="6"/>
      </w:numPr>
      <w:spacing w:before="240" w:after="120"/>
      <w:outlineLvl w:val="1"/>
    </w:pPr>
    <w:rPr>
      <w:rFonts w:ascii="Arial Bold" w:hAnsi="Arial Bold" w:cs="Arial"/>
      <w:b/>
      <w:bCs/>
      <w:iCs/>
      <w:caps/>
      <w:color w:val="95D600"/>
      <w:sz w:val="26"/>
      <w:szCs w:val="28"/>
    </w:rPr>
  </w:style>
  <w:style w:type="paragraph" w:styleId="Heading3">
    <w:name w:val="heading 3"/>
    <w:basedOn w:val="Normal"/>
    <w:next w:val="Normal"/>
    <w:link w:val="Heading3Char"/>
    <w:qFormat/>
    <w:rsid w:val="008D0E9A"/>
    <w:pPr>
      <w:keepNext/>
      <w:numPr>
        <w:ilvl w:val="2"/>
        <w:numId w:val="6"/>
      </w:numPr>
      <w:spacing w:before="240" w:after="120"/>
      <w:outlineLvl w:val="2"/>
    </w:pPr>
    <w:rPr>
      <w:rFonts w:cs="Arial"/>
      <w:b/>
      <w:bCs/>
      <w:color w:val="555759" w:themeColor="accent2"/>
      <w:sz w:val="24"/>
      <w:szCs w:val="26"/>
    </w:rPr>
  </w:style>
  <w:style w:type="paragraph" w:styleId="Heading4">
    <w:name w:val="heading 4"/>
    <w:basedOn w:val="Normal"/>
    <w:next w:val="Normal"/>
    <w:link w:val="Heading4Char"/>
    <w:unhideWhenUsed/>
    <w:qFormat/>
    <w:rsid w:val="008D0E9A"/>
    <w:pPr>
      <w:keepNext/>
      <w:keepLines/>
      <w:numPr>
        <w:ilvl w:val="3"/>
        <w:numId w:val="6"/>
      </w:numPr>
      <w:spacing w:before="240" w:after="120"/>
      <w:outlineLvl w:val="3"/>
    </w:pPr>
    <w:rPr>
      <w:rFonts w:eastAsiaTheme="majorEastAsia" w:cstheme="majorBidi"/>
      <w:b/>
      <w:bCs/>
      <w:i/>
      <w:iCs/>
      <w:color w:val="555759"/>
      <w:kern w:val="28"/>
      <w:sz w:val="22"/>
      <w:szCs w:val="20"/>
    </w:rPr>
  </w:style>
  <w:style w:type="paragraph" w:styleId="Heading5">
    <w:name w:val="heading 5"/>
    <w:aliases w:val="Append Level 1"/>
    <w:basedOn w:val="Normal"/>
    <w:next w:val="Normal"/>
    <w:link w:val="Heading5Char"/>
    <w:unhideWhenUsed/>
    <w:qFormat/>
    <w:rsid w:val="001C5559"/>
    <w:pPr>
      <w:keepNext/>
      <w:keepLines/>
      <w:pageBreakBefore/>
      <w:numPr>
        <w:ilvl w:val="4"/>
        <w:numId w:val="6"/>
      </w:numPr>
      <w:pBdr>
        <w:top w:val="single" w:sz="12" w:space="1" w:color="555759" w:themeColor="accent2"/>
        <w:left w:val="single" w:sz="12" w:space="4" w:color="555759" w:themeColor="accent2"/>
        <w:bottom w:val="single" w:sz="12" w:space="1" w:color="555759" w:themeColor="accent2"/>
        <w:right w:val="single" w:sz="12" w:space="4" w:color="555759" w:themeColor="accent2"/>
      </w:pBdr>
      <w:shd w:val="clear" w:color="auto" w:fill="555759" w:themeFill="accent2"/>
      <w:spacing w:before="360" w:after="360" w:line="240" w:lineRule="auto"/>
      <w:outlineLvl w:val="4"/>
    </w:pPr>
    <w:rPr>
      <w:rFonts w:ascii="Arial Bold" w:eastAsiaTheme="majorEastAsia" w:hAnsi="Arial Bold" w:cstheme="majorBidi"/>
      <w:b/>
      <w:caps/>
      <w:color w:val="FFFFFF" w:themeColor="background1"/>
      <w:kern w:val="28"/>
      <w:position w:val="6"/>
      <w:sz w:val="26"/>
      <w:szCs w:val="26"/>
    </w:rPr>
  </w:style>
  <w:style w:type="paragraph" w:styleId="Heading6">
    <w:name w:val="heading 6"/>
    <w:aliases w:val="Append Level 2"/>
    <w:next w:val="Normal"/>
    <w:link w:val="Heading6Char"/>
    <w:unhideWhenUsed/>
    <w:qFormat/>
    <w:rsid w:val="00496080"/>
    <w:pPr>
      <w:keepNext/>
      <w:keepLines/>
      <w:numPr>
        <w:ilvl w:val="5"/>
        <w:numId w:val="6"/>
      </w:numPr>
      <w:spacing w:before="240" w:after="240"/>
      <w:outlineLvl w:val="5"/>
    </w:pPr>
    <w:rPr>
      <w:rFonts w:ascii="Arial Bold" w:eastAsiaTheme="majorEastAsia" w:hAnsi="Arial Bold" w:cstheme="majorBidi"/>
      <w:b/>
      <w:iCs/>
      <w:caps/>
      <w:color w:val="95D600" w:themeColor="accent1"/>
      <w:kern w:val="28"/>
      <w:position w:val="6"/>
      <w:sz w:val="24"/>
      <w:szCs w:val="24"/>
    </w:rPr>
  </w:style>
  <w:style w:type="paragraph" w:styleId="Heading7">
    <w:name w:val="heading 7"/>
    <w:aliases w:val="Exec Sum Level 1"/>
    <w:basedOn w:val="ExecSummaryHead1"/>
    <w:next w:val="Normal"/>
    <w:link w:val="Heading7Char"/>
    <w:unhideWhenUsed/>
    <w:qFormat/>
    <w:rsid w:val="001C5559"/>
    <w:pPr>
      <w:outlineLvl w:val="6"/>
    </w:pPr>
    <w:rPr>
      <w:sz w:val="26"/>
      <w:szCs w:val="26"/>
    </w:rPr>
  </w:style>
  <w:style w:type="paragraph" w:styleId="Heading8">
    <w:name w:val="heading 8"/>
    <w:aliases w:val="Exec Sum Level 2"/>
    <w:basedOn w:val="Normal"/>
    <w:next w:val="Normal"/>
    <w:link w:val="Heading8Char"/>
    <w:unhideWhenUsed/>
    <w:qFormat/>
    <w:rsid w:val="00F04CC9"/>
    <w:pPr>
      <w:keepNext/>
      <w:keepLines/>
      <w:spacing w:before="240" w:after="120"/>
      <w:outlineLvl w:val="7"/>
    </w:pPr>
    <w:rPr>
      <w:rFonts w:ascii="Arial Bold" w:eastAsiaTheme="majorEastAsia" w:hAnsi="Arial Bold" w:cstheme="majorBidi"/>
      <w:b/>
      <w:caps/>
      <w:color w:val="95D600" w:themeColor="accent1"/>
      <w:sz w:val="26"/>
      <w:szCs w:val="26"/>
    </w:rPr>
  </w:style>
  <w:style w:type="paragraph" w:styleId="Heading9">
    <w:name w:val="heading 9"/>
    <w:aliases w:val="Exec Sum Level 3"/>
    <w:basedOn w:val="Normal"/>
    <w:next w:val="Normal"/>
    <w:link w:val="Heading9Char"/>
    <w:unhideWhenUsed/>
    <w:qFormat/>
    <w:rsid w:val="00F90B35"/>
    <w:pPr>
      <w:keepNext/>
      <w:keepLines/>
      <w:spacing w:before="240" w:after="240"/>
      <w:outlineLvl w:val="8"/>
    </w:pPr>
    <w:rPr>
      <w:rFonts w:eastAsiaTheme="majorEastAsia" w:cstheme="majorBidi"/>
      <w:b/>
      <w:iCs/>
      <w:color w:val="555759" w:themeColor="accent2"/>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Classic2">
    <w:name w:val="Table Classic 2"/>
    <w:basedOn w:val="TableNormal"/>
    <w:rsid w:val="00E3636E"/>
    <w:pPr>
      <w:tabs>
        <w:tab w:val="left" w:pos="360"/>
        <w:tab w:val="left" w:pos="720"/>
        <w:tab w:val="left" w:pos="1080"/>
        <w:tab w:val="left" w:pos="1440"/>
      </w:tabs>
    </w:pPr>
    <w:rPr>
      <w:rFonts w:ascii="Arial" w:hAnsi="Arial"/>
      <w:sz w:val="18"/>
      <w:szCs w:val="18"/>
    </w:rPr>
    <w:tblPr>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15" w:type="dxa"/>
        <w:bottom w:w="0" w:type="dxa"/>
        <w:right w:w="115" w:type="dxa"/>
      </w:tblCellMar>
    </w:tblPr>
    <w:trPr>
      <w:jc w:val="center"/>
    </w:trPr>
    <w:tcPr>
      <w:shd w:val="clear" w:color="auto" w:fill="auto"/>
    </w:tcPr>
    <w:tblStylePr w:type="firstRow">
      <w:rPr>
        <w:rFonts w:ascii="Arial" w:hAnsi="Arial"/>
        <w:b/>
        <w:i w:val="0"/>
        <w:color w:val="auto"/>
        <w:sz w:val="18"/>
        <w:szCs w:val="18"/>
      </w:rPr>
      <w:tblPr/>
      <w:tcPr>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l2br w:val="nil"/>
          <w:tr2bl w:val="nil"/>
        </w:tcBorders>
        <w:shd w:val="clear" w:color="auto" w:fill="CCCCFF"/>
      </w:tcPr>
    </w:tblStylePr>
    <w:tblStylePr w:type="lastRow">
      <w:rPr>
        <w:rFonts w:ascii="Arial" w:hAnsi="Arial"/>
        <w:color w:val="auto"/>
        <w:sz w:val="18"/>
      </w:rPr>
      <w:tblPr/>
      <w:tcPr>
        <w:tcBorders>
          <w:top w:val="single" w:sz="6" w:space="0" w:color="000000"/>
          <w:tl2br w:val="none" w:sz="0" w:space="0" w:color="auto"/>
          <w:tr2bl w:val="none" w:sz="0" w:space="0" w:color="auto"/>
        </w:tcBorders>
      </w:tcPr>
    </w:tblStylePr>
    <w:tblStylePr w:type="firstCol">
      <w:rPr>
        <w:rFonts w:ascii="Arial" w:hAnsi="Arial"/>
        <w:b/>
        <w:bCs/>
        <w:sz w:val="18"/>
      </w:rPr>
      <w:tblPr/>
      <w:tcPr>
        <w:shd w:val="clear" w:color="auto" w:fill="FFFF99"/>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numbering" w:customStyle="1" w:styleId="StyleBulleted6">
    <w:name w:val="Style Bulleted6"/>
    <w:rsid w:val="004C38FE"/>
    <w:pPr>
      <w:numPr>
        <w:numId w:val="1"/>
      </w:numPr>
    </w:pPr>
  </w:style>
  <w:style w:type="numbering" w:customStyle="1" w:styleId="StyleBulleted9">
    <w:name w:val="Style Bulleted9"/>
    <w:basedOn w:val="NoList"/>
    <w:rsid w:val="004C38FE"/>
    <w:pPr>
      <w:numPr>
        <w:numId w:val="2"/>
      </w:numPr>
    </w:pPr>
  </w:style>
  <w:style w:type="paragraph" w:styleId="Header">
    <w:name w:val="header"/>
    <w:basedOn w:val="Normal"/>
    <w:link w:val="HeaderChar"/>
    <w:rsid w:val="001412F5"/>
    <w:pPr>
      <w:tabs>
        <w:tab w:val="center" w:pos="4320"/>
        <w:tab w:val="right" w:pos="8640"/>
      </w:tabs>
    </w:pPr>
  </w:style>
  <w:style w:type="paragraph" w:styleId="Footer">
    <w:name w:val="footer"/>
    <w:basedOn w:val="Normal"/>
    <w:link w:val="FooterChar"/>
    <w:uiPriority w:val="99"/>
    <w:rsid w:val="00474639"/>
    <w:pPr>
      <w:tabs>
        <w:tab w:val="center" w:pos="4320"/>
        <w:tab w:val="right" w:pos="8640"/>
      </w:tabs>
      <w:spacing w:line="240" w:lineRule="auto"/>
    </w:pPr>
    <w:rPr>
      <w:sz w:val="18"/>
    </w:rPr>
  </w:style>
  <w:style w:type="paragraph" w:styleId="Title">
    <w:name w:val="Title"/>
    <w:basedOn w:val="Normal"/>
    <w:link w:val="TitleChar"/>
    <w:qFormat/>
    <w:rsid w:val="00F85AC0"/>
    <w:pPr>
      <w:tabs>
        <w:tab w:val="left" w:pos="360"/>
        <w:tab w:val="left" w:pos="720"/>
        <w:tab w:val="left" w:pos="1080"/>
        <w:tab w:val="left" w:pos="1440"/>
      </w:tabs>
      <w:spacing w:line="240" w:lineRule="auto"/>
    </w:pPr>
    <w:rPr>
      <w:b/>
      <w:bCs/>
      <w:color w:val="95D600"/>
      <w:sz w:val="52"/>
    </w:rPr>
  </w:style>
  <w:style w:type="paragraph" w:styleId="Subtitle">
    <w:name w:val="Subtitle"/>
    <w:basedOn w:val="Normal"/>
    <w:qFormat/>
    <w:rsid w:val="00AC4319"/>
    <w:pPr>
      <w:tabs>
        <w:tab w:val="left" w:pos="360"/>
        <w:tab w:val="left" w:pos="720"/>
        <w:tab w:val="left" w:pos="1080"/>
        <w:tab w:val="left" w:pos="1440"/>
      </w:tabs>
    </w:pPr>
    <w:rPr>
      <w:b/>
      <w:bCs/>
      <w:sz w:val="28"/>
    </w:rPr>
  </w:style>
  <w:style w:type="character" w:customStyle="1" w:styleId="CoverText">
    <w:name w:val="Cover Text"/>
    <w:basedOn w:val="DefaultParagraphFont"/>
    <w:rsid w:val="00AC4319"/>
    <w:rPr>
      <w:rFonts w:ascii="Arial" w:hAnsi="Arial"/>
      <w:color w:val="545759"/>
      <w:sz w:val="20"/>
    </w:rPr>
  </w:style>
  <w:style w:type="paragraph" w:styleId="TOC1">
    <w:name w:val="toc 1"/>
    <w:basedOn w:val="Normal"/>
    <w:next w:val="Normal"/>
    <w:autoRedefine/>
    <w:uiPriority w:val="39"/>
    <w:rsid w:val="00F85AC0"/>
    <w:pPr>
      <w:tabs>
        <w:tab w:val="left" w:pos="540"/>
        <w:tab w:val="right" w:leader="dot" w:pos="9270"/>
      </w:tabs>
      <w:spacing w:before="120" w:line="360" w:lineRule="auto"/>
      <w:ind w:left="540" w:hanging="540"/>
    </w:pPr>
    <w:rPr>
      <w:b/>
      <w:noProof/>
      <w:snapToGrid w:val="0"/>
      <w:sz w:val="24"/>
    </w:rPr>
  </w:style>
  <w:style w:type="paragraph" w:styleId="TOC2">
    <w:name w:val="toc 2"/>
    <w:basedOn w:val="Normal"/>
    <w:next w:val="Normal"/>
    <w:autoRedefine/>
    <w:uiPriority w:val="39"/>
    <w:rsid w:val="0004343E"/>
    <w:pPr>
      <w:tabs>
        <w:tab w:val="left" w:pos="1080"/>
        <w:tab w:val="right" w:leader="dot" w:pos="9278"/>
      </w:tabs>
      <w:ind w:left="1080" w:hanging="540"/>
    </w:pPr>
    <w:rPr>
      <w:noProof/>
    </w:rPr>
  </w:style>
  <w:style w:type="paragraph" w:styleId="TOC3">
    <w:name w:val="toc 3"/>
    <w:basedOn w:val="Normal"/>
    <w:next w:val="Normal"/>
    <w:autoRedefine/>
    <w:uiPriority w:val="39"/>
    <w:rsid w:val="0004343E"/>
    <w:pPr>
      <w:tabs>
        <w:tab w:val="left" w:pos="1800"/>
        <w:tab w:val="right" w:leader="dot" w:pos="9278"/>
      </w:tabs>
      <w:ind w:left="1800" w:hanging="720"/>
    </w:pPr>
    <w:rPr>
      <w:rFonts w:eastAsiaTheme="minorEastAsia" w:cstheme="minorBidi"/>
      <w:noProof/>
      <w:szCs w:val="20"/>
    </w:rPr>
  </w:style>
  <w:style w:type="character" w:styleId="Hyperlink">
    <w:name w:val="Hyperlink"/>
    <w:basedOn w:val="DefaultParagraphFont"/>
    <w:uiPriority w:val="99"/>
    <w:rsid w:val="005E53D6"/>
    <w:rPr>
      <w:rFonts w:ascii="Arial" w:hAnsi="Arial"/>
      <w:color w:val="95D600"/>
      <w:sz w:val="20"/>
      <w:u w:val="single"/>
    </w:rPr>
  </w:style>
  <w:style w:type="paragraph" w:styleId="TOCHeading">
    <w:name w:val="TOC Heading"/>
    <w:next w:val="Normal"/>
    <w:link w:val="TOCHeadingChar"/>
    <w:qFormat/>
    <w:rsid w:val="00B67238"/>
    <w:pPr>
      <w:keepNext/>
      <w:keepLines/>
      <w:pageBreakBefore/>
      <w:widowControl w:val="0"/>
      <w:pBdr>
        <w:top w:val="single" w:sz="12" w:space="1" w:color="555759" w:themeColor="accent2"/>
        <w:left w:val="single" w:sz="12" w:space="4" w:color="555759" w:themeColor="accent2"/>
        <w:bottom w:val="single" w:sz="12" w:space="1" w:color="555759" w:themeColor="accent2"/>
        <w:right w:val="single" w:sz="12" w:space="4" w:color="555759" w:themeColor="accent2"/>
      </w:pBdr>
      <w:shd w:val="clear" w:color="auto" w:fill="555759" w:themeFill="accent2"/>
      <w:tabs>
        <w:tab w:val="left" w:pos="720"/>
        <w:tab w:val="left" w:pos="1267"/>
      </w:tabs>
      <w:spacing w:before="360" w:after="360"/>
      <w:ind w:left="720" w:hanging="720"/>
    </w:pPr>
    <w:rPr>
      <w:rFonts w:ascii="Arial Bold" w:hAnsi="Arial Bold"/>
      <w:b/>
      <w:caps/>
      <w:color w:val="FFFFFF" w:themeColor="background1"/>
      <w:kern w:val="28"/>
      <w:position w:val="6"/>
      <w:sz w:val="24"/>
      <w:szCs w:val="24"/>
    </w:rPr>
  </w:style>
  <w:style w:type="numbering" w:customStyle="1" w:styleId="StyleNumberedLeft025Hanging025">
    <w:name w:val="Style Numbered Left:  0.25&quot; Hanging:  0.25&quot;"/>
    <w:basedOn w:val="NoList"/>
    <w:rsid w:val="0051710C"/>
    <w:pPr>
      <w:numPr>
        <w:numId w:val="3"/>
      </w:numPr>
    </w:pPr>
  </w:style>
  <w:style w:type="paragraph" w:styleId="FootnoteText">
    <w:name w:val="footnote text"/>
    <w:basedOn w:val="Normal"/>
    <w:link w:val="FootnoteTextChar"/>
    <w:uiPriority w:val="99"/>
    <w:rsid w:val="00FA6862"/>
    <w:pPr>
      <w:keepLines/>
    </w:pPr>
    <w:rPr>
      <w:sz w:val="18"/>
      <w:szCs w:val="20"/>
    </w:rPr>
  </w:style>
  <w:style w:type="character" w:styleId="FootnoteReference">
    <w:name w:val="footnote reference"/>
    <w:basedOn w:val="DefaultParagraphFont"/>
    <w:uiPriority w:val="99"/>
    <w:rsid w:val="00A31D1C"/>
    <w:rPr>
      <w:vertAlign w:val="superscript"/>
    </w:rPr>
  </w:style>
  <w:style w:type="paragraph" w:styleId="Caption">
    <w:name w:val="caption"/>
    <w:aliases w:val="Table Caption,Char,Caption Char1 Char"/>
    <w:basedOn w:val="Normal"/>
    <w:next w:val="Normal"/>
    <w:link w:val="CaptionChar"/>
    <w:qFormat/>
    <w:rsid w:val="00F04CC9"/>
    <w:pPr>
      <w:keepNext/>
      <w:spacing w:after="120"/>
      <w:jc w:val="center"/>
    </w:pPr>
    <w:rPr>
      <w:b/>
      <w:bCs/>
      <w:color w:val="2A2B2C" w:themeColor="accent2" w:themeShade="80"/>
      <w:szCs w:val="20"/>
    </w:rPr>
  </w:style>
  <w:style w:type="numbering" w:customStyle="1" w:styleId="StyleBulletedLeft0Hanging03">
    <w:name w:val="Style Bulleted Left:  0&quot; Hanging:  0.3&quot;"/>
    <w:basedOn w:val="NoList"/>
    <w:rsid w:val="006D7C30"/>
    <w:pPr>
      <w:numPr>
        <w:numId w:val="4"/>
      </w:numPr>
    </w:pPr>
  </w:style>
  <w:style w:type="paragraph" w:customStyle="1" w:styleId="StyleCaptionWhite">
    <w:name w:val="Style Caption + White"/>
    <w:basedOn w:val="Caption"/>
    <w:rsid w:val="006D7C30"/>
    <w:pPr>
      <w:spacing w:before="120"/>
    </w:pPr>
    <w:rPr>
      <w:color w:val="FFFFFF"/>
      <w14:textFill>
        <w14:solidFill>
          <w14:srgbClr w14:val="FFFFFF">
            <w14:lumMod w14:val="50000"/>
          </w14:srgbClr>
        </w14:solidFill>
      </w14:textFill>
    </w:rPr>
  </w:style>
  <w:style w:type="numbering" w:customStyle="1" w:styleId="StyleBulleted">
    <w:name w:val="Style Bulleted"/>
    <w:basedOn w:val="NoList"/>
    <w:rsid w:val="00895452"/>
    <w:pPr>
      <w:numPr>
        <w:numId w:val="5"/>
      </w:numPr>
    </w:pPr>
  </w:style>
  <w:style w:type="character" w:customStyle="1" w:styleId="Heading4Char">
    <w:name w:val="Heading 4 Char"/>
    <w:basedOn w:val="DefaultParagraphFont"/>
    <w:link w:val="Heading4"/>
    <w:rsid w:val="008D0E9A"/>
    <w:rPr>
      <w:rFonts w:ascii="Arial" w:eastAsiaTheme="majorEastAsia" w:hAnsi="Arial" w:cstheme="majorBidi"/>
      <w:b/>
      <w:bCs/>
      <w:i/>
      <w:iCs/>
      <w:color w:val="555759"/>
      <w:kern w:val="28"/>
      <w:sz w:val="22"/>
    </w:rPr>
  </w:style>
  <w:style w:type="character" w:customStyle="1" w:styleId="Heading5Char">
    <w:name w:val="Heading 5 Char"/>
    <w:aliases w:val="Append Level 1 Char"/>
    <w:basedOn w:val="DefaultParagraphFont"/>
    <w:link w:val="Heading5"/>
    <w:rsid w:val="001C5559"/>
    <w:rPr>
      <w:rFonts w:ascii="Arial Bold" w:eastAsiaTheme="majorEastAsia" w:hAnsi="Arial Bold" w:cstheme="majorBidi"/>
      <w:b/>
      <w:caps/>
      <w:color w:val="FFFFFF" w:themeColor="background1"/>
      <w:kern w:val="28"/>
      <w:position w:val="6"/>
      <w:sz w:val="26"/>
      <w:szCs w:val="26"/>
      <w:shd w:val="clear" w:color="auto" w:fill="555759" w:themeFill="accent2"/>
    </w:rPr>
  </w:style>
  <w:style w:type="character" w:customStyle="1" w:styleId="Heading6Char">
    <w:name w:val="Heading 6 Char"/>
    <w:aliases w:val="Append Level 2 Char"/>
    <w:basedOn w:val="DefaultParagraphFont"/>
    <w:link w:val="Heading6"/>
    <w:rsid w:val="00496080"/>
    <w:rPr>
      <w:rFonts w:ascii="Arial Bold" w:eastAsiaTheme="majorEastAsia" w:hAnsi="Arial Bold" w:cstheme="majorBidi"/>
      <w:b/>
      <w:iCs/>
      <w:caps/>
      <w:color w:val="95D600" w:themeColor="accent1"/>
      <w:kern w:val="28"/>
      <w:position w:val="6"/>
      <w:sz w:val="24"/>
      <w:szCs w:val="24"/>
    </w:rPr>
  </w:style>
  <w:style w:type="character" w:customStyle="1" w:styleId="Heading7Char">
    <w:name w:val="Heading 7 Char"/>
    <w:aliases w:val="Exec Sum Level 1 Char"/>
    <w:basedOn w:val="DefaultParagraphFont"/>
    <w:link w:val="Heading7"/>
    <w:rsid w:val="001C5559"/>
    <w:rPr>
      <w:rFonts w:ascii="Arial Bold" w:hAnsi="Arial Bold"/>
      <w:b/>
      <w:caps/>
      <w:color w:val="FFFFFF" w:themeColor="background1"/>
      <w:kern w:val="28"/>
      <w:position w:val="6"/>
      <w:sz w:val="26"/>
      <w:szCs w:val="26"/>
      <w:shd w:val="clear" w:color="auto" w:fill="555759" w:themeFill="accent2"/>
    </w:rPr>
  </w:style>
  <w:style w:type="character" w:customStyle="1" w:styleId="Heading8Char">
    <w:name w:val="Heading 8 Char"/>
    <w:aliases w:val="Exec Sum Level 2 Char"/>
    <w:basedOn w:val="DefaultParagraphFont"/>
    <w:link w:val="Heading8"/>
    <w:rsid w:val="00F04CC9"/>
    <w:rPr>
      <w:rFonts w:ascii="Arial Bold" w:eastAsiaTheme="majorEastAsia" w:hAnsi="Arial Bold" w:cstheme="majorBidi"/>
      <w:b/>
      <w:caps/>
      <w:color w:val="95D600" w:themeColor="accent1"/>
      <w:sz w:val="26"/>
      <w:szCs w:val="26"/>
    </w:rPr>
  </w:style>
  <w:style w:type="character" w:customStyle="1" w:styleId="Heading9Char">
    <w:name w:val="Heading 9 Char"/>
    <w:aliases w:val="Exec Sum Level 3 Char"/>
    <w:basedOn w:val="DefaultParagraphFont"/>
    <w:link w:val="Heading9"/>
    <w:rsid w:val="00F90B35"/>
    <w:rPr>
      <w:rFonts w:ascii="Arial" w:eastAsiaTheme="majorEastAsia" w:hAnsi="Arial" w:cstheme="majorBidi"/>
      <w:b/>
      <w:iCs/>
      <w:color w:val="555759" w:themeColor="accent2"/>
      <w:sz w:val="22"/>
    </w:rPr>
  </w:style>
  <w:style w:type="table" w:customStyle="1" w:styleId="EnergyTable">
    <w:name w:val="Energy Table"/>
    <w:basedOn w:val="TableNormal"/>
    <w:uiPriority w:val="99"/>
    <w:qFormat/>
    <w:rsid w:val="00A4787E"/>
    <w:pPr>
      <w:spacing w:before="40" w:after="40"/>
      <w:jc w:val="center"/>
    </w:pPr>
    <w:rPr>
      <w:rFonts w:ascii="Arial" w:hAnsi="Arial"/>
    </w:rPr>
    <w:tblPr>
      <w:tblStyleRowBandSize w:val="1"/>
      <w:jc w:val="center"/>
      <w:tblInd w:w="0" w:type="dxa"/>
      <w:tblBorders>
        <w:top w:val="single" w:sz="8" w:space="0" w:color="DDD9C3"/>
        <w:bottom w:val="single" w:sz="4" w:space="0" w:color="555759" w:themeColor="accent2"/>
        <w:insideH w:val="single" w:sz="8" w:space="0" w:color="DCDDDE" w:themeColor="accent2" w:themeTint="33"/>
      </w:tblBorders>
      <w:tblCellMar>
        <w:top w:w="0" w:type="dxa"/>
        <w:left w:w="108" w:type="dxa"/>
        <w:bottom w:w="0" w:type="dxa"/>
        <w:right w:w="108" w:type="dxa"/>
      </w:tblCellMar>
    </w:tblPr>
    <w:trPr>
      <w:cantSplit/>
      <w:jc w:val="center"/>
    </w:trPr>
    <w:tcPr>
      <w:vAlign w:val="center"/>
    </w:tcPr>
    <w:tblStylePr w:type="firstRow">
      <w:pPr>
        <w:jc w:val="center"/>
      </w:pPr>
      <w:rPr>
        <w:rFonts w:ascii="Arial" w:hAnsi="Arial"/>
        <w:b/>
        <w:color w:val="FFFFFF" w:themeColor="background1"/>
        <w:sz w:val="20"/>
      </w:rPr>
      <w:tblPr/>
      <w:tcPr>
        <w:tcBorders>
          <w:bottom w:val="single" w:sz="12" w:space="0" w:color="95D600" w:themeColor="accent1"/>
        </w:tcBorders>
        <w:shd w:val="clear" w:color="auto" w:fill="555759" w:themeFill="accent2"/>
      </w:tcPr>
    </w:tblStylePr>
    <w:tblStylePr w:type="lastRow">
      <w:pPr>
        <w:jc w:val="center"/>
      </w:pPr>
      <w:rPr>
        <w:rFonts w:ascii="Arial Narrow" w:hAnsi="Arial Narrow"/>
        <w:b/>
      </w:rPr>
      <w:tblPr/>
      <w:tcPr>
        <w:tcBorders>
          <w:top w:val="double" w:sz="4" w:space="0" w:color="545759"/>
          <w:bottom w:val="single" w:sz="4" w:space="0" w:color="545759"/>
        </w:tcBorders>
      </w:tcPr>
    </w:tblStylePr>
    <w:tblStylePr w:type="firstCol">
      <w:rPr>
        <w:rFonts w:ascii="Palatino Linotype" w:hAnsi="Palatino Linotype"/>
        <w:b w:val="0"/>
        <w:color w:val="auto"/>
      </w:rPr>
    </w:tblStylePr>
    <w:tblStylePr w:type="band1Horz">
      <w:pPr>
        <w:jc w:val="center"/>
      </w:pPr>
      <w:tblPr/>
      <w:tcPr>
        <w:vAlign w:val="center"/>
      </w:tcPr>
    </w:tblStylePr>
    <w:tblStylePr w:type="band2Horz">
      <w:pPr>
        <w:jc w:val="center"/>
      </w:pPr>
      <w:tblPr/>
      <w:tcPr>
        <w:shd w:val="clear" w:color="auto" w:fill="FFFFFF" w:themeFill="background1"/>
      </w:tcPr>
    </w:tblStylePr>
  </w:style>
  <w:style w:type="paragraph" w:styleId="ListParagraph">
    <w:name w:val="List Paragraph"/>
    <w:basedOn w:val="Normal"/>
    <w:link w:val="ListParagraphChar"/>
    <w:uiPriority w:val="34"/>
    <w:qFormat/>
    <w:rsid w:val="00590834"/>
    <w:pPr>
      <w:spacing w:before="120"/>
      <w:ind w:left="720"/>
    </w:pPr>
  </w:style>
  <w:style w:type="table" w:styleId="TableGrid">
    <w:name w:val="Table Grid"/>
    <w:basedOn w:val="TableNormal"/>
    <w:uiPriority w:val="59"/>
    <w:rsid w:val="0099309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cicollapsed1">
    <w:name w:val="acicollapsed1"/>
    <w:basedOn w:val="DefaultParagraphFont"/>
    <w:rsid w:val="0042309A"/>
    <w:rPr>
      <w:vanish/>
      <w:webHidden w:val="0"/>
      <w:specVanish w:val="0"/>
    </w:rPr>
  </w:style>
  <w:style w:type="table" w:styleId="TableList7">
    <w:name w:val="Table List 7"/>
    <w:basedOn w:val="TableNormal"/>
    <w:rsid w:val="00DC45E4"/>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paragraph" w:customStyle="1" w:styleId="ExecSummaryHead1">
    <w:name w:val="Exec Summary Head 1"/>
    <w:basedOn w:val="TOCHeading"/>
    <w:next w:val="Normal"/>
    <w:link w:val="ExecSummaryHead1Char"/>
    <w:rsid w:val="00B533D4"/>
  </w:style>
  <w:style w:type="character" w:customStyle="1" w:styleId="TOCHeadingChar">
    <w:name w:val="TOC Heading Char"/>
    <w:basedOn w:val="DefaultParagraphFont"/>
    <w:link w:val="TOCHeading"/>
    <w:rsid w:val="00B67238"/>
    <w:rPr>
      <w:rFonts w:ascii="Arial Bold" w:hAnsi="Arial Bold"/>
      <w:b/>
      <w:caps/>
      <w:color w:val="FFFFFF" w:themeColor="background1"/>
      <w:kern w:val="28"/>
      <w:position w:val="6"/>
      <w:sz w:val="24"/>
      <w:szCs w:val="24"/>
      <w:shd w:val="clear" w:color="auto" w:fill="555759" w:themeFill="accent2"/>
    </w:rPr>
  </w:style>
  <w:style w:type="character" w:customStyle="1" w:styleId="ExecSummaryHead1Char">
    <w:name w:val="Exec Summary Head 1 Char"/>
    <w:basedOn w:val="TOCHeadingChar"/>
    <w:link w:val="ExecSummaryHead1"/>
    <w:rsid w:val="00B533D4"/>
    <w:rPr>
      <w:rFonts w:ascii="Arial Bold" w:hAnsi="Arial Bold"/>
      <w:b/>
      <w:caps/>
      <w:color w:val="555759"/>
      <w:kern w:val="28"/>
      <w:position w:val="6"/>
      <w:sz w:val="24"/>
      <w:szCs w:val="24"/>
      <w:shd w:val="clear" w:color="auto" w:fill="95D600"/>
    </w:rPr>
  </w:style>
  <w:style w:type="character" w:customStyle="1" w:styleId="Heading1Char">
    <w:name w:val="Heading 1 Char"/>
    <w:basedOn w:val="DefaultParagraphFont"/>
    <w:link w:val="Heading1"/>
    <w:rsid w:val="001C5559"/>
    <w:rPr>
      <w:rFonts w:ascii="Arial Bold" w:hAnsi="Arial Bold" w:cs="Arial"/>
      <w:b/>
      <w:bCs/>
      <w:caps/>
      <w:color w:val="FFFFFF" w:themeColor="background1"/>
      <w:kern w:val="28"/>
      <w:position w:val="6"/>
      <w:sz w:val="26"/>
      <w:szCs w:val="26"/>
      <w:shd w:val="clear" w:color="auto" w:fill="555759" w:themeFill="accent2"/>
    </w:rPr>
  </w:style>
  <w:style w:type="character" w:customStyle="1" w:styleId="Heading2Char">
    <w:name w:val="Heading 2 Char"/>
    <w:basedOn w:val="DefaultParagraphFont"/>
    <w:link w:val="Heading2"/>
    <w:rsid w:val="00F04CC9"/>
    <w:rPr>
      <w:rFonts w:ascii="Arial Bold" w:hAnsi="Arial Bold" w:cs="Arial"/>
      <w:b/>
      <w:bCs/>
      <w:iCs/>
      <w:caps/>
      <w:color w:val="95D600"/>
      <w:sz w:val="26"/>
      <w:szCs w:val="28"/>
    </w:rPr>
  </w:style>
  <w:style w:type="character" w:customStyle="1" w:styleId="Heading3Char">
    <w:name w:val="Heading 3 Char"/>
    <w:basedOn w:val="DefaultParagraphFont"/>
    <w:link w:val="Heading3"/>
    <w:rsid w:val="008D0E9A"/>
    <w:rPr>
      <w:rFonts w:ascii="Arial" w:hAnsi="Arial" w:cs="Arial"/>
      <w:b/>
      <w:bCs/>
      <w:color w:val="555759" w:themeColor="accent2"/>
      <w:sz w:val="24"/>
      <w:szCs w:val="26"/>
    </w:rPr>
  </w:style>
  <w:style w:type="character" w:styleId="PlaceholderText">
    <w:name w:val="Placeholder Text"/>
    <w:basedOn w:val="DefaultParagraphFont"/>
    <w:uiPriority w:val="99"/>
    <w:semiHidden/>
    <w:rsid w:val="00522F1F"/>
    <w:rPr>
      <w:color w:val="808080"/>
    </w:rPr>
  </w:style>
  <w:style w:type="paragraph" w:styleId="TOC4">
    <w:name w:val="toc 4"/>
    <w:basedOn w:val="Normal"/>
    <w:next w:val="Normal"/>
    <w:autoRedefine/>
    <w:uiPriority w:val="39"/>
    <w:rsid w:val="0004343E"/>
    <w:pPr>
      <w:tabs>
        <w:tab w:val="left" w:pos="2700"/>
        <w:tab w:val="right" w:leader="dot" w:pos="9278"/>
      </w:tabs>
      <w:spacing w:after="100"/>
      <w:ind w:left="2700" w:hanging="900"/>
    </w:pPr>
    <w:rPr>
      <w:i/>
      <w:noProof/>
    </w:rPr>
  </w:style>
  <w:style w:type="character" w:customStyle="1" w:styleId="CaptionChar">
    <w:name w:val="Caption Char"/>
    <w:aliases w:val="Table Caption Char,Char Char,Caption Char1 Char Char"/>
    <w:basedOn w:val="DefaultParagraphFont"/>
    <w:link w:val="Caption"/>
    <w:rsid w:val="00F04CC9"/>
    <w:rPr>
      <w:rFonts w:ascii="Arial" w:hAnsi="Arial"/>
      <w:b/>
      <w:bCs/>
      <w:color w:val="2A2B2C" w:themeColor="accent2" w:themeShade="80"/>
    </w:rPr>
  </w:style>
  <w:style w:type="paragraph" w:styleId="TableofFigures">
    <w:name w:val="table of figures"/>
    <w:basedOn w:val="Normal"/>
    <w:next w:val="Normal"/>
    <w:uiPriority w:val="99"/>
    <w:rsid w:val="00B9017B"/>
    <w:pPr>
      <w:tabs>
        <w:tab w:val="right" w:leader="dot" w:pos="9274"/>
      </w:tabs>
    </w:pPr>
  </w:style>
  <w:style w:type="character" w:styleId="Strong">
    <w:name w:val="Strong"/>
    <w:basedOn w:val="DefaultParagraphFont"/>
    <w:qFormat/>
    <w:rsid w:val="00E01468"/>
    <w:rPr>
      <w:rFonts w:ascii="Palatino Linotype" w:hAnsi="Palatino Linotype"/>
      <w:b/>
      <w:bCs/>
      <w:sz w:val="20"/>
    </w:rPr>
  </w:style>
  <w:style w:type="character" w:styleId="Emphasis">
    <w:name w:val="Emphasis"/>
    <w:basedOn w:val="DefaultParagraphFont"/>
    <w:qFormat/>
    <w:rsid w:val="005E53D6"/>
    <w:rPr>
      <w:rFonts w:ascii="Arial" w:hAnsi="Arial"/>
      <w:i/>
      <w:iCs/>
      <w:sz w:val="20"/>
    </w:rPr>
  </w:style>
  <w:style w:type="paragraph" w:customStyle="1" w:styleId="Source">
    <w:name w:val="Source"/>
    <w:basedOn w:val="Normal"/>
    <w:link w:val="SourceChar"/>
    <w:qFormat/>
    <w:rsid w:val="00496080"/>
    <w:pPr>
      <w:spacing w:after="240"/>
      <w:ind w:left="900"/>
    </w:pPr>
    <w:rPr>
      <w:i/>
      <w:sz w:val="16"/>
      <w:szCs w:val="20"/>
    </w:rPr>
  </w:style>
  <w:style w:type="character" w:customStyle="1" w:styleId="SourceChar">
    <w:name w:val="Source Char"/>
    <w:basedOn w:val="DefaultParagraphFont"/>
    <w:link w:val="Source"/>
    <w:rsid w:val="00496080"/>
    <w:rPr>
      <w:rFonts w:ascii="Arial" w:hAnsi="Arial"/>
      <w:i/>
      <w:sz w:val="16"/>
    </w:rPr>
  </w:style>
  <w:style w:type="character" w:customStyle="1" w:styleId="HeaderChar">
    <w:name w:val="Header Char"/>
    <w:basedOn w:val="DefaultParagraphFont"/>
    <w:link w:val="Header"/>
    <w:locked/>
    <w:rsid w:val="00D60388"/>
    <w:rPr>
      <w:rFonts w:ascii="Palatino Linotype" w:hAnsi="Palatino Linotype"/>
      <w:szCs w:val="24"/>
    </w:rPr>
  </w:style>
  <w:style w:type="character" w:customStyle="1" w:styleId="ListParagraphChar">
    <w:name w:val="List Paragraph Char"/>
    <w:basedOn w:val="DefaultParagraphFont"/>
    <w:link w:val="ListParagraph"/>
    <w:uiPriority w:val="34"/>
    <w:locked/>
    <w:rsid w:val="001E6048"/>
    <w:rPr>
      <w:rFonts w:ascii="Palatino Linotype" w:hAnsi="Palatino Linotype"/>
      <w:szCs w:val="24"/>
    </w:rPr>
  </w:style>
  <w:style w:type="table" w:customStyle="1" w:styleId="MediumShading1-Accent61">
    <w:name w:val="Medium Shading 1 - Accent 61"/>
    <w:basedOn w:val="TableNormal"/>
    <w:next w:val="MediumShading1-Accent6"/>
    <w:uiPriority w:val="63"/>
    <w:rsid w:val="00EB4B79"/>
    <w:rPr>
      <w:rFonts w:eastAsia="Calibri"/>
    </w:rPr>
    <w:tblPr>
      <w:tblStyleRowBandSize w:val="1"/>
      <w:tblStyleColBandSize w:val="1"/>
      <w:tblInd w:w="0" w:type="dxa"/>
      <w:tblBorders>
        <w:top w:val="single" w:sz="8" w:space="0" w:color="98BF1E"/>
        <w:left w:val="single" w:sz="8" w:space="0" w:color="98BF1E"/>
        <w:bottom w:val="single" w:sz="8" w:space="0" w:color="98BF1E"/>
        <w:right w:val="single" w:sz="8" w:space="0" w:color="98BF1E"/>
        <w:insideH w:val="single" w:sz="8" w:space="0" w:color="98BF1E"/>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98BF1E"/>
          <w:left w:val="single" w:sz="8" w:space="0" w:color="98BF1E"/>
          <w:bottom w:val="single" w:sz="8" w:space="0" w:color="98BF1E"/>
          <w:right w:val="single" w:sz="8" w:space="0" w:color="98BF1E"/>
          <w:insideH w:val="nil"/>
          <w:insideV w:val="nil"/>
        </w:tcBorders>
        <w:shd w:val="clear" w:color="auto" w:fill="566C11"/>
      </w:tcPr>
    </w:tblStylePr>
    <w:tblStylePr w:type="lastRow">
      <w:pPr>
        <w:spacing w:before="0" w:after="0" w:line="240" w:lineRule="auto"/>
      </w:pPr>
      <w:rPr>
        <w:b/>
        <w:bCs/>
      </w:rPr>
      <w:tblPr/>
      <w:tcPr>
        <w:tcBorders>
          <w:top w:val="double" w:sz="6" w:space="0" w:color="98BF1E"/>
          <w:left w:val="single" w:sz="8" w:space="0" w:color="98BF1E"/>
          <w:bottom w:val="single" w:sz="8" w:space="0" w:color="98BF1E"/>
          <w:right w:val="single" w:sz="8" w:space="0" w:color="98BF1E"/>
          <w:insideH w:val="nil"/>
          <w:insideV w:val="nil"/>
        </w:tcBorders>
      </w:tcPr>
    </w:tblStylePr>
    <w:tblStylePr w:type="firstCol">
      <w:rPr>
        <w:b/>
        <w:bCs/>
      </w:rPr>
    </w:tblStylePr>
    <w:tblStylePr w:type="lastCol">
      <w:rPr>
        <w:b/>
        <w:bCs/>
      </w:rPr>
    </w:tblStylePr>
    <w:tblStylePr w:type="band1Vert">
      <w:tblPr/>
      <w:tcPr>
        <w:shd w:val="clear" w:color="auto" w:fill="E1F2AC"/>
      </w:tcPr>
    </w:tblStylePr>
    <w:tblStylePr w:type="band1Horz">
      <w:tblPr/>
      <w:tcPr>
        <w:tcBorders>
          <w:insideH w:val="nil"/>
          <w:insideV w:val="nil"/>
        </w:tcBorders>
        <w:shd w:val="clear" w:color="auto" w:fill="E1F2AC"/>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EB4B79"/>
    <w:tblPr>
      <w:tblStyleRowBandSize w:val="1"/>
      <w:tblStyleColBandSize w:val="1"/>
      <w:tblInd w:w="0" w:type="dxa"/>
      <w:tblBorders>
        <w:top w:val="single" w:sz="8" w:space="0" w:color="00B5DA" w:themeColor="accent6" w:themeTint="BF"/>
        <w:left w:val="single" w:sz="8" w:space="0" w:color="00B5DA" w:themeColor="accent6" w:themeTint="BF"/>
        <w:bottom w:val="single" w:sz="8" w:space="0" w:color="00B5DA" w:themeColor="accent6" w:themeTint="BF"/>
        <w:right w:val="single" w:sz="8" w:space="0" w:color="00B5DA" w:themeColor="accent6" w:themeTint="BF"/>
        <w:insideH w:val="single" w:sz="8" w:space="0" w:color="00B5DA"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00B5DA" w:themeColor="accent6" w:themeTint="BF"/>
          <w:left w:val="single" w:sz="8" w:space="0" w:color="00B5DA" w:themeColor="accent6" w:themeTint="BF"/>
          <w:bottom w:val="single" w:sz="8" w:space="0" w:color="00B5DA" w:themeColor="accent6" w:themeTint="BF"/>
          <w:right w:val="single" w:sz="8" w:space="0" w:color="00B5DA" w:themeColor="accent6" w:themeTint="BF"/>
          <w:insideH w:val="nil"/>
          <w:insideV w:val="nil"/>
        </w:tcBorders>
        <w:shd w:val="clear" w:color="auto" w:fill="006579" w:themeFill="accent6"/>
      </w:tcPr>
    </w:tblStylePr>
    <w:tblStylePr w:type="lastRow">
      <w:pPr>
        <w:spacing w:before="0" w:after="0" w:line="240" w:lineRule="auto"/>
      </w:pPr>
      <w:rPr>
        <w:b/>
        <w:bCs/>
      </w:rPr>
      <w:tblPr/>
      <w:tcPr>
        <w:tcBorders>
          <w:top w:val="double" w:sz="6" w:space="0" w:color="00B5DA" w:themeColor="accent6" w:themeTint="BF"/>
          <w:left w:val="single" w:sz="8" w:space="0" w:color="00B5DA" w:themeColor="accent6" w:themeTint="BF"/>
          <w:bottom w:val="single" w:sz="8" w:space="0" w:color="00B5DA" w:themeColor="accent6" w:themeTint="BF"/>
          <w:right w:val="single" w:sz="8" w:space="0" w:color="00B5DA" w:themeColor="accent6" w:themeTint="BF"/>
          <w:insideH w:val="nil"/>
          <w:insideV w:val="nil"/>
        </w:tcBorders>
      </w:tcPr>
    </w:tblStylePr>
    <w:tblStylePr w:type="firstCol">
      <w:rPr>
        <w:b/>
        <w:bCs/>
      </w:rPr>
    </w:tblStylePr>
    <w:tblStylePr w:type="lastCol">
      <w:rPr>
        <w:b/>
        <w:bCs/>
      </w:rPr>
    </w:tblStylePr>
    <w:tblStylePr w:type="band1Vert">
      <w:tblPr/>
      <w:tcPr>
        <w:shd w:val="clear" w:color="auto" w:fill="9EEEFF" w:themeFill="accent6" w:themeFillTint="3F"/>
      </w:tcPr>
    </w:tblStylePr>
    <w:tblStylePr w:type="band1Horz">
      <w:tblPr/>
      <w:tcPr>
        <w:tcBorders>
          <w:insideH w:val="nil"/>
          <w:insideV w:val="nil"/>
        </w:tcBorders>
        <w:shd w:val="clear" w:color="auto" w:fill="9EEEFF" w:themeFill="accent6" w:themeFillTint="3F"/>
      </w:tcPr>
    </w:tblStylePr>
    <w:tblStylePr w:type="band2Horz">
      <w:tblPr/>
      <w:tcPr>
        <w:tcBorders>
          <w:insideH w:val="nil"/>
          <w:insideV w:val="nil"/>
        </w:tcBorders>
      </w:tcPr>
    </w:tblStylePr>
  </w:style>
  <w:style w:type="paragraph" w:styleId="BalloonText">
    <w:name w:val="Balloon Text"/>
    <w:basedOn w:val="Normal"/>
    <w:link w:val="BalloonTextChar"/>
    <w:rsid w:val="00A60DC7"/>
    <w:rPr>
      <w:rFonts w:ascii="Tahoma" w:hAnsi="Tahoma" w:cs="Tahoma"/>
      <w:sz w:val="16"/>
      <w:szCs w:val="16"/>
    </w:rPr>
  </w:style>
  <w:style w:type="character" w:customStyle="1" w:styleId="BalloonTextChar">
    <w:name w:val="Balloon Text Char"/>
    <w:basedOn w:val="DefaultParagraphFont"/>
    <w:link w:val="BalloonText"/>
    <w:rsid w:val="00A60DC7"/>
    <w:rPr>
      <w:rFonts w:ascii="Tahoma" w:hAnsi="Tahoma" w:cs="Tahoma"/>
      <w:sz w:val="16"/>
      <w:szCs w:val="16"/>
    </w:rPr>
  </w:style>
  <w:style w:type="paragraph" w:styleId="EndnoteText">
    <w:name w:val="endnote text"/>
    <w:basedOn w:val="Normal"/>
    <w:link w:val="EndnoteTextChar"/>
    <w:rsid w:val="00657AAA"/>
    <w:rPr>
      <w:szCs w:val="20"/>
    </w:rPr>
  </w:style>
  <w:style w:type="character" w:customStyle="1" w:styleId="EndnoteTextChar">
    <w:name w:val="Endnote Text Char"/>
    <w:basedOn w:val="DefaultParagraphFont"/>
    <w:link w:val="EndnoteText"/>
    <w:rsid w:val="00657AAA"/>
    <w:rPr>
      <w:rFonts w:ascii="Palatino Linotype" w:hAnsi="Palatino Linotype"/>
    </w:rPr>
  </w:style>
  <w:style w:type="character" w:styleId="EndnoteReference">
    <w:name w:val="endnote reference"/>
    <w:basedOn w:val="DefaultParagraphFont"/>
    <w:rsid w:val="00593CAA"/>
    <w:rPr>
      <w:rFonts w:ascii="Arial" w:hAnsi="Arial"/>
      <w:color w:val="555759"/>
      <w:vertAlign w:val="superscript"/>
    </w:rPr>
  </w:style>
  <w:style w:type="paragraph" w:customStyle="1" w:styleId="TableBullet">
    <w:name w:val="Table Bullet"/>
    <w:basedOn w:val="ListParagraph"/>
    <w:link w:val="TableBulletChar"/>
    <w:qFormat/>
    <w:rsid w:val="001806B8"/>
    <w:pPr>
      <w:numPr>
        <w:numId w:val="7"/>
      </w:numPr>
      <w:spacing w:before="0"/>
      <w:ind w:left="302" w:hanging="270"/>
      <w:contextualSpacing/>
    </w:pPr>
    <w:rPr>
      <w:rFonts w:ascii="Arial Narrow" w:hAnsi="Arial Narrow"/>
    </w:rPr>
  </w:style>
  <w:style w:type="character" w:customStyle="1" w:styleId="TableBulletChar">
    <w:name w:val="Table Bullet Char"/>
    <w:basedOn w:val="DefaultParagraphFont"/>
    <w:link w:val="TableBullet"/>
    <w:rsid w:val="001806B8"/>
    <w:rPr>
      <w:rFonts w:ascii="Arial Narrow" w:hAnsi="Arial Narrow"/>
      <w:szCs w:val="24"/>
    </w:rPr>
  </w:style>
  <w:style w:type="character" w:styleId="CommentReference">
    <w:name w:val="annotation reference"/>
    <w:basedOn w:val="DefaultParagraphFont"/>
    <w:rsid w:val="000C2CB0"/>
    <w:rPr>
      <w:sz w:val="16"/>
      <w:szCs w:val="16"/>
    </w:rPr>
  </w:style>
  <w:style w:type="paragraph" w:styleId="CommentText">
    <w:name w:val="annotation text"/>
    <w:basedOn w:val="Normal"/>
    <w:link w:val="CommentTextChar"/>
    <w:rsid w:val="000C2CB0"/>
    <w:rPr>
      <w:szCs w:val="20"/>
    </w:rPr>
  </w:style>
  <w:style w:type="character" w:customStyle="1" w:styleId="CommentTextChar">
    <w:name w:val="Comment Text Char"/>
    <w:basedOn w:val="DefaultParagraphFont"/>
    <w:link w:val="CommentText"/>
    <w:rsid w:val="000C2CB0"/>
    <w:rPr>
      <w:rFonts w:ascii="Palatino Linotype" w:hAnsi="Palatino Linotype"/>
    </w:rPr>
  </w:style>
  <w:style w:type="paragraph" w:styleId="CommentSubject">
    <w:name w:val="annotation subject"/>
    <w:basedOn w:val="CommentText"/>
    <w:next w:val="CommentText"/>
    <w:link w:val="CommentSubjectChar"/>
    <w:rsid w:val="000C2CB0"/>
    <w:rPr>
      <w:b/>
      <w:bCs/>
    </w:rPr>
  </w:style>
  <w:style w:type="character" w:customStyle="1" w:styleId="CommentSubjectChar">
    <w:name w:val="Comment Subject Char"/>
    <w:basedOn w:val="CommentTextChar"/>
    <w:link w:val="CommentSubject"/>
    <w:rsid w:val="000C2CB0"/>
    <w:rPr>
      <w:rFonts w:ascii="Palatino Linotype" w:hAnsi="Palatino Linotype"/>
      <w:b/>
      <w:bCs/>
    </w:rPr>
  </w:style>
  <w:style w:type="paragraph" w:styleId="Revision">
    <w:name w:val="Revision"/>
    <w:hidden/>
    <w:uiPriority w:val="99"/>
    <w:semiHidden/>
    <w:rsid w:val="000C2CB0"/>
    <w:rPr>
      <w:rFonts w:ascii="Palatino Linotype" w:hAnsi="Palatino Linotype"/>
      <w:szCs w:val="24"/>
    </w:rPr>
  </w:style>
  <w:style w:type="paragraph" w:customStyle="1" w:styleId="FooterAddress">
    <w:name w:val="Footer Address"/>
    <w:basedOn w:val="Footer"/>
    <w:link w:val="FooterAddressChar"/>
    <w:qFormat/>
    <w:rsid w:val="00593CAA"/>
    <w:pPr>
      <w:tabs>
        <w:tab w:val="left" w:pos="360"/>
        <w:tab w:val="left" w:pos="720"/>
        <w:tab w:val="left" w:pos="1080"/>
        <w:tab w:val="left" w:pos="1440"/>
      </w:tabs>
      <w:spacing w:line="240" w:lineRule="exact"/>
    </w:pPr>
    <w:rPr>
      <w:color w:val="555759"/>
      <w:sz w:val="16"/>
    </w:rPr>
  </w:style>
  <w:style w:type="character" w:customStyle="1" w:styleId="FooterAddressChar">
    <w:name w:val="Footer Address Char"/>
    <w:basedOn w:val="DefaultParagraphFont"/>
    <w:link w:val="FooterAddress"/>
    <w:rsid w:val="00593CAA"/>
    <w:rPr>
      <w:rFonts w:ascii="Arial" w:hAnsi="Arial"/>
      <w:color w:val="555759"/>
      <w:sz w:val="16"/>
      <w:szCs w:val="24"/>
    </w:rPr>
  </w:style>
  <w:style w:type="character" w:customStyle="1" w:styleId="FootnoteTextChar">
    <w:name w:val="Footnote Text Char"/>
    <w:basedOn w:val="DefaultParagraphFont"/>
    <w:link w:val="FootnoteText"/>
    <w:uiPriority w:val="99"/>
    <w:rsid w:val="000D3D04"/>
    <w:rPr>
      <w:rFonts w:ascii="Arial" w:hAnsi="Arial"/>
      <w:sz w:val="18"/>
    </w:rPr>
  </w:style>
  <w:style w:type="paragraph" w:customStyle="1" w:styleId="Heading4b">
    <w:name w:val="Heading 4b"/>
    <w:basedOn w:val="Normal"/>
    <w:qFormat/>
    <w:rsid w:val="000D3D04"/>
    <w:pPr>
      <w:keepNext/>
      <w:tabs>
        <w:tab w:val="num" w:pos="720"/>
        <w:tab w:val="left" w:pos="1080"/>
        <w:tab w:val="left" w:pos="1440"/>
      </w:tabs>
      <w:spacing w:before="240" w:after="240" w:line="240" w:lineRule="auto"/>
      <w:outlineLvl w:val="3"/>
    </w:pPr>
    <w:rPr>
      <w:rFonts w:ascii="Arial Narrow" w:hAnsi="Arial Narrow"/>
      <w:b/>
      <w:bCs/>
      <w:i/>
      <w:color w:val="6F6754"/>
    </w:rPr>
  </w:style>
  <w:style w:type="paragraph" w:customStyle="1" w:styleId="ResumeBullet">
    <w:name w:val="Resume Bullet"/>
    <w:basedOn w:val="BodyText"/>
    <w:link w:val="ResumeBulletChar"/>
    <w:autoRedefine/>
    <w:rsid w:val="001E56FD"/>
    <w:pPr>
      <w:keepLines/>
      <w:numPr>
        <w:numId w:val="9"/>
      </w:numPr>
      <w:spacing w:after="240" w:line="240" w:lineRule="auto"/>
      <w:ind w:left="270" w:hanging="270"/>
    </w:pPr>
    <w:rPr>
      <w:bCs/>
      <w:color w:val="545759"/>
      <w:szCs w:val="20"/>
      <w:lang w:val="en-GB" w:eastAsia="x-none"/>
    </w:rPr>
  </w:style>
  <w:style w:type="paragraph" w:customStyle="1" w:styleId="SidebarBullet">
    <w:name w:val="Sidebar Bullet"/>
    <w:basedOn w:val="Normal"/>
    <w:rsid w:val="001E56FD"/>
    <w:pPr>
      <w:numPr>
        <w:numId w:val="8"/>
      </w:numPr>
      <w:spacing w:before="40" w:line="240" w:lineRule="auto"/>
    </w:pPr>
    <w:rPr>
      <w:rFonts w:ascii="Arial Narrow" w:hAnsi="Arial Narrow" w:cs="Arial"/>
      <w:color w:val="000000"/>
      <w:sz w:val="17"/>
      <w:szCs w:val="20"/>
      <w:lang w:val="fr-FR"/>
    </w:rPr>
  </w:style>
  <w:style w:type="character" w:customStyle="1" w:styleId="ResumeBulletChar">
    <w:name w:val="Resume Bullet Char"/>
    <w:link w:val="ResumeBullet"/>
    <w:rsid w:val="001E56FD"/>
    <w:rPr>
      <w:rFonts w:ascii="Arial" w:hAnsi="Arial"/>
      <w:bCs/>
      <w:color w:val="545759"/>
      <w:lang w:val="en-GB" w:eastAsia="x-none"/>
    </w:rPr>
  </w:style>
  <w:style w:type="paragraph" w:customStyle="1" w:styleId="SubHeaderBold">
    <w:name w:val="Sub Header Bold"/>
    <w:basedOn w:val="Normal"/>
    <w:autoRedefine/>
    <w:qFormat/>
    <w:rsid w:val="001E56FD"/>
    <w:pPr>
      <w:spacing w:after="120" w:line="240" w:lineRule="auto"/>
      <w:ind w:left="360" w:hanging="360"/>
    </w:pPr>
    <w:rPr>
      <w:rFonts w:cs="Arial"/>
      <w:b/>
      <w:color w:val="545759"/>
      <w:sz w:val="24"/>
      <w:szCs w:val="22"/>
      <w:lang w:val="en-GB"/>
    </w:rPr>
  </w:style>
  <w:style w:type="character" w:customStyle="1" w:styleId="FooterChar">
    <w:name w:val="Footer Char"/>
    <w:basedOn w:val="DefaultParagraphFont"/>
    <w:link w:val="Footer"/>
    <w:uiPriority w:val="99"/>
    <w:rsid w:val="001E56FD"/>
    <w:rPr>
      <w:rFonts w:ascii="Arial" w:hAnsi="Arial"/>
      <w:sz w:val="18"/>
      <w:szCs w:val="24"/>
    </w:rPr>
  </w:style>
  <w:style w:type="paragraph" w:customStyle="1" w:styleId="NameHeader">
    <w:name w:val="Name Header"/>
    <w:basedOn w:val="Normal"/>
    <w:autoRedefine/>
    <w:qFormat/>
    <w:rsid w:val="001E56FD"/>
    <w:pPr>
      <w:spacing w:line="240" w:lineRule="auto"/>
    </w:pPr>
    <w:rPr>
      <w:rFonts w:cs="Arial"/>
      <w:b/>
      <w:noProof/>
      <w:color w:val="95D600"/>
      <w:sz w:val="36"/>
      <w:szCs w:val="30"/>
    </w:rPr>
  </w:style>
  <w:style w:type="paragraph" w:customStyle="1" w:styleId="GeneralBodyText">
    <w:name w:val="General Body Text"/>
    <w:basedOn w:val="Normal"/>
    <w:qFormat/>
    <w:rsid w:val="001E56FD"/>
    <w:pPr>
      <w:tabs>
        <w:tab w:val="left" w:pos="360"/>
        <w:tab w:val="left" w:pos="720"/>
        <w:tab w:val="left" w:pos="1080"/>
        <w:tab w:val="left" w:pos="1440"/>
      </w:tabs>
      <w:spacing w:after="120" w:line="240" w:lineRule="auto"/>
    </w:pPr>
    <w:rPr>
      <w:rFonts w:eastAsia="Calibri" w:cs="Arial"/>
      <w:color w:val="545759"/>
      <w:szCs w:val="20"/>
      <w:lang w:val="en-GB"/>
    </w:rPr>
  </w:style>
  <w:style w:type="paragraph" w:customStyle="1" w:styleId="Headerinfo">
    <w:name w:val="Header info"/>
    <w:basedOn w:val="Normal"/>
    <w:qFormat/>
    <w:rsid w:val="001E56FD"/>
    <w:pPr>
      <w:tabs>
        <w:tab w:val="right" w:pos="9000"/>
      </w:tabs>
      <w:spacing w:line="276" w:lineRule="auto"/>
    </w:pPr>
    <w:rPr>
      <w:rFonts w:cs="Arial"/>
      <w:noProof/>
      <w:color w:val="545759"/>
      <w:sz w:val="24"/>
      <w:szCs w:val="21"/>
      <w:lang w:val="fr-FR"/>
    </w:rPr>
  </w:style>
  <w:style w:type="paragraph" w:customStyle="1" w:styleId="SectionHeading">
    <w:name w:val="Section Heading"/>
    <w:basedOn w:val="Normal"/>
    <w:autoRedefine/>
    <w:qFormat/>
    <w:rsid w:val="001E56FD"/>
    <w:pPr>
      <w:keepNext/>
      <w:pBdr>
        <w:top w:val="single" w:sz="4" w:space="1" w:color="95D600"/>
        <w:left w:val="single" w:sz="4" w:space="4" w:color="95D600"/>
        <w:bottom w:val="single" w:sz="4" w:space="1" w:color="95D600"/>
        <w:right w:val="single" w:sz="4" w:space="4" w:color="95D600"/>
      </w:pBdr>
      <w:shd w:val="clear" w:color="auto" w:fill="95D600"/>
      <w:spacing w:before="240" w:after="120" w:line="276" w:lineRule="auto"/>
    </w:pPr>
    <w:rPr>
      <w:rFonts w:eastAsia="Calibri" w:cs="Arial"/>
      <w:b/>
      <w:bCs/>
      <w:color w:val="FFFFFF" w:themeColor="background1"/>
      <w:sz w:val="22"/>
      <w:szCs w:val="22"/>
      <w:lang w:val="en-GB"/>
    </w:rPr>
  </w:style>
  <w:style w:type="paragraph" w:styleId="BodyText">
    <w:name w:val="Body Text"/>
    <w:basedOn w:val="Normal"/>
    <w:link w:val="BodyTextChar"/>
    <w:unhideWhenUsed/>
    <w:rsid w:val="001E56FD"/>
    <w:pPr>
      <w:spacing w:after="120"/>
    </w:pPr>
  </w:style>
  <w:style w:type="character" w:customStyle="1" w:styleId="BodyTextChar">
    <w:name w:val="Body Text Char"/>
    <w:basedOn w:val="DefaultParagraphFont"/>
    <w:link w:val="BodyText"/>
    <w:rsid w:val="001E56FD"/>
    <w:rPr>
      <w:rFonts w:ascii="Arial" w:hAnsi="Arial"/>
      <w:szCs w:val="24"/>
    </w:rPr>
  </w:style>
  <w:style w:type="paragraph" w:customStyle="1" w:styleId="TitlePage1">
    <w:name w:val="Title Page 1"/>
    <w:basedOn w:val="Normal"/>
    <w:link w:val="TitlePage1Char"/>
    <w:qFormat/>
    <w:rsid w:val="00C36AB6"/>
    <w:pPr>
      <w:jc w:val="center"/>
    </w:pPr>
    <w:rPr>
      <w:b/>
      <w:bCs/>
      <w:color w:val="000000" w:themeColor="text1"/>
      <w:sz w:val="44"/>
    </w:rPr>
  </w:style>
  <w:style w:type="character" w:customStyle="1" w:styleId="TitlePage1Char">
    <w:name w:val="Title Page 1 Char"/>
    <w:link w:val="TitlePage1"/>
    <w:rsid w:val="00C36AB6"/>
    <w:rPr>
      <w:rFonts w:ascii="Arial" w:hAnsi="Arial"/>
      <w:b/>
      <w:bCs/>
      <w:color w:val="000000" w:themeColor="text1"/>
      <w:sz w:val="44"/>
      <w:szCs w:val="24"/>
    </w:rPr>
  </w:style>
  <w:style w:type="paragraph" w:customStyle="1" w:styleId="Contactinfo">
    <w:name w:val="Contact info"/>
    <w:basedOn w:val="Normal"/>
    <w:uiPriority w:val="99"/>
    <w:rsid w:val="00C36AB6"/>
    <w:rPr>
      <w:sz w:val="22"/>
    </w:rPr>
  </w:style>
  <w:style w:type="character" w:styleId="PageNumber">
    <w:name w:val="page number"/>
    <w:basedOn w:val="DefaultParagraphFont"/>
    <w:rsid w:val="00C36AB6"/>
  </w:style>
  <w:style w:type="paragraph" w:customStyle="1" w:styleId="Bullet0">
    <w:name w:val="Bullet 0"/>
    <w:basedOn w:val="Normal"/>
    <w:autoRedefine/>
    <w:rsid w:val="00C36AB6"/>
    <w:pPr>
      <w:tabs>
        <w:tab w:val="num" w:pos="972"/>
      </w:tabs>
      <w:ind w:left="979" w:hanging="432"/>
    </w:pPr>
    <w:rPr>
      <w:sz w:val="22"/>
    </w:rPr>
  </w:style>
  <w:style w:type="paragraph" w:customStyle="1" w:styleId="PresentedBy">
    <w:name w:val="Presented By"/>
    <w:basedOn w:val="Normal"/>
    <w:link w:val="PresentedByChar"/>
    <w:rsid w:val="00C36AB6"/>
    <w:pPr>
      <w:tabs>
        <w:tab w:val="left" w:pos="360"/>
        <w:tab w:val="left" w:pos="720"/>
        <w:tab w:val="left" w:pos="1080"/>
        <w:tab w:val="left" w:pos="1440"/>
      </w:tabs>
    </w:pPr>
    <w:rPr>
      <w:color w:val="6F6754"/>
      <w:sz w:val="22"/>
    </w:rPr>
  </w:style>
  <w:style w:type="character" w:customStyle="1" w:styleId="PresentedByChar">
    <w:name w:val="Presented By Char"/>
    <w:link w:val="PresentedBy"/>
    <w:rsid w:val="00C36AB6"/>
    <w:rPr>
      <w:rFonts w:ascii="Arial" w:hAnsi="Arial"/>
      <w:color w:val="6F6754"/>
      <w:sz w:val="22"/>
      <w:szCs w:val="24"/>
    </w:rPr>
  </w:style>
  <w:style w:type="paragraph" w:customStyle="1" w:styleId="TitlePage2">
    <w:name w:val="Title Page 2"/>
    <w:basedOn w:val="Normal"/>
    <w:link w:val="TitlePage2Char"/>
    <w:qFormat/>
    <w:rsid w:val="00C36AB6"/>
    <w:pPr>
      <w:jc w:val="center"/>
    </w:pPr>
    <w:rPr>
      <w:b/>
      <w:bCs/>
      <w:color w:val="6F6754"/>
      <w:sz w:val="36"/>
      <w:szCs w:val="28"/>
    </w:rPr>
  </w:style>
  <w:style w:type="character" w:customStyle="1" w:styleId="TitlePage2Char">
    <w:name w:val="Title Page 2 Char"/>
    <w:link w:val="TitlePage2"/>
    <w:rsid w:val="00C36AB6"/>
    <w:rPr>
      <w:rFonts w:ascii="Arial" w:hAnsi="Arial"/>
      <w:b/>
      <w:bCs/>
      <w:color w:val="6F6754"/>
      <w:sz w:val="36"/>
      <w:szCs w:val="28"/>
    </w:rPr>
  </w:style>
  <w:style w:type="paragraph" w:styleId="PlainText">
    <w:name w:val="Plain Text"/>
    <w:basedOn w:val="Normal"/>
    <w:link w:val="PlainTextChar"/>
    <w:uiPriority w:val="99"/>
    <w:unhideWhenUsed/>
    <w:rsid w:val="00C36AB6"/>
    <w:rPr>
      <w:rFonts w:ascii="Consolas" w:eastAsia="Calibri" w:hAnsi="Consolas"/>
      <w:sz w:val="21"/>
      <w:szCs w:val="21"/>
    </w:rPr>
  </w:style>
  <w:style w:type="character" w:customStyle="1" w:styleId="PlainTextChar">
    <w:name w:val="Plain Text Char"/>
    <w:basedOn w:val="DefaultParagraphFont"/>
    <w:link w:val="PlainText"/>
    <w:uiPriority w:val="99"/>
    <w:rsid w:val="00C36AB6"/>
    <w:rPr>
      <w:rFonts w:ascii="Consolas" w:eastAsia="Calibri" w:hAnsi="Consolas"/>
      <w:sz w:val="21"/>
      <w:szCs w:val="21"/>
    </w:rPr>
  </w:style>
  <w:style w:type="table" w:styleId="TableList4">
    <w:name w:val="Table List 4"/>
    <w:basedOn w:val="TableNormal"/>
    <w:rsid w:val="00C36AB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EnergyPracticeTable">
    <w:name w:val="Energy Practice Table"/>
    <w:basedOn w:val="TableNormal"/>
    <w:uiPriority w:val="99"/>
    <w:qFormat/>
    <w:rsid w:val="00C36AB6"/>
    <w:pPr>
      <w:spacing w:before="60" w:after="60"/>
      <w:jc w:val="center"/>
    </w:pPr>
    <w:rPr>
      <w:rFonts w:ascii="Palatino Linotype" w:hAnsi="Palatino Linotype"/>
    </w:rPr>
    <w:tblPr>
      <w:tblInd w:w="0" w:type="dxa"/>
      <w:tblBorders>
        <w:bottom w:val="single" w:sz="4" w:space="0" w:color="A29784"/>
        <w:insideH w:val="single" w:sz="4" w:space="0" w:color="A29784"/>
        <w:insideV w:val="single" w:sz="4" w:space="0" w:color="A29784"/>
      </w:tblBorders>
      <w:tblCellMar>
        <w:top w:w="0" w:type="dxa"/>
        <w:left w:w="108" w:type="dxa"/>
        <w:bottom w:w="0" w:type="dxa"/>
        <w:right w:w="108" w:type="dxa"/>
      </w:tblCellMar>
    </w:tblPr>
    <w:tcPr>
      <w:vAlign w:val="center"/>
    </w:tcPr>
    <w:tblStylePr w:type="firstRow">
      <w:pPr>
        <w:wordWrap/>
        <w:spacing w:beforeLines="0" w:beforeAutospacing="0" w:afterLines="0" w:afterAutospacing="0" w:line="240" w:lineRule="auto"/>
        <w:jc w:val="center"/>
      </w:pPr>
      <w:rPr>
        <w:rFonts w:ascii="Garamond" w:hAnsi="Garamond"/>
        <w:b/>
        <w:color w:val="FFFFFF"/>
        <w:sz w:val="20"/>
      </w:rPr>
      <w:tblPr/>
      <w:trPr>
        <w:tblHeader/>
      </w:trPr>
      <w:tcPr>
        <w:tcBorders>
          <w:top w:val="nil"/>
          <w:left w:val="nil"/>
          <w:bottom w:val="single" w:sz="4" w:space="0" w:color="993300"/>
          <w:right w:val="nil"/>
          <w:insideH w:val="nil"/>
          <w:insideV w:val="single" w:sz="4" w:space="0" w:color="FFFFFF"/>
          <w:tl2br w:val="nil"/>
          <w:tr2bl w:val="nil"/>
        </w:tcBorders>
        <w:shd w:val="clear" w:color="auto" w:fill="A29784"/>
        <w:vAlign w:val="bottom"/>
      </w:tcPr>
    </w:tblStylePr>
    <w:tblStylePr w:type="firstCol">
      <w:pPr>
        <w:wordWrap/>
        <w:spacing w:beforeLines="0" w:beforeAutospacing="0" w:afterLines="0" w:afterAutospacing="0" w:line="240" w:lineRule="auto"/>
        <w:jc w:val="left"/>
      </w:pPr>
      <w:rPr>
        <w:rFonts w:ascii="Garamond" w:hAnsi="Garamond"/>
        <w:color w:val="auto"/>
        <w:sz w:val="20"/>
      </w:rPr>
    </w:tblStylePr>
  </w:style>
  <w:style w:type="paragraph" w:customStyle="1" w:styleId="Tableheading">
    <w:name w:val="Table heading"/>
    <w:basedOn w:val="Normal"/>
    <w:uiPriority w:val="99"/>
    <w:rsid w:val="00C36AB6"/>
    <w:pPr>
      <w:spacing w:after="60"/>
      <w:jc w:val="center"/>
    </w:pPr>
    <w:rPr>
      <w:rFonts w:ascii="Times New Roman" w:hAnsi="Times New Roman"/>
      <w:b/>
      <w:sz w:val="22"/>
    </w:rPr>
  </w:style>
  <w:style w:type="paragraph" w:customStyle="1" w:styleId="Bullets">
    <w:name w:val="Bullets"/>
    <w:basedOn w:val="Normal"/>
    <w:uiPriority w:val="99"/>
    <w:rsid w:val="00C36AB6"/>
    <w:pPr>
      <w:numPr>
        <w:numId w:val="10"/>
      </w:numPr>
      <w:tabs>
        <w:tab w:val="left" w:pos="720"/>
      </w:tabs>
    </w:pPr>
    <w:rPr>
      <w:rFonts w:ascii="Times New Roman" w:hAnsi="Times New Roman"/>
      <w:sz w:val="22"/>
    </w:rPr>
  </w:style>
  <w:style w:type="paragraph" w:customStyle="1" w:styleId="Bullets-Short">
    <w:name w:val="Bullets - Short"/>
    <w:basedOn w:val="Bullets"/>
    <w:uiPriority w:val="99"/>
    <w:rsid w:val="00C36AB6"/>
    <w:pPr>
      <w:numPr>
        <w:numId w:val="0"/>
      </w:numPr>
      <w:tabs>
        <w:tab w:val="num" w:pos="720"/>
      </w:tabs>
      <w:spacing w:before="120"/>
      <w:ind w:left="720" w:hanging="360"/>
    </w:pPr>
  </w:style>
  <w:style w:type="paragraph" w:customStyle="1" w:styleId="Default">
    <w:name w:val="Default"/>
    <w:rsid w:val="00C36AB6"/>
    <w:pPr>
      <w:autoSpaceDE w:val="0"/>
      <w:autoSpaceDN w:val="0"/>
      <w:adjustRightInd w:val="0"/>
    </w:pPr>
    <w:rPr>
      <w:color w:val="000000"/>
      <w:sz w:val="24"/>
      <w:szCs w:val="24"/>
    </w:rPr>
  </w:style>
  <w:style w:type="table" w:customStyle="1" w:styleId="Style3">
    <w:name w:val="Style3"/>
    <w:basedOn w:val="TableNormal"/>
    <w:uiPriority w:val="99"/>
    <w:qFormat/>
    <w:rsid w:val="00C36AB6"/>
    <w:pPr>
      <w:jc w:val="center"/>
    </w:pPr>
    <w:rPr>
      <w:rFonts w:ascii="Palatino Linotype" w:hAnsi="Palatino Linotype"/>
      <w:sz w:val="22"/>
    </w:rPr>
    <w:tblPr>
      <w:tblInd w:w="0" w:type="dxa"/>
      <w:tblBorders>
        <w:bottom w:val="single" w:sz="4" w:space="0" w:color="A29784"/>
        <w:insideH w:val="single" w:sz="4" w:space="0" w:color="A29784"/>
        <w:insideV w:val="single" w:sz="4" w:space="0" w:color="A29784"/>
      </w:tblBorders>
      <w:tblCellMar>
        <w:top w:w="0" w:type="dxa"/>
        <w:left w:w="108" w:type="dxa"/>
        <w:bottom w:w="0" w:type="dxa"/>
        <w:right w:w="108" w:type="dxa"/>
      </w:tblCellMar>
    </w:tblPr>
    <w:tcPr>
      <w:vAlign w:val="center"/>
    </w:tcPr>
    <w:tblStylePr w:type="firstRow">
      <w:pPr>
        <w:wordWrap/>
        <w:spacing w:beforeLines="0" w:beforeAutospacing="0" w:afterLines="0" w:afterAutospacing="0" w:line="240" w:lineRule="auto"/>
        <w:jc w:val="center"/>
      </w:pPr>
      <w:rPr>
        <w:rFonts w:ascii="Palatino Linotype" w:hAnsi="Palatino Linotype"/>
        <w:b/>
        <w:color w:val="FFFFFF"/>
        <w:sz w:val="22"/>
      </w:rPr>
      <w:tblPr/>
      <w:tcPr>
        <w:tcBorders>
          <w:top w:val="nil"/>
          <w:left w:val="nil"/>
          <w:bottom w:val="nil"/>
          <w:right w:val="nil"/>
          <w:insideH w:val="nil"/>
          <w:insideV w:val="single" w:sz="4" w:space="0" w:color="FFFFFF"/>
          <w:tl2br w:val="nil"/>
          <w:tr2bl w:val="nil"/>
        </w:tcBorders>
        <w:shd w:val="clear" w:color="auto" w:fill="A29784"/>
        <w:vAlign w:val="bottom"/>
      </w:tcPr>
    </w:tblStylePr>
    <w:tblStylePr w:type="firstCol">
      <w:pPr>
        <w:wordWrap/>
        <w:spacing w:beforeLines="0" w:beforeAutospacing="0" w:afterLines="0" w:afterAutospacing="0" w:line="240" w:lineRule="auto"/>
        <w:jc w:val="left"/>
      </w:pPr>
      <w:rPr>
        <w:rFonts w:ascii="Palatino Linotype" w:hAnsi="Palatino Linotype"/>
        <w:color w:val="auto"/>
        <w:sz w:val="22"/>
      </w:rPr>
    </w:tblStylePr>
  </w:style>
  <w:style w:type="paragraph" w:customStyle="1" w:styleId="Question">
    <w:name w:val="Question"/>
    <w:basedOn w:val="Normal"/>
    <w:next w:val="Normal"/>
    <w:link w:val="QuestionChar"/>
    <w:qFormat/>
    <w:rsid w:val="00C36AB6"/>
    <w:pPr>
      <w:ind w:left="432" w:hanging="432"/>
    </w:pPr>
    <w:rPr>
      <w:rFonts w:ascii="Times New Roman" w:hAnsi="Times New Roman"/>
      <w:color w:val="000080"/>
      <w:sz w:val="22"/>
      <w:szCs w:val="20"/>
    </w:rPr>
  </w:style>
  <w:style w:type="paragraph" w:customStyle="1" w:styleId="Tabletext">
    <w:name w:val="Table text"/>
    <w:basedOn w:val="Normal"/>
    <w:uiPriority w:val="99"/>
    <w:rsid w:val="00C36AB6"/>
    <w:pPr>
      <w:spacing w:before="60"/>
    </w:pPr>
    <w:rPr>
      <w:rFonts w:ascii="Times New Roman" w:hAnsi="Times New Roman"/>
      <w:sz w:val="22"/>
    </w:rPr>
  </w:style>
  <w:style w:type="paragraph" w:customStyle="1" w:styleId="FaxBodyText">
    <w:name w:val="Fax Body Text"/>
    <w:basedOn w:val="Normal"/>
    <w:qFormat/>
    <w:rsid w:val="00C36AB6"/>
    <w:pPr>
      <w:framePr w:hSpace="180" w:wrap="around" w:vAnchor="text" w:hAnchor="text" w:y="55"/>
    </w:pPr>
    <w:rPr>
      <w:rFonts w:asciiTheme="minorHAnsi" w:eastAsiaTheme="minorHAnsi" w:hAnsiTheme="minorHAnsi" w:cstheme="minorBidi"/>
      <w:sz w:val="18"/>
      <w:szCs w:val="22"/>
    </w:rPr>
  </w:style>
  <w:style w:type="paragraph" w:styleId="NormalWeb">
    <w:name w:val="Normal (Web)"/>
    <w:basedOn w:val="Normal"/>
    <w:uiPriority w:val="99"/>
    <w:unhideWhenUsed/>
    <w:rsid w:val="00C36AB6"/>
    <w:pPr>
      <w:spacing w:before="100" w:beforeAutospacing="1" w:after="100" w:afterAutospacing="1"/>
    </w:pPr>
    <w:rPr>
      <w:rFonts w:ascii="Times New Roman" w:hAnsi="Times New Roman"/>
      <w:sz w:val="24"/>
    </w:rPr>
  </w:style>
  <w:style w:type="table" w:customStyle="1" w:styleId="MediumShading1-Accent11">
    <w:name w:val="Medium Shading 1 - Accent 11"/>
    <w:basedOn w:val="TableNormal"/>
    <w:uiPriority w:val="63"/>
    <w:rsid w:val="00C36AB6"/>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GraphFootnote">
    <w:name w:val="Graph Footnote"/>
    <w:basedOn w:val="Normal"/>
    <w:next w:val="Normal"/>
    <w:uiPriority w:val="99"/>
    <w:rsid w:val="00C36AB6"/>
    <w:rPr>
      <w:i/>
      <w:sz w:val="18"/>
    </w:rPr>
  </w:style>
  <w:style w:type="paragraph" w:styleId="ListBullet">
    <w:name w:val="List Bullet"/>
    <w:basedOn w:val="Normal"/>
    <w:uiPriority w:val="99"/>
    <w:rsid w:val="00C36AB6"/>
    <w:pPr>
      <w:tabs>
        <w:tab w:val="num" w:pos="360"/>
      </w:tabs>
      <w:ind w:left="360" w:hanging="360"/>
    </w:pPr>
    <w:rPr>
      <w:rFonts w:ascii="Times New Roman" w:hAnsi="Times New Roman"/>
      <w:sz w:val="24"/>
    </w:rPr>
  </w:style>
  <w:style w:type="paragraph" w:customStyle="1" w:styleId="Questionfollowon">
    <w:name w:val="Question follow on"/>
    <w:basedOn w:val="Question"/>
    <w:next w:val="Normal"/>
    <w:rsid w:val="00C36AB6"/>
    <w:pPr>
      <w:keepNext/>
      <w:tabs>
        <w:tab w:val="left" w:pos="1260"/>
      </w:tabs>
      <w:overflowPunct w:val="0"/>
      <w:autoSpaceDE w:val="0"/>
      <w:autoSpaceDN w:val="0"/>
      <w:adjustRightInd w:val="0"/>
      <w:spacing w:line="276" w:lineRule="auto"/>
      <w:ind w:left="1260" w:hanging="540"/>
      <w:textAlignment w:val="baseline"/>
    </w:pPr>
    <w:rPr>
      <w:b/>
      <w:color w:val="auto"/>
      <w:szCs w:val="22"/>
    </w:rPr>
  </w:style>
  <w:style w:type="character" w:customStyle="1" w:styleId="QuestionChar">
    <w:name w:val="Question Char"/>
    <w:basedOn w:val="DefaultParagraphFont"/>
    <w:link w:val="Question"/>
    <w:rsid w:val="00C36AB6"/>
    <w:rPr>
      <w:color w:val="000080"/>
      <w:sz w:val="22"/>
    </w:rPr>
  </w:style>
  <w:style w:type="paragraph" w:styleId="NoSpacing">
    <w:name w:val="No Spacing"/>
    <w:uiPriority w:val="1"/>
    <w:qFormat/>
    <w:rsid w:val="00C36AB6"/>
    <w:pPr>
      <w:tabs>
        <w:tab w:val="left" w:pos="360"/>
        <w:tab w:val="left" w:pos="720"/>
        <w:tab w:val="left" w:pos="1080"/>
        <w:tab w:val="left" w:pos="1440"/>
      </w:tabs>
    </w:pPr>
    <w:rPr>
      <w:rFonts w:ascii="Palatino Linotype" w:hAnsi="Palatino Linotype"/>
      <w:sz w:val="22"/>
      <w:szCs w:val="24"/>
    </w:rPr>
  </w:style>
  <w:style w:type="paragraph" w:customStyle="1" w:styleId="ESHeading2">
    <w:name w:val="ES Heading 2"/>
    <w:basedOn w:val="Heading2"/>
    <w:next w:val="Normal"/>
    <w:uiPriority w:val="99"/>
    <w:rsid w:val="00C36AB6"/>
    <w:pPr>
      <w:numPr>
        <w:ilvl w:val="0"/>
        <w:numId w:val="0"/>
      </w:numPr>
      <w:tabs>
        <w:tab w:val="left" w:pos="720"/>
      </w:tabs>
      <w:spacing w:after="240"/>
    </w:pPr>
    <w:rPr>
      <w:rFonts w:cs="Times New Roman"/>
      <w:bCs w:val="0"/>
      <w:i/>
      <w:iCs w:val="0"/>
      <w:szCs w:val="36"/>
    </w:rPr>
  </w:style>
  <w:style w:type="paragraph" w:customStyle="1" w:styleId="ESHeading3">
    <w:name w:val="ES Heading 3"/>
    <w:basedOn w:val="Heading3"/>
    <w:next w:val="Normal"/>
    <w:rsid w:val="00C36AB6"/>
    <w:pPr>
      <w:numPr>
        <w:ilvl w:val="0"/>
        <w:numId w:val="11"/>
      </w:numPr>
      <w:tabs>
        <w:tab w:val="left" w:pos="1080"/>
      </w:tabs>
      <w:spacing w:before="0"/>
    </w:pPr>
    <w:rPr>
      <w:szCs w:val="32"/>
    </w:rPr>
  </w:style>
  <w:style w:type="paragraph" w:customStyle="1" w:styleId="Bullets-SingleSpace">
    <w:name w:val="Bullets - Single Space"/>
    <w:basedOn w:val="Bullets"/>
    <w:uiPriority w:val="99"/>
    <w:rsid w:val="00C36AB6"/>
    <w:pPr>
      <w:numPr>
        <w:numId w:val="12"/>
      </w:numPr>
      <w:tabs>
        <w:tab w:val="clear" w:pos="720"/>
        <w:tab w:val="num" w:pos="936"/>
      </w:tabs>
    </w:pPr>
    <w:rPr>
      <w:sz w:val="20"/>
      <w:szCs w:val="22"/>
    </w:rPr>
  </w:style>
  <w:style w:type="paragraph" w:customStyle="1" w:styleId="Finding">
    <w:name w:val="Finding"/>
    <w:basedOn w:val="Normal"/>
    <w:link w:val="FindingChar"/>
    <w:qFormat/>
    <w:rsid w:val="00C36AB6"/>
    <w:pPr>
      <w:ind w:left="1080" w:hanging="360"/>
    </w:pPr>
  </w:style>
  <w:style w:type="character" w:customStyle="1" w:styleId="FindingChar">
    <w:name w:val="Finding Char"/>
    <w:basedOn w:val="DefaultParagraphFont"/>
    <w:link w:val="Finding"/>
    <w:rsid w:val="00C36AB6"/>
    <w:rPr>
      <w:rFonts w:ascii="Arial" w:hAnsi="Arial"/>
      <w:szCs w:val="24"/>
    </w:rPr>
  </w:style>
  <w:style w:type="paragraph" w:customStyle="1" w:styleId="MTDisplayEquation">
    <w:name w:val="MTDisplayEquation"/>
    <w:basedOn w:val="Normal"/>
    <w:next w:val="Normal"/>
    <w:link w:val="MTDisplayEquationChar"/>
    <w:rsid w:val="00C36AB6"/>
    <w:pPr>
      <w:tabs>
        <w:tab w:val="center" w:pos="4680"/>
        <w:tab w:val="right" w:pos="9360"/>
      </w:tabs>
      <w:spacing w:after="200" w:line="276" w:lineRule="auto"/>
    </w:pPr>
    <w:rPr>
      <w:rFonts w:ascii="Garamond" w:eastAsiaTheme="minorHAnsi" w:hAnsi="Garamond" w:cstheme="minorBidi"/>
      <w:sz w:val="22"/>
      <w:szCs w:val="22"/>
    </w:rPr>
  </w:style>
  <w:style w:type="character" w:customStyle="1" w:styleId="MTDisplayEquationChar">
    <w:name w:val="MTDisplayEquation Char"/>
    <w:basedOn w:val="DefaultParagraphFont"/>
    <w:link w:val="MTDisplayEquation"/>
    <w:rsid w:val="00C36AB6"/>
    <w:rPr>
      <w:rFonts w:ascii="Garamond" w:eastAsiaTheme="minorHAnsi" w:hAnsi="Garamond" w:cstheme="minorBidi"/>
      <w:sz w:val="22"/>
      <w:szCs w:val="22"/>
    </w:rPr>
  </w:style>
  <w:style w:type="character" w:styleId="FollowedHyperlink">
    <w:name w:val="FollowedHyperlink"/>
    <w:basedOn w:val="DefaultParagraphFont"/>
    <w:semiHidden/>
    <w:unhideWhenUsed/>
    <w:rsid w:val="00C36AB6"/>
    <w:rPr>
      <w:color w:val="954F72" w:themeColor="followedHyperlink"/>
      <w:u w:val="single"/>
    </w:rPr>
  </w:style>
  <w:style w:type="paragraph" w:styleId="Salutation">
    <w:name w:val="Salutation"/>
    <w:basedOn w:val="Normal"/>
    <w:next w:val="Normal"/>
    <w:link w:val="SalutationChar"/>
    <w:rsid w:val="00C36AB6"/>
    <w:pPr>
      <w:tabs>
        <w:tab w:val="left" w:pos="360"/>
        <w:tab w:val="left" w:pos="720"/>
        <w:tab w:val="left" w:pos="1080"/>
        <w:tab w:val="left" w:pos="1440"/>
        <w:tab w:val="left" w:pos="1800"/>
        <w:tab w:val="left" w:pos="2160"/>
        <w:tab w:val="left" w:pos="2520"/>
        <w:tab w:val="left" w:pos="2880"/>
        <w:tab w:val="left" w:pos="3240"/>
        <w:tab w:val="left" w:pos="3600"/>
      </w:tabs>
      <w:spacing w:line="240" w:lineRule="exact"/>
      <w:jc w:val="both"/>
    </w:pPr>
    <w:rPr>
      <w:rFonts w:ascii="Times New Roman" w:hAnsi="Times New Roman"/>
      <w:sz w:val="22"/>
      <w:szCs w:val="20"/>
    </w:rPr>
  </w:style>
  <w:style w:type="character" w:customStyle="1" w:styleId="SalutationChar">
    <w:name w:val="Salutation Char"/>
    <w:basedOn w:val="DefaultParagraphFont"/>
    <w:link w:val="Salutation"/>
    <w:rsid w:val="00C36AB6"/>
    <w:rPr>
      <w:sz w:val="22"/>
    </w:rPr>
  </w:style>
  <w:style w:type="paragraph" w:customStyle="1" w:styleId="MemoFrame">
    <w:name w:val="Memo Frame"/>
    <w:basedOn w:val="Normal"/>
    <w:rsid w:val="00C36AB6"/>
    <w:pPr>
      <w:spacing w:line="240" w:lineRule="exact"/>
    </w:pPr>
    <w:rPr>
      <w:rFonts w:ascii="Arial Narrow" w:hAnsi="Arial Narrow"/>
      <w:b/>
    </w:rPr>
  </w:style>
  <w:style w:type="character" w:customStyle="1" w:styleId="TitleChar">
    <w:name w:val="Title Char"/>
    <w:basedOn w:val="DefaultParagraphFont"/>
    <w:link w:val="Title"/>
    <w:rsid w:val="00C36AB6"/>
    <w:rPr>
      <w:rFonts w:ascii="Arial" w:hAnsi="Arial"/>
      <w:b/>
      <w:bCs/>
      <w:color w:val="95D600"/>
      <w:sz w:val="5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note text" w:uiPriority="99"/>
    <w:lsdException w:name="footer" w:uiPriority="99"/>
    <w:lsdException w:name="caption" w:qFormat="1"/>
    <w:lsdException w:name="table of figures" w:uiPriority="99"/>
    <w:lsdException w:name="footnote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qFormat="1"/>
  </w:latentStyles>
  <w:style w:type="paragraph" w:default="1" w:styleId="Normal">
    <w:name w:val="Normal"/>
    <w:qFormat/>
    <w:rsid w:val="00502CCD"/>
    <w:pPr>
      <w:spacing w:line="240" w:lineRule="atLeast"/>
    </w:pPr>
    <w:rPr>
      <w:rFonts w:ascii="Arial" w:hAnsi="Arial"/>
      <w:szCs w:val="24"/>
    </w:rPr>
  </w:style>
  <w:style w:type="paragraph" w:styleId="Heading1">
    <w:name w:val="heading 1"/>
    <w:basedOn w:val="Normal"/>
    <w:next w:val="Normal"/>
    <w:link w:val="Heading1Char"/>
    <w:qFormat/>
    <w:rsid w:val="001C5559"/>
    <w:pPr>
      <w:keepNext/>
      <w:keepLines/>
      <w:pageBreakBefore/>
      <w:numPr>
        <w:numId w:val="6"/>
      </w:numPr>
      <w:pBdr>
        <w:top w:val="single" w:sz="12" w:space="1" w:color="555759" w:themeColor="accent2"/>
        <w:left w:val="single" w:sz="12" w:space="4" w:color="555759" w:themeColor="accent2"/>
        <w:bottom w:val="single" w:sz="12" w:space="1" w:color="555759" w:themeColor="accent2"/>
        <w:right w:val="single" w:sz="12" w:space="4" w:color="555759" w:themeColor="accent2"/>
      </w:pBdr>
      <w:shd w:val="clear" w:color="auto" w:fill="555759" w:themeFill="accent2"/>
      <w:spacing w:before="360" w:after="360" w:line="240" w:lineRule="auto"/>
      <w:outlineLvl w:val="0"/>
    </w:pPr>
    <w:rPr>
      <w:rFonts w:ascii="Arial Bold" w:hAnsi="Arial Bold" w:cs="Arial"/>
      <w:b/>
      <w:bCs/>
      <w:caps/>
      <w:color w:val="FFFFFF" w:themeColor="background1"/>
      <w:kern w:val="28"/>
      <w:position w:val="6"/>
      <w:sz w:val="26"/>
      <w:szCs w:val="26"/>
    </w:rPr>
  </w:style>
  <w:style w:type="paragraph" w:styleId="Heading2">
    <w:name w:val="heading 2"/>
    <w:basedOn w:val="Normal"/>
    <w:next w:val="Normal"/>
    <w:link w:val="Heading2Char"/>
    <w:qFormat/>
    <w:rsid w:val="00F04CC9"/>
    <w:pPr>
      <w:keepNext/>
      <w:numPr>
        <w:ilvl w:val="1"/>
        <w:numId w:val="6"/>
      </w:numPr>
      <w:spacing w:before="240" w:after="120"/>
      <w:outlineLvl w:val="1"/>
    </w:pPr>
    <w:rPr>
      <w:rFonts w:ascii="Arial Bold" w:hAnsi="Arial Bold" w:cs="Arial"/>
      <w:b/>
      <w:bCs/>
      <w:iCs/>
      <w:caps/>
      <w:color w:val="95D600"/>
      <w:sz w:val="26"/>
      <w:szCs w:val="28"/>
    </w:rPr>
  </w:style>
  <w:style w:type="paragraph" w:styleId="Heading3">
    <w:name w:val="heading 3"/>
    <w:basedOn w:val="Normal"/>
    <w:next w:val="Normal"/>
    <w:link w:val="Heading3Char"/>
    <w:qFormat/>
    <w:rsid w:val="008D0E9A"/>
    <w:pPr>
      <w:keepNext/>
      <w:numPr>
        <w:ilvl w:val="2"/>
        <w:numId w:val="6"/>
      </w:numPr>
      <w:spacing w:before="240" w:after="120"/>
      <w:outlineLvl w:val="2"/>
    </w:pPr>
    <w:rPr>
      <w:rFonts w:cs="Arial"/>
      <w:b/>
      <w:bCs/>
      <w:color w:val="555759" w:themeColor="accent2"/>
      <w:sz w:val="24"/>
      <w:szCs w:val="26"/>
    </w:rPr>
  </w:style>
  <w:style w:type="paragraph" w:styleId="Heading4">
    <w:name w:val="heading 4"/>
    <w:basedOn w:val="Normal"/>
    <w:next w:val="Normal"/>
    <w:link w:val="Heading4Char"/>
    <w:unhideWhenUsed/>
    <w:qFormat/>
    <w:rsid w:val="008D0E9A"/>
    <w:pPr>
      <w:keepNext/>
      <w:keepLines/>
      <w:numPr>
        <w:ilvl w:val="3"/>
        <w:numId w:val="6"/>
      </w:numPr>
      <w:spacing w:before="240" w:after="120"/>
      <w:outlineLvl w:val="3"/>
    </w:pPr>
    <w:rPr>
      <w:rFonts w:eastAsiaTheme="majorEastAsia" w:cstheme="majorBidi"/>
      <w:b/>
      <w:bCs/>
      <w:i/>
      <w:iCs/>
      <w:color w:val="555759"/>
      <w:kern w:val="28"/>
      <w:sz w:val="22"/>
      <w:szCs w:val="20"/>
    </w:rPr>
  </w:style>
  <w:style w:type="paragraph" w:styleId="Heading5">
    <w:name w:val="heading 5"/>
    <w:aliases w:val="Append Level 1"/>
    <w:basedOn w:val="Normal"/>
    <w:next w:val="Normal"/>
    <w:link w:val="Heading5Char"/>
    <w:unhideWhenUsed/>
    <w:qFormat/>
    <w:rsid w:val="001C5559"/>
    <w:pPr>
      <w:keepNext/>
      <w:keepLines/>
      <w:pageBreakBefore/>
      <w:numPr>
        <w:ilvl w:val="4"/>
        <w:numId w:val="6"/>
      </w:numPr>
      <w:pBdr>
        <w:top w:val="single" w:sz="12" w:space="1" w:color="555759" w:themeColor="accent2"/>
        <w:left w:val="single" w:sz="12" w:space="4" w:color="555759" w:themeColor="accent2"/>
        <w:bottom w:val="single" w:sz="12" w:space="1" w:color="555759" w:themeColor="accent2"/>
        <w:right w:val="single" w:sz="12" w:space="4" w:color="555759" w:themeColor="accent2"/>
      </w:pBdr>
      <w:shd w:val="clear" w:color="auto" w:fill="555759" w:themeFill="accent2"/>
      <w:spacing w:before="360" w:after="360" w:line="240" w:lineRule="auto"/>
      <w:outlineLvl w:val="4"/>
    </w:pPr>
    <w:rPr>
      <w:rFonts w:ascii="Arial Bold" w:eastAsiaTheme="majorEastAsia" w:hAnsi="Arial Bold" w:cstheme="majorBidi"/>
      <w:b/>
      <w:caps/>
      <w:color w:val="FFFFFF" w:themeColor="background1"/>
      <w:kern w:val="28"/>
      <w:position w:val="6"/>
      <w:sz w:val="26"/>
      <w:szCs w:val="26"/>
    </w:rPr>
  </w:style>
  <w:style w:type="paragraph" w:styleId="Heading6">
    <w:name w:val="heading 6"/>
    <w:aliases w:val="Append Level 2"/>
    <w:next w:val="Normal"/>
    <w:link w:val="Heading6Char"/>
    <w:unhideWhenUsed/>
    <w:qFormat/>
    <w:rsid w:val="00496080"/>
    <w:pPr>
      <w:keepNext/>
      <w:keepLines/>
      <w:numPr>
        <w:ilvl w:val="5"/>
        <w:numId w:val="6"/>
      </w:numPr>
      <w:spacing w:before="240" w:after="240"/>
      <w:outlineLvl w:val="5"/>
    </w:pPr>
    <w:rPr>
      <w:rFonts w:ascii="Arial Bold" w:eastAsiaTheme="majorEastAsia" w:hAnsi="Arial Bold" w:cstheme="majorBidi"/>
      <w:b/>
      <w:iCs/>
      <w:caps/>
      <w:color w:val="95D600" w:themeColor="accent1"/>
      <w:kern w:val="28"/>
      <w:position w:val="6"/>
      <w:sz w:val="24"/>
      <w:szCs w:val="24"/>
    </w:rPr>
  </w:style>
  <w:style w:type="paragraph" w:styleId="Heading7">
    <w:name w:val="heading 7"/>
    <w:aliases w:val="Exec Sum Level 1"/>
    <w:basedOn w:val="ExecSummaryHead1"/>
    <w:next w:val="Normal"/>
    <w:link w:val="Heading7Char"/>
    <w:unhideWhenUsed/>
    <w:qFormat/>
    <w:rsid w:val="001C5559"/>
    <w:pPr>
      <w:outlineLvl w:val="6"/>
    </w:pPr>
    <w:rPr>
      <w:sz w:val="26"/>
      <w:szCs w:val="26"/>
    </w:rPr>
  </w:style>
  <w:style w:type="paragraph" w:styleId="Heading8">
    <w:name w:val="heading 8"/>
    <w:aliases w:val="Exec Sum Level 2"/>
    <w:basedOn w:val="Normal"/>
    <w:next w:val="Normal"/>
    <w:link w:val="Heading8Char"/>
    <w:unhideWhenUsed/>
    <w:qFormat/>
    <w:rsid w:val="00F04CC9"/>
    <w:pPr>
      <w:keepNext/>
      <w:keepLines/>
      <w:spacing w:before="240" w:after="120"/>
      <w:outlineLvl w:val="7"/>
    </w:pPr>
    <w:rPr>
      <w:rFonts w:ascii="Arial Bold" w:eastAsiaTheme="majorEastAsia" w:hAnsi="Arial Bold" w:cstheme="majorBidi"/>
      <w:b/>
      <w:caps/>
      <w:color w:val="95D600" w:themeColor="accent1"/>
      <w:sz w:val="26"/>
      <w:szCs w:val="26"/>
    </w:rPr>
  </w:style>
  <w:style w:type="paragraph" w:styleId="Heading9">
    <w:name w:val="heading 9"/>
    <w:aliases w:val="Exec Sum Level 3"/>
    <w:basedOn w:val="Normal"/>
    <w:next w:val="Normal"/>
    <w:link w:val="Heading9Char"/>
    <w:unhideWhenUsed/>
    <w:qFormat/>
    <w:rsid w:val="00F90B35"/>
    <w:pPr>
      <w:keepNext/>
      <w:keepLines/>
      <w:spacing w:before="240" w:after="240"/>
      <w:outlineLvl w:val="8"/>
    </w:pPr>
    <w:rPr>
      <w:rFonts w:eastAsiaTheme="majorEastAsia" w:cstheme="majorBidi"/>
      <w:b/>
      <w:iCs/>
      <w:color w:val="555759" w:themeColor="accent2"/>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Classic2">
    <w:name w:val="Table Classic 2"/>
    <w:basedOn w:val="TableNormal"/>
    <w:rsid w:val="00E3636E"/>
    <w:pPr>
      <w:tabs>
        <w:tab w:val="left" w:pos="360"/>
        <w:tab w:val="left" w:pos="720"/>
        <w:tab w:val="left" w:pos="1080"/>
        <w:tab w:val="left" w:pos="1440"/>
      </w:tabs>
    </w:pPr>
    <w:rPr>
      <w:rFonts w:ascii="Arial" w:hAnsi="Arial"/>
      <w:sz w:val="18"/>
      <w:szCs w:val="18"/>
    </w:rPr>
    <w:tblPr>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15" w:type="dxa"/>
        <w:bottom w:w="0" w:type="dxa"/>
        <w:right w:w="115" w:type="dxa"/>
      </w:tblCellMar>
    </w:tblPr>
    <w:trPr>
      <w:jc w:val="center"/>
    </w:trPr>
    <w:tcPr>
      <w:shd w:val="clear" w:color="auto" w:fill="auto"/>
    </w:tcPr>
    <w:tblStylePr w:type="firstRow">
      <w:rPr>
        <w:rFonts w:ascii="Arial" w:hAnsi="Arial"/>
        <w:b/>
        <w:i w:val="0"/>
        <w:color w:val="auto"/>
        <w:sz w:val="18"/>
        <w:szCs w:val="18"/>
      </w:rPr>
      <w:tblPr/>
      <w:tcPr>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l2br w:val="nil"/>
          <w:tr2bl w:val="nil"/>
        </w:tcBorders>
        <w:shd w:val="clear" w:color="auto" w:fill="CCCCFF"/>
      </w:tcPr>
    </w:tblStylePr>
    <w:tblStylePr w:type="lastRow">
      <w:rPr>
        <w:rFonts w:ascii="Arial" w:hAnsi="Arial"/>
        <w:color w:val="auto"/>
        <w:sz w:val="18"/>
      </w:rPr>
      <w:tblPr/>
      <w:tcPr>
        <w:tcBorders>
          <w:top w:val="single" w:sz="6" w:space="0" w:color="000000"/>
          <w:tl2br w:val="none" w:sz="0" w:space="0" w:color="auto"/>
          <w:tr2bl w:val="none" w:sz="0" w:space="0" w:color="auto"/>
        </w:tcBorders>
      </w:tcPr>
    </w:tblStylePr>
    <w:tblStylePr w:type="firstCol">
      <w:rPr>
        <w:rFonts w:ascii="Arial" w:hAnsi="Arial"/>
        <w:b/>
        <w:bCs/>
        <w:sz w:val="18"/>
      </w:rPr>
      <w:tblPr/>
      <w:tcPr>
        <w:shd w:val="clear" w:color="auto" w:fill="FFFF99"/>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numbering" w:customStyle="1" w:styleId="StyleBulleted6">
    <w:name w:val="Style Bulleted6"/>
    <w:rsid w:val="004C38FE"/>
    <w:pPr>
      <w:numPr>
        <w:numId w:val="1"/>
      </w:numPr>
    </w:pPr>
  </w:style>
  <w:style w:type="numbering" w:customStyle="1" w:styleId="StyleBulleted9">
    <w:name w:val="Style Bulleted9"/>
    <w:basedOn w:val="NoList"/>
    <w:rsid w:val="004C38FE"/>
    <w:pPr>
      <w:numPr>
        <w:numId w:val="2"/>
      </w:numPr>
    </w:pPr>
  </w:style>
  <w:style w:type="paragraph" w:styleId="Header">
    <w:name w:val="header"/>
    <w:basedOn w:val="Normal"/>
    <w:link w:val="HeaderChar"/>
    <w:rsid w:val="001412F5"/>
    <w:pPr>
      <w:tabs>
        <w:tab w:val="center" w:pos="4320"/>
        <w:tab w:val="right" w:pos="8640"/>
      </w:tabs>
    </w:pPr>
  </w:style>
  <w:style w:type="paragraph" w:styleId="Footer">
    <w:name w:val="footer"/>
    <w:basedOn w:val="Normal"/>
    <w:link w:val="FooterChar"/>
    <w:uiPriority w:val="99"/>
    <w:rsid w:val="00474639"/>
    <w:pPr>
      <w:tabs>
        <w:tab w:val="center" w:pos="4320"/>
        <w:tab w:val="right" w:pos="8640"/>
      </w:tabs>
      <w:spacing w:line="240" w:lineRule="auto"/>
    </w:pPr>
    <w:rPr>
      <w:sz w:val="18"/>
    </w:rPr>
  </w:style>
  <w:style w:type="paragraph" w:styleId="Title">
    <w:name w:val="Title"/>
    <w:basedOn w:val="Normal"/>
    <w:link w:val="TitleChar"/>
    <w:qFormat/>
    <w:rsid w:val="00F85AC0"/>
    <w:pPr>
      <w:tabs>
        <w:tab w:val="left" w:pos="360"/>
        <w:tab w:val="left" w:pos="720"/>
        <w:tab w:val="left" w:pos="1080"/>
        <w:tab w:val="left" w:pos="1440"/>
      </w:tabs>
      <w:spacing w:line="240" w:lineRule="auto"/>
    </w:pPr>
    <w:rPr>
      <w:b/>
      <w:bCs/>
      <w:color w:val="95D600"/>
      <w:sz w:val="52"/>
    </w:rPr>
  </w:style>
  <w:style w:type="paragraph" w:styleId="Subtitle">
    <w:name w:val="Subtitle"/>
    <w:basedOn w:val="Normal"/>
    <w:qFormat/>
    <w:rsid w:val="00AC4319"/>
    <w:pPr>
      <w:tabs>
        <w:tab w:val="left" w:pos="360"/>
        <w:tab w:val="left" w:pos="720"/>
        <w:tab w:val="left" w:pos="1080"/>
        <w:tab w:val="left" w:pos="1440"/>
      </w:tabs>
    </w:pPr>
    <w:rPr>
      <w:b/>
      <w:bCs/>
      <w:sz w:val="28"/>
    </w:rPr>
  </w:style>
  <w:style w:type="character" w:customStyle="1" w:styleId="CoverText">
    <w:name w:val="Cover Text"/>
    <w:basedOn w:val="DefaultParagraphFont"/>
    <w:rsid w:val="00AC4319"/>
    <w:rPr>
      <w:rFonts w:ascii="Arial" w:hAnsi="Arial"/>
      <w:color w:val="545759"/>
      <w:sz w:val="20"/>
    </w:rPr>
  </w:style>
  <w:style w:type="paragraph" w:styleId="TOC1">
    <w:name w:val="toc 1"/>
    <w:basedOn w:val="Normal"/>
    <w:next w:val="Normal"/>
    <w:autoRedefine/>
    <w:uiPriority w:val="39"/>
    <w:rsid w:val="00F85AC0"/>
    <w:pPr>
      <w:tabs>
        <w:tab w:val="left" w:pos="540"/>
        <w:tab w:val="right" w:leader="dot" w:pos="9270"/>
      </w:tabs>
      <w:spacing w:before="120" w:line="360" w:lineRule="auto"/>
      <w:ind w:left="540" w:hanging="540"/>
    </w:pPr>
    <w:rPr>
      <w:b/>
      <w:noProof/>
      <w:snapToGrid w:val="0"/>
      <w:sz w:val="24"/>
    </w:rPr>
  </w:style>
  <w:style w:type="paragraph" w:styleId="TOC2">
    <w:name w:val="toc 2"/>
    <w:basedOn w:val="Normal"/>
    <w:next w:val="Normal"/>
    <w:autoRedefine/>
    <w:uiPriority w:val="39"/>
    <w:rsid w:val="0004343E"/>
    <w:pPr>
      <w:tabs>
        <w:tab w:val="left" w:pos="1080"/>
        <w:tab w:val="right" w:leader="dot" w:pos="9278"/>
      </w:tabs>
      <w:ind w:left="1080" w:hanging="540"/>
    </w:pPr>
    <w:rPr>
      <w:noProof/>
    </w:rPr>
  </w:style>
  <w:style w:type="paragraph" w:styleId="TOC3">
    <w:name w:val="toc 3"/>
    <w:basedOn w:val="Normal"/>
    <w:next w:val="Normal"/>
    <w:autoRedefine/>
    <w:uiPriority w:val="39"/>
    <w:rsid w:val="0004343E"/>
    <w:pPr>
      <w:tabs>
        <w:tab w:val="left" w:pos="1800"/>
        <w:tab w:val="right" w:leader="dot" w:pos="9278"/>
      </w:tabs>
      <w:ind w:left="1800" w:hanging="720"/>
    </w:pPr>
    <w:rPr>
      <w:rFonts w:eastAsiaTheme="minorEastAsia" w:cstheme="minorBidi"/>
      <w:noProof/>
      <w:szCs w:val="20"/>
    </w:rPr>
  </w:style>
  <w:style w:type="character" w:styleId="Hyperlink">
    <w:name w:val="Hyperlink"/>
    <w:basedOn w:val="DefaultParagraphFont"/>
    <w:uiPriority w:val="99"/>
    <w:rsid w:val="005E53D6"/>
    <w:rPr>
      <w:rFonts w:ascii="Arial" w:hAnsi="Arial"/>
      <w:color w:val="95D600"/>
      <w:sz w:val="20"/>
      <w:u w:val="single"/>
    </w:rPr>
  </w:style>
  <w:style w:type="paragraph" w:styleId="TOCHeading">
    <w:name w:val="TOC Heading"/>
    <w:next w:val="Normal"/>
    <w:link w:val="TOCHeadingChar"/>
    <w:qFormat/>
    <w:rsid w:val="00B67238"/>
    <w:pPr>
      <w:keepNext/>
      <w:keepLines/>
      <w:pageBreakBefore/>
      <w:widowControl w:val="0"/>
      <w:pBdr>
        <w:top w:val="single" w:sz="12" w:space="1" w:color="555759" w:themeColor="accent2"/>
        <w:left w:val="single" w:sz="12" w:space="4" w:color="555759" w:themeColor="accent2"/>
        <w:bottom w:val="single" w:sz="12" w:space="1" w:color="555759" w:themeColor="accent2"/>
        <w:right w:val="single" w:sz="12" w:space="4" w:color="555759" w:themeColor="accent2"/>
      </w:pBdr>
      <w:shd w:val="clear" w:color="auto" w:fill="555759" w:themeFill="accent2"/>
      <w:tabs>
        <w:tab w:val="left" w:pos="720"/>
        <w:tab w:val="left" w:pos="1267"/>
      </w:tabs>
      <w:spacing w:before="360" w:after="360"/>
      <w:ind w:left="720" w:hanging="720"/>
    </w:pPr>
    <w:rPr>
      <w:rFonts w:ascii="Arial Bold" w:hAnsi="Arial Bold"/>
      <w:b/>
      <w:caps/>
      <w:color w:val="FFFFFF" w:themeColor="background1"/>
      <w:kern w:val="28"/>
      <w:position w:val="6"/>
      <w:sz w:val="24"/>
      <w:szCs w:val="24"/>
    </w:rPr>
  </w:style>
  <w:style w:type="numbering" w:customStyle="1" w:styleId="StyleNumberedLeft025Hanging025">
    <w:name w:val="Style Numbered Left:  0.25&quot; Hanging:  0.25&quot;"/>
    <w:basedOn w:val="NoList"/>
    <w:rsid w:val="0051710C"/>
    <w:pPr>
      <w:numPr>
        <w:numId w:val="3"/>
      </w:numPr>
    </w:pPr>
  </w:style>
  <w:style w:type="paragraph" w:styleId="FootnoteText">
    <w:name w:val="footnote text"/>
    <w:basedOn w:val="Normal"/>
    <w:link w:val="FootnoteTextChar"/>
    <w:uiPriority w:val="99"/>
    <w:rsid w:val="00FA6862"/>
    <w:pPr>
      <w:keepLines/>
    </w:pPr>
    <w:rPr>
      <w:sz w:val="18"/>
      <w:szCs w:val="20"/>
    </w:rPr>
  </w:style>
  <w:style w:type="character" w:styleId="FootnoteReference">
    <w:name w:val="footnote reference"/>
    <w:basedOn w:val="DefaultParagraphFont"/>
    <w:uiPriority w:val="99"/>
    <w:rsid w:val="00A31D1C"/>
    <w:rPr>
      <w:vertAlign w:val="superscript"/>
    </w:rPr>
  </w:style>
  <w:style w:type="paragraph" w:styleId="Caption">
    <w:name w:val="caption"/>
    <w:aliases w:val="Table Caption,Char,Caption Char1 Char"/>
    <w:basedOn w:val="Normal"/>
    <w:next w:val="Normal"/>
    <w:link w:val="CaptionChar"/>
    <w:qFormat/>
    <w:rsid w:val="00F04CC9"/>
    <w:pPr>
      <w:keepNext/>
      <w:spacing w:after="120"/>
      <w:jc w:val="center"/>
    </w:pPr>
    <w:rPr>
      <w:b/>
      <w:bCs/>
      <w:color w:val="2A2B2C" w:themeColor="accent2" w:themeShade="80"/>
      <w:szCs w:val="20"/>
    </w:rPr>
  </w:style>
  <w:style w:type="numbering" w:customStyle="1" w:styleId="StyleBulletedLeft0Hanging03">
    <w:name w:val="Style Bulleted Left:  0&quot; Hanging:  0.3&quot;"/>
    <w:basedOn w:val="NoList"/>
    <w:rsid w:val="006D7C30"/>
    <w:pPr>
      <w:numPr>
        <w:numId w:val="4"/>
      </w:numPr>
    </w:pPr>
  </w:style>
  <w:style w:type="paragraph" w:customStyle="1" w:styleId="StyleCaptionWhite">
    <w:name w:val="Style Caption + White"/>
    <w:basedOn w:val="Caption"/>
    <w:rsid w:val="006D7C30"/>
    <w:pPr>
      <w:spacing w:before="120"/>
    </w:pPr>
    <w:rPr>
      <w:color w:val="FFFFFF"/>
      <w14:textFill>
        <w14:solidFill>
          <w14:srgbClr w14:val="FFFFFF">
            <w14:lumMod w14:val="50000"/>
          </w14:srgbClr>
        </w14:solidFill>
      </w14:textFill>
    </w:rPr>
  </w:style>
  <w:style w:type="numbering" w:customStyle="1" w:styleId="StyleBulleted">
    <w:name w:val="Style Bulleted"/>
    <w:basedOn w:val="NoList"/>
    <w:rsid w:val="00895452"/>
    <w:pPr>
      <w:numPr>
        <w:numId w:val="5"/>
      </w:numPr>
    </w:pPr>
  </w:style>
  <w:style w:type="character" w:customStyle="1" w:styleId="Heading4Char">
    <w:name w:val="Heading 4 Char"/>
    <w:basedOn w:val="DefaultParagraphFont"/>
    <w:link w:val="Heading4"/>
    <w:rsid w:val="008D0E9A"/>
    <w:rPr>
      <w:rFonts w:ascii="Arial" w:eastAsiaTheme="majorEastAsia" w:hAnsi="Arial" w:cstheme="majorBidi"/>
      <w:b/>
      <w:bCs/>
      <w:i/>
      <w:iCs/>
      <w:color w:val="555759"/>
      <w:kern w:val="28"/>
      <w:sz w:val="22"/>
    </w:rPr>
  </w:style>
  <w:style w:type="character" w:customStyle="1" w:styleId="Heading5Char">
    <w:name w:val="Heading 5 Char"/>
    <w:aliases w:val="Append Level 1 Char"/>
    <w:basedOn w:val="DefaultParagraphFont"/>
    <w:link w:val="Heading5"/>
    <w:rsid w:val="001C5559"/>
    <w:rPr>
      <w:rFonts w:ascii="Arial Bold" w:eastAsiaTheme="majorEastAsia" w:hAnsi="Arial Bold" w:cstheme="majorBidi"/>
      <w:b/>
      <w:caps/>
      <w:color w:val="FFFFFF" w:themeColor="background1"/>
      <w:kern w:val="28"/>
      <w:position w:val="6"/>
      <w:sz w:val="26"/>
      <w:szCs w:val="26"/>
      <w:shd w:val="clear" w:color="auto" w:fill="555759" w:themeFill="accent2"/>
    </w:rPr>
  </w:style>
  <w:style w:type="character" w:customStyle="1" w:styleId="Heading6Char">
    <w:name w:val="Heading 6 Char"/>
    <w:aliases w:val="Append Level 2 Char"/>
    <w:basedOn w:val="DefaultParagraphFont"/>
    <w:link w:val="Heading6"/>
    <w:rsid w:val="00496080"/>
    <w:rPr>
      <w:rFonts w:ascii="Arial Bold" w:eastAsiaTheme="majorEastAsia" w:hAnsi="Arial Bold" w:cstheme="majorBidi"/>
      <w:b/>
      <w:iCs/>
      <w:caps/>
      <w:color w:val="95D600" w:themeColor="accent1"/>
      <w:kern w:val="28"/>
      <w:position w:val="6"/>
      <w:sz w:val="24"/>
      <w:szCs w:val="24"/>
    </w:rPr>
  </w:style>
  <w:style w:type="character" w:customStyle="1" w:styleId="Heading7Char">
    <w:name w:val="Heading 7 Char"/>
    <w:aliases w:val="Exec Sum Level 1 Char"/>
    <w:basedOn w:val="DefaultParagraphFont"/>
    <w:link w:val="Heading7"/>
    <w:rsid w:val="001C5559"/>
    <w:rPr>
      <w:rFonts w:ascii="Arial Bold" w:hAnsi="Arial Bold"/>
      <w:b/>
      <w:caps/>
      <w:color w:val="FFFFFF" w:themeColor="background1"/>
      <w:kern w:val="28"/>
      <w:position w:val="6"/>
      <w:sz w:val="26"/>
      <w:szCs w:val="26"/>
      <w:shd w:val="clear" w:color="auto" w:fill="555759" w:themeFill="accent2"/>
    </w:rPr>
  </w:style>
  <w:style w:type="character" w:customStyle="1" w:styleId="Heading8Char">
    <w:name w:val="Heading 8 Char"/>
    <w:aliases w:val="Exec Sum Level 2 Char"/>
    <w:basedOn w:val="DefaultParagraphFont"/>
    <w:link w:val="Heading8"/>
    <w:rsid w:val="00F04CC9"/>
    <w:rPr>
      <w:rFonts w:ascii="Arial Bold" w:eastAsiaTheme="majorEastAsia" w:hAnsi="Arial Bold" w:cstheme="majorBidi"/>
      <w:b/>
      <w:caps/>
      <w:color w:val="95D600" w:themeColor="accent1"/>
      <w:sz w:val="26"/>
      <w:szCs w:val="26"/>
    </w:rPr>
  </w:style>
  <w:style w:type="character" w:customStyle="1" w:styleId="Heading9Char">
    <w:name w:val="Heading 9 Char"/>
    <w:aliases w:val="Exec Sum Level 3 Char"/>
    <w:basedOn w:val="DefaultParagraphFont"/>
    <w:link w:val="Heading9"/>
    <w:rsid w:val="00F90B35"/>
    <w:rPr>
      <w:rFonts w:ascii="Arial" w:eastAsiaTheme="majorEastAsia" w:hAnsi="Arial" w:cstheme="majorBidi"/>
      <w:b/>
      <w:iCs/>
      <w:color w:val="555759" w:themeColor="accent2"/>
      <w:sz w:val="22"/>
    </w:rPr>
  </w:style>
  <w:style w:type="table" w:customStyle="1" w:styleId="EnergyTable">
    <w:name w:val="Energy Table"/>
    <w:basedOn w:val="TableNormal"/>
    <w:uiPriority w:val="99"/>
    <w:qFormat/>
    <w:rsid w:val="00A4787E"/>
    <w:pPr>
      <w:spacing w:before="40" w:after="40"/>
      <w:jc w:val="center"/>
    </w:pPr>
    <w:rPr>
      <w:rFonts w:ascii="Arial" w:hAnsi="Arial"/>
    </w:rPr>
    <w:tblPr>
      <w:tblStyleRowBandSize w:val="1"/>
      <w:jc w:val="center"/>
      <w:tblInd w:w="0" w:type="dxa"/>
      <w:tblBorders>
        <w:top w:val="single" w:sz="8" w:space="0" w:color="DDD9C3"/>
        <w:bottom w:val="single" w:sz="4" w:space="0" w:color="555759" w:themeColor="accent2"/>
        <w:insideH w:val="single" w:sz="8" w:space="0" w:color="DCDDDE" w:themeColor="accent2" w:themeTint="33"/>
      </w:tblBorders>
      <w:tblCellMar>
        <w:top w:w="0" w:type="dxa"/>
        <w:left w:w="108" w:type="dxa"/>
        <w:bottom w:w="0" w:type="dxa"/>
        <w:right w:w="108" w:type="dxa"/>
      </w:tblCellMar>
    </w:tblPr>
    <w:trPr>
      <w:cantSplit/>
      <w:jc w:val="center"/>
    </w:trPr>
    <w:tcPr>
      <w:vAlign w:val="center"/>
    </w:tcPr>
    <w:tblStylePr w:type="firstRow">
      <w:pPr>
        <w:jc w:val="center"/>
      </w:pPr>
      <w:rPr>
        <w:rFonts w:ascii="Arial" w:hAnsi="Arial"/>
        <w:b/>
        <w:color w:val="FFFFFF" w:themeColor="background1"/>
        <w:sz w:val="20"/>
      </w:rPr>
      <w:tblPr/>
      <w:tcPr>
        <w:tcBorders>
          <w:bottom w:val="single" w:sz="12" w:space="0" w:color="95D600" w:themeColor="accent1"/>
        </w:tcBorders>
        <w:shd w:val="clear" w:color="auto" w:fill="555759" w:themeFill="accent2"/>
      </w:tcPr>
    </w:tblStylePr>
    <w:tblStylePr w:type="lastRow">
      <w:pPr>
        <w:jc w:val="center"/>
      </w:pPr>
      <w:rPr>
        <w:rFonts w:ascii="Arial Narrow" w:hAnsi="Arial Narrow"/>
        <w:b/>
      </w:rPr>
      <w:tblPr/>
      <w:tcPr>
        <w:tcBorders>
          <w:top w:val="double" w:sz="4" w:space="0" w:color="545759"/>
          <w:bottom w:val="single" w:sz="4" w:space="0" w:color="545759"/>
        </w:tcBorders>
      </w:tcPr>
    </w:tblStylePr>
    <w:tblStylePr w:type="firstCol">
      <w:rPr>
        <w:rFonts w:ascii="Palatino Linotype" w:hAnsi="Palatino Linotype"/>
        <w:b w:val="0"/>
        <w:color w:val="auto"/>
      </w:rPr>
    </w:tblStylePr>
    <w:tblStylePr w:type="band1Horz">
      <w:pPr>
        <w:jc w:val="center"/>
      </w:pPr>
      <w:tblPr/>
      <w:tcPr>
        <w:vAlign w:val="center"/>
      </w:tcPr>
    </w:tblStylePr>
    <w:tblStylePr w:type="band2Horz">
      <w:pPr>
        <w:jc w:val="center"/>
      </w:pPr>
      <w:tblPr/>
      <w:tcPr>
        <w:shd w:val="clear" w:color="auto" w:fill="FFFFFF" w:themeFill="background1"/>
      </w:tcPr>
    </w:tblStylePr>
  </w:style>
  <w:style w:type="paragraph" w:styleId="ListParagraph">
    <w:name w:val="List Paragraph"/>
    <w:basedOn w:val="Normal"/>
    <w:link w:val="ListParagraphChar"/>
    <w:uiPriority w:val="34"/>
    <w:qFormat/>
    <w:rsid w:val="00590834"/>
    <w:pPr>
      <w:spacing w:before="120"/>
      <w:ind w:left="720"/>
    </w:pPr>
  </w:style>
  <w:style w:type="table" w:styleId="TableGrid">
    <w:name w:val="Table Grid"/>
    <w:basedOn w:val="TableNormal"/>
    <w:uiPriority w:val="59"/>
    <w:rsid w:val="0099309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cicollapsed1">
    <w:name w:val="acicollapsed1"/>
    <w:basedOn w:val="DefaultParagraphFont"/>
    <w:rsid w:val="0042309A"/>
    <w:rPr>
      <w:vanish/>
      <w:webHidden w:val="0"/>
      <w:specVanish w:val="0"/>
    </w:rPr>
  </w:style>
  <w:style w:type="table" w:styleId="TableList7">
    <w:name w:val="Table List 7"/>
    <w:basedOn w:val="TableNormal"/>
    <w:rsid w:val="00DC45E4"/>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paragraph" w:customStyle="1" w:styleId="ExecSummaryHead1">
    <w:name w:val="Exec Summary Head 1"/>
    <w:basedOn w:val="TOCHeading"/>
    <w:next w:val="Normal"/>
    <w:link w:val="ExecSummaryHead1Char"/>
    <w:rsid w:val="00B533D4"/>
  </w:style>
  <w:style w:type="character" w:customStyle="1" w:styleId="TOCHeadingChar">
    <w:name w:val="TOC Heading Char"/>
    <w:basedOn w:val="DefaultParagraphFont"/>
    <w:link w:val="TOCHeading"/>
    <w:rsid w:val="00B67238"/>
    <w:rPr>
      <w:rFonts w:ascii="Arial Bold" w:hAnsi="Arial Bold"/>
      <w:b/>
      <w:caps/>
      <w:color w:val="FFFFFF" w:themeColor="background1"/>
      <w:kern w:val="28"/>
      <w:position w:val="6"/>
      <w:sz w:val="24"/>
      <w:szCs w:val="24"/>
      <w:shd w:val="clear" w:color="auto" w:fill="555759" w:themeFill="accent2"/>
    </w:rPr>
  </w:style>
  <w:style w:type="character" w:customStyle="1" w:styleId="ExecSummaryHead1Char">
    <w:name w:val="Exec Summary Head 1 Char"/>
    <w:basedOn w:val="TOCHeadingChar"/>
    <w:link w:val="ExecSummaryHead1"/>
    <w:rsid w:val="00B533D4"/>
    <w:rPr>
      <w:rFonts w:ascii="Arial Bold" w:hAnsi="Arial Bold"/>
      <w:b/>
      <w:caps/>
      <w:color w:val="555759"/>
      <w:kern w:val="28"/>
      <w:position w:val="6"/>
      <w:sz w:val="24"/>
      <w:szCs w:val="24"/>
      <w:shd w:val="clear" w:color="auto" w:fill="95D600"/>
    </w:rPr>
  </w:style>
  <w:style w:type="character" w:customStyle="1" w:styleId="Heading1Char">
    <w:name w:val="Heading 1 Char"/>
    <w:basedOn w:val="DefaultParagraphFont"/>
    <w:link w:val="Heading1"/>
    <w:rsid w:val="001C5559"/>
    <w:rPr>
      <w:rFonts w:ascii="Arial Bold" w:hAnsi="Arial Bold" w:cs="Arial"/>
      <w:b/>
      <w:bCs/>
      <w:caps/>
      <w:color w:val="FFFFFF" w:themeColor="background1"/>
      <w:kern w:val="28"/>
      <w:position w:val="6"/>
      <w:sz w:val="26"/>
      <w:szCs w:val="26"/>
      <w:shd w:val="clear" w:color="auto" w:fill="555759" w:themeFill="accent2"/>
    </w:rPr>
  </w:style>
  <w:style w:type="character" w:customStyle="1" w:styleId="Heading2Char">
    <w:name w:val="Heading 2 Char"/>
    <w:basedOn w:val="DefaultParagraphFont"/>
    <w:link w:val="Heading2"/>
    <w:rsid w:val="00F04CC9"/>
    <w:rPr>
      <w:rFonts w:ascii="Arial Bold" w:hAnsi="Arial Bold" w:cs="Arial"/>
      <w:b/>
      <w:bCs/>
      <w:iCs/>
      <w:caps/>
      <w:color w:val="95D600"/>
      <w:sz w:val="26"/>
      <w:szCs w:val="28"/>
    </w:rPr>
  </w:style>
  <w:style w:type="character" w:customStyle="1" w:styleId="Heading3Char">
    <w:name w:val="Heading 3 Char"/>
    <w:basedOn w:val="DefaultParagraphFont"/>
    <w:link w:val="Heading3"/>
    <w:rsid w:val="008D0E9A"/>
    <w:rPr>
      <w:rFonts w:ascii="Arial" w:hAnsi="Arial" w:cs="Arial"/>
      <w:b/>
      <w:bCs/>
      <w:color w:val="555759" w:themeColor="accent2"/>
      <w:sz w:val="24"/>
      <w:szCs w:val="26"/>
    </w:rPr>
  </w:style>
  <w:style w:type="character" w:styleId="PlaceholderText">
    <w:name w:val="Placeholder Text"/>
    <w:basedOn w:val="DefaultParagraphFont"/>
    <w:uiPriority w:val="99"/>
    <w:semiHidden/>
    <w:rsid w:val="00522F1F"/>
    <w:rPr>
      <w:color w:val="808080"/>
    </w:rPr>
  </w:style>
  <w:style w:type="paragraph" w:styleId="TOC4">
    <w:name w:val="toc 4"/>
    <w:basedOn w:val="Normal"/>
    <w:next w:val="Normal"/>
    <w:autoRedefine/>
    <w:uiPriority w:val="39"/>
    <w:rsid w:val="0004343E"/>
    <w:pPr>
      <w:tabs>
        <w:tab w:val="left" w:pos="2700"/>
        <w:tab w:val="right" w:leader="dot" w:pos="9278"/>
      </w:tabs>
      <w:spacing w:after="100"/>
      <w:ind w:left="2700" w:hanging="900"/>
    </w:pPr>
    <w:rPr>
      <w:i/>
      <w:noProof/>
    </w:rPr>
  </w:style>
  <w:style w:type="character" w:customStyle="1" w:styleId="CaptionChar">
    <w:name w:val="Caption Char"/>
    <w:aliases w:val="Table Caption Char,Char Char,Caption Char1 Char Char"/>
    <w:basedOn w:val="DefaultParagraphFont"/>
    <w:link w:val="Caption"/>
    <w:rsid w:val="00F04CC9"/>
    <w:rPr>
      <w:rFonts w:ascii="Arial" w:hAnsi="Arial"/>
      <w:b/>
      <w:bCs/>
      <w:color w:val="2A2B2C" w:themeColor="accent2" w:themeShade="80"/>
    </w:rPr>
  </w:style>
  <w:style w:type="paragraph" w:styleId="TableofFigures">
    <w:name w:val="table of figures"/>
    <w:basedOn w:val="Normal"/>
    <w:next w:val="Normal"/>
    <w:uiPriority w:val="99"/>
    <w:rsid w:val="00B9017B"/>
    <w:pPr>
      <w:tabs>
        <w:tab w:val="right" w:leader="dot" w:pos="9274"/>
      </w:tabs>
    </w:pPr>
  </w:style>
  <w:style w:type="character" w:styleId="Strong">
    <w:name w:val="Strong"/>
    <w:basedOn w:val="DefaultParagraphFont"/>
    <w:qFormat/>
    <w:rsid w:val="00E01468"/>
    <w:rPr>
      <w:rFonts w:ascii="Palatino Linotype" w:hAnsi="Palatino Linotype"/>
      <w:b/>
      <w:bCs/>
      <w:sz w:val="20"/>
    </w:rPr>
  </w:style>
  <w:style w:type="character" w:styleId="Emphasis">
    <w:name w:val="Emphasis"/>
    <w:basedOn w:val="DefaultParagraphFont"/>
    <w:qFormat/>
    <w:rsid w:val="005E53D6"/>
    <w:rPr>
      <w:rFonts w:ascii="Arial" w:hAnsi="Arial"/>
      <w:i/>
      <w:iCs/>
      <w:sz w:val="20"/>
    </w:rPr>
  </w:style>
  <w:style w:type="paragraph" w:customStyle="1" w:styleId="Source">
    <w:name w:val="Source"/>
    <w:basedOn w:val="Normal"/>
    <w:link w:val="SourceChar"/>
    <w:qFormat/>
    <w:rsid w:val="00496080"/>
    <w:pPr>
      <w:spacing w:after="240"/>
      <w:ind w:left="900"/>
    </w:pPr>
    <w:rPr>
      <w:i/>
      <w:sz w:val="16"/>
      <w:szCs w:val="20"/>
    </w:rPr>
  </w:style>
  <w:style w:type="character" w:customStyle="1" w:styleId="SourceChar">
    <w:name w:val="Source Char"/>
    <w:basedOn w:val="DefaultParagraphFont"/>
    <w:link w:val="Source"/>
    <w:rsid w:val="00496080"/>
    <w:rPr>
      <w:rFonts w:ascii="Arial" w:hAnsi="Arial"/>
      <w:i/>
      <w:sz w:val="16"/>
    </w:rPr>
  </w:style>
  <w:style w:type="character" w:customStyle="1" w:styleId="HeaderChar">
    <w:name w:val="Header Char"/>
    <w:basedOn w:val="DefaultParagraphFont"/>
    <w:link w:val="Header"/>
    <w:locked/>
    <w:rsid w:val="00D60388"/>
    <w:rPr>
      <w:rFonts w:ascii="Palatino Linotype" w:hAnsi="Palatino Linotype"/>
      <w:szCs w:val="24"/>
    </w:rPr>
  </w:style>
  <w:style w:type="character" w:customStyle="1" w:styleId="ListParagraphChar">
    <w:name w:val="List Paragraph Char"/>
    <w:basedOn w:val="DefaultParagraphFont"/>
    <w:link w:val="ListParagraph"/>
    <w:uiPriority w:val="34"/>
    <w:locked/>
    <w:rsid w:val="001E6048"/>
    <w:rPr>
      <w:rFonts w:ascii="Palatino Linotype" w:hAnsi="Palatino Linotype"/>
      <w:szCs w:val="24"/>
    </w:rPr>
  </w:style>
  <w:style w:type="table" w:customStyle="1" w:styleId="MediumShading1-Accent61">
    <w:name w:val="Medium Shading 1 - Accent 61"/>
    <w:basedOn w:val="TableNormal"/>
    <w:next w:val="MediumShading1-Accent6"/>
    <w:uiPriority w:val="63"/>
    <w:rsid w:val="00EB4B79"/>
    <w:rPr>
      <w:rFonts w:eastAsia="Calibri"/>
    </w:rPr>
    <w:tblPr>
      <w:tblStyleRowBandSize w:val="1"/>
      <w:tblStyleColBandSize w:val="1"/>
      <w:tblInd w:w="0" w:type="dxa"/>
      <w:tblBorders>
        <w:top w:val="single" w:sz="8" w:space="0" w:color="98BF1E"/>
        <w:left w:val="single" w:sz="8" w:space="0" w:color="98BF1E"/>
        <w:bottom w:val="single" w:sz="8" w:space="0" w:color="98BF1E"/>
        <w:right w:val="single" w:sz="8" w:space="0" w:color="98BF1E"/>
        <w:insideH w:val="single" w:sz="8" w:space="0" w:color="98BF1E"/>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98BF1E"/>
          <w:left w:val="single" w:sz="8" w:space="0" w:color="98BF1E"/>
          <w:bottom w:val="single" w:sz="8" w:space="0" w:color="98BF1E"/>
          <w:right w:val="single" w:sz="8" w:space="0" w:color="98BF1E"/>
          <w:insideH w:val="nil"/>
          <w:insideV w:val="nil"/>
        </w:tcBorders>
        <w:shd w:val="clear" w:color="auto" w:fill="566C11"/>
      </w:tcPr>
    </w:tblStylePr>
    <w:tblStylePr w:type="lastRow">
      <w:pPr>
        <w:spacing w:before="0" w:after="0" w:line="240" w:lineRule="auto"/>
      </w:pPr>
      <w:rPr>
        <w:b/>
        <w:bCs/>
      </w:rPr>
      <w:tblPr/>
      <w:tcPr>
        <w:tcBorders>
          <w:top w:val="double" w:sz="6" w:space="0" w:color="98BF1E"/>
          <w:left w:val="single" w:sz="8" w:space="0" w:color="98BF1E"/>
          <w:bottom w:val="single" w:sz="8" w:space="0" w:color="98BF1E"/>
          <w:right w:val="single" w:sz="8" w:space="0" w:color="98BF1E"/>
          <w:insideH w:val="nil"/>
          <w:insideV w:val="nil"/>
        </w:tcBorders>
      </w:tcPr>
    </w:tblStylePr>
    <w:tblStylePr w:type="firstCol">
      <w:rPr>
        <w:b/>
        <w:bCs/>
      </w:rPr>
    </w:tblStylePr>
    <w:tblStylePr w:type="lastCol">
      <w:rPr>
        <w:b/>
        <w:bCs/>
      </w:rPr>
    </w:tblStylePr>
    <w:tblStylePr w:type="band1Vert">
      <w:tblPr/>
      <w:tcPr>
        <w:shd w:val="clear" w:color="auto" w:fill="E1F2AC"/>
      </w:tcPr>
    </w:tblStylePr>
    <w:tblStylePr w:type="band1Horz">
      <w:tblPr/>
      <w:tcPr>
        <w:tcBorders>
          <w:insideH w:val="nil"/>
          <w:insideV w:val="nil"/>
        </w:tcBorders>
        <w:shd w:val="clear" w:color="auto" w:fill="E1F2AC"/>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EB4B79"/>
    <w:tblPr>
      <w:tblStyleRowBandSize w:val="1"/>
      <w:tblStyleColBandSize w:val="1"/>
      <w:tblInd w:w="0" w:type="dxa"/>
      <w:tblBorders>
        <w:top w:val="single" w:sz="8" w:space="0" w:color="00B5DA" w:themeColor="accent6" w:themeTint="BF"/>
        <w:left w:val="single" w:sz="8" w:space="0" w:color="00B5DA" w:themeColor="accent6" w:themeTint="BF"/>
        <w:bottom w:val="single" w:sz="8" w:space="0" w:color="00B5DA" w:themeColor="accent6" w:themeTint="BF"/>
        <w:right w:val="single" w:sz="8" w:space="0" w:color="00B5DA" w:themeColor="accent6" w:themeTint="BF"/>
        <w:insideH w:val="single" w:sz="8" w:space="0" w:color="00B5DA"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00B5DA" w:themeColor="accent6" w:themeTint="BF"/>
          <w:left w:val="single" w:sz="8" w:space="0" w:color="00B5DA" w:themeColor="accent6" w:themeTint="BF"/>
          <w:bottom w:val="single" w:sz="8" w:space="0" w:color="00B5DA" w:themeColor="accent6" w:themeTint="BF"/>
          <w:right w:val="single" w:sz="8" w:space="0" w:color="00B5DA" w:themeColor="accent6" w:themeTint="BF"/>
          <w:insideH w:val="nil"/>
          <w:insideV w:val="nil"/>
        </w:tcBorders>
        <w:shd w:val="clear" w:color="auto" w:fill="006579" w:themeFill="accent6"/>
      </w:tcPr>
    </w:tblStylePr>
    <w:tblStylePr w:type="lastRow">
      <w:pPr>
        <w:spacing w:before="0" w:after="0" w:line="240" w:lineRule="auto"/>
      </w:pPr>
      <w:rPr>
        <w:b/>
        <w:bCs/>
      </w:rPr>
      <w:tblPr/>
      <w:tcPr>
        <w:tcBorders>
          <w:top w:val="double" w:sz="6" w:space="0" w:color="00B5DA" w:themeColor="accent6" w:themeTint="BF"/>
          <w:left w:val="single" w:sz="8" w:space="0" w:color="00B5DA" w:themeColor="accent6" w:themeTint="BF"/>
          <w:bottom w:val="single" w:sz="8" w:space="0" w:color="00B5DA" w:themeColor="accent6" w:themeTint="BF"/>
          <w:right w:val="single" w:sz="8" w:space="0" w:color="00B5DA" w:themeColor="accent6" w:themeTint="BF"/>
          <w:insideH w:val="nil"/>
          <w:insideV w:val="nil"/>
        </w:tcBorders>
      </w:tcPr>
    </w:tblStylePr>
    <w:tblStylePr w:type="firstCol">
      <w:rPr>
        <w:b/>
        <w:bCs/>
      </w:rPr>
    </w:tblStylePr>
    <w:tblStylePr w:type="lastCol">
      <w:rPr>
        <w:b/>
        <w:bCs/>
      </w:rPr>
    </w:tblStylePr>
    <w:tblStylePr w:type="band1Vert">
      <w:tblPr/>
      <w:tcPr>
        <w:shd w:val="clear" w:color="auto" w:fill="9EEEFF" w:themeFill="accent6" w:themeFillTint="3F"/>
      </w:tcPr>
    </w:tblStylePr>
    <w:tblStylePr w:type="band1Horz">
      <w:tblPr/>
      <w:tcPr>
        <w:tcBorders>
          <w:insideH w:val="nil"/>
          <w:insideV w:val="nil"/>
        </w:tcBorders>
        <w:shd w:val="clear" w:color="auto" w:fill="9EEEFF" w:themeFill="accent6" w:themeFillTint="3F"/>
      </w:tcPr>
    </w:tblStylePr>
    <w:tblStylePr w:type="band2Horz">
      <w:tblPr/>
      <w:tcPr>
        <w:tcBorders>
          <w:insideH w:val="nil"/>
          <w:insideV w:val="nil"/>
        </w:tcBorders>
      </w:tcPr>
    </w:tblStylePr>
  </w:style>
  <w:style w:type="paragraph" w:styleId="BalloonText">
    <w:name w:val="Balloon Text"/>
    <w:basedOn w:val="Normal"/>
    <w:link w:val="BalloonTextChar"/>
    <w:rsid w:val="00A60DC7"/>
    <w:rPr>
      <w:rFonts w:ascii="Tahoma" w:hAnsi="Tahoma" w:cs="Tahoma"/>
      <w:sz w:val="16"/>
      <w:szCs w:val="16"/>
    </w:rPr>
  </w:style>
  <w:style w:type="character" w:customStyle="1" w:styleId="BalloonTextChar">
    <w:name w:val="Balloon Text Char"/>
    <w:basedOn w:val="DefaultParagraphFont"/>
    <w:link w:val="BalloonText"/>
    <w:rsid w:val="00A60DC7"/>
    <w:rPr>
      <w:rFonts w:ascii="Tahoma" w:hAnsi="Tahoma" w:cs="Tahoma"/>
      <w:sz w:val="16"/>
      <w:szCs w:val="16"/>
    </w:rPr>
  </w:style>
  <w:style w:type="paragraph" w:styleId="EndnoteText">
    <w:name w:val="endnote text"/>
    <w:basedOn w:val="Normal"/>
    <w:link w:val="EndnoteTextChar"/>
    <w:rsid w:val="00657AAA"/>
    <w:rPr>
      <w:szCs w:val="20"/>
    </w:rPr>
  </w:style>
  <w:style w:type="character" w:customStyle="1" w:styleId="EndnoteTextChar">
    <w:name w:val="Endnote Text Char"/>
    <w:basedOn w:val="DefaultParagraphFont"/>
    <w:link w:val="EndnoteText"/>
    <w:rsid w:val="00657AAA"/>
    <w:rPr>
      <w:rFonts w:ascii="Palatino Linotype" w:hAnsi="Palatino Linotype"/>
    </w:rPr>
  </w:style>
  <w:style w:type="character" w:styleId="EndnoteReference">
    <w:name w:val="endnote reference"/>
    <w:basedOn w:val="DefaultParagraphFont"/>
    <w:rsid w:val="00593CAA"/>
    <w:rPr>
      <w:rFonts w:ascii="Arial" w:hAnsi="Arial"/>
      <w:color w:val="555759"/>
      <w:vertAlign w:val="superscript"/>
    </w:rPr>
  </w:style>
  <w:style w:type="paragraph" w:customStyle="1" w:styleId="TableBullet">
    <w:name w:val="Table Bullet"/>
    <w:basedOn w:val="ListParagraph"/>
    <w:link w:val="TableBulletChar"/>
    <w:qFormat/>
    <w:rsid w:val="001806B8"/>
    <w:pPr>
      <w:numPr>
        <w:numId w:val="7"/>
      </w:numPr>
      <w:spacing w:before="0"/>
      <w:ind w:left="302" w:hanging="270"/>
      <w:contextualSpacing/>
    </w:pPr>
    <w:rPr>
      <w:rFonts w:ascii="Arial Narrow" w:hAnsi="Arial Narrow"/>
    </w:rPr>
  </w:style>
  <w:style w:type="character" w:customStyle="1" w:styleId="TableBulletChar">
    <w:name w:val="Table Bullet Char"/>
    <w:basedOn w:val="DefaultParagraphFont"/>
    <w:link w:val="TableBullet"/>
    <w:rsid w:val="001806B8"/>
    <w:rPr>
      <w:rFonts w:ascii="Arial Narrow" w:hAnsi="Arial Narrow"/>
      <w:szCs w:val="24"/>
    </w:rPr>
  </w:style>
  <w:style w:type="character" w:styleId="CommentReference">
    <w:name w:val="annotation reference"/>
    <w:basedOn w:val="DefaultParagraphFont"/>
    <w:rsid w:val="000C2CB0"/>
    <w:rPr>
      <w:sz w:val="16"/>
      <w:szCs w:val="16"/>
    </w:rPr>
  </w:style>
  <w:style w:type="paragraph" w:styleId="CommentText">
    <w:name w:val="annotation text"/>
    <w:basedOn w:val="Normal"/>
    <w:link w:val="CommentTextChar"/>
    <w:rsid w:val="000C2CB0"/>
    <w:rPr>
      <w:szCs w:val="20"/>
    </w:rPr>
  </w:style>
  <w:style w:type="character" w:customStyle="1" w:styleId="CommentTextChar">
    <w:name w:val="Comment Text Char"/>
    <w:basedOn w:val="DefaultParagraphFont"/>
    <w:link w:val="CommentText"/>
    <w:rsid w:val="000C2CB0"/>
    <w:rPr>
      <w:rFonts w:ascii="Palatino Linotype" w:hAnsi="Palatino Linotype"/>
    </w:rPr>
  </w:style>
  <w:style w:type="paragraph" w:styleId="CommentSubject">
    <w:name w:val="annotation subject"/>
    <w:basedOn w:val="CommentText"/>
    <w:next w:val="CommentText"/>
    <w:link w:val="CommentSubjectChar"/>
    <w:rsid w:val="000C2CB0"/>
    <w:rPr>
      <w:b/>
      <w:bCs/>
    </w:rPr>
  </w:style>
  <w:style w:type="character" w:customStyle="1" w:styleId="CommentSubjectChar">
    <w:name w:val="Comment Subject Char"/>
    <w:basedOn w:val="CommentTextChar"/>
    <w:link w:val="CommentSubject"/>
    <w:rsid w:val="000C2CB0"/>
    <w:rPr>
      <w:rFonts w:ascii="Palatino Linotype" w:hAnsi="Palatino Linotype"/>
      <w:b/>
      <w:bCs/>
    </w:rPr>
  </w:style>
  <w:style w:type="paragraph" w:styleId="Revision">
    <w:name w:val="Revision"/>
    <w:hidden/>
    <w:uiPriority w:val="99"/>
    <w:semiHidden/>
    <w:rsid w:val="000C2CB0"/>
    <w:rPr>
      <w:rFonts w:ascii="Palatino Linotype" w:hAnsi="Palatino Linotype"/>
      <w:szCs w:val="24"/>
    </w:rPr>
  </w:style>
  <w:style w:type="paragraph" w:customStyle="1" w:styleId="FooterAddress">
    <w:name w:val="Footer Address"/>
    <w:basedOn w:val="Footer"/>
    <w:link w:val="FooterAddressChar"/>
    <w:qFormat/>
    <w:rsid w:val="00593CAA"/>
    <w:pPr>
      <w:tabs>
        <w:tab w:val="left" w:pos="360"/>
        <w:tab w:val="left" w:pos="720"/>
        <w:tab w:val="left" w:pos="1080"/>
        <w:tab w:val="left" w:pos="1440"/>
      </w:tabs>
      <w:spacing w:line="240" w:lineRule="exact"/>
    </w:pPr>
    <w:rPr>
      <w:color w:val="555759"/>
      <w:sz w:val="16"/>
    </w:rPr>
  </w:style>
  <w:style w:type="character" w:customStyle="1" w:styleId="FooterAddressChar">
    <w:name w:val="Footer Address Char"/>
    <w:basedOn w:val="DefaultParagraphFont"/>
    <w:link w:val="FooterAddress"/>
    <w:rsid w:val="00593CAA"/>
    <w:rPr>
      <w:rFonts w:ascii="Arial" w:hAnsi="Arial"/>
      <w:color w:val="555759"/>
      <w:sz w:val="16"/>
      <w:szCs w:val="24"/>
    </w:rPr>
  </w:style>
  <w:style w:type="character" w:customStyle="1" w:styleId="FootnoteTextChar">
    <w:name w:val="Footnote Text Char"/>
    <w:basedOn w:val="DefaultParagraphFont"/>
    <w:link w:val="FootnoteText"/>
    <w:uiPriority w:val="99"/>
    <w:rsid w:val="000D3D04"/>
    <w:rPr>
      <w:rFonts w:ascii="Arial" w:hAnsi="Arial"/>
      <w:sz w:val="18"/>
    </w:rPr>
  </w:style>
  <w:style w:type="paragraph" w:customStyle="1" w:styleId="Heading4b">
    <w:name w:val="Heading 4b"/>
    <w:basedOn w:val="Normal"/>
    <w:qFormat/>
    <w:rsid w:val="000D3D04"/>
    <w:pPr>
      <w:keepNext/>
      <w:tabs>
        <w:tab w:val="num" w:pos="720"/>
        <w:tab w:val="left" w:pos="1080"/>
        <w:tab w:val="left" w:pos="1440"/>
      </w:tabs>
      <w:spacing w:before="240" w:after="240" w:line="240" w:lineRule="auto"/>
      <w:outlineLvl w:val="3"/>
    </w:pPr>
    <w:rPr>
      <w:rFonts w:ascii="Arial Narrow" w:hAnsi="Arial Narrow"/>
      <w:b/>
      <w:bCs/>
      <w:i/>
      <w:color w:val="6F6754"/>
    </w:rPr>
  </w:style>
  <w:style w:type="paragraph" w:customStyle="1" w:styleId="ResumeBullet">
    <w:name w:val="Resume Bullet"/>
    <w:basedOn w:val="BodyText"/>
    <w:link w:val="ResumeBulletChar"/>
    <w:autoRedefine/>
    <w:rsid w:val="001E56FD"/>
    <w:pPr>
      <w:keepLines/>
      <w:numPr>
        <w:numId w:val="9"/>
      </w:numPr>
      <w:spacing w:after="240" w:line="240" w:lineRule="auto"/>
      <w:ind w:left="270" w:hanging="270"/>
    </w:pPr>
    <w:rPr>
      <w:bCs/>
      <w:color w:val="545759"/>
      <w:szCs w:val="20"/>
      <w:lang w:val="en-GB" w:eastAsia="x-none"/>
    </w:rPr>
  </w:style>
  <w:style w:type="paragraph" w:customStyle="1" w:styleId="SidebarBullet">
    <w:name w:val="Sidebar Bullet"/>
    <w:basedOn w:val="Normal"/>
    <w:rsid w:val="001E56FD"/>
    <w:pPr>
      <w:numPr>
        <w:numId w:val="8"/>
      </w:numPr>
      <w:spacing w:before="40" w:line="240" w:lineRule="auto"/>
    </w:pPr>
    <w:rPr>
      <w:rFonts w:ascii="Arial Narrow" w:hAnsi="Arial Narrow" w:cs="Arial"/>
      <w:color w:val="000000"/>
      <w:sz w:val="17"/>
      <w:szCs w:val="20"/>
      <w:lang w:val="fr-FR"/>
    </w:rPr>
  </w:style>
  <w:style w:type="character" w:customStyle="1" w:styleId="ResumeBulletChar">
    <w:name w:val="Resume Bullet Char"/>
    <w:link w:val="ResumeBullet"/>
    <w:rsid w:val="001E56FD"/>
    <w:rPr>
      <w:rFonts w:ascii="Arial" w:hAnsi="Arial"/>
      <w:bCs/>
      <w:color w:val="545759"/>
      <w:lang w:val="en-GB" w:eastAsia="x-none"/>
    </w:rPr>
  </w:style>
  <w:style w:type="paragraph" w:customStyle="1" w:styleId="SubHeaderBold">
    <w:name w:val="Sub Header Bold"/>
    <w:basedOn w:val="Normal"/>
    <w:autoRedefine/>
    <w:qFormat/>
    <w:rsid w:val="001E56FD"/>
    <w:pPr>
      <w:spacing w:after="120" w:line="240" w:lineRule="auto"/>
      <w:ind w:left="360" w:hanging="360"/>
    </w:pPr>
    <w:rPr>
      <w:rFonts w:cs="Arial"/>
      <w:b/>
      <w:color w:val="545759"/>
      <w:sz w:val="24"/>
      <w:szCs w:val="22"/>
      <w:lang w:val="en-GB"/>
    </w:rPr>
  </w:style>
  <w:style w:type="character" w:customStyle="1" w:styleId="FooterChar">
    <w:name w:val="Footer Char"/>
    <w:basedOn w:val="DefaultParagraphFont"/>
    <w:link w:val="Footer"/>
    <w:uiPriority w:val="99"/>
    <w:rsid w:val="001E56FD"/>
    <w:rPr>
      <w:rFonts w:ascii="Arial" w:hAnsi="Arial"/>
      <w:sz w:val="18"/>
      <w:szCs w:val="24"/>
    </w:rPr>
  </w:style>
  <w:style w:type="paragraph" w:customStyle="1" w:styleId="NameHeader">
    <w:name w:val="Name Header"/>
    <w:basedOn w:val="Normal"/>
    <w:autoRedefine/>
    <w:qFormat/>
    <w:rsid w:val="001E56FD"/>
    <w:pPr>
      <w:spacing w:line="240" w:lineRule="auto"/>
    </w:pPr>
    <w:rPr>
      <w:rFonts w:cs="Arial"/>
      <w:b/>
      <w:noProof/>
      <w:color w:val="95D600"/>
      <w:sz w:val="36"/>
      <w:szCs w:val="30"/>
    </w:rPr>
  </w:style>
  <w:style w:type="paragraph" w:customStyle="1" w:styleId="GeneralBodyText">
    <w:name w:val="General Body Text"/>
    <w:basedOn w:val="Normal"/>
    <w:qFormat/>
    <w:rsid w:val="001E56FD"/>
    <w:pPr>
      <w:tabs>
        <w:tab w:val="left" w:pos="360"/>
        <w:tab w:val="left" w:pos="720"/>
        <w:tab w:val="left" w:pos="1080"/>
        <w:tab w:val="left" w:pos="1440"/>
      </w:tabs>
      <w:spacing w:after="120" w:line="240" w:lineRule="auto"/>
    </w:pPr>
    <w:rPr>
      <w:rFonts w:eastAsia="Calibri" w:cs="Arial"/>
      <w:color w:val="545759"/>
      <w:szCs w:val="20"/>
      <w:lang w:val="en-GB"/>
    </w:rPr>
  </w:style>
  <w:style w:type="paragraph" w:customStyle="1" w:styleId="Headerinfo">
    <w:name w:val="Header info"/>
    <w:basedOn w:val="Normal"/>
    <w:qFormat/>
    <w:rsid w:val="001E56FD"/>
    <w:pPr>
      <w:tabs>
        <w:tab w:val="right" w:pos="9000"/>
      </w:tabs>
      <w:spacing w:line="276" w:lineRule="auto"/>
    </w:pPr>
    <w:rPr>
      <w:rFonts w:cs="Arial"/>
      <w:noProof/>
      <w:color w:val="545759"/>
      <w:sz w:val="24"/>
      <w:szCs w:val="21"/>
      <w:lang w:val="fr-FR"/>
    </w:rPr>
  </w:style>
  <w:style w:type="paragraph" w:customStyle="1" w:styleId="SectionHeading">
    <w:name w:val="Section Heading"/>
    <w:basedOn w:val="Normal"/>
    <w:autoRedefine/>
    <w:qFormat/>
    <w:rsid w:val="001E56FD"/>
    <w:pPr>
      <w:keepNext/>
      <w:pBdr>
        <w:top w:val="single" w:sz="4" w:space="1" w:color="95D600"/>
        <w:left w:val="single" w:sz="4" w:space="4" w:color="95D600"/>
        <w:bottom w:val="single" w:sz="4" w:space="1" w:color="95D600"/>
        <w:right w:val="single" w:sz="4" w:space="4" w:color="95D600"/>
      </w:pBdr>
      <w:shd w:val="clear" w:color="auto" w:fill="95D600"/>
      <w:spacing w:before="240" w:after="120" w:line="276" w:lineRule="auto"/>
    </w:pPr>
    <w:rPr>
      <w:rFonts w:eastAsia="Calibri" w:cs="Arial"/>
      <w:b/>
      <w:bCs/>
      <w:color w:val="FFFFFF" w:themeColor="background1"/>
      <w:sz w:val="22"/>
      <w:szCs w:val="22"/>
      <w:lang w:val="en-GB"/>
    </w:rPr>
  </w:style>
  <w:style w:type="paragraph" w:styleId="BodyText">
    <w:name w:val="Body Text"/>
    <w:basedOn w:val="Normal"/>
    <w:link w:val="BodyTextChar"/>
    <w:unhideWhenUsed/>
    <w:rsid w:val="001E56FD"/>
    <w:pPr>
      <w:spacing w:after="120"/>
    </w:pPr>
  </w:style>
  <w:style w:type="character" w:customStyle="1" w:styleId="BodyTextChar">
    <w:name w:val="Body Text Char"/>
    <w:basedOn w:val="DefaultParagraphFont"/>
    <w:link w:val="BodyText"/>
    <w:rsid w:val="001E56FD"/>
    <w:rPr>
      <w:rFonts w:ascii="Arial" w:hAnsi="Arial"/>
      <w:szCs w:val="24"/>
    </w:rPr>
  </w:style>
  <w:style w:type="paragraph" w:customStyle="1" w:styleId="TitlePage1">
    <w:name w:val="Title Page 1"/>
    <w:basedOn w:val="Normal"/>
    <w:link w:val="TitlePage1Char"/>
    <w:qFormat/>
    <w:rsid w:val="00C36AB6"/>
    <w:pPr>
      <w:jc w:val="center"/>
    </w:pPr>
    <w:rPr>
      <w:b/>
      <w:bCs/>
      <w:color w:val="000000" w:themeColor="text1"/>
      <w:sz w:val="44"/>
    </w:rPr>
  </w:style>
  <w:style w:type="character" w:customStyle="1" w:styleId="TitlePage1Char">
    <w:name w:val="Title Page 1 Char"/>
    <w:link w:val="TitlePage1"/>
    <w:rsid w:val="00C36AB6"/>
    <w:rPr>
      <w:rFonts w:ascii="Arial" w:hAnsi="Arial"/>
      <w:b/>
      <w:bCs/>
      <w:color w:val="000000" w:themeColor="text1"/>
      <w:sz w:val="44"/>
      <w:szCs w:val="24"/>
    </w:rPr>
  </w:style>
  <w:style w:type="paragraph" w:customStyle="1" w:styleId="Contactinfo">
    <w:name w:val="Contact info"/>
    <w:basedOn w:val="Normal"/>
    <w:uiPriority w:val="99"/>
    <w:rsid w:val="00C36AB6"/>
    <w:rPr>
      <w:sz w:val="22"/>
    </w:rPr>
  </w:style>
  <w:style w:type="character" w:styleId="PageNumber">
    <w:name w:val="page number"/>
    <w:basedOn w:val="DefaultParagraphFont"/>
    <w:rsid w:val="00C36AB6"/>
  </w:style>
  <w:style w:type="paragraph" w:customStyle="1" w:styleId="Bullet0">
    <w:name w:val="Bullet 0"/>
    <w:basedOn w:val="Normal"/>
    <w:autoRedefine/>
    <w:rsid w:val="00C36AB6"/>
    <w:pPr>
      <w:tabs>
        <w:tab w:val="num" w:pos="972"/>
      </w:tabs>
      <w:ind w:left="979" w:hanging="432"/>
    </w:pPr>
    <w:rPr>
      <w:sz w:val="22"/>
    </w:rPr>
  </w:style>
  <w:style w:type="paragraph" w:customStyle="1" w:styleId="PresentedBy">
    <w:name w:val="Presented By"/>
    <w:basedOn w:val="Normal"/>
    <w:link w:val="PresentedByChar"/>
    <w:rsid w:val="00C36AB6"/>
    <w:pPr>
      <w:tabs>
        <w:tab w:val="left" w:pos="360"/>
        <w:tab w:val="left" w:pos="720"/>
        <w:tab w:val="left" w:pos="1080"/>
        <w:tab w:val="left" w:pos="1440"/>
      </w:tabs>
    </w:pPr>
    <w:rPr>
      <w:color w:val="6F6754"/>
      <w:sz w:val="22"/>
    </w:rPr>
  </w:style>
  <w:style w:type="character" w:customStyle="1" w:styleId="PresentedByChar">
    <w:name w:val="Presented By Char"/>
    <w:link w:val="PresentedBy"/>
    <w:rsid w:val="00C36AB6"/>
    <w:rPr>
      <w:rFonts w:ascii="Arial" w:hAnsi="Arial"/>
      <w:color w:val="6F6754"/>
      <w:sz w:val="22"/>
      <w:szCs w:val="24"/>
    </w:rPr>
  </w:style>
  <w:style w:type="paragraph" w:customStyle="1" w:styleId="TitlePage2">
    <w:name w:val="Title Page 2"/>
    <w:basedOn w:val="Normal"/>
    <w:link w:val="TitlePage2Char"/>
    <w:qFormat/>
    <w:rsid w:val="00C36AB6"/>
    <w:pPr>
      <w:jc w:val="center"/>
    </w:pPr>
    <w:rPr>
      <w:b/>
      <w:bCs/>
      <w:color w:val="6F6754"/>
      <w:sz w:val="36"/>
      <w:szCs w:val="28"/>
    </w:rPr>
  </w:style>
  <w:style w:type="character" w:customStyle="1" w:styleId="TitlePage2Char">
    <w:name w:val="Title Page 2 Char"/>
    <w:link w:val="TitlePage2"/>
    <w:rsid w:val="00C36AB6"/>
    <w:rPr>
      <w:rFonts w:ascii="Arial" w:hAnsi="Arial"/>
      <w:b/>
      <w:bCs/>
      <w:color w:val="6F6754"/>
      <w:sz w:val="36"/>
      <w:szCs w:val="28"/>
    </w:rPr>
  </w:style>
  <w:style w:type="paragraph" w:styleId="PlainText">
    <w:name w:val="Plain Text"/>
    <w:basedOn w:val="Normal"/>
    <w:link w:val="PlainTextChar"/>
    <w:uiPriority w:val="99"/>
    <w:unhideWhenUsed/>
    <w:rsid w:val="00C36AB6"/>
    <w:rPr>
      <w:rFonts w:ascii="Consolas" w:eastAsia="Calibri" w:hAnsi="Consolas"/>
      <w:sz w:val="21"/>
      <w:szCs w:val="21"/>
    </w:rPr>
  </w:style>
  <w:style w:type="character" w:customStyle="1" w:styleId="PlainTextChar">
    <w:name w:val="Plain Text Char"/>
    <w:basedOn w:val="DefaultParagraphFont"/>
    <w:link w:val="PlainText"/>
    <w:uiPriority w:val="99"/>
    <w:rsid w:val="00C36AB6"/>
    <w:rPr>
      <w:rFonts w:ascii="Consolas" w:eastAsia="Calibri" w:hAnsi="Consolas"/>
      <w:sz w:val="21"/>
      <w:szCs w:val="21"/>
    </w:rPr>
  </w:style>
  <w:style w:type="table" w:styleId="TableList4">
    <w:name w:val="Table List 4"/>
    <w:basedOn w:val="TableNormal"/>
    <w:rsid w:val="00C36AB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EnergyPracticeTable">
    <w:name w:val="Energy Practice Table"/>
    <w:basedOn w:val="TableNormal"/>
    <w:uiPriority w:val="99"/>
    <w:qFormat/>
    <w:rsid w:val="00C36AB6"/>
    <w:pPr>
      <w:spacing w:before="60" w:after="60"/>
      <w:jc w:val="center"/>
    </w:pPr>
    <w:rPr>
      <w:rFonts w:ascii="Palatino Linotype" w:hAnsi="Palatino Linotype"/>
    </w:rPr>
    <w:tblPr>
      <w:tblInd w:w="0" w:type="dxa"/>
      <w:tblBorders>
        <w:bottom w:val="single" w:sz="4" w:space="0" w:color="A29784"/>
        <w:insideH w:val="single" w:sz="4" w:space="0" w:color="A29784"/>
        <w:insideV w:val="single" w:sz="4" w:space="0" w:color="A29784"/>
      </w:tblBorders>
      <w:tblCellMar>
        <w:top w:w="0" w:type="dxa"/>
        <w:left w:w="108" w:type="dxa"/>
        <w:bottom w:w="0" w:type="dxa"/>
        <w:right w:w="108" w:type="dxa"/>
      </w:tblCellMar>
    </w:tblPr>
    <w:tcPr>
      <w:vAlign w:val="center"/>
    </w:tcPr>
    <w:tblStylePr w:type="firstRow">
      <w:pPr>
        <w:wordWrap/>
        <w:spacing w:beforeLines="0" w:beforeAutospacing="0" w:afterLines="0" w:afterAutospacing="0" w:line="240" w:lineRule="auto"/>
        <w:jc w:val="center"/>
      </w:pPr>
      <w:rPr>
        <w:rFonts w:ascii="Garamond" w:hAnsi="Garamond"/>
        <w:b/>
        <w:color w:val="FFFFFF"/>
        <w:sz w:val="20"/>
      </w:rPr>
      <w:tblPr/>
      <w:trPr>
        <w:tblHeader/>
      </w:trPr>
      <w:tcPr>
        <w:tcBorders>
          <w:top w:val="nil"/>
          <w:left w:val="nil"/>
          <w:bottom w:val="single" w:sz="4" w:space="0" w:color="993300"/>
          <w:right w:val="nil"/>
          <w:insideH w:val="nil"/>
          <w:insideV w:val="single" w:sz="4" w:space="0" w:color="FFFFFF"/>
          <w:tl2br w:val="nil"/>
          <w:tr2bl w:val="nil"/>
        </w:tcBorders>
        <w:shd w:val="clear" w:color="auto" w:fill="A29784"/>
        <w:vAlign w:val="bottom"/>
      </w:tcPr>
    </w:tblStylePr>
    <w:tblStylePr w:type="firstCol">
      <w:pPr>
        <w:wordWrap/>
        <w:spacing w:beforeLines="0" w:beforeAutospacing="0" w:afterLines="0" w:afterAutospacing="0" w:line="240" w:lineRule="auto"/>
        <w:jc w:val="left"/>
      </w:pPr>
      <w:rPr>
        <w:rFonts w:ascii="Garamond" w:hAnsi="Garamond"/>
        <w:color w:val="auto"/>
        <w:sz w:val="20"/>
      </w:rPr>
    </w:tblStylePr>
  </w:style>
  <w:style w:type="paragraph" w:customStyle="1" w:styleId="Tableheading">
    <w:name w:val="Table heading"/>
    <w:basedOn w:val="Normal"/>
    <w:uiPriority w:val="99"/>
    <w:rsid w:val="00C36AB6"/>
    <w:pPr>
      <w:spacing w:after="60"/>
      <w:jc w:val="center"/>
    </w:pPr>
    <w:rPr>
      <w:rFonts w:ascii="Times New Roman" w:hAnsi="Times New Roman"/>
      <w:b/>
      <w:sz w:val="22"/>
    </w:rPr>
  </w:style>
  <w:style w:type="paragraph" w:customStyle="1" w:styleId="Bullets">
    <w:name w:val="Bullets"/>
    <w:basedOn w:val="Normal"/>
    <w:uiPriority w:val="99"/>
    <w:rsid w:val="00C36AB6"/>
    <w:pPr>
      <w:numPr>
        <w:numId w:val="10"/>
      </w:numPr>
      <w:tabs>
        <w:tab w:val="left" w:pos="720"/>
      </w:tabs>
    </w:pPr>
    <w:rPr>
      <w:rFonts w:ascii="Times New Roman" w:hAnsi="Times New Roman"/>
      <w:sz w:val="22"/>
    </w:rPr>
  </w:style>
  <w:style w:type="paragraph" w:customStyle="1" w:styleId="Bullets-Short">
    <w:name w:val="Bullets - Short"/>
    <w:basedOn w:val="Bullets"/>
    <w:uiPriority w:val="99"/>
    <w:rsid w:val="00C36AB6"/>
    <w:pPr>
      <w:numPr>
        <w:numId w:val="0"/>
      </w:numPr>
      <w:tabs>
        <w:tab w:val="num" w:pos="720"/>
      </w:tabs>
      <w:spacing w:before="120"/>
      <w:ind w:left="720" w:hanging="360"/>
    </w:pPr>
  </w:style>
  <w:style w:type="paragraph" w:customStyle="1" w:styleId="Default">
    <w:name w:val="Default"/>
    <w:rsid w:val="00C36AB6"/>
    <w:pPr>
      <w:autoSpaceDE w:val="0"/>
      <w:autoSpaceDN w:val="0"/>
      <w:adjustRightInd w:val="0"/>
    </w:pPr>
    <w:rPr>
      <w:color w:val="000000"/>
      <w:sz w:val="24"/>
      <w:szCs w:val="24"/>
    </w:rPr>
  </w:style>
  <w:style w:type="table" w:customStyle="1" w:styleId="Style3">
    <w:name w:val="Style3"/>
    <w:basedOn w:val="TableNormal"/>
    <w:uiPriority w:val="99"/>
    <w:qFormat/>
    <w:rsid w:val="00C36AB6"/>
    <w:pPr>
      <w:jc w:val="center"/>
    </w:pPr>
    <w:rPr>
      <w:rFonts w:ascii="Palatino Linotype" w:hAnsi="Palatino Linotype"/>
      <w:sz w:val="22"/>
    </w:rPr>
    <w:tblPr>
      <w:tblInd w:w="0" w:type="dxa"/>
      <w:tblBorders>
        <w:bottom w:val="single" w:sz="4" w:space="0" w:color="A29784"/>
        <w:insideH w:val="single" w:sz="4" w:space="0" w:color="A29784"/>
        <w:insideV w:val="single" w:sz="4" w:space="0" w:color="A29784"/>
      </w:tblBorders>
      <w:tblCellMar>
        <w:top w:w="0" w:type="dxa"/>
        <w:left w:w="108" w:type="dxa"/>
        <w:bottom w:w="0" w:type="dxa"/>
        <w:right w:w="108" w:type="dxa"/>
      </w:tblCellMar>
    </w:tblPr>
    <w:tcPr>
      <w:vAlign w:val="center"/>
    </w:tcPr>
    <w:tblStylePr w:type="firstRow">
      <w:pPr>
        <w:wordWrap/>
        <w:spacing w:beforeLines="0" w:beforeAutospacing="0" w:afterLines="0" w:afterAutospacing="0" w:line="240" w:lineRule="auto"/>
        <w:jc w:val="center"/>
      </w:pPr>
      <w:rPr>
        <w:rFonts w:ascii="Palatino Linotype" w:hAnsi="Palatino Linotype"/>
        <w:b/>
        <w:color w:val="FFFFFF"/>
        <w:sz w:val="22"/>
      </w:rPr>
      <w:tblPr/>
      <w:tcPr>
        <w:tcBorders>
          <w:top w:val="nil"/>
          <w:left w:val="nil"/>
          <w:bottom w:val="nil"/>
          <w:right w:val="nil"/>
          <w:insideH w:val="nil"/>
          <w:insideV w:val="single" w:sz="4" w:space="0" w:color="FFFFFF"/>
          <w:tl2br w:val="nil"/>
          <w:tr2bl w:val="nil"/>
        </w:tcBorders>
        <w:shd w:val="clear" w:color="auto" w:fill="A29784"/>
        <w:vAlign w:val="bottom"/>
      </w:tcPr>
    </w:tblStylePr>
    <w:tblStylePr w:type="firstCol">
      <w:pPr>
        <w:wordWrap/>
        <w:spacing w:beforeLines="0" w:beforeAutospacing="0" w:afterLines="0" w:afterAutospacing="0" w:line="240" w:lineRule="auto"/>
        <w:jc w:val="left"/>
      </w:pPr>
      <w:rPr>
        <w:rFonts w:ascii="Palatino Linotype" w:hAnsi="Palatino Linotype"/>
        <w:color w:val="auto"/>
        <w:sz w:val="22"/>
      </w:rPr>
    </w:tblStylePr>
  </w:style>
  <w:style w:type="paragraph" w:customStyle="1" w:styleId="Question">
    <w:name w:val="Question"/>
    <w:basedOn w:val="Normal"/>
    <w:next w:val="Normal"/>
    <w:link w:val="QuestionChar"/>
    <w:qFormat/>
    <w:rsid w:val="00C36AB6"/>
    <w:pPr>
      <w:ind w:left="432" w:hanging="432"/>
    </w:pPr>
    <w:rPr>
      <w:rFonts w:ascii="Times New Roman" w:hAnsi="Times New Roman"/>
      <w:color w:val="000080"/>
      <w:sz w:val="22"/>
      <w:szCs w:val="20"/>
    </w:rPr>
  </w:style>
  <w:style w:type="paragraph" w:customStyle="1" w:styleId="Tabletext">
    <w:name w:val="Table text"/>
    <w:basedOn w:val="Normal"/>
    <w:uiPriority w:val="99"/>
    <w:rsid w:val="00C36AB6"/>
    <w:pPr>
      <w:spacing w:before="60"/>
    </w:pPr>
    <w:rPr>
      <w:rFonts w:ascii="Times New Roman" w:hAnsi="Times New Roman"/>
      <w:sz w:val="22"/>
    </w:rPr>
  </w:style>
  <w:style w:type="paragraph" w:customStyle="1" w:styleId="FaxBodyText">
    <w:name w:val="Fax Body Text"/>
    <w:basedOn w:val="Normal"/>
    <w:qFormat/>
    <w:rsid w:val="00C36AB6"/>
    <w:pPr>
      <w:framePr w:hSpace="180" w:wrap="around" w:vAnchor="text" w:hAnchor="text" w:y="55"/>
    </w:pPr>
    <w:rPr>
      <w:rFonts w:asciiTheme="minorHAnsi" w:eastAsiaTheme="minorHAnsi" w:hAnsiTheme="minorHAnsi" w:cstheme="minorBidi"/>
      <w:sz w:val="18"/>
      <w:szCs w:val="22"/>
    </w:rPr>
  </w:style>
  <w:style w:type="paragraph" w:styleId="NormalWeb">
    <w:name w:val="Normal (Web)"/>
    <w:basedOn w:val="Normal"/>
    <w:uiPriority w:val="99"/>
    <w:unhideWhenUsed/>
    <w:rsid w:val="00C36AB6"/>
    <w:pPr>
      <w:spacing w:before="100" w:beforeAutospacing="1" w:after="100" w:afterAutospacing="1"/>
    </w:pPr>
    <w:rPr>
      <w:rFonts w:ascii="Times New Roman" w:hAnsi="Times New Roman"/>
      <w:sz w:val="24"/>
    </w:rPr>
  </w:style>
  <w:style w:type="table" w:customStyle="1" w:styleId="MediumShading1-Accent11">
    <w:name w:val="Medium Shading 1 - Accent 11"/>
    <w:basedOn w:val="TableNormal"/>
    <w:uiPriority w:val="63"/>
    <w:rsid w:val="00C36AB6"/>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GraphFootnote">
    <w:name w:val="Graph Footnote"/>
    <w:basedOn w:val="Normal"/>
    <w:next w:val="Normal"/>
    <w:uiPriority w:val="99"/>
    <w:rsid w:val="00C36AB6"/>
    <w:rPr>
      <w:i/>
      <w:sz w:val="18"/>
    </w:rPr>
  </w:style>
  <w:style w:type="paragraph" w:styleId="ListBullet">
    <w:name w:val="List Bullet"/>
    <w:basedOn w:val="Normal"/>
    <w:uiPriority w:val="99"/>
    <w:rsid w:val="00C36AB6"/>
    <w:pPr>
      <w:tabs>
        <w:tab w:val="num" w:pos="360"/>
      </w:tabs>
      <w:ind w:left="360" w:hanging="360"/>
    </w:pPr>
    <w:rPr>
      <w:rFonts w:ascii="Times New Roman" w:hAnsi="Times New Roman"/>
      <w:sz w:val="24"/>
    </w:rPr>
  </w:style>
  <w:style w:type="paragraph" w:customStyle="1" w:styleId="Questionfollowon">
    <w:name w:val="Question follow on"/>
    <w:basedOn w:val="Question"/>
    <w:next w:val="Normal"/>
    <w:rsid w:val="00C36AB6"/>
    <w:pPr>
      <w:keepNext/>
      <w:tabs>
        <w:tab w:val="left" w:pos="1260"/>
      </w:tabs>
      <w:overflowPunct w:val="0"/>
      <w:autoSpaceDE w:val="0"/>
      <w:autoSpaceDN w:val="0"/>
      <w:adjustRightInd w:val="0"/>
      <w:spacing w:line="276" w:lineRule="auto"/>
      <w:ind w:left="1260" w:hanging="540"/>
      <w:textAlignment w:val="baseline"/>
    </w:pPr>
    <w:rPr>
      <w:b/>
      <w:color w:val="auto"/>
      <w:szCs w:val="22"/>
    </w:rPr>
  </w:style>
  <w:style w:type="character" w:customStyle="1" w:styleId="QuestionChar">
    <w:name w:val="Question Char"/>
    <w:basedOn w:val="DefaultParagraphFont"/>
    <w:link w:val="Question"/>
    <w:rsid w:val="00C36AB6"/>
    <w:rPr>
      <w:color w:val="000080"/>
      <w:sz w:val="22"/>
    </w:rPr>
  </w:style>
  <w:style w:type="paragraph" w:styleId="NoSpacing">
    <w:name w:val="No Spacing"/>
    <w:uiPriority w:val="1"/>
    <w:qFormat/>
    <w:rsid w:val="00C36AB6"/>
    <w:pPr>
      <w:tabs>
        <w:tab w:val="left" w:pos="360"/>
        <w:tab w:val="left" w:pos="720"/>
        <w:tab w:val="left" w:pos="1080"/>
        <w:tab w:val="left" w:pos="1440"/>
      </w:tabs>
    </w:pPr>
    <w:rPr>
      <w:rFonts w:ascii="Palatino Linotype" w:hAnsi="Palatino Linotype"/>
      <w:sz w:val="22"/>
      <w:szCs w:val="24"/>
    </w:rPr>
  </w:style>
  <w:style w:type="paragraph" w:customStyle="1" w:styleId="ESHeading2">
    <w:name w:val="ES Heading 2"/>
    <w:basedOn w:val="Heading2"/>
    <w:next w:val="Normal"/>
    <w:uiPriority w:val="99"/>
    <w:rsid w:val="00C36AB6"/>
    <w:pPr>
      <w:numPr>
        <w:ilvl w:val="0"/>
        <w:numId w:val="0"/>
      </w:numPr>
      <w:tabs>
        <w:tab w:val="left" w:pos="720"/>
      </w:tabs>
      <w:spacing w:after="240"/>
    </w:pPr>
    <w:rPr>
      <w:rFonts w:cs="Times New Roman"/>
      <w:bCs w:val="0"/>
      <w:i/>
      <w:iCs w:val="0"/>
      <w:szCs w:val="36"/>
    </w:rPr>
  </w:style>
  <w:style w:type="paragraph" w:customStyle="1" w:styleId="ESHeading3">
    <w:name w:val="ES Heading 3"/>
    <w:basedOn w:val="Heading3"/>
    <w:next w:val="Normal"/>
    <w:rsid w:val="00C36AB6"/>
    <w:pPr>
      <w:numPr>
        <w:ilvl w:val="0"/>
        <w:numId w:val="11"/>
      </w:numPr>
      <w:tabs>
        <w:tab w:val="left" w:pos="1080"/>
      </w:tabs>
      <w:spacing w:before="0"/>
    </w:pPr>
    <w:rPr>
      <w:szCs w:val="32"/>
    </w:rPr>
  </w:style>
  <w:style w:type="paragraph" w:customStyle="1" w:styleId="Bullets-SingleSpace">
    <w:name w:val="Bullets - Single Space"/>
    <w:basedOn w:val="Bullets"/>
    <w:uiPriority w:val="99"/>
    <w:rsid w:val="00C36AB6"/>
    <w:pPr>
      <w:numPr>
        <w:numId w:val="12"/>
      </w:numPr>
      <w:tabs>
        <w:tab w:val="clear" w:pos="720"/>
        <w:tab w:val="num" w:pos="936"/>
      </w:tabs>
    </w:pPr>
    <w:rPr>
      <w:sz w:val="20"/>
      <w:szCs w:val="22"/>
    </w:rPr>
  </w:style>
  <w:style w:type="paragraph" w:customStyle="1" w:styleId="Finding">
    <w:name w:val="Finding"/>
    <w:basedOn w:val="Normal"/>
    <w:link w:val="FindingChar"/>
    <w:qFormat/>
    <w:rsid w:val="00C36AB6"/>
    <w:pPr>
      <w:ind w:left="1080" w:hanging="360"/>
    </w:pPr>
  </w:style>
  <w:style w:type="character" w:customStyle="1" w:styleId="FindingChar">
    <w:name w:val="Finding Char"/>
    <w:basedOn w:val="DefaultParagraphFont"/>
    <w:link w:val="Finding"/>
    <w:rsid w:val="00C36AB6"/>
    <w:rPr>
      <w:rFonts w:ascii="Arial" w:hAnsi="Arial"/>
      <w:szCs w:val="24"/>
    </w:rPr>
  </w:style>
  <w:style w:type="paragraph" w:customStyle="1" w:styleId="MTDisplayEquation">
    <w:name w:val="MTDisplayEquation"/>
    <w:basedOn w:val="Normal"/>
    <w:next w:val="Normal"/>
    <w:link w:val="MTDisplayEquationChar"/>
    <w:rsid w:val="00C36AB6"/>
    <w:pPr>
      <w:tabs>
        <w:tab w:val="center" w:pos="4680"/>
        <w:tab w:val="right" w:pos="9360"/>
      </w:tabs>
      <w:spacing w:after="200" w:line="276" w:lineRule="auto"/>
    </w:pPr>
    <w:rPr>
      <w:rFonts w:ascii="Garamond" w:eastAsiaTheme="minorHAnsi" w:hAnsi="Garamond" w:cstheme="minorBidi"/>
      <w:sz w:val="22"/>
      <w:szCs w:val="22"/>
    </w:rPr>
  </w:style>
  <w:style w:type="character" w:customStyle="1" w:styleId="MTDisplayEquationChar">
    <w:name w:val="MTDisplayEquation Char"/>
    <w:basedOn w:val="DefaultParagraphFont"/>
    <w:link w:val="MTDisplayEquation"/>
    <w:rsid w:val="00C36AB6"/>
    <w:rPr>
      <w:rFonts w:ascii="Garamond" w:eastAsiaTheme="minorHAnsi" w:hAnsi="Garamond" w:cstheme="minorBidi"/>
      <w:sz w:val="22"/>
      <w:szCs w:val="22"/>
    </w:rPr>
  </w:style>
  <w:style w:type="character" w:styleId="FollowedHyperlink">
    <w:name w:val="FollowedHyperlink"/>
    <w:basedOn w:val="DefaultParagraphFont"/>
    <w:semiHidden/>
    <w:unhideWhenUsed/>
    <w:rsid w:val="00C36AB6"/>
    <w:rPr>
      <w:color w:val="954F72" w:themeColor="followedHyperlink"/>
      <w:u w:val="single"/>
    </w:rPr>
  </w:style>
  <w:style w:type="paragraph" w:styleId="Salutation">
    <w:name w:val="Salutation"/>
    <w:basedOn w:val="Normal"/>
    <w:next w:val="Normal"/>
    <w:link w:val="SalutationChar"/>
    <w:rsid w:val="00C36AB6"/>
    <w:pPr>
      <w:tabs>
        <w:tab w:val="left" w:pos="360"/>
        <w:tab w:val="left" w:pos="720"/>
        <w:tab w:val="left" w:pos="1080"/>
        <w:tab w:val="left" w:pos="1440"/>
        <w:tab w:val="left" w:pos="1800"/>
        <w:tab w:val="left" w:pos="2160"/>
        <w:tab w:val="left" w:pos="2520"/>
        <w:tab w:val="left" w:pos="2880"/>
        <w:tab w:val="left" w:pos="3240"/>
        <w:tab w:val="left" w:pos="3600"/>
      </w:tabs>
      <w:spacing w:line="240" w:lineRule="exact"/>
      <w:jc w:val="both"/>
    </w:pPr>
    <w:rPr>
      <w:rFonts w:ascii="Times New Roman" w:hAnsi="Times New Roman"/>
      <w:sz w:val="22"/>
      <w:szCs w:val="20"/>
    </w:rPr>
  </w:style>
  <w:style w:type="character" w:customStyle="1" w:styleId="SalutationChar">
    <w:name w:val="Salutation Char"/>
    <w:basedOn w:val="DefaultParagraphFont"/>
    <w:link w:val="Salutation"/>
    <w:rsid w:val="00C36AB6"/>
    <w:rPr>
      <w:sz w:val="22"/>
    </w:rPr>
  </w:style>
  <w:style w:type="paragraph" w:customStyle="1" w:styleId="MemoFrame">
    <w:name w:val="Memo Frame"/>
    <w:basedOn w:val="Normal"/>
    <w:rsid w:val="00C36AB6"/>
    <w:pPr>
      <w:spacing w:line="240" w:lineRule="exact"/>
    </w:pPr>
    <w:rPr>
      <w:rFonts w:ascii="Arial Narrow" w:hAnsi="Arial Narrow"/>
      <w:b/>
    </w:rPr>
  </w:style>
  <w:style w:type="character" w:customStyle="1" w:styleId="TitleChar">
    <w:name w:val="Title Char"/>
    <w:basedOn w:val="DefaultParagraphFont"/>
    <w:link w:val="Title"/>
    <w:rsid w:val="00C36AB6"/>
    <w:rPr>
      <w:rFonts w:ascii="Arial" w:hAnsi="Arial"/>
      <w:b/>
      <w:bCs/>
      <w:color w:val="95D600"/>
      <w:sz w:val="5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34472">
      <w:bodyDiv w:val="1"/>
      <w:marLeft w:val="0"/>
      <w:marRight w:val="0"/>
      <w:marTop w:val="0"/>
      <w:marBottom w:val="0"/>
      <w:divBdr>
        <w:top w:val="none" w:sz="0" w:space="0" w:color="auto"/>
        <w:left w:val="none" w:sz="0" w:space="0" w:color="auto"/>
        <w:bottom w:val="none" w:sz="0" w:space="0" w:color="auto"/>
        <w:right w:val="none" w:sz="0" w:space="0" w:color="auto"/>
      </w:divBdr>
    </w:div>
    <w:div w:id="354159498">
      <w:bodyDiv w:val="1"/>
      <w:marLeft w:val="0"/>
      <w:marRight w:val="0"/>
      <w:marTop w:val="0"/>
      <w:marBottom w:val="0"/>
      <w:divBdr>
        <w:top w:val="none" w:sz="0" w:space="0" w:color="auto"/>
        <w:left w:val="none" w:sz="0" w:space="0" w:color="auto"/>
        <w:bottom w:val="none" w:sz="0" w:space="0" w:color="auto"/>
        <w:right w:val="none" w:sz="0" w:space="0" w:color="auto"/>
      </w:divBdr>
      <w:divsChild>
        <w:div w:id="511917668">
          <w:marLeft w:val="136"/>
          <w:marRight w:val="136"/>
          <w:marTop w:val="204"/>
          <w:marBottom w:val="0"/>
          <w:divBdr>
            <w:top w:val="none" w:sz="0" w:space="0" w:color="auto"/>
            <w:left w:val="none" w:sz="0" w:space="0" w:color="auto"/>
            <w:bottom w:val="none" w:sz="0" w:space="0" w:color="auto"/>
            <w:right w:val="none" w:sz="0" w:space="0" w:color="auto"/>
          </w:divBdr>
          <w:divsChild>
            <w:div w:id="147282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547467">
      <w:bodyDiv w:val="1"/>
      <w:marLeft w:val="0"/>
      <w:marRight w:val="0"/>
      <w:marTop w:val="0"/>
      <w:marBottom w:val="0"/>
      <w:divBdr>
        <w:top w:val="none" w:sz="0" w:space="0" w:color="auto"/>
        <w:left w:val="none" w:sz="0" w:space="0" w:color="auto"/>
        <w:bottom w:val="none" w:sz="0" w:space="0" w:color="auto"/>
        <w:right w:val="none" w:sz="0" w:space="0" w:color="auto"/>
      </w:divBdr>
    </w:div>
    <w:div w:id="624820892">
      <w:bodyDiv w:val="1"/>
      <w:marLeft w:val="0"/>
      <w:marRight w:val="0"/>
      <w:marTop w:val="0"/>
      <w:marBottom w:val="0"/>
      <w:divBdr>
        <w:top w:val="none" w:sz="0" w:space="0" w:color="auto"/>
        <w:left w:val="none" w:sz="0" w:space="0" w:color="auto"/>
        <w:bottom w:val="none" w:sz="0" w:space="0" w:color="auto"/>
        <w:right w:val="none" w:sz="0" w:space="0" w:color="auto"/>
      </w:divBdr>
    </w:div>
    <w:div w:id="901326471">
      <w:bodyDiv w:val="1"/>
      <w:marLeft w:val="0"/>
      <w:marRight w:val="0"/>
      <w:marTop w:val="0"/>
      <w:marBottom w:val="0"/>
      <w:divBdr>
        <w:top w:val="none" w:sz="0" w:space="0" w:color="auto"/>
        <w:left w:val="none" w:sz="0" w:space="0" w:color="auto"/>
        <w:bottom w:val="none" w:sz="0" w:space="0" w:color="auto"/>
        <w:right w:val="none" w:sz="0" w:space="0" w:color="auto"/>
      </w:divBdr>
    </w:div>
    <w:div w:id="1349602182">
      <w:bodyDiv w:val="1"/>
      <w:marLeft w:val="0"/>
      <w:marRight w:val="0"/>
      <w:marTop w:val="0"/>
      <w:marBottom w:val="0"/>
      <w:divBdr>
        <w:top w:val="none" w:sz="0" w:space="0" w:color="auto"/>
        <w:left w:val="none" w:sz="0" w:space="0" w:color="auto"/>
        <w:bottom w:val="none" w:sz="0" w:space="0" w:color="auto"/>
        <w:right w:val="none" w:sz="0" w:space="0" w:color="auto"/>
      </w:divBdr>
      <w:divsChild>
        <w:div w:id="629480102">
          <w:marLeft w:val="0"/>
          <w:marRight w:val="0"/>
          <w:marTop w:val="0"/>
          <w:marBottom w:val="0"/>
          <w:divBdr>
            <w:top w:val="none" w:sz="0" w:space="0" w:color="auto"/>
            <w:left w:val="none" w:sz="0" w:space="0" w:color="auto"/>
            <w:bottom w:val="none" w:sz="0" w:space="0" w:color="auto"/>
            <w:right w:val="none" w:sz="0" w:space="0" w:color="auto"/>
          </w:divBdr>
          <w:divsChild>
            <w:div w:id="563764185">
              <w:marLeft w:val="0"/>
              <w:marRight w:val="0"/>
              <w:marTop w:val="0"/>
              <w:marBottom w:val="0"/>
              <w:divBdr>
                <w:top w:val="none" w:sz="0" w:space="0" w:color="auto"/>
                <w:left w:val="none" w:sz="0" w:space="0" w:color="auto"/>
                <w:bottom w:val="none" w:sz="0" w:space="0" w:color="auto"/>
                <w:right w:val="none" w:sz="0" w:space="0" w:color="auto"/>
              </w:divBdr>
              <w:divsChild>
                <w:div w:id="274101921">
                  <w:marLeft w:val="0"/>
                  <w:marRight w:val="0"/>
                  <w:marTop w:val="0"/>
                  <w:marBottom w:val="150"/>
                  <w:divBdr>
                    <w:top w:val="none" w:sz="0" w:space="0" w:color="auto"/>
                    <w:left w:val="none" w:sz="0" w:space="0" w:color="auto"/>
                    <w:bottom w:val="none" w:sz="0" w:space="0" w:color="auto"/>
                    <w:right w:val="none" w:sz="0" w:space="0" w:color="auto"/>
                  </w:divBdr>
                  <w:divsChild>
                    <w:div w:id="1461462266">
                      <w:marLeft w:val="0"/>
                      <w:marRight w:val="0"/>
                      <w:marTop w:val="0"/>
                      <w:marBottom w:val="1200"/>
                      <w:divBdr>
                        <w:top w:val="none" w:sz="0" w:space="0" w:color="auto"/>
                        <w:left w:val="none" w:sz="0" w:space="0" w:color="auto"/>
                        <w:bottom w:val="none" w:sz="0" w:space="0" w:color="auto"/>
                        <w:right w:val="none" w:sz="0" w:space="0" w:color="auto"/>
                      </w:divBdr>
                    </w:div>
                  </w:divsChild>
                </w:div>
              </w:divsChild>
            </w:div>
          </w:divsChild>
        </w:div>
      </w:divsChild>
    </w:div>
    <w:div w:id="1440833450">
      <w:bodyDiv w:val="1"/>
      <w:marLeft w:val="0"/>
      <w:marRight w:val="0"/>
      <w:marTop w:val="0"/>
      <w:marBottom w:val="0"/>
      <w:divBdr>
        <w:top w:val="none" w:sz="0" w:space="0" w:color="auto"/>
        <w:left w:val="none" w:sz="0" w:space="0" w:color="auto"/>
        <w:bottom w:val="none" w:sz="0" w:space="0" w:color="auto"/>
        <w:right w:val="none" w:sz="0" w:space="0" w:color="auto"/>
      </w:divBdr>
      <w:divsChild>
        <w:div w:id="1111123260">
          <w:marLeft w:val="136"/>
          <w:marRight w:val="136"/>
          <w:marTop w:val="204"/>
          <w:marBottom w:val="0"/>
          <w:divBdr>
            <w:top w:val="none" w:sz="0" w:space="0" w:color="auto"/>
            <w:left w:val="none" w:sz="0" w:space="0" w:color="auto"/>
            <w:bottom w:val="none" w:sz="0" w:space="0" w:color="auto"/>
            <w:right w:val="none" w:sz="0" w:space="0" w:color="auto"/>
          </w:divBdr>
          <w:divsChild>
            <w:div w:id="186543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charley.budd@navigant.com" TargetMode="External"/><Relationship Id="rId26"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image" Target="media/image3.wmf"/><Relationship Id="rId34"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randy.gunn@navigant.com" TargetMode="External"/><Relationship Id="rId25" Type="http://schemas.openxmlformats.org/officeDocument/2006/relationships/comments" Target="comments.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5.png"/><Relationship Id="rId32"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4.png"/><Relationship Id="rId28" Type="http://schemas.openxmlformats.org/officeDocument/2006/relationships/image" Target="media/image6.emf"/><Relationship Id="rId36" Type="http://schemas.openxmlformats.org/officeDocument/2006/relationships/customXml" Target="../customXml/item4.xml"/><Relationship Id="rId10" Type="http://schemas.openxmlformats.org/officeDocument/2006/relationships/hyperlink" Target="mailto:daniel.layton@navigant.com" TargetMode="External"/><Relationship Id="rId19" Type="http://schemas.openxmlformats.org/officeDocument/2006/relationships/header" Target="header4.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carly.olig@navigant.comnavigant.com" TargetMode="External"/><Relationship Id="rId14" Type="http://schemas.openxmlformats.org/officeDocument/2006/relationships/footer" Target="footer2.xml"/><Relationship Id="rId22" Type="http://schemas.openxmlformats.org/officeDocument/2006/relationships/oleObject" Target="embeddings/oleObject1.bin"/><Relationship Id="rId27" Type="http://schemas.openxmlformats.org/officeDocument/2006/relationships/chart" Target="charts/chart2.xml"/><Relationship Id="rId30" Type="http://schemas.openxmlformats.org/officeDocument/2006/relationships/fontTable" Target="fontTable.xml"/><Relationship Id="rId35" Type="http://schemas.openxmlformats.org/officeDocument/2006/relationships/customXml" Target="../customXml/item3.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behavioranalytics.lbl.gov"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emf"/></Relationships>
</file>

<file path=word/_rels/header5.xml.rels><?xml version="1.0" encoding="UTF-8" standalone="yes"?>
<Relationships xmlns="http://schemas.openxmlformats.org/package/2006/relationships"><Relationship Id="rId1" Type="http://schemas.openxmlformats.org/officeDocument/2006/relationships/image" Target="media/image2.emf"/></Relationships>
</file>

<file path=word/charts/_rels/chart1.xml.rels><?xml version="1.0" encoding="UTF-8" standalone="yes"?>
<Relationships xmlns="http://schemas.openxmlformats.org/package/2006/relationships"><Relationship Id="rId1" Type="http://schemas.openxmlformats.org/officeDocument/2006/relationships/oleObject" Target="file:///\\chi1islfls01\Energy\Nicor_EMV\NG%20PY4-PY6\Programs\Opower\Persistence\Part%202%20(April-September%202015)\Output\Nicor%20Persistence%20results%202015%20part%20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hi1islfls01\Energy\Nicor_EMV\NG%20PY4-PY6\Programs\Opower\Persistence\Part%202%20(April-September%202015)\Output\Nicor%20Persistence%20results%202015%20part%20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861674708491244"/>
          <c:y val="4.2718054340429669E-2"/>
          <c:w val="0.81661963292409245"/>
          <c:h val="0.67679275643308401"/>
        </c:manualLayout>
      </c:layout>
      <c:lineChart>
        <c:grouping val="standard"/>
        <c:varyColors val="0"/>
        <c:ser>
          <c:idx val="0"/>
          <c:order val="0"/>
          <c:tx>
            <c:v>Savings Estimate</c:v>
          </c:tx>
          <c:spPr>
            <a:ln w="28575" cap="rnd">
              <a:solidFill>
                <a:schemeClr val="accent1"/>
              </a:solidFill>
              <a:round/>
            </a:ln>
            <a:effectLst/>
          </c:spPr>
          <c:marker>
            <c:symbol val="circle"/>
            <c:size val="5"/>
            <c:spPr>
              <a:solidFill>
                <a:schemeClr val="accent1"/>
              </a:solidFill>
              <a:ln w="9525">
                <a:solidFill>
                  <a:schemeClr val="accent1"/>
                </a:solidFill>
              </a:ln>
              <a:effectLst/>
            </c:spPr>
          </c:marker>
          <c:cat>
            <c:numRef>
              <c:f>'PPR Monthly Results'!$E$2:$E$13</c:f>
              <c:numCache>
                <c:formatCode>mmm\-yy</c:formatCode>
                <c:ptCount val="12"/>
                <c:pt idx="0">
                  <c:v>41913</c:v>
                </c:pt>
                <c:pt idx="1">
                  <c:v>41944</c:v>
                </c:pt>
                <c:pt idx="2">
                  <c:v>41974</c:v>
                </c:pt>
                <c:pt idx="3">
                  <c:v>42005</c:v>
                </c:pt>
                <c:pt idx="4">
                  <c:v>42036</c:v>
                </c:pt>
                <c:pt idx="5">
                  <c:v>42064</c:v>
                </c:pt>
                <c:pt idx="6">
                  <c:v>42095</c:v>
                </c:pt>
                <c:pt idx="7">
                  <c:v>42125</c:v>
                </c:pt>
                <c:pt idx="8">
                  <c:v>42156</c:v>
                </c:pt>
                <c:pt idx="9">
                  <c:v>42186</c:v>
                </c:pt>
                <c:pt idx="10">
                  <c:v>42217</c:v>
                </c:pt>
                <c:pt idx="11">
                  <c:v>42248</c:v>
                </c:pt>
              </c:numCache>
            </c:numRef>
          </c:cat>
          <c:val>
            <c:numRef>
              <c:f>'PPR Monthly Results'!$F$2:$F$13</c:f>
              <c:numCache>
                <c:formatCode>General</c:formatCode>
                <c:ptCount val="12"/>
                <c:pt idx="0">
                  <c:v>3.1808624914380898E-2</c:v>
                </c:pt>
                <c:pt idx="1">
                  <c:v>-2.90703738524501E-2</c:v>
                </c:pt>
                <c:pt idx="2">
                  <c:v>2.1824582680847401E-2</c:v>
                </c:pt>
                <c:pt idx="3">
                  <c:v>2.9333611630879299E-2</c:v>
                </c:pt>
                <c:pt idx="4">
                  <c:v>5.1030714992344003E-2</c:v>
                </c:pt>
                <c:pt idx="5">
                  <c:v>2.9052629607439099E-2</c:v>
                </c:pt>
                <c:pt idx="6">
                  <c:v>2.8511911316366999E-2</c:v>
                </c:pt>
                <c:pt idx="7">
                  <c:v>1.36402916531676E-2</c:v>
                </c:pt>
                <c:pt idx="8">
                  <c:v>7.2457112369561797E-3</c:v>
                </c:pt>
                <c:pt idx="9">
                  <c:v>1.539520258215E-2</c:v>
                </c:pt>
                <c:pt idx="10">
                  <c:v>-5.48400642724697E-3</c:v>
                </c:pt>
                <c:pt idx="11">
                  <c:v>-4.2866662448318403E-3</c:v>
                </c:pt>
              </c:numCache>
            </c:numRef>
          </c:val>
          <c:smooth val="0"/>
        </c:ser>
        <c:ser>
          <c:idx val="1"/>
          <c:order val="1"/>
          <c:tx>
            <c:v>90% Confidence Interval</c:v>
          </c:tx>
          <c:spPr>
            <a:ln w="28575" cap="rnd">
              <a:solidFill>
                <a:schemeClr val="accent1">
                  <a:lumMod val="60000"/>
                  <a:lumOff val="40000"/>
                </a:schemeClr>
              </a:solidFill>
              <a:prstDash val="dash"/>
              <a:round/>
            </a:ln>
            <a:effectLst/>
          </c:spPr>
          <c:marker>
            <c:symbol val="none"/>
          </c:marker>
          <c:cat>
            <c:numRef>
              <c:f>'PPR Monthly Results'!$E$2:$E$13</c:f>
              <c:numCache>
                <c:formatCode>mmm\-yy</c:formatCode>
                <c:ptCount val="12"/>
                <c:pt idx="0">
                  <c:v>41913</c:v>
                </c:pt>
                <c:pt idx="1">
                  <c:v>41944</c:v>
                </c:pt>
                <c:pt idx="2">
                  <c:v>41974</c:v>
                </c:pt>
                <c:pt idx="3">
                  <c:v>42005</c:v>
                </c:pt>
                <c:pt idx="4">
                  <c:v>42036</c:v>
                </c:pt>
                <c:pt idx="5">
                  <c:v>42064</c:v>
                </c:pt>
                <c:pt idx="6">
                  <c:v>42095</c:v>
                </c:pt>
                <c:pt idx="7">
                  <c:v>42125</c:v>
                </c:pt>
                <c:pt idx="8">
                  <c:v>42156</c:v>
                </c:pt>
                <c:pt idx="9">
                  <c:v>42186</c:v>
                </c:pt>
                <c:pt idx="10">
                  <c:v>42217</c:v>
                </c:pt>
                <c:pt idx="11">
                  <c:v>42248</c:v>
                </c:pt>
              </c:numCache>
            </c:numRef>
          </c:cat>
          <c:val>
            <c:numRef>
              <c:f>'PPR Monthly Results'!$K$2:$K$13</c:f>
              <c:numCache>
                <c:formatCode>0.000</c:formatCode>
                <c:ptCount val="12"/>
                <c:pt idx="0">
                  <c:v>7.4126181753443002E-2</c:v>
                </c:pt>
                <c:pt idx="1">
                  <c:v>6.713274252099663E-2</c:v>
                </c:pt>
                <c:pt idx="2">
                  <c:v>3.7264248115087981E-2</c:v>
                </c:pt>
                <c:pt idx="3">
                  <c:v>5.2306494976815034E-2</c:v>
                </c:pt>
                <c:pt idx="4">
                  <c:v>6.930048068408777E-2</c:v>
                </c:pt>
                <c:pt idx="5">
                  <c:v>5.5169237106667823E-2</c:v>
                </c:pt>
                <c:pt idx="6">
                  <c:v>5.0741757477862054E-2</c:v>
                </c:pt>
                <c:pt idx="7">
                  <c:v>2.9948034660227593E-2</c:v>
                </c:pt>
                <c:pt idx="8">
                  <c:v>1.7314472684409676E-2</c:v>
                </c:pt>
                <c:pt idx="9">
                  <c:v>2.7776519591787265E-2</c:v>
                </c:pt>
                <c:pt idx="10">
                  <c:v>3.0921495843473298E-3</c:v>
                </c:pt>
                <c:pt idx="11">
                  <c:v>7.7306546058088649E-3</c:v>
                </c:pt>
              </c:numCache>
            </c:numRef>
          </c:val>
          <c:smooth val="0"/>
        </c:ser>
        <c:ser>
          <c:idx val="2"/>
          <c:order val="2"/>
          <c:spPr>
            <a:ln w="28575" cap="rnd">
              <a:solidFill>
                <a:schemeClr val="accent1">
                  <a:lumMod val="60000"/>
                  <a:lumOff val="40000"/>
                </a:schemeClr>
              </a:solidFill>
              <a:prstDash val="dash"/>
              <a:round/>
            </a:ln>
            <a:effectLst/>
          </c:spPr>
          <c:marker>
            <c:symbol val="none"/>
          </c:marker>
          <c:cat>
            <c:numRef>
              <c:f>'PPR Monthly Results'!$E$2:$E$13</c:f>
              <c:numCache>
                <c:formatCode>mmm\-yy</c:formatCode>
                <c:ptCount val="12"/>
                <c:pt idx="0">
                  <c:v>41913</c:v>
                </c:pt>
                <c:pt idx="1">
                  <c:v>41944</c:v>
                </c:pt>
                <c:pt idx="2">
                  <c:v>41974</c:v>
                </c:pt>
                <c:pt idx="3">
                  <c:v>42005</c:v>
                </c:pt>
                <c:pt idx="4">
                  <c:v>42036</c:v>
                </c:pt>
                <c:pt idx="5">
                  <c:v>42064</c:v>
                </c:pt>
                <c:pt idx="6">
                  <c:v>42095</c:v>
                </c:pt>
                <c:pt idx="7">
                  <c:v>42125</c:v>
                </c:pt>
                <c:pt idx="8">
                  <c:v>42156</c:v>
                </c:pt>
                <c:pt idx="9">
                  <c:v>42186</c:v>
                </c:pt>
                <c:pt idx="10">
                  <c:v>42217</c:v>
                </c:pt>
                <c:pt idx="11">
                  <c:v>42248</c:v>
                </c:pt>
              </c:numCache>
            </c:numRef>
          </c:cat>
          <c:val>
            <c:numRef>
              <c:f>'PPR Monthly Results'!$L$2:$L$13</c:f>
              <c:numCache>
                <c:formatCode>0.000</c:formatCode>
                <c:ptCount val="12"/>
                <c:pt idx="0">
                  <c:v>-1.0508931924681206E-2</c:v>
                </c:pt>
                <c:pt idx="1">
                  <c:v>-0.12527349022589684</c:v>
                </c:pt>
                <c:pt idx="2">
                  <c:v>6.3849172466068221E-3</c:v>
                </c:pt>
                <c:pt idx="3">
                  <c:v>6.3607282849435648E-3</c:v>
                </c:pt>
                <c:pt idx="4">
                  <c:v>3.2760949300600237E-2</c:v>
                </c:pt>
                <c:pt idx="5">
                  <c:v>2.9360221082103746E-3</c:v>
                </c:pt>
                <c:pt idx="6">
                  <c:v>6.2820651548719415E-3</c:v>
                </c:pt>
                <c:pt idx="7">
                  <c:v>-2.6674513538923906E-3</c:v>
                </c:pt>
                <c:pt idx="8">
                  <c:v>-2.8230502104973155E-3</c:v>
                </c:pt>
                <c:pt idx="9">
                  <c:v>3.013885572512736E-3</c:v>
                </c:pt>
                <c:pt idx="10">
                  <c:v>-1.406016243884127E-2</c:v>
                </c:pt>
                <c:pt idx="11">
                  <c:v>-1.6303987095472545E-2</c:v>
                </c:pt>
              </c:numCache>
            </c:numRef>
          </c:val>
          <c:smooth val="0"/>
        </c:ser>
        <c:ser>
          <c:idx val="3"/>
          <c:order val="3"/>
          <c:tx>
            <c:strRef>
              <c:f>'PPR Monthly Results'!$P$1</c:f>
              <c:strCache>
                <c:ptCount val="1"/>
                <c:pt idx="0">
                  <c:v>Estimated Savings (October-September)</c:v>
                </c:pt>
              </c:strCache>
            </c:strRef>
          </c:tx>
          <c:spPr>
            <a:ln>
              <a:solidFill>
                <a:srgbClr val="7030A0"/>
              </a:solidFill>
              <a:prstDash val="dashDot"/>
            </a:ln>
          </c:spPr>
          <c:marker>
            <c:symbol val="none"/>
          </c:marker>
          <c:val>
            <c:numRef>
              <c:f>'PPR Monthly Results'!$P$2:$P$13</c:f>
              <c:numCache>
                <c:formatCode>_(* #,##0.0000_);_(* \(#,##0.0000\);_(* "-"??_);_(@_)</c:formatCode>
                <c:ptCount val="12"/>
                <c:pt idx="0">
                  <c:v>2.0747547540986462E-2</c:v>
                </c:pt>
                <c:pt idx="1">
                  <c:v>2.0747547540986462E-2</c:v>
                </c:pt>
                <c:pt idx="2">
                  <c:v>2.0747547540986462E-2</c:v>
                </c:pt>
                <c:pt idx="3">
                  <c:v>2.0747547540986462E-2</c:v>
                </c:pt>
                <c:pt idx="4">
                  <c:v>2.0747547540986462E-2</c:v>
                </c:pt>
                <c:pt idx="5">
                  <c:v>2.0747547540986462E-2</c:v>
                </c:pt>
                <c:pt idx="6">
                  <c:v>2.0747547540986462E-2</c:v>
                </c:pt>
                <c:pt idx="7">
                  <c:v>2.0747547540986462E-2</c:v>
                </c:pt>
                <c:pt idx="8">
                  <c:v>2.0747547540986462E-2</c:v>
                </c:pt>
                <c:pt idx="9">
                  <c:v>2.0747547540986462E-2</c:v>
                </c:pt>
                <c:pt idx="10">
                  <c:v>2.0747547540986462E-2</c:v>
                </c:pt>
                <c:pt idx="11">
                  <c:v>2.0747547540986462E-2</c:v>
                </c:pt>
              </c:numCache>
            </c:numRef>
          </c:val>
          <c:smooth val="0"/>
        </c:ser>
        <c:dLbls>
          <c:showLegendKey val="0"/>
          <c:showVal val="0"/>
          <c:showCatName val="0"/>
          <c:showSerName val="0"/>
          <c:showPercent val="0"/>
          <c:showBubbleSize val="0"/>
        </c:dLbls>
        <c:marker val="1"/>
        <c:smooth val="0"/>
        <c:axId val="141442048"/>
        <c:axId val="141443840"/>
      </c:lineChart>
      <c:dateAx>
        <c:axId val="141442048"/>
        <c:scaling>
          <c:orientation val="minMax"/>
        </c:scaling>
        <c:delete val="0"/>
        <c:axPos val="b"/>
        <c:numFmt formatCode="mmm\-yy" sourceLinked="1"/>
        <c:majorTickMark val="none"/>
        <c:minorTickMark val="none"/>
        <c:tickLblPos val="low"/>
        <c:spPr>
          <a:noFill/>
          <a:ln w="9525" cap="flat" cmpd="sng" algn="ctr">
            <a:solidFill>
              <a:schemeClr val="tx1">
                <a:lumMod val="15000"/>
                <a:lumOff val="85000"/>
              </a:schemeClr>
            </a:solidFill>
            <a:round/>
          </a:ln>
          <a:effectLst/>
        </c:spPr>
        <c:txPr>
          <a:bodyPr rot="-60000000" vert="horz"/>
          <a:lstStyle/>
          <a:p>
            <a:pPr>
              <a:defRPr/>
            </a:pPr>
            <a:endParaRPr lang="en-US"/>
          </a:p>
        </c:txPr>
        <c:crossAx val="141443840"/>
        <c:crosses val="autoZero"/>
        <c:auto val="1"/>
        <c:lblOffset val="100"/>
        <c:baseTimeUnit val="months"/>
      </c:dateAx>
      <c:valAx>
        <c:axId val="14144384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vert="horz"/>
              <a:lstStyle/>
              <a:p>
                <a:pPr>
                  <a:defRPr b="0"/>
                </a:pPr>
                <a:r>
                  <a:rPr lang="en-US" b="0"/>
                  <a:t>Average Absoulate Savings per Participant  </a:t>
                </a:r>
              </a:p>
              <a:p>
                <a:pPr>
                  <a:defRPr b="0"/>
                </a:pPr>
                <a:r>
                  <a:rPr lang="en-US" b="0"/>
                  <a:t>(therms/day)</a:t>
                </a:r>
              </a:p>
            </c:rich>
          </c:tx>
          <c:overlay val="0"/>
          <c:spPr>
            <a:noFill/>
            <a:ln>
              <a:noFill/>
            </a:ln>
            <a:effectLst/>
          </c:spPr>
        </c:title>
        <c:numFmt formatCode="General" sourceLinked="1"/>
        <c:majorTickMark val="none"/>
        <c:minorTickMark val="none"/>
        <c:tickLblPos val="nextTo"/>
        <c:spPr>
          <a:noFill/>
          <a:ln>
            <a:noFill/>
          </a:ln>
          <a:effectLst/>
        </c:spPr>
        <c:txPr>
          <a:bodyPr rot="-60000000" vert="horz"/>
          <a:lstStyle/>
          <a:p>
            <a:pPr>
              <a:defRPr/>
            </a:pPr>
            <a:endParaRPr lang="en-US"/>
          </a:p>
        </c:txPr>
        <c:crossAx val="141442048"/>
        <c:crosses val="autoZero"/>
        <c:crossBetween val="between"/>
      </c:valAx>
      <c:spPr>
        <a:noFill/>
        <a:ln>
          <a:noFill/>
        </a:ln>
        <a:effectLst/>
      </c:spPr>
    </c:plotArea>
    <c:legend>
      <c:legendPos val="b"/>
      <c:legendEntry>
        <c:idx val="2"/>
        <c:delete val="1"/>
      </c:legendEntry>
      <c:layout>
        <c:manualLayout>
          <c:xMode val="edge"/>
          <c:yMode val="edge"/>
          <c:x val="0.26596127870328679"/>
          <c:y val="0.82137345679012341"/>
          <c:w val="0.51985592075641607"/>
          <c:h val="0.15547839506172839"/>
        </c:manualLayout>
      </c:layout>
      <c:overlay val="0"/>
    </c:legend>
    <c:plotVisOnly val="1"/>
    <c:dispBlanksAs val="gap"/>
    <c:showDLblsOverMax val="0"/>
  </c:chart>
  <c:spPr>
    <a:solidFill>
      <a:schemeClr val="bg1"/>
    </a:solidFill>
    <a:ln w="9525" cap="flat" cmpd="sng" algn="ctr">
      <a:noFill/>
      <a:round/>
    </a:ln>
    <a:effectLst/>
  </c:spPr>
  <c:txPr>
    <a:bodyPr/>
    <a:lstStyle/>
    <a:p>
      <a:pPr>
        <a:defRPr>
          <a:latin typeface="Arial Narrow" panose="020B0606020202030204" pitchFamily="34"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162122069923679"/>
          <c:y val="4.3650793650793648E-2"/>
          <c:w val="0.84490960925595848"/>
          <c:h val="0.67387545306836649"/>
        </c:manualLayout>
      </c:layout>
      <c:lineChart>
        <c:grouping val="standard"/>
        <c:varyColors val="0"/>
        <c:ser>
          <c:idx val="0"/>
          <c:order val="0"/>
          <c:tx>
            <c:strRef>
              <c:f>'PPR Monthly Results'!$I$1</c:f>
              <c:strCache>
                <c:ptCount val="1"/>
                <c:pt idx="0">
                  <c:v>Percent Savings</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numRef>
              <c:f>'PPR Monthly Results'!$E$2:$E$13</c:f>
              <c:numCache>
                <c:formatCode>mmm\-yy</c:formatCode>
                <c:ptCount val="12"/>
                <c:pt idx="0">
                  <c:v>41913</c:v>
                </c:pt>
                <c:pt idx="1">
                  <c:v>41944</c:v>
                </c:pt>
                <c:pt idx="2">
                  <c:v>41974</c:v>
                </c:pt>
                <c:pt idx="3">
                  <c:v>42005</c:v>
                </c:pt>
                <c:pt idx="4">
                  <c:v>42036</c:v>
                </c:pt>
                <c:pt idx="5">
                  <c:v>42064</c:v>
                </c:pt>
                <c:pt idx="6">
                  <c:v>42095</c:v>
                </c:pt>
                <c:pt idx="7">
                  <c:v>42125</c:v>
                </c:pt>
                <c:pt idx="8">
                  <c:v>42156</c:v>
                </c:pt>
                <c:pt idx="9">
                  <c:v>42186</c:v>
                </c:pt>
                <c:pt idx="10">
                  <c:v>42217</c:v>
                </c:pt>
                <c:pt idx="11">
                  <c:v>42248</c:v>
                </c:pt>
              </c:numCache>
            </c:numRef>
          </c:cat>
          <c:val>
            <c:numRef>
              <c:f>'PPR Monthly Results'!$I$2:$I$13</c:f>
              <c:numCache>
                <c:formatCode>0.00%</c:formatCode>
                <c:ptCount val="12"/>
                <c:pt idx="0">
                  <c:v>1.4547744454230301E-2</c:v>
                </c:pt>
                <c:pt idx="1">
                  <c:v>-6.3253491756547799E-3</c:v>
                </c:pt>
                <c:pt idx="2">
                  <c:v>3.6068261820232802E-3</c:v>
                </c:pt>
                <c:pt idx="3">
                  <c:v>3.4216800468145499E-3</c:v>
                </c:pt>
                <c:pt idx="4">
                  <c:v>5.6352392333311801E-3</c:v>
                </c:pt>
                <c:pt idx="5">
                  <c:v>3.2706194267358999E-3</c:v>
                </c:pt>
                <c:pt idx="6">
                  <c:v>6.1750402469019899E-3</c:v>
                </c:pt>
                <c:pt idx="7">
                  <c:v>4.3349027583062302E-3</c:v>
                </c:pt>
                <c:pt idx="8">
                  <c:v>3.8279984131456002E-3</c:v>
                </c:pt>
                <c:pt idx="9">
                  <c:v>1.3519556871568601E-2</c:v>
                </c:pt>
                <c:pt idx="10">
                  <c:v>-5.82242486316366E-3</c:v>
                </c:pt>
                <c:pt idx="11">
                  <c:v>-4.5956128688137204E-3</c:v>
                </c:pt>
              </c:numCache>
            </c:numRef>
          </c:val>
          <c:smooth val="0"/>
        </c:ser>
        <c:ser>
          <c:idx val="1"/>
          <c:order val="1"/>
          <c:tx>
            <c:v>90% Confidence Interval</c:v>
          </c:tx>
          <c:spPr>
            <a:ln w="28575" cap="rnd">
              <a:solidFill>
                <a:schemeClr val="accent1">
                  <a:lumMod val="60000"/>
                  <a:lumOff val="40000"/>
                </a:schemeClr>
              </a:solidFill>
              <a:prstDash val="dash"/>
              <a:round/>
            </a:ln>
            <a:effectLst/>
          </c:spPr>
          <c:marker>
            <c:symbol val="none"/>
          </c:marker>
          <c:cat>
            <c:numRef>
              <c:f>'PPR Monthly Results'!$E$2:$E$13</c:f>
              <c:numCache>
                <c:formatCode>mmm\-yy</c:formatCode>
                <c:ptCount val="12"/>
                <c:pt idx="0">
                  <c:v>41913</c:v>
                </c:pt>
                <c:pt idx="1">
                  <c:v>41944</c:v>
                </c:pt>
                <c:pt idx="2">
                  <c:v>41974</c:v>
                </c:pt>
                <c:pt idx="3">
                  <c:v>42005</c:v>
                </c:pt>
                <c:pt idx="4">
                  <c:v>42036</c:v>
                </c:pt>
                <c:pt idx="5">
                  <c:v>42064</c:v>
                </c:pt>
                <c:pt idx="6">
                  <c:v>42095</c:v>
                </c:pt>
                <c:pt idx="7">
                  <c:v>42125</c:v>
                </c:pt>
                <c:pt idx="8">
                  <c:v>42156</c:v>
                </c:pt>
                <c:pt idx="9">
                  <c:v>42186</c:v>
                </c:pt>
                <c:pt idx="10">
                  <c:v>42217</c:v>
                </c:pt>
                <c:pt idx="11">
                  <c:v>42248</c:v>
                </c:pt>
              </c:numCache>
            </c:numRef>
          </c:cat>
          <c:val>
            <c:numRef>
              <c:f>'PPR Monthly Results'!$M$2:$M$13</c:f>
              <c:numCache>
                <c:formatCode>0.00%</c:formatCode>
                <c:ptCount val="12"/>
                <c:pt idx="0">
                  <c:v>3.3901772001133444E-2</c:v>
                </c:pt>
                <c:pt idx="1">
                  <c:v>1.4607243777459821E-2</c:v>
                </c:pt>
                <c:pt idx="2">
                  <c:v>6.1584529574011618E-3</c:v>
                </c:pt>
                <c:pt idx="3">
                  <c:v>6.1013997332863825E-3</c:v>
                </c:pt>
                <c:pt idx="4">
                  <c:v>7.652739878292323E-3</c:v>
                </c:pt>
                <c:pt idx="5">
                  <c:v>6.2107141789693714E-3</c:v>
                </c:pt>
                <c:pt idx="6">
                  <c:v>1.0989526136905205E-2</c:v>
                </c:pt>
                <c:pt idx="7">
                  <c:v>9.5175250907720381E-3</c:v>
                </c:pt>
                <c:pt idx="8">
                  <c:v>9.1474489933187405E-3</c:v>
                </c:pt>
                <c:pt idx="9">
                  <c:v>2.4392419282017918E-2</c:v>
                </c:pt>
                <c:pt idx="10">
                  <c:v>3.2829663603372514E-3</c:v>
                </c:pt>
                <c:pt idx="11">
                  <c:v>8.2878147636621068E-3</c:v>
                </c:pt>
              </c:numCache>
            </c:numRef>
          </c:val>
          <c:smooth val="0"/>
        </c:ser>
        <c:ser>
          <c:idx val="2"/>
          <c:order val="2"/>
          <c:spPr>
            <a:ln w="28575" cap="rnd">
              <a:solidFill>
                <a:schemeClr val="accent1">
                  <a:lumMod val="60000"/>
                  <a:lumOff val="40000"/>
                </a:schemeClr>
              </a:solidFill>
              <a:prstDash val="dash"/>
              <a:round/>
            </a:ln>
            <a:effectLst/>
          </c:spPr>
          <c:marker>
            <c:symbol val="none"/>
          </c:marker>
          <c:cat>
            <c:numRef>
              <c:f>'PPR Monthly Results'!$E$2:$E$13</c:f>
              <c:numCache>
                <c:formatCode>mmm\-yy</c:formatCode>
                <c:ptCount val="12"/>
                <c:pt idx="0">
                  <c:v>41913</c:v>
                </c:pt>
                <c:pt idx="1">
                  <c:v>41944</c:v>
                </c:pt>
                <c:pt idx="2">
                  <c:v>41974</c:v>
                </c:pt>
                <c:pt idx="3">
                  <c:v>42005</c:v>
                </c:pt>
                <c:pt idx="4">
                  <c:v>42036</c:v>
                </c:pt>
                <c:pt idx="5">
                  <c:v>42064</c:v>
                </c:pt>
                <c:pt idx="6">
                  <c:v>42095</c:v>
                </c:pt>
                <c:pt idx="7">
                  <c:v>42125</c:v>
                </c:pt>
                <c:pt idx="8">
                  <c:v>42156</c:v>
                </c:pt>
                <c:pt idx="9">
                  <c:v>42186</c:v>
                </c:pt>
                <c:pt idx="10">
                  <c:v>42217</c:v>
                </c:pt>
                <c:pt idx="11">
                  <c:v>42248</c:v>
                </c:pt>
              </c:numCache>
            </c:numRef>
          </c:cat>
          <c:val>
            <c:numRef>
              <c:f>'PPR Monthly Results'!$N$2:$N$13</c:f>
              <c:numCache>
                <c:formatCode>0.00%</c:formatCode>
                <c:ptCount val="12"/>
                <c:pt idx="0">
                  <c:v>-4.8062830926728431E-3</c:v>
                </c:pt>
                <c:pt idx="1">
                  <c:v>-2.7257942128769381E-2</c:v>
                </c:pt>
                <c:pt idx="2">
                  <c:v>1.0551994066453989E-3</c:v>
                </c:pt>
                <c:pt idx="3">
                  <c:v>7.4196036034271731E-4</c:v>
                </c:pt>
                <c:pt idx="4">
                  <c:v>3.6177385883700368E-3</c:v>
                </c:pt>
                <c:pt idx="5">
                  <c:v>3.3052467450242788E-4</c:v>
                </c:pt>
                <c:pt idx="6">
                  <c:v>1.3605543568987744E-3</c:v>
                </c:pt>
                <c:pt idx="7">
                  <c:v>-8.4771957415957777E-4</c:v>
                </c:pt>
                <c:pt idx="8">
                  <c:v>-1.4914521670275401E-3</c:v>
                </c:pt>
                <c:pt idx="9">
                  <c:v>2.6466944611192832E-3</c:v>
                </c:pt>
                <c:pt idx="10">
                  <c:v>-1.4927816086664571E-2</c:v>
                </c:pt>
                <c:pt idx="11">
                  <c:v>-1.7479040501289549E-2</c:v>
                </c:pt>
              </c:numCache>
            </c:numRef>
          </c:val>
          <c:smooth val="0"/>
        </c:ser>
        <c:ser>
          <c:idx val="3"/>
          <c:order val="3"/>
          <c:tx>
            <c:strRef>
              <c:f>'PPR Monthly Results'!$Q$1</c:f>
              <c:strCache>
                <c:ptCount val="1"/>
                <c:pt idx="0">
                  <c:v>Estimated Percent Savings (October-September)</c:v>
                </c:pt>
              </c:strCache>
            </c:strRef>
          </c:tx>
          <c:spPr>
            <a:ln>
              <a:solidFill>
                <a:srgbClr val="7030A0"/>
              </a:solidFill>
              <a:prstDash val="dashDot"/>
            </a:ln>
          </c:spPr>
          <c:marker>
            <c:symbol val="none"/>
          </c:marker>
          <c:val>
            <c:numRef>
              <c:f>'PPR Monthly Results'!$Q$2:$Q$13</c:f>
              <c:numCache>
                <c:formatCode>0.00%</c:formatCode>
                <c:ptCount val="12"/>
                <c:pt idx="0">
                  <c:v>4.1829344989389979E-3</c:v>
                </c:pt>
                <c:pt idx="1">
                  <c:v>4.1829344989389979E-3</c:v>
                </c:pt>
                <c:pt idx="2">
                  <c:v>4.1829344989389979E-3</c:v>
                </c:pt>
                <c:pt idx="3">
                  <c:v>4.1829344989389979E-3</c:v>
                </c:pt>
                <c:pt idx="4">
                  <c:v>4.1829344989389979E-3</c:v>
                </c:pt>
                <c:pt idx="5">
                  <c:v>4.1829344989389979E-3</c:v>
                </c:pt>
                <c:pt idx="6">
                  <c:v>4.1829344989389979E-3</c:v>
                </c:pt>
                <c:pt idx="7">
                  <c:v>4.1829344989389979E-3</c:v>
                </c:pt>
                <c:pt idx="8">
                  <c:v>4.1829344989389979E-3</c:v>
                </c:pt>
                <c:pt idx="9">
                  <c:v>4.1829344989389979E-3</c:v>
                </c:pt>
                <c:pt idx="10">
                  <c:v>4.1829344989389979E-3</c:v>
                </c:pt>
                <c:pt idx="11">
                  <c:v>4.1829344989389979E-3</c:v>
                </c:pt>
              </c:numCache>
            </c:numRef>
          </c:val>
          <c:smooth val="0"/>
        </c:ser>
        <c:dLbls>
          <c:showLegendKey val="0"/>
          <c:showVal val="0"/>
          <c:showCatName val="0"/>
          <c:showSerName val="0"/>
          <c:showPercent val="0"/>
          <c:showBubbleSize val="0"/>
        </c:dLbls>
        <c:marker val="1"/>
        <c:smooth val="0"/>
        <c:axId val="141490048"/>
        <c:axId val="141491584"/>
      </c:lineChart>
      <c:dateAx>
        <c:axId val="141490048"/>
        <c:scaling>
          <c:orientation val="minMax"/>
        </c:scaling>
        <c:delete val="0"/>
        <c:axPos val="b"/>
        <c:numFmt formatCode="mmm\-yy" sourceLinked="1"/>
        <c:majorTickMark val="none"/>
        <c:minorTickMark val="none"/>
        <c:tickLblPos val="low"/>
        <c:spPr>
          <a:noFill/>
          <a:ln w="9525" cap="flat" cmpd="sng" algn="ctr">
            <a:solidFill>
              <a:schemeClr val="tx1">
                <a:lumMod val="15000"/>
                <a:lumOff val="85000"/>
              </a:schemeClr>
            </a:solidFill>
            <a:round/>
          </a:ln>
          <a:effectLst/>
        </c:spPr>
        <c:txPr>
          <a:bodyPr rot="-60000000" vert="horz"/>
          <a:lstStyle/>
          <a:p>
            <a:pPr>
              <a:defRPr/>
            </a:pPr>
            <a:endParaRPr lang="en-US"/>
          </a:p>
        </c:txPr>
        <c:crossAx val="141491584"/>
        <c:crosses val="autoZero"/>
        <c:auto val="1"/>
        <c:lblOffset val="100"/>
        <c:baseTimeUnit val="months"/>
      </c:dateAx>
      <c:valAx>
        <c:axId val="1414915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vert="horz"/>
              <a:lstStyle/>
              <a:p>
                <a:pPr>
                  <a:defRPr b="0"/>
                </a:pPr>
                <a:r>
                  <a:rPr lang="en-US" b="0"/>
                  <a:t>Average Percent Savings per Participant </a:t>
                </a:r>
              </a:p>
            </c:rich>
          </c:tx>
          <c:overlay val="0"/>
          <c:spPr>
            <a:noFill/>
            <a:ln>
              <a:noFill/>
            </a:ln>
            <a:effectLst/>
          </c:spPr>
        </c:title>
        <c:numFmt formatCode="0.00%" sourceLinked="1"/>
        <c:majorTickMark val="none"/>
        <c:minorTickMark val="none"/>
        <c:tickLblPos val="nextTo"/>
        <c:spPr>
          <a:noFill/>
          <a:ln>
            <a:noFill/>
          </a:ln>
          <a:effectLst/>
        </c:spPr>
        <c:txPr>
          <a:bodyPr rot="-60000000" vert="horz"/>
          <a:lstStyle/>
          <a:p>
            <a:pPr>
              <a:defRPr/>
            </a:pPr>
            <a:endParaRPr lang="en-US"/>
          </a:p>
        </c:txPr>
        <c:crossAx val="141490048"/>
        <c:crosses val="autoZero"/>
        <c:crossBetween val="between"/>
      </c:valAx>
      <c:spPr>
        <a:noFill/>
        <a:ln>
          <a:noFill/>
        </a:ln>
        <a:effectLst/>
      </c:spPr>
    </c:plotArea>
    <c:legend>
      <c:legendPos val="b"/>
      <c:legendEntry>
        <c:idx val="2"/>
        <c:delete val="1"/>
      </c:legendEntry>
      <c:layout>
        <c:manualLayout>
          <c:xMode val="edge"/>
          <c:yMode val="edge"/>
          <c:x val="0.24841278845097084"/>
          <c:y val="0.79714506172839505"/>
          <c:w val="0.59097253489419177"/>
          <c:h val="0.17970679012345678"/>
        </c:manualLayout>
      </c:layout>
      <c:overlay val="0"/>
    </c:legend>
    <c:plotVisOnly val="1"/>
    <c:dispBlanksAs val="gap"/>
    <c:showDLblsOverMax val="0"/>
  </c:chart>
  <c:spPr>
    <a:solidFill>
      <a:schemeClr val="bg1"/>
    </a:solidFill>
    <a:ln w="9525" cap="flat" cmpd="sng" algn="ctr">
      <a:noFill/>
      <a:round/>
    </a:ln>
    <a:effectLst/>
  </c:spPr>
  <c:txPr>
    <a:bodyPr/>
    <a:lstStyle/>
    <a:p>
      <a:pPr>
        <a:defRPr>
          <a:latin typeface="Arial Narrow" panose="020B0606020202030204" pitchFamily="34" charset="0"/>
        </a:defRPr>
      </a:pPr>
      <a:endParaRPr lang="en-US"/>
    </a:p>
  </c:txPr>
  <c:externalData r:id="rId1">
    <c:autoUpdate val="0"/>
  </c:externalData>
</c:chartSpace>
</file>

<file path=word/theme/theme1.xml><?xml version="1.0" encoding="utf-8"?>
<a:theme xmlns:a="http://schemas.openxmlformats.org/drawingml/2006/main" name="Office Theme">
  <a:themeElements>
    <a:clrScheme name="Nav Brand 2016">
      <a:dk1>
        <a:sysClr val="windowText" lastClr="000000"/>
      </a:dk1>
      <a:lt1>
        <a:sysClr val="window" lastClr="FFFFFF"/>
      </a:lt1>
      <a:dk2>
        <a:srgbClr val="44546A"/>
      </a:dk2>
      <a:lt2>
        <a:srgbClr val="E7E6E6"/>
      </a:lt2>
      <a:accent1>
        <a:srgbClr val="95D600"/>
      </a:accent1>
      <a:accent2>
        <a:srgbClr val="555759"/>
      </a:accent2>
      <a:accent3>
        <a:srgbClr val="009383"/>
      </a:accent3>
      <a:accent4>
        <a:srgbClr val="E53C2E"/>
      </a:accent4>
      <a:accent5>
        <a:srgbClr val="FFB718"/>
      </a:accent5>
      <a:accent6>
        <a:srgbClr val="006579"/>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57B319AB822E4A9207DC7F31971FB9" ma:contentTypeVersion="0" ma:contentTypeDescription="Create a new document." ma:contentTypeScope="" ma:versionID="b0fef99e30053e2e7706bd2fa2d9213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6292BB-68DE-44DD-90AF-EE6853F06868}"/>
</file>

<file path=customXml/itemProps2.xml><?xml version="1.0" encoding="utf-8"?>
<ds:datastoreItem xmlns:ds="http://schemas.openxmlformats.org/officeDocument/2006/customXml" ds:itemID="{87E789D4-62B4-4EB6-94A1-02C64F5B41D5}"/>
</file>

<file path=customXml/itemProps3.xml><?xml version="1.0" encoding="utf-8"?>
<ds:datastoreItem xmlns:ds="http://schemas.openxmlformats.org/officeDocument/2006/customXml" ds:itemID="{118E32A5-E202-42B1-8107-CACE79A7189D}"/>
</file>

<file path=customXml/itemProps4.xml><?xml version="1.0" encoding="utf-8"?>
<ds:datastoreItem xmlns:ds="http://schemas.openxmlformats.org/officeDocument/2006/customXml" ds:itemID="{BCF9B02F-1D88-42EB-AAA8-D9DE446305DC}"/>
</file>

<file path=docProps/app.xml><?xml version="1.0" encoding="utf-8"?>
<Properties xmlns="http://schemas.openxmlformats.org/officeDocument/2006/extended-properties" xmlns:vt="http://schemas.openxmlformats.org/officeDocument/2006/docPropsVTypes">
  <Template>Normal.dotm</Template>
  <TotalTime>0</TotalTime>
  <Pages>27</Pages>
  <Words>8302</Words>
  <Characters>47322</Characters>
  <Application>Microsoft Office Word</Application>
  <DocSecurity>4</DocSecurity>
  <Lines>394</Lines>
  <Paragraphs>111</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55513</CharactersWithSpaces>
  <SharedDoc>false</SharedDoc>
  <HLinks>
    <vt:vector size="60" baseType="variant">
      <vt:variant>
        <vt:i4>1966139</vt:i4>
      </vt:variant>
      <vt:variant>
        <vt:i4>56</vt:i4>
      </vt:variant>
      <vt:variant>
        <vt:i4>0</vt:i4>
      </vt:variant>
      <vt:variant>
        <vt:i4>5</vt:i4>
      </vt:variant>
      <vt:variant>
        <vt:lpwstr/>
      </vt:variant>
      <vt:variant>
        <vt:lpwstr>_Toc145987735</vt:lpwstr>
      </vt:variant>
      <vt:variant>
        <vt:i4>1966139</vt:i4>
      </vt:variant>
      <vt:variant>
        <vt:i4>50</vt:i4>
      </vt:variant>
      <vt:variant>
        <vt:i4>0</vt:i4>
      </vt:variant>
      <vt:variant>
        <vt:i4>5</vt:i4>
      </vt:variant>
      <vt:variant>
        <vt:lpwstr/>
      </vt:variant>
      <vt:variant>
        <vt:lpwstr>_Toc145987734</vt:lpwstr>
      </vt:variant>
      <vt:variant>
        <vt:i4>1966139</vt:i4>
      </vt:variant>
      <vt:variant>
        <vt:i4>44</vt:i4>
      </vt:variant>
      <vt:variant>
        <vt:i4>0</vt:i4>
      </vt:variant>
      <vt:variant>
        <vt:i4>5</vt:i4>
      </vt:variant>
      <vt:variant>
        <vt:lpwstr/>
      </vt:variant>
      <vt:variant>
        <vt:lpwstr>_Toc145987733</vt:lpwstr>
      </vt:variant>
      <vt:variant>
        <vt:i4>1966139</vt:i4>
      </vt:variant>
      <vt:variant>
        <vt:i4>38</vt:i4>
      </vt:variant>
      <vt:variant>
        <vt:i4>0</vt:i4>
      </vt:variant>
      <vt:variant>
        <vt:i4>5</vt:i4>
      </vt:variant>
      <vt:variant>
        <vt:lpwstr/>
      </vt:variant>
      <vt:variant>
        <vt:lpwstr>_Toc145987732</vt:lpwstr>
      </vt:variant>
      <vt:variant>
        <vt:i4>1966139</vt:i4>
      </vt:variant>
      <vt:variant>
        <vt:i4>32</vt:i4>
      </vt:variant>
      <vt:variant>
        <vt:i4>0</vt:i4>
      </vt:variant>
      <vt:variant>
        <vt:i4>5</vt:i4>
      </vt:variant>
      <vt:variant>
        <vt:lpwstr/>
      </vt:variant>
      <vt:variant>
        <vt:lpwstr>_Toc145987731</vt:lpwstr>
      </vt:variant>
      <vt:variant>
        <vt:i4>1966139</vt:i4>
      </vt:variant>
      <vt:variant>
        <vt:i4>26</vt:i4>
      </vt:variant>
      <vt:variant>
        <vt:i4>0</vt:i4>
      </vt:variant>
      <vt:variant>
        <vt:i4>5</vt:i4>
      </vt:variant>
      <vt:variant>
        <vt:lpwstr/>
      </vt:variant>
      <vt:variant>
        <vt:lpwstr>_Toc145987730</vt:lpwstr>
      </vt:variant>
      <vt:variant>
        <vt:i4>2031675</vt:i4>
      </vt:variant>
      <vt:variant>
        <vt:i4>20</vt:i4>
      </vt:variant>
      <vt:variant>
        <vt:i4>0</vt:i4>
      </vt:variant>
      <vt:variant>
        <vt:i4>5</vt:i4>
      </vt:variant>
      <vt:variant>
        <vt:lpwstr/>
      </vt:variant>
      <vt:variant>
        <vt:lpwstr>_Toc145987729</vt:lpwstr>
      </vt:variant>
      <vt:variant>
        <vt:i4>2031675</vt:i4>
      </vt:variant>
      <vt:variant>
        <vt:i4>14</vt:i4>
      </vt:variant>
      <vt:variant>
        <vt:i4>0</vt:i4>
      </vt:variant>
      <vt:variant>
        <vt:i4>5</vt:i4>
      </vt:variant>
      <vt:variant>
        <vt:lpwstr/>
      </vt:variant>
      <vt:variant>
        <vt:lpwstr>_Toc145987728</vt:lpwstr>
      </vt:variant>
      <vt:variant>
        <vt:i4>2031675</vt:i4>
      </vt:variant>
      <vt:variant>
        <vt:i4>8</vt:i4>
      </vt:variant>
      <vt:variant>
        <vt:i4>0</vt:i4>
      </vt:variant>
      <vt:variant>
        <vt:i4>5</vt:i4>
      </vt:variant>
      <vt:variant>
        <vt:lpwstr/>
      </vt:variant>
      <vt:variant>
        <vt:lpwstr>_Toc145987727</vt:lpwstr>
      </vt:variant>
      <vt:variant>
        <vt:i4>2031675</vt:i4>
      </vt:variant>
      <vt:variant>
        <vt:i4>2</vt:i4>
      </vt:variant>
      <vt:variant>
        <vt:i4>0</vt:i4>
      </vt:variant>
      <vt:variant>
        <vt:i4>5</vt:i4>
      </vt:variant>
      <vt:variant>
        <vt:lpwstr/>
      </vt:variant>
      <vt:variant>
        <vt:lpwstr>_Toc145987726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 Jenkins</dc:creator>
  <cp:lastModifiedBy>Cheryl Jenkins</cp:lastModifiedBy>
  <cp:revision>2</cp:revision>
  <dcterms:created xsi:type="dcterms:W3CDTF">2016-02-11T19:42:00Z</dcterms:created>
  <dcterms:modified xsi:type="dcterms:W3CDTF">2016-02-11T19:42:00Z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0x010100AD57B319AB822E4A9207DC7F31971FB9</vt:lpwstr>
  </property>
</Properties>
</file>