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914957" w14:textId="77777777" w:rsidR="001412F5" w:rsidRDefault="001412F5" w:rsidP="001412F5">
      <w:pPr>
        <w:rPr>
          <w:caps/>
        </w:rPr>
      </w:pPr>
      <w:bookmarkStart w:id="0" w:name="_GoBack"/>
      <w:bookmarkEnd w:id="0"/>
    </w:p>
    <w:p w14:paraId="2DB75F9B" w14:textId="77777777" w:rsidR="001412F5" w:rsidRDefault="001412F5" w:rsidP="001412F5">
      <w:pPr>
        <w:pStyle w:val="Header"/>
        <w:tabs>
          <w:tab w:val="clear" w:pos="4320"/>
          <w:tab w:val="clear" w:pos="8640"/>
          <w:tab w:val="left" w:pos="360"/>
          <w:tab w:val="left" w:pos="720"/>
          <w:tab w:val="left" w:pos="1080"/>
          <w:tab w:val="left" w:pos="1440"/>
        </w:tabs>
      </w:pPr>
    </w:p>
    <w:p w14:paraId="6EDB7E58" w14:textId="77777777" w:rsidR="001412F5" w:rsidRDefault="001412F5" w:rsidP="001412F5"/>
    <w:p w14:paraId="758AE948" w14:textId="77777777" w:rsidR="001412F5" w:rsidRDefault="001412F5" w:rsidP="001412F5"/>
    <w:p w14:paraId="183FBBDE" w14:textId="77777777" w:rsidR="009D2BFC" w:rsidRPr="00B53186" w:rsidRDefault="009D2BFC" w:rsidP="009D2BFC">
      <w:pPr>
        <w:rPr>
          <w:color w:val="6F6754"/>
        </w:rPr>
      </w:pPr>
    </w:p>
    <w:p w14:paraId="6016FCED" w14:textId="77777777" w:rsidR="009D2BFC" w:rsidRPr="00B53186" w:rsidRDefault="009D2BFC" w:rsidP="009D2BFC">
      <w:pPr>
        <w:rPr>
          <w:color w:val="6F6754"/>
        </w:rPr>
      </w:pPr>
    </w:p>
    <w:p w14:paraId="6CF202A9" w14:textId="77777777" w:rsidR="009D2BFC" w:rsidRPr="00B53186" w:rsidRDefault="009D2BFC" w:rsidP="009D2BFC">
      <w:pPr>
        <w:rPr>
          <w:color w:val="6F6754"/>
        </w:rPr>
      </w:pPr>
    </w:p>
    <w:p w14:paraId="1B5D032F" w14:textId="77777777" w:rsidR="009D2BFC" w:rsidRPr="00B53186" w:rsidRDefault="009D2BFC" w:rsidP="009D2BFC">
      <w:pPr>
        <w:rPr>
          <w:color w:val="6F6754"/>
        </w:rPr>
      </w:pPr>
    </w:p>
    <w:p w14:paraId="42E3ED68" w14:textId="0B256FAC" w:rsidR="00257513" w:rsidRPr="006A54E6" w:rsidRDefault="00257513" w:rsidP="00257513">
      <w:pPr>
        <w:pStyle w:val="TitlePage1"/>
        <w:rPr>
          <w:color w:val="auto"/>
        </w:rPr>
      </w:pPr>
      <w:r w:rsidRPr="00AA3F28">
        <w:rPr>
          <w:color w:val="6F6754"/>
        </w:rPr>
        <w:t xml:space="preserve">Home Energy Report </w:t>
      </w:r>
      <w:r>
        <w:rPr>
          <w:color w:val="6F6754"/>
        </w:rPr>
        <w:t xml:space="preserve">Opower </w:t>
      </w:r>
      <w:r w:rsidRPr="00AA3F28">
        <w:rPr>
          <w:color w:val="6F6754"/>
        </w:rPr>
        <w:t>Program</w:t>
      </w:r>
      <w:r w:rsidRPr="00731277">
        <w:rPr>
          <w:color w:val="6F6754"/>
        </w:rPr>
        <w:br/>
      </w:r>
      <w:r w:rsidR="00D42A62">
        <w:rPr>
          <w:color w:val="6F6754"/>
        </w:rPr>
        <w:t>Decay Rate and Persistence Study</w:t>
      </w:r>
    </w:p>
    <w:p w14:paraId="46D9B033" w14:textId="77777777" w:rsidR="009D2BFC" w:rsidRPr="00B53186" w:rsidRDefault="009D2BFC" w:rsidP="009D2BFC">
      <w:pPr>
        <w:rPr>
          <w:color w:val="6F6754"/>
        </w:rPr>
      </w:pPr>
    </w:p>
    <w:p w14:paraId="28497B68" w14:textId="2D7E1B24" w:rsidR="009D2BFC" w:rsidRPr="00B53186" w:rsidRDefault="009D2BFC" w:rsidP="009D2BFC">
      <w:pPr>
        <w:pStyle w:val="TitlePage2"/>
      </w:pPr>
      <w:r>
        <w:t>DRAFT</w:t>
      </w:r>
    </w:p>
    <w:p w14:paraId="26100752" w14:textId="77777777" w:rsidR="009D2BFC" w:rsidRPr="00B53186" w:rsidRDefault="009D2BFC" w:rsidP="009D2BFC">
      <w:pPr>
        <w:pStyle w:val="TitlePage2"/>
      </w:pPr>
    </w:p>
    <w:p w14:paraId="4FF593A7" w14:textId="76A206B6" w:rsidR="009D2BFC" w:rsidRPr="00B53186" w:rsidRDefault="009D2BFC" w:rsidP="009D2BFC">
      <w:pPr>
        <w:pStyle w:val="TitlePage2"/>
      </w:pPr>
      <w:r w:rsidRPr="00B53186">
        <w:t xml:space="preserve">Energy Efficiency/Demand Response Plan: </w:t>
      </w:r>
      <w:r w:rsidRPr="00B53186">
        <w:br/>
        <w:t xml:space="preserve">Plan Year </w:t>
      </w:r>
      <w:r>
        <w:t>7</w:t>
      </w:r>
      <w:r w:rsidRPr="00B53186">
        <w:br/>
        <w:t>(6/1/201</w:t>
      </w:r>
      <w:r>
        <w:t>4</w:t>
      </w:r>
      <w:r w:rsidRPr="00B53186">
        <w:t>-5/31/201</w:t>
      </w:r>
      <w:r>
        <w:t>5</w:t>
      </w:r>
      <w:r w:rsidRPr="00B53186">
        <w:t>)</w:t>
      </w:r>
    </w:p>
    <w:p w14:paraId="1B2E56B8" w14:textId="77777777" w:rsidR="009D2BFC" w:rsidRPr="00B53186" w:rsidRDefault="009D2BFC" w:rsidP="009D2BFC">
      <w:pPr>
        <w:pStyle w:val="TitlePage2"/>
      </w:pPr>
    </w:p>
    <w:p w14:paraId="5BC19DA5" w14:textId="77777777" w:rsidR="009D2BFC" w:rsidRPr="00B53186" w:rsidRDefault="009D2BFC" w:rsidP="009D2BFC">
      <w:pPr>
        <w:pStyle w:val="TitlePage2"/>
      </w:pPr>
    </w:p>
    <w:p w14:paraId="2DC9A3C0" w14:textId="77777777" w:rsidR="009D2BFC" w:rsidRPr="00B53186" w:rsidRDefault="009D2BFC" w:rsidP="009D2BFC">
      <w:pPr>
        <w:pStyle w:val="TitlePage2"/>
      </w:pPr>
      <w:r w:rsidRPr="00B53186">
        <w:t>Presented to</w:t>
      </w:r>
    </w:p>
    <w:p w14:paraId="2B9BCA4D" w14:textId="77777777" w:rsidR="009D2BFC" w:rsidRPr="00B53186" w:rsidRDefault="009D2BFC" w:rsidP="009D2BFC">
      <w:pPr>
        <w:pStyle w:val="TitlePage2"/>
      </w:pPr>
      <w:r w:rsidRPr="00B53186">
        <w:t>Commonwealth Edison Company</w:t>
      </w:r>
    </w:p>
    <w:p w14:paraId="12ACC5BD" w14:textId="77777777" w:rsidR="009D2BFC" w:rsidRPr="00B53186" w:rsidRDefault="009D2BFC" w:rsidP="009D2BFC">
      <w:pPr>
        <w:pStyle w:val="TitlePage2"/>
      </w:pPr>
    </w:p>
    <w:p w14:paraId="092AAE5E" w14:textId="6385EF99" w:rsidR="009D2BFC" w:rsidRPr="008473DF" w:rsidRDefault="00D42A62" w:rsidP="009D2BFC">
      <w:pPr>
        <w:pStyle w:val="TitlePage1"/>
      </w:pPr>
      <w:r>
        <w:rPr>
          <w:color w:val="6F6754"/>
        </w:rPr>
        <w:t>J</w:t>
      </w:r>
      <w:r w:rsidR="00E67EDC">
        <w:rPr>
          <w:color w:val="6F6754"/>
        </w:rPr>
        <w:t>anuary 2</w:t>
      </w:r>
      <w:r w:rsidR="00603203">
        <w:rPr>
          <w:color w:val="6F6754"/>
        </w:rPr>
        <w:t>9</w:t>
      </w:r>
      <w:r w:rsidR="004F21FD">
        <w:rPr>
          <w:color w:val="6F6754"/>
        </w:rPr>
        <w:t xml:space="preserve">, </w:t>
      </w:r>
      <w:r w:rsidR="00257513" w:rsidRPr="00A37BF3">
        <w:rPr>
          <w:color w:val="6F6754"/>
        </w:rPr>
        <w:t>201</w:t>
      </w:r>
      <w:r>
        <w:rPr>
          <w:color w:val="6F6754"/>
        </w:rPr>
        <w:t>6</w:t>
      </w:r>
    </w:p>
    <w:p w14:paraId="4570034C" w14:textId="77777777" w:rsidR="009D2BFC" w:rsidRPr="00B53186" w:rsidRDefault="009D2BFC" w:rsidP="009D2BFC">
      <w:pPr>
        <w:jc w:val="center"/>
        <w:rPr>
          <w:rStyle w:val="CoverText"/>
        </w:rPr>
      </w:pPr>
    </w:p>
    <w:p w14:paraId="753B4875" w14:textId="77777777" w:rsidR="009D2BFC" w:rsidRPr="00B53186" w:rsidRDefault="009D2BFC" w:rsidP="009D2BFC">
      <w:pPr>
        <w:jc w:val="center"/>
        <w:rPr>
          <w:rStyle w:val="CoverText"/>
        </w:rPr>
      </w:pPr>
    </w:p>
    <w:p w14:paraId="7E57A623" w14:textId="77777777" w:rsidR="009D2BFC" w:rsidRPr="00B53186" w:rsidRDefault="009D2BFC" w:rsidP="009D2BFC">
      <w:pPr>
        <w:jc w:val="center"/>
        <w:rPr>
          <w:rStyle w:val="CoverText"/>
        </w:rPr>
      </w:pPr>
    </w:p>
    <w:p w14:paraId="038D93D1" w14:textId="77777777" w:rsidR="009D2BFC" w:rsidRPr="00B53186" w:rsidRDefault="009D2BFC" w:rsidP="009D2BFC">
      <w:pPr>
        <w:pStyle w:val="PresentedBy"/>
        <w:jc w:val="center"/>
      </w:pPr>
      <w:r w:rsidRPr="00B53186">
        <w:t>Prepared by:</w:t>
      </w:r>
    </w:p>
    <w:p w14:paraId="696C5938" w14:textId="77777777" w:rsidR="009D2BFC" w:rsidRPr="00B53186" w:rsidRDefault="009D2BFC" w:rsidP="009D2BFC">
      <w:pPr>
        <w:pStyle w:val="PresentedBy"/>
        <w:jc w:val="cente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7"/>
        <w:gridCol w:w="2807"/>
      </w:tblGrid>
      <w:tr w:rsidR="00257513" w:rsidRPr="00B53186" w14:paraId="7A909DC6" w14:textId="161F2ADC" w:rsidTr="00257513">
        <w:trPr>
          <w:jc w:val="center"/>
        </w:trPr>
        <w:tc>
          <w:tcPr>
            <w:tcW w:w="0" w:type="auto"/>
          </w:tcPr>
          <w:p w14:paraId="7CA79E32" w14:textId="0B7CF3EA" w:rsidR="00257513" w:rsidRPr="00B53186" w:rsidRDefault="00257513" w:rsidP="00B15CB5">
            <w:pPr>
              <w:pStyle w:val="PresentedBy"/>
              <w:jc w:val="center"/>
              <w:rPr>
                <w:b/>
              </w:rPr>
            </w:pPr>
            <w:r>
              <w:rPr>
                <w:b/>
              </w:rPr>
              <w:t>Carly Olig</w:t>
            </w:r>
          </w:p>
          <w:p w14:paraId="456CD0BC" w14:textId="77777777" w:rsidR="00257513" w:rsidRPr="00B53186" w:rsidRDefault="00257513" w:rsidP="00B15CB5">
            <w:pPr>
              <w:pStyle w:val="PresentedBy"/>
              <w:jc w:val="center"/>
              <w:rPr>
                <w:b/>
              </w:rPr>
            </w:pPr>
            <w:r w:rsidRPr="00B53186">
              <w:rPr>
                <w:b/>
              </w:rPr>
              <w:t>Navigant Consulting, Inc.</w:t>
            </w:r>
          </w:p>
        </w:tc>
        <w:tc>
          <w:tcPr>
            <w:tcW w:w="0" w:type="auto"/>
          </w:tcPr>
          <w:p w14:paraId="415EDADF" w14:textId="77777777" w:rsidR="00257513" w:rsidRDefault="00257513" w:rsidP="00B15CB5">
            <w:pPr>
              <w:pStyle w:val="PresentedBy"/>
              <w:jc w:val="center"/>
              <w:rPr>
                <w:b/>
              </w:rPr>
            </w:pPr>
            <w:r>
              <w:rPr>
                <w:b/>
              </w:rPr>
              <w:t>Will Sierzchula</w:t>
            </w:r>
          </w:p>
          <w:p w14:paraId="44BBFDBB" w14:textId="6EFF6F48" w:rsidR="00257513" w:rsidRDefault="00257513" w:rsidP="00B15CB5">
            <w:pPr>
              <w:pStyle w:val="PresentedBy"/>
              <w:jc w:val="center"/>
              <w:rPr>
                <w:b/>
              </w:rPr>
            </w:pPr>
            <w:r>
              <w:rPr>
                <w:b/>
              </w:rPr>
              <w:t>Navigant Consulting, Inc.</w:t>
            </w:r>
          </w:p>
        </w:tc>
      </w:tr>
    </w:tbl>
    <w:p w14:paraId="1901C133" w14:textId="77777777" w:rsidR="009D2BFC" w:rsidRPr="00B53186" w:rsidRDefault="009D2BFC" w:rsidP="009D2BFC">
      <w:pPr>
        <w:rPr>
          <w:color w:val="6F6754"/>
        </w:rPr>
      </w:pPr>
    </w:p>
    <w:p w14:paraId="2178D1D7" w14:textId="77777777" w:rsidR="009D2BFC" w:rsidRDefault="009D2BFC" w:rsidP="009D2BFC">
      <w:pPr>
        <w:rPr>
          <w:color w:val="6F6754"/>
        </w:rPr>
      </w:pPr>
    </w:p>
    <w:p w14:paraId="7D60A9A4" w14:textId="77777777" w:rsidR="009D2BFC" w:rsidRDefault="009D2BFC" w:rsidP="009D2BFC">
      <w:pPr>
        <w:rPr>
          <w:color w:val="6F6754"/>
        </w:rPr>
      </w:pPr>
    </w:p>
    <w:p w14:paraId="0058EB73" w14:textId="77777777" w:rsidR="009D2BFC" w:rsidRPr="00B53186" w:rsidRDefault="009D2BFC" w:rsidP="009D2BFC">
      <w:pPr>
        <w:rPr>
          <w:color w:val="6F6754"/>
        </w:rPr>
      </w:pPr>
    </w:p>
    <w:p w14:paraId="1EDB0F21" w14:textId="2F9CB849" w:rsidR="009D2BFC" w:rsidRPr="00B53186" w:rsidRDefault="009D2BFC" w:rsidP="005305C1">
      <w:pPr>
        <w:pStyle w:val="PresentedBy"/>
        <w:jc w:val="center"/>
        <w:sectPr w:rsidR="009D2BFC" w:rsidRPr="00B53186" w:rsidSect="00B15CB5">
          <w:headerReference w:type="default" r:id="rId9"/>
          <w:footerReference w:type="even" r:id="rId10"/>
          <w:footerReference w:type="default" r:id="rId11"/>
          <w:pgSz w:w="12240" w:h="15840" w:code="1"/>
          <w:pgMar w:top="1440" w:right="1440" w:bottom="1440" w:left="1440" w:header="720" w:footer="0" w:gutter="0"/>
          <w:pgBorders w:offsetFrom="page">
            <w:top w:val="none" w:sz="36" w:space="2" w:color="0000A4" w:shadow="1"/>
            <w:left w:val="none" w:sz="0" w:space="3" w:color="395E28" w:shadow="1"/>
            <w:bottom w:val="none" w:sz="0" w:space="21" w:color="000000" w:shadow="1"/>
            <w:right w:val="none" w:sz="44" w:space="22" w:color="00000C" w:shadow="1" w:frame="1"/>
          </w:pgBorders>
          <w:cols w:space="720"/>
          <w:docGrid w:linePitch="360"/>
        </w:sectPr>
      </w:pPr>
      <w:r w:rsidRPr="00B53186">
        <w:t>www.navigant.com</w:t>
      </w:r>
    </w:p>
    <w:p w14:paraId="656FD370" w14:textId="77777777" w:rsidR="00D12707" w:rsidRPr="00A90B62" w:rsidRDefault="00D12707" w:rsidP="00D12707">
      <w:bookmarkStart w:id="1" w:name="_Toc62272964"/>
    </w:p>
    <w:p w14:paraId="5856BBC9" w14:textId="77777777" w:rsidR="00A72C44" w:rsidRDefault="00A72C44" w:rsidP="00D12707">
      <w:pPr>
        <w:pStyle w:val="Contactinfo"/>
        <w:rPr>
          <w:b/>
          <w:szCs w:val="22"/>
        </w:rPr>
      </w:pPr>
    </w:p>
    <w:p w14:paraId="126EFF2A" w14:textId="77777777" w:rsidR="00A72C44" w:rsidRDefault="00A72C44" w:rsidP="00D12707">
      <w:pPr>
        <w:pStyle w:val="Contactinfo"/>
        <w:rPr>
          <w:b/>
          <w:szCs w:val="22"/>
        </w:rPr>
      </w:pPr>
    </w:p>
    <w:p w14:paraId="473FAC60" w14:textId="77777777" w:rsidR="00A72C44" w:rsidRDefault="00A72C44" w:rsidP="00D12707">
      <w:pPr>
        <w:pStyle w:val="Contactinfo"/>
        <w:rPr>
          <w:b/>
          <w:szCs w:val="22"/>
        </w:rPr>
      </w:pPr>
    </w:p>
    <w:p w14:paraId="70C4A89A" w14:textId="77777777" w:rsidR="00A72C44" w:rsidRDefault="00A72C44" w:rsidP="00D12707">
      <w:pPr>
        <w:pStyle w:val="Contactinfo"/>
        <w:rPr>
          <w:b/>
          <w:szCs w:val="22"/>
        </w:rPr>
      </w:pPr>
    </w:p>
    <w:p w14:paraId="438511F5" w14:textId="77777777" w:rsidR="00A72C44" w:rsidRDefault="00A72C44" w:rsidP="00D12707">
      <w:pPr>
        <w:pStyle w:val="Contactinfo"/>
        <w:rPr>
          <w:b/>
          <w:szCs w:val="22"/>
        </w:rPr>
      </w:pPr>
    </w:p>
    <w:p w14:paraId="630EC123" w14:textId="77777777" w:rsidR="00A72C44" w:rsidRDefault="00A72C44" w:rsidP="00D12707">
      <w:pPr>
        <w:pStyle w:val="Contactinfo"/>
        <w:rPr>
          <w:b/>
          <w:szCs w:val="22"/>
        </w:rPr>
      </w:pPr>
    </w:p>
    <w:p w14:paraId="48145373" w14:textId="77777777" w:rsidR="00A72C44" w:rsidRDefault="00A72C44" w:rsidP="00D12707">
      <w:pPr>
        <w:pStyle w:val="Contactinfo"/>
        <w:rPr>
          <w:b/>
          <w:szCs w:val="22"/>
        </w:rPr>
      </w:pPr>
    </w:p>
    <w:p w14:paraId="0E0F6627" w14:textId="77777777" w:rsidR="00D12707" w:rsidRPr="00A90B62" w:rsidRDefault="00D12707" w:rsidP="00D12707">
      <w:pPr>
        <w:pStyle w:val="Contactinfo"/>
        <w:rPr>
          <w:b/>
          <w:szCs w:val="22"/>
        </w:rPr>
      </w:pPr>
      <w:r w:rsidRPr="00A90B62">
        <w:rPr>
          <w:b/>
          <w:szCs w:val="22"/>
        </w:rPr>
        <w:t xml:space="preserve">Submitted to: </w:t>
      </w:r>
    </w:p>
    <w:p w14:paraId="7FCEA04F" w14:textId="77777777" w:rsidR="00D12707" w:rsidRDefault="00D12707" w:rsidP="00D12707"/>
    <w:p w14:paraId="34E8F51B" w14:textId="77777777" w:rsidR="00D12707" w:rsidRPr="00A90B62" w:rsidRDefault="00D12707" w:rsidP="00D12707">
      <w:pPr>
        <w:pStyle w:val="Contactinfo"/>
        <w:rPr>
          <w:szCs w:val="22"/>
        </w:rPr>
      </w:pPr>
      <w:r w:rsidRPr="00A90B62">
        <w:rPr>
          <w:szCs w:val="22"/>
        </w:rPr>
        <w:t>ComEd</w:t>
      </w:r>
    </w:p>
    <w:p w14:paraId="680FD0C4" w14:textId="77777777" w:rsidR="00D12707" w:rsidRPr="00A90B62" w:rsidRDefault="00D12707" w:rsidP="00D12707">
      <w:pPr>
        <w:pStyle w:val="Contactinfo"/>
        <w:rPr>
          <w:szCs w:val="22"/>
        </w:rPr>
      </w:pPr>
      <w:r w:rsidRPr="00A90B62">
        <w:rPr>
          <w:szCs w:val="22"/>
        </w:rPr>
        <w:t>Three Lincoln Centre</w:t>
      </w:r>
    </w:p>
    <w:p w14:paraId="41C8E5BD" w14:textId="77777777" w:rsidR="00D12707" w:rsidRPr="00A90B62" w:rsidRDefault="00D12707" w:rsidP="00D12707">
      <w:pPr>
        <w:pStyle w:val="Contactinfo"/>
        <w:rPr>
          <w:szCs w:val="22"/>
        </w:rPr>
      </w:pPr>
      <w:r w:rsidRPr="00A90B62">
        <w:rPr>
          <w:szCs w:val="22"/>
        </w:rPr>
        <w:t>Oakbrook Terrace, IL 60181</w:t>
      </w:r>
    </w:p>
    <w:p w14:paraId="53226B23" w14:textId="77777777" w:rsidR="00D12707" w:rsidRPr="00A90B62" w:rsidRDefault="00D12707" w:rsidP="00D12707"/>
    <w:p w14:paraId="6A74F1A2" w14:textId="77777777" w:rsidR="00D12707" w:rsidRPr="00A90B62" w:rsidRDefault="00D12707" w:rsidP="00D12707"/>
    <w:p w14:paraId="2366BE7A" w14:textId="77777777" w:rsidR="00D12707" w:rsidRPr="00A90B62" w:rsidRDefault="00D12707" w:rsidP="00D12707">
      <w:pPr>
        <w:pStyle w:val="Contactinfo"/>
        <w:rPr>
          <w:b/>
          <w:szCs w:val="22"/>
        </w:rPr>
      </w:pPr>
      <w:r w:rsidRPr="00A90B62">
        <w:rPr>
          <w:b/>
          <w:szCs w:val="22"/>
        </w:rPr>
        <w:t xml:space="preserve">Submitted by: </w:t>
      </w:r>
    </w:p>
    <w:p w14:paraId="37A61401" w14:textId="77777777" w:rsidR="00D12707" w:rsidRPr="00A90B62" w:rsidRDefault="00D12707" w:rsidP="00D12707"/>
    <w:p w14:paraId="795A415A" w14:textId="77777777" w:rsidR="00D12707" w:rsidRPr="00A90B62" w:rsidRDefault="00D12707" w:rsidP="00D12707">
      <w:pPr>
        <w:pStyle w:val="Contactinfo"/>
        <w:rPr>
          <w:szCs w:val="22"/>
        </w:rPr>
      </w:pPr>
      <w:r w:rsidRPr="00A90B62">
        <w:rPr>
          <w:szCs w:val="22"/>
        </w:rPr>
        <w:t>Navigant Consulting, Inc.</w:t>
      </w:r>
    </w:p>
    <w:p w14:paraId="168A157B" w14:textId="77777777" w:rsidR="00D12707" w:rsidRPr="00A90B62" w:rsidRDefault="00D12707" w:rsidP="00D12707">
      <w:pPr>
        <w:pStyle w:val="Contactinfo"/>
        <w:rPr>
          <w:szCs w:val="22"/>
        </w:rPr>
      </w:pPr>
      <w:r w:rsidRPr="00A90B62">
        <w:rPr>
          <w:szCs w:val="22"/>
        </w:rPr>
        <w:t>30 S. Wacker Drive, Suite 3100</w:t>
      </w:r>
    </w:p>
    <w:p w14:paraId="4A66C5DB" w14:textId="77777777" w:rsidR="00D12707" w:rsidRPr="00A90B62" w:rsidRDefault="00D12707" w:rsidP="00D12707">
      <w:pPr>
        <w:pStyle w:val="Contactinfo"/>
        <w:rPr>
          <w:szCs w:val="22"/>
        </w:rPr>
      </w:pPr>
      <w:r w:rsidRPr="00A90B62">
        <w:rPr>
          <w:szCs w:val="22"/>
        </w:rPr>
        <w:t>Chicago, IL 60606</w:t>
      </w:r>
    </w:p>
    <w:p w14:paraId="63C148E9" w14:textId="77777777" w:rsidR="00D12707" w:rsidRPr="00A90B62" w:rsidRDefault="00D12707" w:rsidP="00D12707"/>
    <w:p w14:paraId="0916F122" w14:textId="77777777" w:rsidR="00D12707" w:rsidRDefault="00D12707" w:rsidP="00D12707">
      <w:pPr>
        <w:pStyle w:val="Contactinfo"/>
        <w:rPr>
          <w:szCs w:val="22"/>
        </w:rPr>
      </w:pPr>
      <w:r w:rsidRPr="00A90B62">
        <w:rPr>
          <w:b/>
          <w:szCs w:val="22"/>
        </w:rPr>
        <w:t>Contact:</w:t>
      </w:r>
      <w:r w:rsidRPr="00A90B62">
        <w:rPr>
          <w:szCs w:val="22"/>
        </w:rPr>
        <w:t xml:space="preserve"> </w:t>
      </w:r>
    </w:p>
    <w:p w14:paraId="63CD944D" w14:textId="77777777" w:rsidR="00622B27" w:rsidRDefault="00622B27" w:rsidP="00D12707">
      <w:pPr>
        <w:pStyle w:val="Contactinfo"/>
        <w:rPr>
          <w:szCs w:val="22"/>
        </w:rPr>
      </w:pPr>
    </w:p>
    <w:p w14:paraId="60BF4BED" w14:textId="3F25AC47" w:rsidR="00622B27" w:rsidRDefault="00622B27" w:rsidP="00D12707">
      <w:pPr>
        <w:pStyle w:val="Contactinfo"/>
        <w:rPr>
          <w:szCs w:val="22"/>
        </w:rPr>
      </w:pPr>
      <w:r>
        <w:rPr>
          <w:szCs w:val="22"/>
        </w:rPr>
        <w:t>Randy Gunn, Managing Director</w:t>
      </w:r>
      <w:r>
        <w:rPr>
          <w:szCs w:val="22"/>
        </w:rPr>
        <w:tab/>
      </w:r>
      <w:r>
        <w:rPr>
          <w:szCs w:val="22"/>
        </w:rPr>
        <w:tab/>
        <w:t>Jeff Erickson, Director</w:t>
      </w:r>
    </w:p>
    <w:p w14:paraId="5112BE7C" w14:textId="0EF1BC89" w:rsidR="00622B27" w:rsidRDefault="00622B27" w:rsidP="00D12707">
      <w:pPr>
        <w:pStyle w:val="Contactinfo"/>
        <w:rPr>
          <w:szCs w:val="22"/>
        </w:rPr>
      </w:pPr>
      <w:r>
        <w:rPr>
          <w:szCs w:val="22"/>
        </w:rPr>
        <w:t>312.583.5714</w:t>
      </w:r>
      <w:r>
        <w:rPr>
          <w:szCs w:val="22"/>
        </w:rPr>
        <w:tab/>
      </w:r>
      <w:r>
        <w:rPr>
          <w:szCs w:val="22"/>
        </w:rPr>
        <w:tab/>
      </w:r>
      <w:r>
        <w:rPr>
          <w:szCs w:val="22"/>
        </w:rPr>
        <w:tab/>
      </w:r>
      <w:r>
        <w:rPr>
          <w:szCs w:val="22"/>
        </w:rPr>
        <w:tab/>
      </w:r>
      <w:r>
        <w:rPr>
          <w:szCs w:val="22"/>
        </w:rPr>
        <w:tab/>
        <w:t>608.497.2322</w:t>
      </w:r>
    </w:p>
    <w:p w14:paraId="623DFF5D" w14:textId="3E2AEF16" w:rsidR="00622B27" w:rsidRPr="008473DF" w:rsidRDefault="004F44C4" w:rsidP="00D12707">
      <w:pPr>
        <w:pStyle w:val="Contactinfo"/>
      </w:pPr>
      <w:hyperlink r:id="rId12" w:history="1">
        <w:r w:rsidR="00622B27" w:rsidRPr="008473DF">
          <w:t>Rand.Gunn@Navigant.com</w:t>
        </w:r>
      </w:hyperlink>
      <w:r w:rsidR="00622B27" w:rsidRPr="008473DF">
        <w:tab/>
      </w:r>
      <w:r w:rsidR="00622B27" w:rsidRPr="008473DF">
        <w:tab/>
      </w:r>
      <w:r w:rsidR="00622B27" w:rsidRPr="008473DF">
        <w:tab/>
      </w:r>
      <w:hyperlink r:id="rId13" w:history="1">
        <w:r w:rsidR="00622B27" w:rsidRPr="008473DF">
          <w:t>Jeff.Erickson@Navigant.com</w:t>
        </w:r>
      </w:hyperlink>
      <w:r w:rsidR="00622B27" w:rsidRPr="008473DF">
        <w:t xml:space="preserve"> </w:t>
      </w:r>
    </w:p>
    <w:p w14:paraId="502D5AB3" w14:textId="77777777" w:rsidR="00D12707" w:rsidRPr="00A90B62" w:rsidRDefault="00D12707" w:rsidP="00D12707"/>
    <w:p w14:paraId="24234F4B" w14:textId="77777777" w:rsidR="00D12707" w:rsidRPr="00A90B62" w:rsidRDefault="00D12707" w:rsidP="00D12707"/>
    <w:p w14:paraId="79A5C0F1" w14:textId="769A193F" w:rsidR="00D12707" w:rsidRPr="008473DF" w:rsidRDefault="00D12707" w:rsidP="00D12707">
      <w:r w:rsidRPr="00854287">
        <w:rPr>
          <w:b/>
        </w:rPr>
        <w:t>Acknowledgements</w:t>
      </w:r>
      <w:r>
        <w:rPr>
          <w:b/>
        </w:rPr>
        <w:t xml:space="preserve"> </w:t>
      </w:r>
    </w:p>
    <w:p w14:paraId="66E7CF71" w14:textId="4A12631B" w:rsidR="00D12707" w:rsidRPr="00951E3D" w:rsidRDefault="00D12707" w:rsidP="00D12707">
      <w:r w:rsidRPr="00010C25">
        <w:t xml:space="preserve">This report </w:t>
      </w:r>
      <w:r w:rsidR="00D634F7">
        <w:t>includes</w:t>
      </w:r>
      <w:r w:rsidRPr="00010C25">
        <w:t xml:space="preserve"> contributions </w:t>
      </w:r>
      <w:r w:rsidR="00D634F7">
        <w:t xml:space="preserve">from </w:t>
      </w:r>
      <w:r w:rsidR="00257513">
        <w:t>Bill Provencher, Paul Higgins, Josh Arnold, and Mary Thony.</w:t>
      </w:r>
    </w:p>
    <w:p w14:paraId="660DFF7C" w14:textId="77777777" w:rsidR="00D12707" w:rsidRDefault="00D12707" w:rsidP="00D12707"/>
    <w:p w14:paraId="420F254B" w14:textId="77777777" w:rsidR="00D12707" w:rsidRPr="00A90B62" w:rsidRDefault="00D12707" w:rsidP="00D12707">
      <w:pPr>
        <w:rPr>
          <w:szCs w:val="22"/>
        </w:rPr>
      </w:pPr>
      <w:r w:rsidRPr="005921AF">
        <w:t>Disclaimer: This report was prepared by Navigant Consulting, Inc. (“Navigant”) for ComEd based upon information provided by ComEd and from other sources. Use of this report by any other party for whatever purpose should not, and does not, absolve such party from using due diligence in verifying the report’s contents. Neither Navigant nor any of its subsidiaries or affiliates assumes any liability or duty of care to such parties, and hereby disclaims any such liability.</w:t>
      </w:r>
    </w:p>
    <w:p w14:paraId="5A1681A4" w14:textId="77777777" w:rsidR="00D12707" w:rsidRDefault="00D12707" w:rsidP="00013969">
      <w:pPr>
        <w:pStyle w:val="Heading1"/>
        <w:rPr>
          <w:shd w:val="clear" w:color="auto" w:fill="A15F00"/>
        </w:rPr>
        <w:sectPr w:rsidR="00D12707" w:rsidSect="00DF2E8A">
          <w:footerReference w:type="default" r:id="rId14"/>
          <w:pgSz w:w="12240" w:h="15840"/>
          <w:pgMar w:top="720" w:right="1800" w:bottom="1440" w:left="1800" w:header="720" w:footer="720" w:gutter="0"/>
          <w:cols w:space="720"/>
          <w:docGrid w:linePitch="360"/>
        </w:sectPr>
      </w:pPr>
    </w:p>
    <w:p w14:paraId="4723C21B" w14:textId="77777777" w:rsidR="001412F5" w:rsidRDefault="001412F5" w:rsidP="001412F5">
      <w:pPr>
        <w:pStyle w:val="TOCHeading"/>
        <w:rPr>
          <w:bCs/>
        </w:rPr>
      </w:pPr>
      <w:r>
        <w:lastRenderedPageBreak/>
        <w:t>Table of Contents</w:t>
      </w:r>
      <w:bookmarkEnd w:id="1"/>
    </w:p>
    <w:p w14:paraId="19E28028" w14:textId="77777777" w:rsidR="00E4410B" w:rsidRDefault="007B2FBD">
      <w:pPr>
        <w:pStyle w:val="TOC1"/>
        <w:rPr>
          <w:rFonts w:asciiTheme="minorHAnsi" w:eastAsiaTheme="minorEastAsia" w:hAnsiTheme="minorHAnsi" w:cstheme="minorBidi"/>
          <w:b w:val="0"/>
          <w:snapToGrid/>
          <w:sz w:val="22"/>
          <w:szCs w:val="22"/>
        </w:rPr>
      </w:pPr>
      <w:r>
        <w:rPr>
          <w:b w:val="0"/>
        </w:rPr>
        <w:fldChar w:fldCharType="begin"/>
      </w:r>
      <w:r>
        <w:rPr>
          <w:b w:val="0"/>
        </w:rPr>
        <w:instrText xml:space="preserve"> TOC \o "1-3" \h \z \t "Heading 5,1,Heading 6,2,Heading 7,1,Heading 8,2,Heading 9,3" </w:instrText>
      </w:r>
      <w:r>
        <w:rPr>
          <w:b w:val="0"/>
        </w:rPr>
        <w:fldChar w:fldCharType="separate"/>
      </w:r>
      <w:hyperlink w:anchor="_Toc441751869" w:history="1">
        <w:r w:rsidR="00E4410B" w:rsidRPr="00425EB9">
          <w:rPr>
            <w:rStyle w:val="Hyperlink"/>
          </w:rPr>
          <w:t>E.</w:t>
        </w:r>
        <w:r w:rsidR="00E4410B">
          <w:rPr>
            <w:rFonts w:asciiTheme="minorHAnsi" w:eastAsiaTheme="minorEastAsia" w:hAnsiTheme="minorHAnsi" w:cstheme="minorBidi"/>
            <w:b w:val="0"/>
            <w:snapToGrid/>
            <w:sz w:val="22"/>
            <w:szCs w:val="22"/>
          </w:rPr>
          <w:tab/>
        </w:r>
        <w:r w:rsidR="00E4410B" w:rsidRPr="00425EB9">
          <w:rPr>
            <w:rStyle w:val="Hyperlink"/>
          </w:rPr>
          <w:t>Executive Summary</w:t>
        </w:r>
        <w:r w:rsidR="00E4410B">
          <w:rPr>
            <w:webHidden/>
          </w:rPr>
          <w:tab/>
        </w:r>
        <w:r w:rsidR="00E4410B">
          <w:rPr>
            <w:webHidden/>
          </w:rPr>
          <w:fldChar w:fldCharType="begin"/>
        </w:r>
        <w:r w:rsidR="00E4410B">
          <w:rPr>
            <w:webHidden/>
          </w:rPr>
          <w:instrText xml:space="preserve"> PAGEREF _Toc441751869 \h </w:instrText>
        </w:r>
        <w:r w:rsidR="00E4410B">
          <w:rPr>
            <w:webHidden/>
          </w:rPr>
        </w:r>
        <w:r w:rsidR="00E4410B">
          <w:rPr>
            <w:webHidden/>
          </w:rPr>
          <w:fldChar w:fldCharType="separate"/>
        </w:r>
        <w:r w:rsidR="00E4410B">
          <w:rPr>
            <w:webHidden/>
          </w:rPr>
          <w:t>3</w:t>
        </w:r>
        <w:r w:rsidR="00E4410B">
          <w:rPr>
            <w:webHidden/>
          </w:rPr>
          <w:fldChar w:fldCharType="end"/>
        </w:r>
      </w:hyperlink>
    </w:p>
    <w:p w14:paraId="215B462A" w14:textId="77777777" w:rsidR="00E4410B" w:rsidRDefault="004F44C4">
      <w:pPr>
        <w:pStyle w:val="TOC2"/>
        <w:rPr>
          <w:rFonts w:asciiTheme="minorHAnsi" w:eastAsiaTheme="minorEastAsia" w:hAnsiTheme="minorHAnsi" w:cstheme="minorBidi"/>
          <w:sz w:val="22"/>
          <w:szCs w:val="22"/>
        </w:rPr>
      </w:pPr>
      <w:hyperlink w:anchor="_Toc441751870" w:history="1">
        <w:r w:rsidR="00E4410B" w:rsidRPr="00425EB9">
          <w:rPr>
            <w:rStyle w:val="Hyperlink"/>
            <w:u w:color="FFFFFF"/>
          </w:rPr>
          <w:t>E.1</w:t>
        </w:r>
        <w:r w:rsidR="00E4410B">
          <w:rPr>
            <w:rFonts w:asciiTheme="minorHAnsi" w:eastAsiaTheme="minorEastAsia" w:hAnsiTheme="minorHAnsi" w:cstheme="minorBidi"/>
            <w:sz w:val="22"/>
            <w:szCs w:val="22"/>
          </w:rPr>
          <w:tab/>
        </w:r>
        <w:r w:rsidR="00E4410B" w:rsidRPr="00425EB9">
          <w:rPr>
            <w:rStyle w:val="Hyperlink"/>
          </w:rPr>
          <w:t>Study Savings: November 2013 – October 2014</w:t>
        </w:r>
        <w:r w:rsidR="00E4410B">
          <w:rPr>
            <w:webHidden/>
          </w:rPr>
          <w:tab/>
        </w:r>
        <w:r w:rsidR="00E4410B">
          <w:rPr>
            <w:webHidden/>
          </w:rPr>
          <w:fldChar w:fldCharType="begin"/>
        </w:r>
        <w:r w:rsidR="00E4410B">
          <w:rPr>
            <w:webHidden/>
          </w:rPr>
          <w:instrText xml:space="preserve"> PAGEREF _Toc441751870 \h </w:instrText>
        </w:r>
        <w:r w:rsidR="00E4410B">
          <w:rPr>
            <w:webHidden/>
          </w:rPr>
        </w:r>
        <w:r w:rsidR="00E4410B">
          <w:rPr>
            <w:webHidden/>
          </w:rPr>
          <w:fldChar w:fldCharType="separate"/>
        </w:r>
        <w:r w:rsidR="00E4410B">
          <w:rPr>
            <w:webHidden/>
          </w:rPr>
          <w:t>4</w:t>
        </w:r>
        <w:r w:rsidR="00E4410B">
          <w:rPr>
            <w:webHidden/>
          </w:rPr>
          <w:fldChar w:fldCharType="end"/>
        </w:r>
      </w:hyperlink>
    </w:p>
    <w:p w14:paraId="459F859C" w14:textId="77777777" w:rsidR="00E4410B" w:rsidRDefault="004F44C4">
      <w:pPr>
        <w:pStyle w:val="TOC2"/>
        <w:rPr>
          <w:rFonts w:asciiTheme="minorHAnsi" w:eastAsiaTheme="minorEastAsia" w:hAnsiTheme="minorHAnsi" w:cstheme="minorBidi"/>
          <w:sz w:val="22"/>
          <w:szCs w:val="22"/>
        </w:rPr>
      </w:pPr>
      <w:hyperlink w:anchor="_Toc441751871" w:history="1">
        <w:r w:rsidR="00E4410B" w:rsidRPr="00425EB9">
          <w:rPr>
            <w:rStyle w:val="Hyperlink"/>
            <w:u w:color="FFFFFF"/>
          </w:rPr>
          <w:t>E.2</w:t>
        </w:r>
        <w:r w:rsidR="00E4410B">
          <w:rPr>
            <w:rFonts w:asciiTheme="minorHAnsi" w:eastAsiaTheme="minorEastAsia" w:hAnsiTheme="minorHAnsi" w:cstheme="minorBidi"/>
            <w:sz w:val="22"/>
            <w:szCs w:val="22"/>
          </w:rPr>
          <w:tab/>
        </w:r>
        <w:r w:rsidR="00E4410B" w:rsidRPr="00425EB9">
          <w:rPr>
            <w:rStyle w:val="Hyperlink"/>
          </w:rPr>
          <w:t>Annual Savings Decay Rate</w:t>
        </w:r>
        <w:r w:rsidR="00E4410B">
          <w:rPr>
            <w:webHidden/>
          </w:rPr>
          <w:tab/>
        </w:r>
        <w:r w:rsidR="00E4410B">
          <w:rPr>
            <w:webHidden/>
          </w:rPr>
          <w:fldChar w:fldCharType="begin"/>
        </w:r>
        <w:r w:rsidR="00E4410B">
          <w:rPr>
            <w:webHidden/>
          </w:rPr>
          <w:instrText xml:space="preserve"> PAGEREF _Toc441751871 \h </w:instrText>
        </w:r>
        <w:r w:rsidR="00E4410B">
          <w:rPr>
            <w:webHidden/>
          </w:rPr>
        </w:r>
        <w:r w:rsidR="00E4410B">
          <w:rPr>
            <w:webHidden/>
          </w:rPr>
          <w:fldChar w:fldCharType="separate"/>
        </w:r>
        <w:r w:rsidR="00E4410B">
          <w:rPr>
            <w:webHidden/>
          </w:rPr>
          <w:t>5</w:t>
        </w:r>
        <w:r w:rsidR="00E4410B">
          <w:rPr>
            <w:webHidden/>
          </w:rPr>
          <w:fldChar w:fldCharType="end"/>
        </w:r>
      </w:hyperlink>
    </w:p>
    <w:p w14:paraId="13D58F09" w14:textId="77777777" w:rsidR="00E4410B" w:rsidRDefault="004F44C4">
      <w:pPr>
        <w:pStyle w:val="TOC2"/>
        <w:rPr>
          <w:rFonts w:asciiTheme="minorHAnsi" w:eastAsiaTheme="minorEastAsia" w:hAnsiTheme="minorHAnsi" w:cstheme="minorBidi"/>
          <w:sz w:val="22"/>
          <w:szCs w:val="22"/>
        </w:rPr>
      </w:pPr>
      <w:hyperlink w:anchor="_Toc441751872" w:history="1">
        <w:r w:rsidR="00E4410B" w:rsidRPr="00425EB9">
          <w:rPr>
            <w:rStyle w:val="Hyperlink"/>
          </w:rPr>
          <w:t>E.3.</w:t>
        </w:r>
        <w:r w:rsidR="00E4410B">
          <w:rPr>
            <w:rFonts w:asciiTheme="minorHAnsi" w:eastAsiaTheme="minorEastAsia" w:hAnsiTheme="minorHAnsi" w:cstheme="minorBidi"/>
            <w:sz w:val="22"/>
            <w:szCs w:val="22"/>
          </w:rPr>
          <w:tab/>
        </w:r>
        <w:r w:rsidR="00E4410B" w:rsidRPr="00425EB9">
          <w:rPr>
            <w:rStyle w:val="Hyperlink"/>
          </w:rPr>
          <w:t>Findings and Recommendations</w:t>
        </w:r>
        <w:r w:rsidR="00E4410B">
          <w:rPr>
            <w:webHidden/>
          </w:rPr>
          <w:tab/>
        </w:r>
        <w:r w:rsidR="00E4410B">
          <w:rPr>
            <w:webHidden/>
          </w:rPr>
          <w:fldChar w:fldCharType="begin"/>
        </w:r>
        <w:r w:rsidR="00E4410B">
          <w:rPr>
            <w:webHidden/>
          </w:rPr>
          <w:instrText xml:space="preserve"> PAGEREF _Toc441751872 \h </w:instrText>
        </w:r>
        <w:r w:rsidR="00E4410B">
          <w:rPr>
            <w:webHidden/>
          </w:rPr>
        </w:r>
        <w:r w:rsidR="00E4410B">
          <w:rPr>
            <w:webHidden/>
          </w:rPr>
          <w:fldChar w:fldCharType="separate"/>
        </w:r>
        <w:r w:rsidR="00E4410B">
          <w:rPr>
            <w:webHidden/>
          </w:rPr>
          <w:t>5</w:t>
        </w:r>
        <w:r w:rsidR="00E4410B">
          <w:rPr>
            <w:webHidden/>
          </w:rPr>
          <w:fldChar w:fldCharType="end"/>
        </w:r>
      </w:hyperlink>
    </w:p>
    <w:p w14:paraId="02DD0C30" w14:textId="77777777" w:rsidR="00E4410B" w:rsidRDefault="004F44C4">
      <w:pPr>
        <w:pStyle w:val="TOC1"/>
        <w:rPr>
          <w:rFonts w:asciiTheme="minorHAnsi" w:eastAsiaTheme="minorEastAsia" w:hAnsiTheme="minorHAnsi" w:cstheme="minorBidi"/>
          <w:b w:val="0"/>
          <w:snapToGrid/>
          <w:sz w:val="22"/>
          <w:szCs w:val="22"/>
        </w:rPr>
      </w:pPr>
      <w:hyperlink w:anchor="_Toc441751873" w:history="1">
        <w:r w:rsidR="00E4410B" w:rsidRPr="00425EB9">
          <w:rPr>
            <w:rStyle w:val="Hyperlink"/>
          </w:rPr>
          <w:t>1</w:t>
        </w:r>
        <w:r w:rsidR="00E4410B">
          <w:rPr>
            <w:rFonts w:asciiTheme="minorHAnsi" w:eastAsiaTheme="minorEastAsia" w:hAnsiTheme="minorHAnsi" w:cstheme="minorBidi"/>
            <w:b w:val="0"/>
            <w:snapToGrid/>
            <w:sz w:val="22"/>
            <w:szCs w:val="22"/>
          </w:rPr>
          <w:tab/>
        </w:r>
        <w:r w:rsidR="00E4410B" w:rsidRPr="00425EB9">
          <w:rPr>
            <w:rStyle w:val="Hyperlink"/>
          </w:rPr>
          <w:t>Introduction</w:t>
        </w:r>
        <w:r w:rsidR="00E4410B">
          <w:rPr>
            <w:webHidden/>
          </w:rPr>
          <w:tab/>
        </w:r>
        <w:r w:rsidR="00E4410B">
          <w:rPr>
            <w:webHidden/>
          </w:rPr>
          <w:fldChar w:fldCharType="begin"/>
        </w:r>
        <w:r w:rsidR="00E4410B">
          <w:rPr>
            <w:webHidden/>
          </w:rPr>
          <w:instrText xml:space="preserve"> PAGEREF _Toc441751873 \h </w:instrText>
        </w:r>
        <w:r w:rsidR="00E4410B">
          <w:rPr>
            <w:webHidden/>
          </w:rPr>
        </w:r>
        <w:r w:rsidR="00E4410B">
          <w:rPr>
            <w:webHidden/>
          </w:rPr>
          <w:fldChar w:fldCharType="separate"/>
        </w:r>
        <w:r w:rsidR="00E4410B">
          <w:rPr>
            <w:webHidden/>
          </w:rPr>
          <w:t>7</w:t>
        </w:r>
        <w:r w:rsidR="00E4410B">
          <w:rPr>
            <w:webHidden/>
          </w:rPr>
          <w:fldChar w:fldCharType="end"/>
        </w:r>
      </w:hyperlink>
    </w:p>
    <w:p w14:paraId="75293E96" w14:textId="77777777" w:rsidR="00E4410B" w:rsidRDefault="004F44C4">
      <w:pPr>
        <w:pStyle w:val="TOC2"/>
        <w:rPr>
          <w:rFonts w:asciiTheme="minorHAnsi" w:eastAsiaTheme="minorEastAsia" w:hAnsiTheme="minorHAnsi" w:cstheme="minorBidi"/>
          <w:sz w:val="22"/>
          <w:szCs w:val="22"/>
        </w:rPr>
      </w:pPr>
      <w:hyperlink w:anchor="_Toc441751874" w:history="1">
        <w:r w:rsidR="00E4410B" w:rsidRPr="00425EB9">
          <w:rPr>
            <w:rStyle w:val="Hyperlink"/>
          </w:rPr>
          <w:t>1.1</w:t>
        </w:r>
        <w:r w:rsidR="00E4410B">
          <w:rPr>
            <w:rFonts w:asciiTheme="minorHAnsi" w:eastAsiaTheme="minorEastAsia" w:hAnsiTheme="minorHAnsi" w:cstheme="minorBidi"/>
            <w:sz w:val="22"/>
            <w:szCs w:val="22"/>
          </w:rPr>
          <w:tab/>
        </w:r>
        <w:r w:rsidR="00E4410B" w:rsidRPr="00425EB9">
          <w:rPr>
            <w:rStyle w:val="Hyperlink"/>
          </w:rPr>
          <w:t>Program Description</w:t>
        </w:r>
        <w:r w:rsidR="00E4410B">
          <w:rPr>
            <w:webHidden/>
          </w:rPr>
          <w:tab/>
        </w:r>
        <w:r w:rsidR="00E4410B">
          <w:rPr>
            <w:webHidden/>
          </w:rPr>
          <w:fldChar w:fldCharType="begin"/>
        </w:r>
        <w:r w:rsidR="00E4410B">
          <w:rPr>
            <w:webHidden/>
          </w:rPr>
          <w:instrText xml:space="preserve"> PAGEREF _Toc441751874 \h </w:instrText>
        </w:r>
        <w:r w:rsidR="00E4410B">
          <w:rPr>
            <w:webHidden/>
          </w:rPr>
        </w:r>
        <w:r w:rsidR="00E4410B">
          <w:rPr>
            <w:webHidden/>
          </w:rPr>
          <w:fldChar w:fldCharType="separate"/>
        </w:r>
        <w:r w:rsidR="00E4410B">
          <w:rPr>
            <w:webHidden/>
          </w:rPr>
          <w:t>7</w:t>
        </w:r>
        <w:r w:rsidR="00E4410B">
          <w:rPr>
            <w:webHidden/>
          </w:rPr>
          <w:fldChar w:fldCharType="end"/>
        </w:r>
      </w:hyperlink>
    </w:p>
    <w:p w14:paraId="4A5306B1" w14:textId="77777777" w:rsidR="00E4410B" w:rsidRDefault="004F44C4">
      <w:pPr>
        <w:pStyle w:val="TOC2"/>
        <w:rPr>
          <w:rFonts w:asciiTheme="minorHAnsi" w:eastAsiaTheme="minorEastAsia" w:hAnsiTheme="minorHAnsi" w:cstheme="minorBidi"/>
          <w:sz w:val="22"/>
          <w:szCs w:val="22"/>
        </w:rPr>
      </w:pPr>
      <w:hyperlink w:anchor="_Toc441751875" w:history="1">
        <w:r w:rsidR="00E4410B" w:rsidRPr="00425EB9">
          <w:rPr>
            <w:rStyle w:val="Hyperlink"/>
          </w:rPr>
          <w:t>1.2</w:t>
        </w:r>
        <w:r w:rsidR="00E4410B">
          <w:rPr>
            <w:rFonts w:asciiTheme="minorHAnsi" w:eastAsiaTheme="minorEastAsia" w:hAnsiTheme="minorHAnsi" w:cstheme="minorBidi"/>
            <w:sz w:val="22"/>
            <w:szCs w:val="22"/>
          </w:rPr>
          <w:tab/>
        </w:r>
        <w:r w:rsidR="00E4410B" w:rsidRPr="00425EB9">
          <w:rPr>
            <w:rStyle w:val="Hyperlink"/>
          </w:rPr>
          <w:t>Evaluation Objectives</w:t>
        </w:r>
        <w:r w:rsidR="00E4410B">
          <w:rPr>
            <w:webHidden/>
          </w:rPr>
          <w:tab/>
        </w:r>
        <w:r w:rsidR="00E4410B">
          <w:rPr>
            <w:webHidden/>
          </w:rPr>
          <w:fldChar w:fldCharType="begin"/>
        </w:r>
        <w:r w:rsidR="00E4410B">
          <w:rPr>
            <w:webHidden/>
          </w:rPr>
          <w:instrText xml:space="preserve"> PAGEREF _Toc441751875 \h </w:instrText>
        </w:r>
        <w:r w:rsidR="00E4410B">
          <w:rPr>
            <w:webHidden/>
          </w:rPr>
        </w:r>
        <w:r w:rsidR="00E4410B">
          <w:rPr>
            <w:webHidden/>
          </w:rPr>
          <w:fldChar w:fldCharType="separate"/>
        </w:r>
        <w:r w:rsidR="00E4410B">
          <w:rPr>
            <w:webHidden/>
          </w:rPr>
          <w:t>8</w:t>
        </w:r>
        <w:r w:rsidR="00E4410B">
          <w:rPr>
            <w:webHidden/>
          </w:rPr>
          <w:fldChar w:fldCharType="end"/>
        </w:r>
      </w:hyperlink>
    </w:p>
    <w:p w14:paraId="6E348AFE" w14:textId="77777777" w:rsidR="00E4410B" w:rsidRDefault="004F44C4">
      <w:pPr>
        <w:pStyle w:val="TOC1"/>
        <w:rPr>
          <w:rFonts w:asciiTheme="minorHAnsi" w:eastAsiaTheme="minorEastAsia" w:hAnsiTheme="minorHAnsi" w:cstheme="minorBidi"/>
          <w:b w:val="0"/>
          <w:snapToGrid/>
          <w:sz w:val="22"/>
          <w:szCs w:val="22"/>
        </w:rPr>
      </w:pPr>
      <w:hyperlink w:anchor="_Toc441751876" w:history="1">
        <w:r w:rsidR="00E4410B" w:rsidRPr="00425EB9">
          <w:rPr>
            <w:rStyle w:val="Hyperlink"/>
          </w:rPr>
          <w:t>2</w:t>
        </w:r>
        <w:r w:rsidR="00E4410B">
          <w:rPr>
            <w:rFonts w:asciiTheme="minorHAnsi" w:eastAsiaTheme="minorEastAsia" w:hAnsiTheme="minorHAnsi" w:cstheme="minorBidi"/>
            <w:b w:val="0"/>
            <w:snapToGrid/>
            <w:sz w:val="22"/>
            <w:szCs w:val="22"/>
          </w:rPr>
          <w:tab/>
        </w:r>
        <w:r w:rsidR="00E4410B" w:rsidRPr="00425EB9">
          <w:rPr>
            <w:rStyle w:val="Hyperlink"/>
          </w:rPr>
          <w:t>Study Approach</w:t>
        </w:r>
        <w:r w:rsidR="00E4410B">
          <w:rPr>
            <w:webHidden/>
          </w:rPr>
          <w:tab/>
        </w:r>
        <w:r w:rsidR="00E4410B">
          <w:rPr>
            <w:webHidden/>
          </w:rPr>
          <w:fldChar w:fldCharType="begin"/>
        </w:r>
        <w:r w:rsidR="00E4410B">
          <w:rPr>
            <w:webHidden/>
          </w:rPr>
          <w:instrText xml:space="preserve"> PAGEREF _Toc441751876 \h </w:instrText>
        </w:r>
        <w:r w:rsidR="00E4410B">
          <w:rPr>
            <w:webHidden/>
          </w:rPr>
        </w:r>
        <w:r w:rsidR="00E4410B">
          <w:rPr>
            <w:webHidden/>
          </w:rPr>
          <w:fldChar w:fldCharType="separate"/>
        </w:r>
        <w:r w:rsidR="00E4410B">
          <w:rPr>
            <w:webHidden/>
          </w:rPr>
          <w:t>9</w:t>
        </w:r>
        <w:r w:rsidR="00E4410B">
          <w:rPr>
            <w:webHidden/>
          </w:rPr>
          <w:fldChar w:fldCharType="end"/>
        </w:r>
      </w:hyperlink>
    </w:p>
    <w:p w14:paraId="70C5122E" w14:textId="77777777" w:rsidR="00E4410B" w:rsidRDefault="004F44C4">
      <w:pPr>
        <w:pStyle w:val="TOC2"/>
        <w:rPr>
          <w:rFonts w:asciiTheme="minorHAnsi" w:eastAsiaTheme="minorEastAsia" w:hAnsiTheme="minorHAnsi" w:cstheme="minorBidi"/>
          <w:sz w:val="22"/>
          <w:szCs w:val="22"/>
        </w:rPr>
      </w:pPr>
      <w:hyperlink w:anchor="_Toc441751877" w:history="1">
        <w:r w:rsidR="00E4410B" w:rsidRPr="00425EB9">
          <w:rPr>
            <w:rStyle w:val="Hyperlink"/>
          </w:rPr>
          <w:t>2.1</w:t>
        </w:r>
        <w:r w:rsidR="00E4410B">
          <w:rPr>
            <w:rFonts w:asciiTheme="minorHAnsi" w:eastAsiaTheme="minorEastAsia" w:hAnsiTheme="minorHAnsi" w:cstheme="minorBidi"/>
            <w:sz w:val="22"/>
            <w:szCs w:val="22"/>
          </w:rPr>
          <w:tab/>
        </w:r>
        <w:r w:rsidR="00E4410B" w:rsidRPr="00425EB9">
          <w:rPr>
            <w:rStyle w:val="Hyperlink"/>
          </w:rPr>
          <w:t>Overview of Data Collection Activities</w:t>
        </w:r>
        <w:r w:rsidR="00E4410B">
          <w:rPr>
            <w:webHidden/>
          </w:rPr>
          <w:tab/>
        </w:r>
        <w:r w:rsidR="00E4410B">
          <w:rPr>
            <w:webHidden/>
          </w:rPr>
          <w:fldChar w:fldCharType="begin"/>
        </w:r>
        <w:r w:rsidR="00E4410B">
          <w:rPr>
            <w:webHidden/>
          </w:rPr>
          <w:instrText xml:space="preserve"> PAGEREF _Toc441751877 \h </w:instrText>
        </w:r>
        <w:r w:rsidR="00E4410B">
          <w:rPr>
            <w:webHidden/>
          </w:rPr>
        </w:r>
        <w:r w:rsidR="00E4410B">
          <w:rPr>
            <w:webHidden/>
          </w:rPr>
          <w:fldChar w:fldCharType="separate"/>
        </w:r>
        <w:r w:rsidR="00E4410B">
          <w:rPr>
            <w:webHidden/>
          </w:rPr>
          <w:t>9</w:t>
        </w:r>
        <w:r w:rsidR="00E4410B">
          <w:rPr>
            <w:webHidden/>
          </w:rPr>
          <w:fldChar w:fldCharType="end"/>
        </w:r>
      </w:hyperlink>
    </w:p>
    <w:p w14:paraId="53575BBB" w14:textId="77777777" w:rsidR="00E4410B" w:rsidRDefault="004F44C4">
      <w:pPr>
        <w:pStyle w:val="TOC2"/>
        <w:rPr>
          <w:rFonts w:asciiTheme="minorHAnsi" w:eastAsiaTheme="minorEastAsia" w:hAnsiTheme="minorHAnsi" w:cstheme="minorBidi"/>
          <w:sz w:val="22"/>
          <w:szCs w:val="22"/>
        </w:rPr>
      </w:pPr>
      <w:hyperlink w:anchor="_Toc441751878" w:history="1">
        <w:r w:rsidR="00E4410B" w:rsidRPr="00425EB9">
          <w:rPr>
            <w:rStyle w:val="Hyperlink"/>
          </w:rPr>
          <w:t>2.2</w:t>
        </w:r>
        <w:r w:rsidR="00E4410B">
          <w:rPr>
            <w:rFonts w:asciiTheme="minorHAnsi" w:eastAsiaTheme="minorEastAsia" w:hAnsiTheme="minorHAnsi" w:cstheme="minorBidi"/>
            <w:sz w:val="22"/>
            <w:szCs w:val="22"/>
          </w:rPr>
          <w:tab/>
        </w:r>
        <w:r w:rsidR="00E4410B" w:rsidRPr="00425EB9">
          <w:rPr>
            <w:rStyle w:val="Hyperlink"/>
          </w:rPr>
          <w:t>Sampling Plan</w:t>
        </w:r>
        <w:r w:rsidR="00E4410B">
          <w:rPr>
            <w:webHidden/>
          </w:rPr>
          <w:tab/>
        </w:r>
        <w:r w:rsidR="00E4410B">
          <w:rPr>
            <w:webHidden/>
          </w:rPr>
          <w:fldChar w:fldCharType="begin"/>
        </w:r>
        <w:r w:rsidR="00E4410B">
          <w:rPr>
            <w:webHidden/>
          </w:rPr>
          <w:instrText xml:space="preserve"> PAGEREF _Toc441751878 \h </w:instrText>
        </w:r>
        <w:r w:rsidR="00E4410B">
          <w:rPr>
            <w:webHidden/>
          </w:rPr>
        </w:r>
        <w:r w:rsidR="00E4410B">
          <w:rPr>
            <w:webHidden/>
          </w:rPr>
          <w:fldChar w:fldCharType="separate"/>
        </w:r>
        <w:r w:rsidR="00E4410B">
          <w:rPr>
            <w:webHidden/>
          </w:rPr>
          <w:t>9</w:t>
        </w:r>
        <w:r w:rsidR="00E4410B">
          <w:rPr>
            <w:webHidden/>
          </w:rPr>
          <w:fldChar w:fldCharType="end"/>
        </w:r>
      </w:hyperlink>
    </w:p>
    <w:p w14:paraId="5966F9DC" w14:textId="77777777" w:rsidR="00E4410B" w:rsidRDefault="004F44C4">
      <w:pPr>
        <w:pStyle w:val="TOC2"/>
        <w:rPr>
          <w:rFonts w:asciiTheme="minorHAnsi" w:eastAsiaTheme="minorEastAsia" w:hAnsiTheme="minorHAnsi" w:cstheme="minorBidi"/>
          <w:sz w:val="22"/>
          <w:szCs w:val="22"/>
        </w:rPr>
      </w:pPr>
      <w:hyperlink w:anchor="_Toc441751879" w:history="1">
        <w:r w:rsidR="00E4410B" w:rsidRPr="00425EB9">
          <w:rPr>
            <w:rStyle w:val="Hyperlink"/>
          </w:rPr>
          <w:t>2.3</w:t>
        </w:r>
        <w:r w:rsidR="00E4410B">
          <w:rPr>
            <w:rFonts w:asciiTheme="minorHAnsi" w:eastAsiaTheme="minorEastAsia" w:hAnsiTheme="minorHAnsi" w:cstheme="minorBidi"/>
            <w:sz w:val="22"/>
            <w:szCs w:val="22"/>
          </w:rPr>
          <w:tab/>
        </w:r>
        <w:r w:rsidR="00E4410B" w:rsidRPr="00425EB9">
          <w:rPr>
            <w:rStyle w:val="Hyperlink"/>
          </w:rPr>
          <w:t>Data Used in Impact Analysis</w:t>
        </w:r>
        <w:r w:rsidR="00E4410B">
          <w:rPr>
            <w:webHidden/>
          </w:rPr>
          <w:tab/>
        </w:r>
        <w:r w:rsidR="00E4410B">
          <w:rPr>
            <w:webHidden/>
          </w:rPr>
          <w:fldChar w:fldCharType="begin"/>
        </w:r>
        <w:r w:rsidR="00E4410B">
          <w:rPr>
            <w:webHidden/>
          </w:rPr>
          <w:instrText xml:space="preserve"> PAGEREF _Toc441751879 \h </w:instrText>
        </w:r>
        <w:r w:rsidR="00E4410B">
          <w:rPr>
            <w:webHidden/>
          </w:rPr>
        </w:r>
        <w:r w:rsidR="00E4410B">
          <w:rPr>
            <w:webHidden/>
          </w:rPr>
          <w:fldChar w:fldCharType="separate"/>
        </w:r>
        <w:r w:rsidR="00E4410B">
          <w:rPr>
            <w:webHidden/>
          </w:rPr>
          <w:t>9</w:t>
        </w:r>
        <w:r w:rsidR="00E4410B">
          <w:rPr>
            <w:webHidden/>
          </w:rPr>
          <w:fldChar w:fldCharType="end"/>
        </w:r>
      </w:hyperlink>
    </w:p>
    <w:p w14:paraId="5E8C6076" w14:textId="77777777" w:rsidR="00E4410B" w:rsidRDefault="004F44C4">
      <w:pPr>
        <w:pStyle w:val="TOC2"/>
        <w:rPr>
          <w:rFonts w:asciiTheme="minorHAnsi" w:eastAsiaTheme="minorEastAsia" w:hAnsiTheme="minorHAnsi" w:cstheme="minorBidi"/>
          <w:sz w:val="22"/>
          <w:szCs w:val="22"/>
        </w:rPr>
      </w:pPr>
      <w:hyperlink w:anchor="_Toc441751880" w:history="1">
        <w:r w:rsidR="00E4410B" w:rsidRPr="00425EB9">
          <w:rPr>
            <w:rStyle w:val="Hyperlink"/>
          </w:rPr>
          <w:t>2.4</w:t>
        </w:r>
        <w:r w:rsidR="00E4410B">
          <w:rPr>
            <w:rFonts w:asciiTheme="minorHAnsi" w:eastAsiaTheme="minorEastAsia" w:hAnsiTheme="minorHAnsi" w:cstheme="minorBidi"/>
            <w:sz w:val="22"/>
            <w:szCs w:val="22"/>
          </w:rPr>
          <w:tab/>
        </w:r>
        <w:r w:rsidR="00E4410B" w:rsidRPr="00425EB9">
          <w:rPr>
            <w:rStyle w:val="Hyperlink"/>
          </w:rPr>
          <w:t>Statistical Models Used in the Impact Evaluation</w:t>
        </w:r>
        <w:r w:rsidR="00E4410B">
          <w:rPr>
            <w:webHidden/>
          </w:rPr>
          <w:tab/>
        </w:r>
        <w:r w:rsidR="00E4410B">
          <w:rPr>
            <w:webHidden/>
          </w:rPr>
          <w:fldChar w:fldCharType="begin"/>
        </w:r>
        <w:r w:rsidR="00E4410B">
          <w:rPr>
            <w:webHidden/>
          </w:rPr>
          <w:instrText xml:space="preserve"> PAGEREF _Toc441751880 \h </w:instrText>
        </w:r>
        <w:r w:rsidR="00E4410B">
          <w:rPr>
            <w:webHidden/>
          </w:rPr>
        </w:r>
        <w:r w:rsidR="00E4410B">
          <w:rPr>
            <w:webHidden/>
          </w:rPr>
          <w:fldChar w:fldCharType="separate"/>
        </w:r>
        <w:r w:rsidR="00E4410B">
          <w:rPr>
            <w:webHidden/>
          </w:rPr>
          <w:t>10</w:t>
        </w:r>
        <w:r w:rsidR="00E4410B">
          <w:rPr>
            <w:webHidden/>
          </w:rPr>
          <w:fldChar w:fldCharType="end"/>
        </w:r>
      </w:hyperlink>
    </w:p>
    <w:p w14:paraId="4A5D6C27" w14:textId="77777777" w:rsidR="00E4410B" w:rsidRDefault="004F44C4">
      <w:pPr>
        <w:pStyle w:val="TOC2"/>
        <w:rPr>
          <w:rFonts w:asciiTheme="minorHAnsi" w:eastAsiaTheme="minorEastAsia" w:hAnsiTheme="minorHAnsi" w:cstheme="minorBidi"/>
          <w:sz w:val="22"/>
          <w:szCs w:val="22"/>
        </w:rPr>
      </w:pPr>
      <w:hyperlink w:anchor="_Toc441751881" w:history="1">
        <w:r w:rsidR="00E4410B" w:rsidRPr="00425EB9">
          <w:rPr>
            <w:rStyle w:val="Hyperlink"/>
          </w:rPr>
          <w:t>2.5</w:t>
        </w:r>
        <w:r w:rsidR="00E4410B">
          <w:rPr>
            <w:rFonts w:asciiTheme="minorHAnsi" w:eastAsiaTheme="minorEastAsia" w:hAnsiTheme="minorHAnsi" w:cstheme="minorBidi"/>
            <w:sz w:val="22"/>
            <w:szCs w:val="22"/>
          </w:rPr>
          <w:tab/>
        </w:r>
        <w:r w:rsidR="00E4410B" w:rsidRPr="00425EB9">
          <w:rPr>
            <w:rStyle w:val="Hyperlink"/>
          </w:rPr>
          <w:t>Accounting for Uplift in Other Energy Efficiency Programs</w:t>
        </w:r>
        <w:r w:rsidR="00E4410B">
          <w:rPr>
            <w:webHidden/>
          </w:rPr>
          <w:tab/>
        </w:r>
        <w:r w:rsidR="00E4410B">
          <w:rPr>
            <w:webHidden/>
          </w:rPr>
          <w:fldChar w:fldCharType="begin"/>
        </w:r>
        <w:r w:rsidR="00E4410B">
          <w:rPr>
            <w:webHidden/>
          </w:rPr>
          <w:instrText xml:space="preserve"> PAGEREF _Toc441751881 \h </w:instrText>
        </w:r>
        <w:r w:rsidR="00E4410B">
          <w:rPr>
            <w:webHidden/>
          </w:rPr>
        </w:r>
        <w:r w:rsidR="00E4410B">
          <w:rPr>
            <w:webHidden/>
          </w:rPr>
          <w:fldChar w:fldCharType="separate"/>
        </w:r>
        <w:r w:rsidR="00E4410B">
          <w:rPr>
            <w:webHidden/>
          </w:rPr>
          <w:t>10</w:t>
        </w:r>
        <w:r w:rsidR="00E4410B">
          <w:rPr>
            <w:webHidden/>
          </w:rPr>
          <w:fldChar w:fldCharType="end"/>
        </w:r>
      </w:hyperlink>
    </w:p>
    <w:p w14:paraId="7D0AF379" w14:textId="77777777" w:rsidR="00E4410B" w:rsidRDefault="004F44C4">
      <w:pPr>
        <w:pStyle w:val="TOC3"/>
        <w:rPr>
          <w:rFonts w:asciiTheme="minorHAnsi" w:hAnsiTheme="minorHAnsi"/>
          <w:sz w:val="22"/>
          <w:szCs w:val="22"/>
        </w:rPr>
      </w:pPr>
      <w:hyperlink w:anchor="_Toc441751882" w:history="1">
        <w:r w:rsidR="00E4410B" w:rsidRPr="00425EB9">
          <w:rPr>
            <w:rStyle w:val="Hyperlink"/>
          </w:rPr>
          <w:t>2.5.1</w:t>
        </w:r>
        <w:r w:rsidR="00E4410B">
          <w:rPr>
            <w:rFonts w:asciiTheme="minorHAnsi" w:hAnsiTheme="minorHAnsi"/>
            <w:sz w:val="22"/>
            <w:szCs w:val="22"/>
          </w:rPr>
          <w:tab/>
        </w:r>
        <w:r w:rsidR="00E4410B" w:rsidRPr="00425EB9">
          <w:rPr>
            <w:rStyle w:val="Hyperlink"/>
          </w:rPr>
          <w:t>Accounting for Uplift in the Analysis Period</w:t>
        </w:r>
        <w:r w:rsidR="00E4410B">
          <w:rPr>
            <w:webHidden/>
          </w:rPr>
          <w:tab/>
        </w:r>
        <w:r w:rsidR="00E4410B">
          <w:rPr>
            <w:webHidden/>
          </w:rPr>
          <w:fldChar w:fldCharType="begin"/>
        </w:r>
        <w:r w:rsidR="00E4410B">
          <w:rPr>
            <w:webHidden/>
          </w:rPr>
          <w:instrText xml:space="preserve"> PAGEREF _Toc441751882 \h </w:instrText>
        </w:r>
        <w:r w:rsidR="00E4410B">
          <w:rPr>
            <w:webHidden/>
          </w:rPr>
        </w:r>
        <w:r w:rsidR="00E4410B">
          <w:rPr>
            <w:webHidden/>
          </w:rPr>
          <w:fldChar w:fldCharType="separate"/>
        </w:r>
        <w:r w:rsidR="00E4410B">
          <w:rPr>
            <w:webHidden/>
          </w:rPr>
          <w:t>10</w:t>
        </w:r>
        <w:r w:rsidR="00E4410B">
          <w:rPr>
            <w:webHidden/>
          </w:rPr>
          <w:fldChar w:fldCharType="end"/>
        </w:r>
      </w:hyperlink>
    </w:p>
    <w:p w14:paraId="282B6AF6" w14:textId="77777777" w:rsidR="00E4410B" w:rsidRDefault="004F44C4">
      <w:pPr>
        <w:pStyle w:val="TOC3"/>
        <w:rPr>
          <w:rFonts w:asciiTheme="minorHAnsi" w:hAnsiTheme="minorHAnsi"/>
          <w:sz w:val="22"/>
          <w:szCs w:val="22"/>
        </w:rPr>
      </w:pPr>
      <w:hyperlink w:anchor="_Toc441751883" w:history="1">
        <w:r w:rsidR="00E4410B" w:rsidRPr="00425EB9">
          <w:rPr>
            <w:rStyle w:val="Hyperlink"/>
          </w:rPr>
          <w:t>2.5.2</w:t>
        </w:r>
        <w:r w:rsidR="00E4410B">
          <w:rPr>
            <w:rFonts w:asciiTheme="minorHAnsi" w:hAnsiTheme="minorHAnsi"/>
            <w:sz w:val="22"/>
            <w:szCs w:val="22"/>
          </w:rPr>
          <w:tab/>
        </w:r>
        <w:r w:rsidR="00E4410B" w:rsidRPr="00425EB9">
          <w:rPr>
            <w:rStyle w:val="Hyperlink"/>
          </w:rPr>
          <w:t>Accounting for Legacy Uplift</w:t>
        </w:r>
        <w:r w:rsidR="00E4410B">
          <w:rPr>
            <w:webHidden/>
          </w:rPr>
          <w:tab/>
        </w:r>
        <w:r w:rsidR="00E4410B">
          <w:rPr>
            <w:webHidden/>
          </w:rPr>
          <w:fldChar w:fldCharType="begin"/>
        </w:r>
        <w:r w:rsidR="00E4410B">
          <w:rPr>
            <w:webHidden/>
          </w:rPr>
          <w:instrText xml:space="preserve"> PAGEREF _Toc441751883 \h </w:instrText>
        </w:r>
        <w:r w:rsidR="00E4410B">
          <w:rPr>
            <w:webHidden/>
          </w:rPr>
        </w:r>
        <w:r w:rsidR="00E4410B">
          <w:rPr>
            <w:webHidden/>
          </w:rPr>
          <w:fldChar w:fldCharType="separate"/>
        </w:r>
        <w:r w:rsidR="00E4410B">
          <w:rPr>
            <w:webHidden/>
          </w:rPr>
          <w:t>12</w:t>
        </w:r>
        <w:r w:rsidR="00E4410B">
          <w:rPr>
            <w:webHidden/>
          </w:rPr>
          <w:fldChar w:fldCharType="end"/>
        </w:r>
      </w:hyperlink>
    </w:p>
    <w:p w14:paraId="24B3188A" w14:textId="77777777" w:rsidR="00E4410B" w:rsidRDefault="004F44C4">
      <w:pPr>
        <w:pStyle w:val="TOC2"/>
        <w:rPr>
          <w:rFonts w:asciiTheme="minorHAnsi" w:eastAsiaTheme="minorEastAsia" w:hAnsiTheme="minorHAnsi" w:cstheme="minorBidi"/>
          <w:sz w:val="22"/>
          <w:szCs w:val="22"/>
        </w:rPr>
      </w:pPr>
      <w:hyperlink w:anchor="_Toc441751884" w:history="1">
        <w:r w:rsidR="00E4410B" w:rsidRPr="00425EB9">
          <w:rPr>
            <w:rStyle w:val="Hyperlink"/>
          </w:rPr>
          <w:t>2.6</w:t>
        </w:r>
        <w:r w:rsidR="00E4410B">
          <w:rPr>
            <w:rFonts w:asciiTheme="minorHAnsi" w:eastAsiaTheme="minorEastAsia" w:hAnsiTheme="minorHAnsi" w:cstheme="minorBidi"/>
            <w:sz w:val="22"/>
            <w:szCs w:val="22"/>
          </w:rPr>
          <w:tab/>
        </w:r>
        <w:r w:rsidR="00E4410B" w:rsidRPr="00425EB9">
          <w:rPr>
            <w:rStyle w:val="Hyperlink"/>
          </w:rPr>
          <w:t>Estimating Decay</w:t>
        </w:r>
        <w:r w:rsidR="00E4410B">
          <w:rPr>
            <w:webHidden/>
          </w:rPr>
          <w:tab/>
        </w:r>
        <w:r w:rsidR="00E4410B">
          <w:rPr>
            <w:webHidden/>
          </w:rPr>
          <w:fldChar w:fldCharType="begin"/>
        </w:r>
        <w:r w:rsidR="00E4410B">
          <w:rPr>
            <w:webHidden/>
          </w:rPr>
          <w:instrText xml:space="preserve"> PAGEREF _Toc441751884 \h </w:instrText>
        </w:r>
        <w:r w:rsidR="00E4410B">
          <w:rPr>
            <w:webHidden/>
          </w:rPr>
        </w:r>
        <w:r w:rsidR="00E4410B">
          <w:rPr>
            <w:webHidden/>
          </w:rPr>
          <w:fldChar w:fldCharType="separate"/>
        </w:r>
        <w:r w:rsidR="00E4410B">
          <w:rPr>
            <w:webHidden/>
          </w:rPr>
          <w:t>12</w:t>
        </w:r>
        <w:r w:rsidR="00E4410B">
          <w:rPr>
            <w:webHidden/>
          </w:rPr>
          <w:fldChar w:fldCharType="end"/>
        </w:r>
      </w:hyperlink>
    </w:p>
    <w:p w14:paraId="05C13051" w14:textId="77777777" w:rsidR="00E4410B" w:rsidRDefault="004F44C4">
      <w:pPr>
        <w:pStyle w:val="TOC1"/>
        <w:rPr>
          <w:rFonts w:asciiTheme="minorHAnsi" w:eastAsiaTheme="minorEastAsia" w:hAnsiTheme="minorHAnsi" w:cstheme="minorBidi"/>
          <w:b w:val="0"/>
          <w:snapToGrid/>
          <w:sz w:val="22"/>
          <w:szCs w:val="22"/>
        </w:rPr>
      </w:pPr>
      <w:hyperlink w:anchor="_Toc441751885" w:history="1">
        <w:r w:rsidR="00E4410B" w:rsidRPr="00425EB9">
          <w:rPr>
            <w:rStyle w:val="Hyperlink"/>
          </w:rPr>
          <w:t>3</w:t>
        </w:r>
        <w:r w:rsidR="00E4410B">
          <w:rPr>
            <w:rFonts w:asciiTheme="minorHAnsi" w:eastAsiaTheme="minorEastAsia" w:hAnsiTheme="minorHAnsi" w:cstheme="minorBidi"/>
            <w:b w:val="0"/>
            <w:snapToGrid/>
            <w:sz w:val="22"/>
            <w:szCs w:val="22"/>
          </w:rPr>
          <w:tab/>
        </w:r>
        <w:r w:rsidR="00E4410B" w:rsidRPr="00425EB9">
          <w:rPr>
            <w:rStyle w:val="Hyperlink"/>
          </w:rPr>
          <w:t>Gross Impact Evaluation</w:t>
        </w:r>
        <w:r w:rsidR="00E4410B">
          <w:rPr>
            <w:webHidden/>
          </w:rPr>
          <w:tab/>
        </w:r>
        <w:r w:rsidR="00E4410B">
          <w:rPr>
            <w:webHidden/>
          </w:rPr>
          <w:fldChar w:fldCharType="begin"/>
        </w:r>
        <w:r w:rsidR="00E4410B">
          <w:rPr>
            <w:webHidden/>
          </w:rPr>
          <w:instrText xml:space="preserve"> PAGEREF _Toc441751885 \h </w:instrText>
        </w:r>
        <w:r w:rsidR="00E4410B">
          <w:rPr>
            <w:webHidden/>
          </w:rPr>
        </w:r>
        <w:r w:rsidR="00E4410B">
          <w:rPr>
            <w:webHidden/>
          </w:rPr>
          <w:fldChar w:fldCharType="separate"/>
        </w:r>
        <w:r w:rsidR="00E4410B">
          <w:rPr>
            <w:webHidden/>
          </w:rPr>
          <w:t>14</w:t>
        </w:r>
        <w:r w:rsidR="00E4410B">
          <w:rPr>
            <w:webHidden/>
          </w:rPr>
          <w:fldChar w:fldCharType="end"/>
        </w:r>
      </w:hyperlink>
    </w:p>
    <w:p w14:paraId="5F674028" w14:textId="77777777" w:rsidR="00E4410B" w:rsidRDefault="004F44C4">
      <w:pPr>
        <w:pStyle w:val="TOC2"/>
        <w:rPr>
          <w:rFonts w:asciiTheme="minorHAnsi" w:eastAsiaTheme="minorEastAsia" w:hAnsiTheme="minorHAnsi" w:cstheme="minorBidi"/>
          <w:sz w:val="22"/>
          <w:szCs w:val="22"/>
        </w:rPr>
      </w:pPr>
      <w:hyperlink w:anchor="_Toc441751886" w:history="1">
        <w:r w:rsidR="00E4410B" w:rsidRPr="00425EB9">
          <w:rPr>
            <w:rStyle w:val="Hyperlink"/>
          </w:rPr>
          <w:t>3.1</w:t>
        </w:r>
        <w:r w:rsidR="00E4410B">
          <w:rPr>
            <w:rFonts w:asciiTheme="minorHAnsi" w:eastAsiaTheme="minorEastAsia" w:hAnsiTheme="minorHAnsi" w:cstheme="minorBidi"/>
            <w:sz w:val="22"/>
            <w:szCs w:val="22"/>
          </w:rPr>
          <w:tab/>
        </w:r>
        <w:r w:rsidR="00E4410B" w:rsidRPr="00425EB9">
          <w:rPr>
            <w:rStyle w:val="Hyperlink"/>
          </w:rPr>
          <w:t>PPR and LFER Model Parameter Estimates</w:t>
        </w:r>
        <w:r w:rsidR="00E4410B">
          <w:rPr>
            <w:webHidden/>
          </w:rPr>
          <w:tab/>
        </w:r>
        <w:r w:rsidR="00E4410B">
          <w:rPr>
            <w:webHidden/>
          </w:rPr>
          <w:fldChar w:fldCharType="begin"/>
        </w:r>
        <w:r w:rsidR="00E4410B">
          <w:rPr>
            <w:webHidden/>
          </w:rPr>
          <w:instrText xml:space="preserve"> PAGEREF _Toc441751886 \h </w:instrText>
        </w:r>
        <w:r w:rsidR="00E4410B">
          <w:rPr>
            <w:webHidden/>
          </w:rPr>
        </w:r>
        <w:r w:rsidR="00E4410B">
          <w:rPr>
            <w:webHidden/>
          </w:rPr>
          <w:fldChar w:fldCharType="separate"/>
        </w:r>
        <w:r w:rsidR="00E4410B">
          <w:rPr>
            <w:webHidden/>
          </w:rPr>
          <w:t>14</w:t>
        </w:r>
        <w:r w:rsidR="00E4410B">
          <w:rPr>
            <w:webHidden/>
          </w:rPr>
          <w:fldChar w:fldCharType="end"/>
        </w:r>
      </w:hyperlink>
    </w:p>
    <w:p w14:paraId="1715293B" w14:textId="77777777" w:rsidR="00E4410B" w:rsidRDefault="004F44C4">
      <w:pPr>
        <w:pStyle w:val="TOC2"/>
        <w:rPr>
          <w:rFonts w:asciiTheme="minorHAnsi" w:eastAsiaTheme="minorEastAsia" w:hAnsiTheme="minorHAnsi" w:cstheme="minorBidi"/>
          <w:sz w:val="22"/>
          <w:szCs w:val="22"/>
        </w:rPr>
      </w:pPr>
      <w:hyperlink w:anchor="_Toc441751887" w:history="1">
        <w:r w:rsidR="00E4410B" w:rsidRPr="00425EB9">
          <w:rPr>
            <w:rStyle w:val="Hyperlink"/>
          </w:rPr>
          <w:t>3.2</w:t>
        </w:r>
        <w:r w:rsidR="00E4410B">
          <w:rPr>
            <w:rFonts w:asciiTheme="minorHAnsi" w:eastAsiaTheme="minorEastAsia" w:hAnsiTheme="minorHAnsi" w:cstheme="minorBidi"/>
            <w:sz w:val="22"/>
            <w:szCs w:val="22"/>
          </w:rPr>
          <w:tab/>
        </w:r>
        <w:r w:rsidR="00E4410B" w:rsidRPr="00425EB9">
          <w:rPr>
            <w:rStyle w:val="Hyperlink"/>
          </w:rPr>
          <w:t>Uplift of Savings in Other EE Programs</w:t>
        </w:r>
        <w:r w:rsidR="00E4410B">
          <w:rPr>
            <w:webHidden/>
          </w:rPr>
          <w:tab/>
        </w:r>
        <w:r w:rsidR="00E4410B">
          <w:rPr>
            <w:webHidden/>
          </w:rPr>
          <w:fldChar w:fldCharType="begin"/>
        </w:r>
        <w:r w:rsidR="00E4410B">
          <w:rPr>
            <w:webHidden/>
          </w:rPr>
          <w:instrText xml:space="preserve"> PAGEREF _Toc441751887 \h </w:instrText>
        </w:r>
        <w:r w:rsidR="00E4410B">
          <w:rPr>
            <w:webHidden/>
          </w:rPr>
        </w:r>
        <w:r w:rsidR="00E4410B">
          <w:rPr>
            <w:webHidden/>
          </w:rPr>
          <w:fldChar w:fldCharType="separate"/>
        </w:r>
        <w:r w:rsidR="00E4410B">
          <w:rPr>
            <w:webHidden/>
          </w:rPr>
          <w:t>15</w:t>
        </w:r>
        <w:r w:rsidR="00E4410B">
          <w:rPr>
            <w:webHidden/>
          </w:rPr>
          <w:fldChar w:fldCharType="end"/>
        </w:r>
      </w:hyperlink>
    </w:p>
    <w:p w14:paraId="21DB8916" w14:textId="77777777" w:rsidR="00E4410B" w:rsidRDefault="004F44C4">
      <w:pPr>
        <w:pStyle w:val="TOC2"/>
        <w:rPr>
          <w:rFonts w:asciiTheme="minorHAnsi" w:eastAsiaTheme="minorEastAsia" w:hAnsiTheme="minorHAnsi" w:cstheme="minorBidi"/>
          <w:sz w:val="22"/>
          <w:szCs w:val="22"/>
        </w:rPr>
      </w:pPr>
      <w:hyperlink w:anchor="_Toc441751888" w:history="1">
        <w:r w:rsidR="00E4410B" w:rsidRPr="00425EB9">
          <w:rPr>
            <w:rStyle w:val="Hyperlink"/>
          </w:rPr>
          <w:t>3.3</w:t>
        </w:r>
        <w:r w:rsidR="00E4410B">
          <w:rPr>
            <w:rFonts w:asciiTheme="minorHAnsi" w:eastAsiaTheme="minorEastAsia" w:hAnsiTheme="minorHAnsi" w:cstheme="minorBidi"/>
            <w:sz w:val="22"/>
            <w:szCs w:val="22"/>
          </w:rPr>
          <w:tab/>
        </w:r>
        <w:r w:rsidR="00E4410B" w:rsidRPr="00425EB9">
          <w:rPr>
            <w:rStyle w:val="Hyperlink"/>
          </w:rPr>
          <w:t>Decay Estimates</w:t>
        </w:r>
        <w:r w:rsidR="00E4410B">
          <w:rPr>
            <w:webHidden/>
          </w:rPr>
          <w:tab/>
        </w:r>
        <w:r w:rsidR="00E4410B">
          <w:rPr>
            <w:webHidden/>
          </w:rPr>
          <w:fldChar w:fldCharType="begin"/>
        </w:r>
        <w:r w:rsidR="00E4410B">
          <w:rPr>
            <w:webHidden/>
          </w:rPr>
          <w:instrText xml:space="preserve"> PAGEREF _Toc441751888 \h </w:instrText>
        </w:r>
        <w:r w:rsidR="00E4410B">
          <w:rPr>
            <w:webHidden/>
          </w:rPr>
        </w:r>
        <w:r w:rsidR="00E4410B">
          <w:rPr>
            <w:webHidden/>
          </w:rPr>
          <w:fldChar w:fldCharType="separate"/>
        </w:r>
        <w:r w:rsidR="00E4410B">
          <w:rPr>
            <w:webHidden/>
          </w:rPr>
          <w:t>15</w:t>
        </w:r>
        <w:r w:rsidR="00E4410B">
          <w:rPr>
            <w:webHidden/>
          </w:rPr>
          <w:fldChar w:fldCharType="end"/>
        </w:r>
      </w:hyperlink>
    </w:p>
    <w:p w14:paraId="7E26E3DC" w14:textId="77777777" w:rsidR="00E4410B" w:rsidRDefault="004F44C4">
      <w:pPr>
        <w:pStyle w:val="TOC1"/>
        <w:rPr>
          <w:rFonts w:asciiTheme="minorHAnsi" w:eastAsiaTheme="minorEastAsia" w:hAnsiTheme="minorHAnsi" w:cstheme="minorBidi"/>
          <w:b w:val="0"/>
          <w:snapToGrid/>
          <w:sz w:val="22"/>
          <w:szCs w:val="22"/>
        </w:rPr>
      </w:pPr>
      <w:hyperlink w:anchor="_Toc441751889" w:history="1">
        <w:r w:rsidR="00E4410B" w:rsidRPr="00425EB9">
          <w:rPr>
            <w:rStyle w:val="Hyperlink"/>
          </w:rPr>
          <w:t>4</w:t>
        </w:r>
        <w:r w:rsidR="00E4410B">
          <w:rPr>
            <w:rFonts w:asciiTheme="minorHAnsi" w:eastAsiaTheme="minorEastAsia" w:hAnsiTheme="minorHAnsi" w:cstheme="minorBidi"/>
            <w:b w:val="0"/>
            <w:snapToGrid/>
            <w:sz w:val="22"/>
            <w:szCs w:val="22"/>
          </w:rPr>
          <w:tab/>
        </w:r>
        <w:r w:rsidR="00E4410B" w:rsidRPr="00425EB9">
          <w:rPr>
            <w:rStyle w:val="Hyperlink"/>
          </w:rPr>
          <w:t>Net Impact Evaluation</w:t>
        </w:r>
        <w:r w:rsidR="00E4410B">
          <w:rPr>
            <w:webHidden/>
          </w:rPr>
          <w:tab/>
        </w:r>
        <w:r w:rsidR="00E4410B">
          <w:rPr>
            <w:webHidden/>
          </w:rPr>
          <w:fldChar w:fldCharType="begin"/>
        </w:r>
        <w:r w:rsidR="00E4410B">
          <w:rPr>
            <w:webHidden/>
          </w:rPr>
          <w:instrText xml:space="preserve"> PAGEREF _Toc441751889 \h </w:instrText>
        </w:r>
        <w:r w:rsidR="00E4410B">
          <w:rPr>
            <w:webHidden/>
          </w:rPr>
        </w:r>
        <w:r w:rsidR="00E4410B">
          <w:rPr>
            <w:webHidden/>
          </w:rPr>
          <w:fldChar w:fldCharType="separate"/>
        </w:r>
        <w:r w:rsidR="00E4410B">
          <w:rPr>
            <w:webHidden/>
          </w:rPr>
          <w:t>17</w:t>
        </w:r>
        <w:r w:rsidR="00E4410B">
          <w:rPr>
            <w:webHidden/>
          </w:rPr>
          <w:fldChar w:fldCharType="end"/>
        </w:r>
      </w:hyperlink>
    </w:p>
    <w:p w14:paraId="35006B14" w14:textId="77777777" w:rsidR="00E4410B" w:rsidRDefault="004F44C4">
      <w:pPr>
        <w:pStyle w:val="TOC1"/>
        <w:rPr>
          <w:rFonts w:asciiTheme="minorHAnsi" w:eastAsiaTheme="minorEastAsia" w:hAnsiTheme="minorHAnsi" w:cstheme="minorBidi"/>
          <w:b w:val="0"/>
          <w:snapToGrid/>
          <w:sz w:val="22"/>
          <w:szCs w:val="22"/>
        </w:rPr>
      </w:pPr>
      <w:hyperlink w:anchor="_Toc441751890" w:history="1">
        <w:r w:rsidR="00E4410B" w:rsidRPr="00425EB9">
          <w:rPr>
            <w:rStyle w:val="Hyperlink"/>
          </w:rPr>
          <w:t>5</w:t>
        </w:r>
        <w:r w:rsidR="00E4410B">
          <w:rPr>
            <w:rFonts w:asciiTheme="minorHAnsi" w:eastAsiaTheme="minorEastAsia" w:hAnsiTheme="minorHAnsi" w:cstheme="minorBidi"/>
            <w:b w:val="0"/>
            <w:snapToGrid/>
            <w:sz w:val="22"/>
            <w:szCs w:val="22"/>
          </w:rPr>
          <w:tab/>
        </w:r>
        <w:r w:rsidR="00E4410B" w:rsidRPr="00425EB9">
          <w:rPr>
            <w:rStyle w:val="Hyperlink"/>
          </w:rPr>
          <w:t>Findings and Recommendations</w:t>
        </w:r>
        <w:r w:rsidR="00E4410B">
          <w:rPr>
            <w:webHidden/>
          </w:rPr>
          <w:tab/>
        </w:r>
        <w:r w:rsidR="00E4410B">
          <w:rPr>
            <w:webHidden/>
          </w:rPr>
          <w:fldChar w:fldCharType="begin"/>
        </w:r>
        <w:r w:rsidR="00E4410B">
          <w:rPr>
            <w:webHidden/>
          </w:rPr>
          <w:instrText xml:space="preserve"> PAGEREF _Toc441751890 \h </w:instrText>
        </w:r>
        <w:r w:rsidR="00E4410B">
          <w:rPr>
            <w:webHidden/>
          </w:rPr>
        </w:r>
        <w:r w:rsidR="00E4410B">
          <w:rPr>
            <w:webHidden/>
          </w:rPr>
          <w:fldChar w:fldCharType="separate"/>
        </w:r>
        <w:r w:rsidR="00E4410B">
          <w:rPr>
            <w:webHidden/>
          </w:rPr>
          <w:t>18</w:t>
        </w:r>
        <w:r w:rsidR="00E4410B">
          <w:rPr>
            <w:webHidden/>
          </w:rPr>
          <w:fldChar w:fldCharType="end"/>
        </w:r>
      </w:hyperlink>
    </w:p>
    <w:p w14:paraId="6C18B75A" w14:textId="77777777" w:rsidR="00E4410B" w:rsidRDefault="004F44C4">
      <w:pPr>
        <w:pStyle w:val="TOC1"/>
        <w:rPr>
          <w:rFonts w:asciiTheme="minorHAnsi" w:eastAsiaTheme="minorEastAsia" w:hAnsiTheme="minorHAnsi" w:cstheme="minorBidi"/>
          <w:b w:val="0"/>
          <w:snapToGrid/>
          <w:sz w:val="22"/>
          <w:szCs w:val="22"/>
        </w:rPr>
      </w:pPr>
      <w:hyperlink w:anchor="_Toc441751891" w:history="1">
        <w:r w:rsidR="00E4410B" w:rsidRPr="00425EB9">
          <w:rPr>
            <w:rStyle w:val="Hyperlink"/>
          </w:rPr>
          <w:t>6</w:t>
        </w:r>
        <w:r w:rsidR="00E4410B">
          <w:rPr>
            <w:rFonts w:asciiTheme="minorHAnsi" w:eastAsiaTheme="minorEastAsia" w:hAnsiTheme="minorHAnsi" w:cstheme="minorBidi"/>
            <w:b w:val="0"/>
            <w:snapToGrid/>
            <w:sz w:val="22"/>
            <w:szCs w:val="22"/>
          </w:rPr>
          <w:tab/>
        </w:r>
        <w:r w:rsidR="00E4410B" w:rsidRPr="00425EB9">
          <w:rPr>
            <w:rStyle w:val="Hyperlink"/>
          </w:rPr>
          <w:t>Appendix</w:t>
        </w:r>
        <w:r w:rsidR="00E4410B">
          <w:rPr>
            <w:webHidden/>
          </w:rPr>
          <w:tab/>
        </w:r>
        <w:r w:rsidR="00E4410B">
          <w:rPr>
            <w:webHidden/>
          </w:rPr>
          <w:fldChar w:fldCharType="begin"/>
        </w:r>
        <w:r w:rsidR="00E4410B">
          <w:rPr>
            <w:webHidden/>
          </w:rPr>
          <w:instrText xml:space="preserve"> PAGEREF _Toc441751891 \h </w:instrText>
        </w:r>
        <w:r w:rsidR="00E4410B">
          <w:rPr>
            <w:webHidden/>
          </w:rPr>
        </w:r>
        <w:r w:rsidR="00E4410B">
          <w:rPr>
            <w:webHidden/>
          </w:rPr>
          <w:fldChar w:fldCharType="separate"/>
        </w:r>
        <w:r w:rsidR="00E4410B">
          <w:rPr>
            <w:webHidden/>
          </w:rPr>
          <w:t>19</w:t>
        </w:r>
        <w:r w:rsidR="00E4410B">
          <w:rPr>
            <w:webHidden/>
          </w:rPr>
          <w:fldChar w:fldCharType="end"/>
        </w:r>
      </w:hyperlink>
    </w:p>
    <w:p w14:paraId="0B3EF6C7" w14:textId="77777777" w:rsidR="00E4410B" w:rsidRDefault="004F44C4">
      <w:pPr>
        <w:pStyle w:val="TOC2"/>
        <w:rPr>
          <w:rFonts w:asciiTheme="minorHAnsi" w:eastAsiaTheme="minorEastAsia" w:hAnsiTheme="minorHAnsi" w:cstheme="minorBidi"/>
          <w:sz w:val="22"/>
          <w:szCs w:val="22"/>
        </w:rPr>
      </w:pPr>
      <w:hyperlink w:anchor="_Toc441751892" w:history="1">
        <w:r w:rsidR="00E4410B" w:rsidRPr="00425EB9">
          <w:rPr>
            <w:rStyle w:val="Hyperlink"/>
          </w:rPr>
          <w:t>6.1</w:t>
        </w:r>
        <w:r w:rsidR="00E4410B">
          <w:rPr>
            <w:rFonts w:asciiTheme="minorHAnsi" w:eastAsiaTheme="minorEastAsia" w:hAnsiTheme="minorHAnsi" w:cstheme="minorBidi"/>
            <w:sz w:val="22"/>
            <w:szCs w:val="22"/>
          </w:rPr>
          <w:tab/>
        </w:r>
        <w:r w:rsidR="00E4410B" w:rsidRPr="00425EB9">
          <w:rPr>
            <w:rStyle w:val="Hyperlink"/>
          </w:rPr>
          <w:t>Detailed Data Cleaning</w:t>
        </w:r>
        <w:r w:rsidR="00E4410B">
          <w:rPr>
            <w:webHidden/>
          </w:rPr>
          <w:tab/>
        </w:r>
        <w:r w:rsidR="00E4410B">
          <w:rPr>
            <w:webHidden/>
          </w:rPr>
          <w:fldChar w:fldCharType="begin"/>
        </w:r>
        <w:r w:rsidR="00E4410B">
          <w:rPr>
            <w:webHidden/>
          </w:rPr>
          <w:instrText xml:space="preserve"> PAGEREF _Toc441751892 \h </w:instrText>
        </w:r>
        <w:r w:rsidR="00E4410B">
          <w:rPr>
            <w:webHidden/>
          </w:rPr>
        </w:r>
        <w:r w:rsidR="00E4410B">
          <w:rPr>
            <w:webHidden/>
          </w:rPr>
          <w:fldChar w:fldCharType="separate"/>
        </w:r>
        <w:r w:rsidR="00E4410B">
          <w:rPr>
            <w:webHidden/>
          </w:rPr>
          <w:t>19</w:t>
        </w:r>
        <w:r w:rsidR="00E4410B">
          <w:rPr>
            <w:webHidden/>
          </w:rPr>
          <w:fldChar w:fldCharType="end"/>
        </w:r>
      </w:hyperlink>
    </w:p>
    <w:p w14:paraId="098DE62C" w14:textId="77777777" w:rsidR="00E4410B" w:rsidRDefault="004F44C4">
      <w:pPr>
        <w:pStyle w:val="TOC2"/>
        <w:rPr>
          <w:rFonts w:asciiTheme="minorHAnsi" w:eastAsiaTheme="minorEastAsia" w:hAnsiTheme="minorHAnsi" w:cstheme="minorBidi"/>
          <w:sz w:val="22"/>
          <w:szCs w:val="22"/>
        </w:rPr>
      </w:pPr>
      <w:hyperlink w:anchor="_Toc441751893" w:history="1">
        <w:r w:rsidR="00E4410B" w:rsidRPr="00425EB9">
          <w:rPr>
            <w:rStyle w:val="Hyperlink"/>
          </w:rPr>
          <w:t>6.2</w:t>
        </w:r>
        <w:r w:rsidR="00E4410B">
          <w:rPr>
            <w:rFonts w:asciiTheme="minorHAnsi" w:eastAsiaTheme="minorEastAsia" w:hAnsiTheme="minorHAnsi" w:cstheme="minorBidi"/>
            <w:sz w:val="22"/>
            <w:szCs w:val="22"/>
          </w:rPr>
          <w:tab/>
        </w:r>
        <w:r w:rsidR="00E4410B" w:rsidRPr="00425EB9">
          <w:rPr>
            <w:rStyle w:val="Hyperlink"/>
          </w:rPr>
          <w:t>Detailed Impact Methodology</w:t>
        </w:r>
        <w:r w:rsidR="00E4410B">
          <w:rPr>
            <w:webHidden/>
          </w:rPr>
          <w:tab/>
        </w:r>
        <w:r w:rsidR="00E4410B">
          <w:rPr>
            <w:webHidden/>
          </w:rPr>
          <w:fldChar w:fldCharType="begin"/>
        </w:r>
        <w:r w:rsidR="00E4410B">
          <w:rPr>
            <w:webHidden/>
          </w:rPr>
          <w:instrText xml:space="preserve"> PAGEREF _Toc441751893 \h </w:instrText>
        </w:r>
        <w:r w:rsidR="00E4410B">
          <w:rPr>
            <w:webHidden/>
          </w:rPr>
        </w:r>
        <w:r w:rsidR="00E4410B">
          <w:rPr>
            <w:webHidden/>
          </w:rPr>
          <w:fldChar w:fldCharType="separate"/>
        </w:r>
        <w:r w:rsidR="00E4410B">
          <w:rPr>
            <w:webHidden/>
          </w:rPr>
          <w:t>20</w:t>
        </w:r>
        <w:r w:rsidR="00E4410B">
          <w:rPr>
            <w:webHidden/>
          </w:rPr>
          <w:fldChar w:fldCharType="end"/>
        </w:r>
      </w:hyperlink>
    </w:p>
    <w:p w14:paraId="23C3CA1A" w14:textId="77777777" w:rsidR="00E4410B" w:rsidRDefault="004F44C4">
      <w:pPr>
        <w:pStyle w:val="TOC3"/>
        <w:rPr>
          <w:rFonts w:asciiTheme="minorHAnsi" w:hAnsiTheme="minorHAnsi"/>
          <w:sz w:val="22"/>
          <w:szCs w:val="22"/>
        </w:rPr>
      </w:pPr>
      <w:hyperlink w:anchor="_Toc441751894" w:history="1">
        <w:r w:rsidR="00E4410B" w:rsidRPr="00425EB9">
          <w:rPr>
            <w:rStyle w:val="Hyperlink"/>
          </w:rPr>
          <w:t>6.2.1</w:t>
        </w:r>
        <w:r w:rsidR="00E4410B">
          <w:rPr>
            <w:rFonts w:asciiTheme="minorHAnsi" w:hAnsiTheme="minorHAnsi"/>
            <w:sz w:val="22"/>
            <w:szCs w:val="22"/>
          </w:rPr>
          <w:tab/>
        </w:r>
        <w:r w:rsidR="00E4410B" w:rsidRPr="00425EB9">
          <w:rPr>
            <w:rStyle w:val="Hyperlink"/>
          </w:rPr>
          <w:t>Post Program Regression Model</w:t>
        </w:r>
        <w:r w:rsidR="00E4410B">
          <w:rPr>
            <w:webHidden/>
          </w:rPr>
          <w:tab/>
        </w:r>
        <w:r w:rsidR="00E4410B">
          <w:rPr>
            <w:webHidden/>
          </w:rPr>
          <w:fldChar w:fldCharType="begin"/>
        </w:r>
        <w:r w:rsidR="00E4410B">
          <w:rPr>
            <w:webHidden/>
          </w:rPr>
          <w:instrText xml:space="preserve"> PAGEREF _Toc441751894 \h </w:instrText>
        </w:r>
        <w:r w:rsidR="00E4410B">
          <w:rPr>
            <w:webHidden/>
          </w:rPr>
        </w:r>
        <w:r w:rsidR="00E4410B">
          <w:rPr>
            <w:webHidden/>
          </w:rPr>
          <w:fldChar w:fldCharType="separate"/>
        </w:r>
        <w:r w:rsidR="00E4410B">
          <w:rPr>
            <w:webHidden/>
          </w:rPr>
          <w:t>20</w:t>
        </w:r>
        <w:r w:rsidR="00E4410B">
          <w:rPr>
            <w:webHidden/>
          </w:rPr>
          <w:fldChar w:fldCharType="end"/>
        </w:r>
      </w:hyperlink>
    </w:p>
    <w:p w14:paraId="292D100D" w14:textId="77777777" w:rsidR="00E4410B" w:rsidRDefault="004F44C4">
      <w:pPr>
        <w:pStyle w:val="TOC3"/>
        <w:rPr>
          <w:rFonts w:asciiTheme="minorHAnsi" w:hAnsiTheme="minorHAnsi"/>
          <w:sz w:val="22"/>
          <w:szCs w:val="22"/>
        </w:rPr>
      </w:pPr>
      <w:hyperlink w:anchor="_Toc441751895" w:history="1">
        <w:r w:rsidR="00E4410B" w:rsidRPr="00425EB9">
          <w:rPr>
            <w:rStyle w:val="Hyperlink"/>
          </w:rPr>
          <w:t>6.2.2</w:t>
        </w:r>
        <w:r w:rsidR="00E4410B">
          <w:rPr>
            <w:rFonts w:asciiTheme="minorHAnsi" w:hAnsiTheme="minorHAnsi"/>
            <w:sz w:val="22"/>
            <w:szCs w:val="22"/>
          </w:rPr>
          <w:tab/>
        </w:r>
        <w:r w:rsidR="00E4410B" w:rsidRPr="00425EB9">
          <w:rPr>
            <w:rStyle w:val="Hyperlink"/>
          </w:rPr>
          <w:t>Linear Fixed Effects Regression Model</w:t>
        </w:r>
        <w:r w:rsidR="00E4410B">
          <w:rPr>
            <w:webHidden/>
          </w:rPr>
          <w:tab/>
        </w:r>
        <w:r w:rsidR="00E4410B">
          <w:rPr>
            <w:webHidden/>
          </w:rPr>
          <w:fldChar w:fldCharType="begin"/>
        </w:r>
        <w:r w:rsidR="00E4410B">
          <w:rPr>
            <w:webHidden/>
          </w:rPr>
          <w:instrText xml:space="preserve"> PAGEREF _Toc441751895 \h </w:instrText>
        </w:r>
        <w:r w:rsidR="00E4410B">
          <w:rPr>
            <w:webHidden/>
          </w:rPr>
        </w:r>
        <w:r w:rsidR="00E4410B">
          <w:rPr>
            <w:webHidden/>
          </w:rPr>
          <w:fldChar w:fldCharType="separate"/>
        </w:r>
        <w:r w:rsidR="00E4410B">
          <w:rPr>
            <w:webHidden/>
          </w:rPr>
          <w:t>21</w:t>
        </w:r>
        <w:r w:rsidR="00E4410B">
          <w:rPr>
            <w:webHidden/>
          </w:rPr>
          <w:fldChar w:fldCharType="end"/>
        </w:r>
      </w:hyperlink>
    </w:p>
    <w:p w14:paraId="40CD9CF0" w14:textId="77777777" w:rsidR="00E4410B" w:rsidRDefault="004F44C4">
      <w:pPr>
        <w:pStyle w:val="TOC2"/>
        <w:rPr>
          <w:rFonts w:asciiTheme="minorHAnsi" w:eastAsiaTheme="minorEastAsia" w:hAnsiTheme="minorHAnsi" w:cstheme="minorBidi"/>
          <w:sz w:val="22"/>
          <w:szCs w:val="22"/>
        </w:rPr>
      </w:pPr>
      <w:hyperlink w:anchor="_Toc441751896" w:history="1">
        <w:r w:rsidR="00E4410B" w:rsidRPr="00425EB9">
          <w:rPr>
            <w:rStyle w:val="Hyperlink"/>
          </w:rPr>
          <w:t>6.3</w:t>
        </w:r>
        <w:r w:rsidR="00E4410B">
          <w:rPr>
            <w:rFonts w:asciiTheme="minorHAnsi" w:eastAsiaTheme="minorEastAsia" w:hAnsiTheme="minorHAnsi" w:cstheme="minorBidi"/>
            <w:sz w:val="22"/>
            <w:szCs w:val="22"/>
          </w:rPr>
          <w:tab/>
        </w:r>
        <w:r w:rsidR="00E4410B" w:rsidRPr="00425EB9">
          <w:rPr>
            <w:rStyle w:val="Hyperlink"/>
          </w:rPr>
          <w:t>Detailed Impact Results: Parameter Estimates</w:t>
        </w:r>
        <w:r w:rsidR="00E4410B">
          <w:rPr>
            <w:webHidden/>
          </w:rPr>
          <w:tab/>
        </w:r>
        <w:r w:rsidR="00E4410B">
          <w:rPr>
            <w:webHidden/>
          </w:rPr>
          <w:fldChar w:fldCharType="begin"/>
        </w:r>
        <w:r w:rsidR="00E4410B">
          <w:rPr>
            <w:webHidden/>
          </w:rPr>
          <w:instrText xml:space="preserve"> PAGEREF _Toc441751896 \h </w:instrText>
        </w:r>
        <w:r w:rsidR="00E4410B">
          <w:rPr>
            <w:webHidden/>
          </w:rPr>
        </w:r>
        <w:r w:rsidR="00E4410B">
          <w:rPr>
            <w:webHidden/>
          </w:rPr>
          <w:fldChar w:fldCharType="separate"/>
        </w:r>
        <w:r w:rsidR="00E4410B">
          <w:rPr>
            <w:webHidden/>
          </w:rPr>
          <w:t>21</w:t>
        </w:r>
        <w:r w:rsidR="00E4410B">
          <w:rPr>
            <w:webHidden/>
          </w:rPr>
          <w:fldChar w:fldCharType="end"/>
        </w:r>
      </w:hyperlink>
    </w:p>
    <w:p w14:paraId="2B0A7157" w14:textId="77777777" w:rsidR="00E4410B" w:rsidRDefault="004F44C4">
      <w:pPr>
        <w:pStyle w:val="TOC2"/>
        <w:rPr>
          <w:rFonts w:asciiTheme="minorHAnsi" w:eastAsiaTheme="minorEastAsia" w:hAnsiTheme="minorHAnsi" w:cstheme="minorBidi"/>
          <w:sz w:val="22"/>
          <w:szCs w:val="22"/>
        </w:rPr>
      </w:pPr>
      <w:hyperlink w:anchor="_Toc441751897" w:history="1">
        <w:r w:rsidR="00E4410B" w:rsidRPr="00425EB9">
          <w:rPr>
            <w:rStyle w:val="Hyperlink"/>
          </w:rPr>
          <w:t>6.4</w:t>
        </w:r>
        <w:r w:rsidR="00E4410B">
          <w:rPr>
            <w:rFonts w:asciiTheme="minorHAnsi" w:eastAsiaTheme="minorEastAsia" w:hAnsiTheme="minorHAnsi" w:cstheme="minorBidi"/>
            <w:sz w:val="22"/>
            <w:szCs w:val="22"/>
          </w:rPr>
          <w:tab/>
        </w:r>
        <w:r w:rsidR="00E4410B" w:rsidRPr="00425EB9">
          <w:rPr>
            <w:rStyle w:val="Hyperlink"/>
          </w:rPr>
          <w:t>Savings Due to Participation Uplift in Other EE Programs</w:t>
        </w:r>
        <w:r w:rsidR="00E4410B">
          <w:rPr>
            <w:webHidden/>
          </w:rPr>
          <w:tab/>
        </w:r>
        <w:r w:rsidR="00E4410B">
          <w:rPr>
            <w:webHidden/>
          </w:rPr>
          <w:fldChar w:fldCharType="begin"/>
        </w:r>
        <w:r w:rsidR="00E4410B">
          <w:rPr>
            <w:webHidden/>
          </w:rPr>
          <w:instrText xml:space="preserve"> PAGEREF _Toc441751897 \h </w:instrText>
        </w:r>
        <w:r w:rsidR="00E4410B">
          <w:rPr>
            <w:webHidden/>
          </w:rPr>
        </w:r>
        <w:r w:rsidR="00E4410B">
          <w:rPr>
            <w:webHidden/>
          </w:rPr>
          <w:fldChar w:fldCharType="separate"/>
        </w:r>
        <w:r w:rsidR="00E4410B">
          <w:rPr>
            <w:webHidden/>
          </w:rPr>
          <w:t>27</w:t>
        </w:r>
        <w:r w:rsidR="00E4410B">
          <w:rPr>
            <w:webHidden/>
          </w:rPr>
          <w:fldChar w:fldCharType="end"/>
        </w:r>
      </w:hyperlink>
    </w:p>
    <w:p w14:paraId="57FFF569" w14:textId="77777777" w:rsidR="00F56D57" w:rsidRDefault="007B2FBD" w:rsidP="00D66F87">
      <w:pPr>
        <w:rPr>
          <w:noProof/>
          <w:snapToGrid w:val="0"/>
        </w:rPr>
        <w:sectPr w:rsidR="00F56D57" w:rsidSect="00F56D57">
          <w:footerReference w:type="default" r:id="rId15"/>
          <w:pgSz w:w="12240" w:h="15840" w:code="1"/>
          <w:pgMar w:top="1440" w:right="1440" w:bottom="1440" w:left="1440" w:header="720" w:footer="720" w:gutter="0"/>
          <w:pgNumType w:fmt="lowerRoman" w:start="1"/>
          <w:cols w:space="720"/>
          <w:docGrid w:linePitch="360"/>
        </w:sectPr>
      </w:pPr>
      <w:r>
        <w:rPr>
          <w:noProof/>
          <w:snapToGrid w:val="0"/>
        </w:rPr>
        <w:fldChar w:fldCharType="end"/>
      </w:r>
    </w:p>
    <w:p w14:paraId="4A114685" w14:textId="1176AA9E" w:rsidR="007A7F52" w:rsidRDefault="007A7F52">
      <w:pPr>
        <w:rPr>
          <w:b/>
          <w:color w:val="FFFFFF"/>
          <w:kern w:val="28"/>
          <w:position w:val="6"/>
          <w:sz w:val="24"/>
        </w:rPr>
      </w:pPr>
    </w:p>
    <w:p w14:paraId="6D9FFBC3" w14:textId="38EF2954" w:rsidR="00D66F87" w:rsidRPr="00ED12FC" w:rsidRDefault="00D66F87" w:rsidP="00D66F87">
      <w:pPr>
        <w:pStyle w:val="TOCHeading"/>
        <w:pageBreakBefore w:val="0"/>
      </w:pPr>
      <w:r w:rsidRPr="00ED12FC">
        <w:t>List of Figures and Tables</w:t>
      </w:r>
    </w:p>
    <w:p w14:paraId="2BE9D286" w14:textId="77777777" w:rsidR="00D66F87" w:rsidRPr="00E8651B" w:rsidRDefault="00D66F87" w:rsidP="00D66F87">
      <w:pPr>
        <w:tabs>
          <w:tab w:val="right" w:pos="9270"/>
        </w:tabs>
        <w:rPr>
          <w:szCs w:val="20"/>
        </w:rPr>
      </w:pPr>
      <w:r w:rsidRPr="00E8651B">
        <w:rPr>
          <w:b/>
          <w:i/>
          <w:szCs w:val="20"/>
        </w:rPr>
        <w:t>Tables</w:t>
      </w:r>
    </w:p>
    <w:p w14:paraId="50F4455D" w14:textId="77777777" w:rsidR="00E4410B" w:rsidRDefault="00D66F87">
      <w:pPr>
        <w:pStyle w:val="TableofFigures"/>
        <w:rPr>
          <w:rFonts w:asciiTheme="minorHAnsi" w:eastAsiaTheme="minorEastAsia" w:hAnsiTheme="minorHAnsi" w:cstheme="minorBidi"/>
          <w:noProof/>
          <w:sz w:val="22"/>
          <w:szCs w:val="22"/>
        </w:rPr>
      </w:pPr>
      <w:r>
        <w:rPr>
          <w:szCs w:val="20"/>
        </w:rPr>
        <w:fldChar w:fldCharType="begin"/>
      </w:r>
      <w:r>
        <w:rPr>
          <w:szCs w:val="20"/>
        </w:rPr>
        <w:instrText xml:space="preserve"> TOC \h \z \c "Table E-" </w:instrText>
      </w:r>
      <w:r>
        <w:rPr>
          <w:szCs w:val="20"/>
        </w:rPr>
        <w:fldChar w:fldCharType="separate"/>
      </w:r>
      <w:hyperlink w:anchor="_Toc441751898" w:history="1">
        <w:r w:rsidR="00E4410B" w:rsidRPr="00523E8E">
          <w:rPr>
            <w:rStyle w:val="Hyperlink"/>
            <w:noProof/>
          </w:rPr>
          <w:t>Table E-1. Summary of Opower HER Waves</w:t>
        </w:r>
        <w:r w:rsidR="00E4410B">
          <w:rPr>
            <w:noProof/>
            <w:webHidden/>
          </w:rPr>
          <w:tab/>
        </w:r>
        <w:r w:rsidR="00E4410B">
          <w:rPr>
            <w:noProof/>
            <w:webHidden/>
          </w:rPr>
          <w:fldChar w:fldCharType="begin"/>
        </w:r>
        <w:r w:rsidR="00E4410B">
          <w:rPr>
            <w:noProof/>
            <w:webHidden/>
          </w:rPr>
          <w:instrText xml:space="preserve"> PAGEREF _Toc441751898 \h </w:instrText>
        </w:r>
        <w:r w:rsidR="00E4410B">
          <w:rPr>
            <w:noProof/>
            <w:webHidden/>
          </w:rPr>
        </w:r>
        <w:r w:rsidR="00E4410B">
          <w:rPr>
            <w:noProof/>
            <w:webHidden/>
          </w:rPr>
          <w:fldChar w:fldCharType="separate"/>
        </w:r>
        <w:r w:rsidR="00E4410B">
          <w:rPr>
            <w:noProof/>
            <w:webHidden/>
          </w:rPr>
          <w:t>3</w:t>
        </w:r>
        <w:r w:rsidR="00E4410B">
          <w:rPr>
            <w:noProof/>
            <w:webHidden/>
          </w:rPr>
          <w:fldChar w:fldCharType="end"/>
        </w:r>
      </w:hyperlink>
    </w:p>
    <w:p w14:paraId="4615EEEF" w14:textId="77777777" w:rsidR="00E4410B" w:rsidRDefault="004F44C4">
      <w:pPr>
        <w:pStyle w:val="TableofFigures"/>
        <w:rPr>
          <w:rFonts w:asciiTheme="minorHAnsi" w:eastAsiaTheme="minorEastAsia" w:hAnsiTheme="minorHAnsi" w:cstheme="minorBidi"/>
          <w:noProof/>
          <w:sz w:val="22"/>
          <w:szCs w:val="22"/>
        </w:rPr>
      </w:pPr>
      <w:hyperlink w:anchor="_Toc441751899" w:history="1">
        <w:r w:rsidR="00E4410B" w:rsidRPr="00523E8E">
          <w:rPr>
            <w:rStyle w:val="Hyperlink"/>
            <w:noProof/>
          </w:rPr>
          <w:t>Table E-2. HER Total Savings from November 2013 – October 2014</w:t>
        </w:r>
        <w:r w:rsidR="00E4410B">
          <w:rPr>
            <w:noProof/>
            <w:webHidden/>
          </w:rPr>
          <w:tab/>
        </w:r>
        <w:r w:rsidR="00E4410B">
          <w:rPr>
            <w:noProof/>
            <w:webHidden/>
          </w:rPr>
          <w:fldChar w:fldCharType="begin"/>
        </w:r>
        <w:r w:rsidR="00E4410B">
          <w:rPr>
            <w:noProof/>
            <w:webHidden/>
          </w:rPr>
          <w:instrText xml:space="preserve"> PAGEREF _Toc441751899 \h </w:instrText>
        </w:r>
        <w:r w:rsidR="00E4410B">
          <w:rPr>
            <w:noProof/>
            <w:webHidden/>
          </w:rPr>
        </w:r>
        <w:r w:rsidR="00E4410B">
          <w:rPr>
            <w:noProof/>
            <w:webHidden/>
          </w:rPr>
          <w:fldChar w:fldCharType="separate"/>
        </w:r>
        <w:r w:rsidR="00E4410B">
          <w:rPr>
            <w:noProof/>
            <w:webHidden/>
          </w:rPr>
          <w:t>4</w:t>
        </w:r>
        <w:r w:rsidR="00E4410B">
          <w:rPr>
            <w:noProof/>
            <w:webHidden/>
          </w:rPr>
          <w:fldChar w:fldCharType="end"/>
        </w:r>
      </w:hyperlink>
    </w:p>
    <w:p w14:paraId="527C11C0" w14:textId="77777777" w:rsidR="00E4410B" w:rsidRDefault="004F44C4">
      <w:pPr>
        <w:pStyle w:val="TableofFigures"/>
        <w:rPr>
          <w:rFonts w:asciiTheme="minorHAnsi" w:eastAsiaTheme="minorEastAsia" w:hAnsiTheme="minorHAnsi" w:cstheme="minorBidi"/>
          <w:noProof/>
          <w:sz w:val="22"/>
          <w:szCs w:val="22"/>
        </w:rPr>
      </w:pPr>
      <w:hyperlink w:anchor="_Toc441751900" w:history="1">
        <w:r w:rsidR="00E4410B" w:rsidRPr="00523E8E">
          <w:rPr>
            <w:rStyle w:val="Hyperlink"/>
            <w:noProof/>
          </w:rPr>
          <w:t>Table E-3. HER Persistence Summary</w:t>
        </w:r>
        <w:r w:rsidR="00E4410B">
          <w:rPr>
            <w:noProof/>
            <w:webHidden/>
          </w:rPr>
          <w:tab/>
        </w:r>
        <w:r w:rsidR="00E4410B">
          <w:rPr>
            <w:noProof/>
            <w:webHidden/>
          </w:rPr>
          <w:fldChar w:fldCharType="begin"/>
        </w:r>
        <w:r w:rsidR="00E4410B">
          <w:rPr>
            <w:noProof/>
            <w:webHidden/>
          </w:rPr>
          <w:instrText xml:space="preserve"> PAGEREF _Toc441751900 \h </w:instrText>
        </w:r>
        <w:r w:rsidR="00E4410B">
          <w:rPr>
            <w:noProof/>
            <w:webHidden/>
          </w:rPr>
        </w:r>
        <w:r w:rsidR="00E4410B">
          <w:rPr>
            <w:noProof/>
            <w:webHidden/>
          </w:rPr>
          <w:fldChar w:fldCharType="separate"/>
        </w:r>
        <w:r w:rsidR="00E4410B">
          <w:rPr>
            <w:noProof/>
            <w:webHidden/>
          </w:rPr>
          <w:t>5</w:t>
        </w:r>
        <w:r w:rsidR="00E4410B">
          <w:rPr>
            <w:noProof/>
            <w:webHidden/>
          </w:rPr>
          <w:fldChar w:fldCharType="end"/>
        </w:r>
      </w:hyperlink>
    </w:p>
    <w:p w14:paraId="2AE87ECA" w14:textId="77777777" w:rsidR="00E4410B" w:rsidRDefault="00D66F87">
      <w:pPr>
        <w:pStyle w:val="TableofFigures"/>
        <w:rPr>
          <w:noProof/>
        </w:rPr>
      </w:pPr>
      <w:r>
        <w:rPr>
          <w:szCs w:val="20"/>
        </w:rPr>
        <w:fldChar w:fldCharType="end"/>
      </w:r>
      <w:r w:rsidRPr="00E8651B">
        <w:rPr>
          <w:szCs w:val="20"/>
        </w:rPr>
        <w:fldChar w:fldCharType="begin"/>
      </w:r>
      <w:r w:rsidRPr="00E8651B">
        <w:rPr>
          <w:szCs w:val="20"/>
        </w:rPr>
        <w:instrText xml:space="preserve"> TOC \h \z \c "Table" </w:instrText>
      </w:r>
      <w:r w:rsidRPr="00E8651B">
        <w:rPr>
          <w:szCs w:val="20"/>
        </w:rPr>
        <w:fldChar w:fldCharType="separate"/>
      </w:r>
    </w:p>
    <w:p w14:paraId="3454E12D" w14:textId="77777777" w:rsidR="00E4410B" w:rsidRDefault="004F44C4">
      <w:pPr>
        <w:pStyle w:val="TableofFigures"/>
        <w:rPr>
          <w:rFonts w:asciiTheme="minorHAnsi" w:eastAsiaTheme="minorEastAsia" w:hAnsiTheme="minorHAnsi" w:cstheme="minorBidi"/>
          <w:noProof/>
          <w:sz w:val="22"/>
          <w:szCs w:val="22"/>
        </w:rPr>
      </w:pPr>
      <w:hyperlink w:anchor="_Toc441751901" w:history="1">
        <w:r w:rsidR="00E4410B" w:rsidRPr="00E91C0D">
          <w:rPr>
            <w:rStyle w:val="Hyperlink"/>
            <w:noProof/>
          </w:rPr>
          <w:t>Table 1</w:t>
        </w:r>
        <w:r w:rsidR="00E4410B" w:rsidRPr="00E91C0D">
          <w:rPr>
            <w:rStyle w:val="Hyperlink"/>
            <w:noProof/>
          </w:rPr>
          <w:noBreakHyphen/>
          <w:t>1. Summary of Opower HER Waves</w:t>
        </w:r>
        <w:r w:rsidR="00E4410B">
          <w:rPr>
            <w:noProof/>
            <w:webHidden/>
          </w:rPr>
          <w:tab/>
        </w:r>
        <w:r w:rsidR="00E4410B">
          <w:rPr>
            <w:noProof/>
            <w:webHidden/>
          </w:rPr>
          <w:fldChar w:fldCharType="begin"/>
        </w:r>
        <w:r w:rsidR="00E4410B">
          <w:rPr>
            <w:noProof/>
            <w:webHidden/>
          </w:rPr>
          <w:instrText xml:space="preserve"> PAGEREF _Toc441751901 \h </w:instrText>
        </w:r>
        <w:r w:rsidR="00E4410B">
          <w:rPr>
            <w:noProof/>
            <w:webHidden/>
          </w:rPr>
        </w:r>
        <w:r w:rsidR="00E4410B">
          <w:rPr>
            <w:noProof/>
            <w:webHidden/>
          </w:rPr>
          <w:fldChar w:fldCharType="separate"/>
        </w:r>
        <w:r w:rsidR="00E4410B">
          <w:rPr>
            <w:noProof/>
            <w:webHidden/>
          </w:rPr>
          <w:t>7</w:t>
        </w:r>
        <w:r w:rsidR="00E4410B">
          <w:rPr>
            <w:noProof/>
            <w:webHidden/>
          </w:rPr>
          <w:fldChar w:fldCharType="end"/>
        </w:r>
      </w:hyperlink>
    </w:p>
    <w:p w14:paraId="374F545D" w14:textId="77777777" w:rsidR="00E4410B" w:rsidRDefault="004F44C4">
      <w:pPr>
        <w:pStyle w:val="TableofFigures"/>
        <w:rPr>
          <w:rFonts w:asciiTheme="minorHAnsi" w:eastAsiaTheme="minorEastAsia" w:hAnsiTheme="minorHAnsi" w:cstheme="minorBidi"/>
          <w:noProof/>
          <w:sz w:val="22"/>
          <w:szCs w:val="22"/>
        </w:rPr>
      </w:pPr>
      <w:hyperlink w:anchor="_Toc441751902" w:history="1">
        <w:r w:rsidR="00E4410B" w:rsidRPr="00E91C0D">
          <w:rPr>
            <w:rStyle w:val="Hyperlink"/>
            <w:noProof/>
          </w:rPr>
          <w:t>Table 2</w:t>
        </w:r>
        <w:r w:rsidR="00E4410B" w:rsidRPr="00E91C0D">
          <w:rPr>
            <w:rStyle w:val="Hyperlink"/>
            <w:noProof/>
          </w:rPr>
          <w:noBreakHyphen/>
          <w:t>1. Primary Data Collection Activities</w:t>
        </w:r>
        <w:r w:rsidR="00E4410B">
          <w:rPr>
            <w:noProof/>
            <w:webHidden/>
          </w:rPr>
          <w:tab/>
        </w:r>
        <w:r w:rsidR="00E4410B">
          <w:rPr>
            <w:noProof/>
            <w:webHidden/>
          </w:rPr>
          <w:fldChar w:fldCharType="begin"/>
        </w:r>
        <w:r w:rsidR="00E4410B">
          <w:rPr>
            <w:noProof/>
            <w:webHidden/>
          </w:rPr>
          <w:instrText xml:space="preserve"> PAGEREF _Toc441751902 \h </w:instrText>
        </w:r>
        <w:r w:rsidR="00E4410B">
          <w:rPr>
            <w:noProof/>
            <w:webHidden/>
          </w:rPr>
        </w:r>
        <w:r w:rsidR="00E4410B">
          <w:rPr>
            <w:noProof/>
            <w:webHidden/>
          </w:rPr>
          <w:fldChar w:fldCharType="separate"/>
        </w:r>
        <w:r w:rsidR="00E4410B">
          <w:rPr>
            <w:noProof/>
            <w:webHidden/>
          </w:rPr>
          <w:t>9</w:t>
        </w:r>
        <w:r w:rsidR="00E4410B">
          <w:rPr>
            <w:noProof/>
            <w:webHidden/>
          </w:rPr>
          <w:fldChar w:fldCharType="end"/>
        </w:r>
      </w:hyperlink>
    </w:p>
    <w:p w14:paraId="79644587" w14:textId="77777777" w:rsidR="00E4410B" w:rsidRDefault="004F44C4">
      <w:pPr>
        <w:pStyle w:val="TableofFigures"/>
        <w:rPr>
          <w:rFonts w:asciiTheme="minorHAnsi" w:eastAsiaTheme="minorEastAsia" w:hAnsiTheme="minorHAnsi" w:cstheme="minorBidi"/>
          <w:noProof/>
          <w:sz w:val="22"/>
          <w:szCs w:val="22"/>
        </w:rPr>
      </w:pPr>
      <w:hyperlink w:anchor="_Toc441751903" w:history="1">
        <w:r w:rsidR="00E4410B" w:rsidRPr="00E91C0D">
          <w:rPr>
            <w:rStyle w:val="Hyperlink"/>
            <w:noProof/>
          </w:rPr>
          <w:t>Table 3</w:t>
        </w:r>
        <w:r w:rsidR="00E4410B" w:rsidRPr="00E91C0D">
          <w:rPr>
            <w:rStyle w:val="Hyperlink"/>
            <w:noProof/>
          </w:rPr>
          <w:noBreakHyphen/>
          <w:t>1. HER Total Savings from November 2013 – October 2014</w:t>
        </w:r>
        <w:r w:rsidR="00E4410B">
          <w:rPr>
            <w:noProof/>
            <w:webHidden/>
          </w:rPr>
          <w:tab/>
        </w:r>
        <w:r w:rsidR="00E4410B">
          <w:rPr>
            <w:noProof/>
            <w:webHidden/>
          </w:rPr>
          <w:fldChar w:fldCharType="begin"/>
        </w:r>
        <w:r w:rsidR="00E4410B">
          <w:rPr>
            <w:noProof/>
            <w:webHidden/>
          </w:rPr>
          <w:instrText xml:space="preserve"> PAGEREF _Toc441751903 \h </w:instrText>
        </w:r>
        <w:r w:rsidR="00E4410B">
          <w:rPr>
            <w:noProof/>
            <w:webHidden/>
          </w:rPr>
        </w:r>
        <w:r w:rsidR="00E4410B">
          <w:rPr>
            <w:noProof/>
            <w:webHidden/>
          </w:rPr>
          <w:fldChar w:fldCharType="separate"/>
        </w:r>
        <w:r w:rsidR="00E4410B">
          <w:rPr>
            <w:noProof/>
            <w:webHidden/>
          </w:rPr>
          <w:t>14</w:t>
        </w:r>
        <w:r w:rsidR="00E4410B">
          <w:rPr>
            <w:noProof/>
            <w:webHidden/>
          </w:rPr>
          <w:fldChar w:fldCharType="end"/>
        </w:r>
      </w:hyperlink>
    </w:p>
    <w:p w14:paraId="16CC52C4" w14:textId="77777777" w:rsidR="00E4410B" w:rsidRDefault="004F44C4">
      <w:pPr>
        <w:pStyle w:val="TableofFigures"/>
        <w:rPr>
          <w:rFonts w:asciiTheme="minorHAnsi" w:eastAsiaTheme="minorEastAsia" w:hAnsiTheme="minorHAnsi" w:cstheme="minorBidi"/>
          <w:noProof/>
          <w:sz w:val="22"/>
          <w:szCs w:val="22"/>
        </w:rPr>
      </w:pPr>
      <w:hyperlink w:anchor="_Toc441751904" w:history="1">
        <w:r w:rsidR="00E4410B" w:rsidRPr="00E91C0D">
          <w:rPr>
            <w:rStyle w:val="Hyperlink"/>
            <w:noProof/>
          </w:rPr>
          <w:t>Table 3</w:t>
        </w:r>
        <w:r w:rsidR="00E4410B" w:rsidRPr="00E91C0D">
          <w:rPr>
            <w:rStyle w:val="Hyperlink"/>
            <w:noProof/>
          </w:rPr>
          <w:noBreakHyphen/>
          <w:t>2. HER Persistence Summary</w:t>
        </w:r>
        <w:r w:rsidR="00E4410B">
          <w:rPr>
            <w:noProof/>
            <w:webHidden/>
          </w:rPr>
          <w:tab/>
        </w:r>
        <w:r w:rsidR="00E4410B">
          <w:rPr>
            <w:noProof/>
            <w:webHidden/>
          </w:rPr>
          <w:fldChar w:fldCharType="begin"/>
        </w:r>
        <w:r w:rsidR="00E4410B">
          <w:rPr>
            <w:noProof/>
            <w:webHidden/>
          </w:rPr>
          <w:instrText xml:space="preserve"> PAGEREF _Toc441751904 \h </w:instrText>
        </w:r>
        <w:r w:rsidR="00E4410B">
          <w:rPr>
            <w:noProof/>
            <w:webHidden/>
          </w:rPr>
        </w:r>
        <w:r w:rsidR="00E4410B">
          <w:rPr>
            <w:noProof/>
            <w:webHidden/>
          </w:rPr>
          <w:fldChar w:fldCharType="separate"/>
        </w:r>
        <w:r w:rsidR="00E4410B">
          <w:rPr>
            <w:noProof/>
            <w:webHidden/>
          </w:rPr>
          <w:t>16</w:t>
        </w:r>
        <w:r w:rsidR="00E4410B">
          <w:rPr>
            <w:noProof/>
            <w:webHidden/>
          </w:rPr>
          <w:fldChar w:fldCharType="end"/>
        </w:r>
      </w:hyperlink>
    </w:p>
    <w:p w14:paraId="378FF375" w14:textId="77777777" w:rsidR="00E4410B" w:rsidRDefault="004F44C4">
      <w:pPr>
        <w:pStyle w:val="TableofFigures"/>
        <w:rPr>
          <w:rFonts w:asciiTheme="minorHAnsi" w:eastAsiaTheme="minorEastAsia" w:hAnsiTheme="minorHAnsi" w:cstheme="minorBidi"/>
          <w:noProof/>
          <w:sz w:val="22"/>
          <w:szCs w:val="22"/>
        </w:rPr>
      </w:pPr>
      <w:hyperlink w:anchor="_Toc441751905" w:history="1">
        <w:r w:rsidR="00E4410B" w:rsidRPr="00E91C0D">
          <w:rPr>
            <w:rStyle w:val="Hyperlink"/>
            <w:noProof/>
          </w:rPr>
          <w:t>Table 6</w:t>
        </w:r>
        <w:r w:rsidR="00E4410B" w:rsidRPr="00E91C0D">
          <w:rPr>
            <w:rStyle w:val="Hyperlink"/>
            <w:noProof/>
          </w:rPr>
          <w:noBreakHyphen/>
          <w:t>1. Customers/Observations Removed by Data Cleaning Step and Wave</w:t>
        </w:r>
        <w:r w:rsidR="00E4410B">
          <w:rPr>
            <w:noProof/>
            <w:webHidden/>
          </w:rPr>
          <w:tab/>
        </w:r>
        <w:r w:rsidR="00E4410B">
          <w:rPr>
            <w:noProof/>
            <w:webHidden/>
          </w:rPr>
          <w:fldChar w:fldCharType="begin"/>
        </w:r>
        <w:r w:rsidR="00E4410B">
          <w:rPr>
            <w:noProof/>
            <w:webHidden/>
          </w:rPr>
          <w:instrText xml:space="preserve"> PAGEREF _Toc441751905 \h </w:instrText>
        </w:r>
        <w:r w:rsidR="00E4410B">
          <w:rPr>
            <w:noProof/>
            <w:webHidden/>
          </w:rPr>
        </w:r>
        <w:r w:rsidR="00E4410B">
          <w:rPr>
            <w:noProof/>
            <w:webHidden/>
          </w:rPr>
          <w:fldChar w:fldCharType="separate"/>
        </w:r>
        <w:r w:rsidR="00E4410B">
          <w:rPr>
            <w:noProof/>
            <w:webHidden/>
          </w:rPr>
          <w:t>19</w:t>
        </w:r>
        <w:r w:rsidR="00E4410B">
          <w:rPr>
            <w:noProof/>
            <w:webHidden/>
          </w:rPr>
          <w:fldChar w:fldCharType="end"/>
        </w:r>
      </w:hyperlink>
    </w:p>
    <w:p w14:paraId="287BA992" w14:textId="77777777" w:rsidR="00E4410B" w:rsidRDefault="004F44C4">
      <w:pPr>
        <w:pStyle w:val="TableofFigures"/>
        <w:rPr>
          <w:rFonts w:asciiTheme="minorHAnsi" w:eastAsiaTheme="minorEastAsia" w:hAnsiTheme="minorHAnsi" w:cstheme="minorBidi"/>
          <w:noProof/>
          <w:sz w:val="22"/>
          <w:szCs w:val="22"/>
        </w:rPr>
      </w:pPr>
      <w:hyperlink w:anchor="_Toc441751906" w:history="1">
        <w:r w:rsidR="00E4410B" w:rsidRPr="00E91C0D">
          <w:rPr>
            <w:rStyle w:val="Hyperlink"/>
            <w:noProof/>
          </w:rPr>
          <w:t>Table 6</w:t>
        </w:r>
        <w:r w:rsidR="00E4410B" w:rsidRPr="00E91C0D">
          <w:rPr>
            <w:rStyle w:val="Hyperlink"/>
            <w:noProof/>
          </w:rPr>
          <w:noBreakHyphen/>
          <w:t>2. PPR Model Estimates, Wave 1</w:t>
        </w:r>
        <w:r w:rsidR="00E4410B">
          <w:rPr>
            <w:noProof/>
            <w:webHidden/>
          </w:rPr>
          <w:tab/>
        </w:r>
        <w:r w:rsidR="00E4410B">
          <w:rPr>
            <w:noProof/>
            <w:webHidden/>
          </w:rPr>
          <w:fldChar w:fldCharType="begin"/>
        </w:r>
        <w:r w:rsidR="00E4410B">
          <w:rPr>
            <w:noProof/>
            <w:webHidden/>
          </w:rPr>
          <w:instrText xml:space="preserve"> PAGEREF _Toc441751906 \h </w:instrText>
        </w:r>
        <w:r w:rsidR="00E4410B">
          <w:rPr>
            <w:noProof/>
            <w:webHidden/>
          </w:rPr>
        </w:r>
        <w:r w:rsidR="00E4410B">
          <w:rPr>
            <w:noProof/>
            <w:webHidden/>
          </w:rPr>
          <w:fldChar w:fldCharType="separate"/>
        </w:r>
        <w:r w:rsidR="00E4410B">
          <w:rPr>
            <w:noProof/>
            <w:webHidden/>
          </w:rPr>
          <w:t>22</w:t>
        </w:r>
        <w:r w:rsidR="00E4410B">
          <w:rPr>
            <w:noProof/>
            <w:webHidden/>
          </w:rPr>
          <w:fldChar w:fldCharType="end"/>
        </w:r>
      </w:hyperlink>
    </w:p>
    <w:p w14:paraId="2B250641" w14:textId="77777777" w:rsidR="00E4410B" w:rsidRDefault="004F44C4">
      <w:pPr>
        <w:pStyle w:val="TableofFigures"/>
        <w:rPr>
          <w:rFonts w:asciiTheme="minorHAnsi" w:eastAsiaTheme="minorEastAsia" w:hAnsiTheme="minorHAnsi" w:cstheme="minorBidi"/>
          <w:noProof/>
          <w:sz w:val="22"/>
          <w:szCs w:val="22"/>
        </w:rPr>
      </w:pPr>
      <w:hyperlink w:anchor="_Toc441751907" w:history="1">
        <w:r w:rsidR="00E4410B" w:rsidRPr="00E91C0D">
          <w:rPr>
            <w:rStyle w:val="Hyperlink"/>
            <w:noProof/>
          </w:rPr>
          <w:t>Table 6</w:t>
        </w:r>
        <w:r w:rsidR="00E4410B" w:rsidRPr="00E91C0D">
          <w:rPr>
            <w:rStyle w:val="Hyperlink"/>
            <w:noProof/>
          </w:rPr>
          <w:noBreakHyphen/>
          <w:t>3. LFER Model Estimates, Wave 1</w:t>
        </w:r>
        <w:r w:rsidR="00E4410B">
          <w:rPr>
            <w:noProof/>
            <w:webHidden/>
          </w:rPr>
          <w:tab/>
        </w:r>
        <w:r w:rsidR="00E4410B">
          <w:rPr>
            <w:noProof/>
            <w:webHidden/>
          </w:rPr>
          <w:fldChar w:fldCharType="begin"/>
        </w:r>
        <w:r w:rsidR="00E4410B">
          <w:rPr>
            <w:noProof/>
            <w:webHidden/>
          </w:rPr>
          <w:instrText xml:space="preserve"> PAGEREF _Toc441751907 \h </w:instrText>
        </w:r>
        <w:r w:rsidR="00E4410B">
          <w:rPr>
            <w:noProof/>
            <w:webHidden/>
          </w:rPr>
        </w:r>
        <w:r w:rsidR="00E4410B">
          <w:rPr>
            <w:noProof/>
            <w:webHidden/>
          </w:rPr>
          <w:fldChar w:fldCharType="separate"/>
        </w:r>
        <w:r w:rsidR="00E4410B">
          <w:rPr>
            <w:noProof/>
            <w:webHidden/>
          </w:rPr>
          <w:t>23</w:t>
        </w:r>
        <w:r w:rsidR="00E4410B">
          <w:rPr>
            <w:noProof/>
            <w:webHidden/>
          </w:rPr>
          <w:fldChar w:fldCharType="end"/>
        </w:r>
      </w:hyperlink>
    </w:p>
    <w:p w14:paraId="466DB8A4" w14:textId="77777777" w:rsidR="00E4410B" w:rsidRDefault="004F44C4">
      <w:pPr>
        <w:pStyle w:val="TableofFigures"/>
        <w:rPr>
          <w:rFonts w:asciiTheme="minorHAnsi" w:eastAsiaTheme="minorEastAsia" w:hAnsiTheme="minorHAnsi" w:cstheme="minorBidi"/>
          <w:noProof/>
          <w:sz w:val="22"/>
          <w:szCs w:val="22"/>
        </w:rPr>
      </w:pPr>
      <w:hyperlink w:anchor="_Toc441751908" w:history="1">
        <w:r w:rsidR="00E4410B" w:rsidRPr="00E91C0D">
          <w:rPr>
            <w:rStyle w:val="Hyperlink"/>
            <w:noProof/>
          </w:rPr>
          <w:t>Table 6</w:t>
        </w:r>
        <w:r w:rsidR="00E4410B" w:rsidRPr="00E91C0D">
          <w:rPr>
            <w:rStyle w:val="Hyperlink"/>
            <w:noProof/>
          </w:rPr>
          <w:noBreakHyphen/>
          <w:t>4. PPR Model Estimates, Wave 3</w:t>
        </w:r>
        <w:r w:rsidR="00E4410B">
          <w:rPr>
            <w:noProof/>
            <w:webHidden/>
          </w:rPr>
          <w:tab/>
        </w:r>
        <w:r w:rsidR="00E4410B">
          <w:rPr>
            <w:noProof/>
            <w:webHidden/>
          </w:rPr>
          <w:fldChar w:fldCharType="begin"/>
        </w:r>
        <w:r w:rsidR="00E4410B">
          <w:rPr>
            <w:noProof/>
            <w:webHidden/>
          </w:rPr>
          <w:instrText xml:space="preserve"> PAGEREF _Toc441751908 \h </w:instrText>
        </w:r>
        <w:r w:rsidR="00E4410B">
          <w:rPr>
            <w:noProof/>
            <w:webHidden/>
          </w:rPr>
        </w:r>
        <w:r w:rsidR="00E4410B">
          <w:rPr>
            <w:noProof/>
            <w:webHidden/>
          </w:rPr>
          <w:fldChar w:fldCharType="separate"/>
        </w:r>
        <w:r w:rsidR="00E4410B">
          <w:rPr>
            <w:noProof/>
            <w:webHidden/>
          </w:rPr>
          <w:t>24</w:t>
        </w:r>
        <w:r w:rsidR="00E4410B">
          <w:rPr>
            <w:noProof/>
            <w:webHidden/>
          </w:rPr>
          <w:fldChar w:fldCharType="end"/>
        </w:r>
      </w:hyperlink>
    </w:p>
    <w:p w14:paraId="7A513AED" w14:textId="77777777" w:rsidR="00E4410B" w:rsidRDefault="004F44C4">
      <w:pPr>
        <w:pStyle w:val="TableofFigures"/>
        <w:rPr>
          <w:rFonts w:asciiTheme="minorHAnsi" w:eastAsiaTheme="minorEastAsia" w:hAnsiTheme="minorHAnsi" w:cstheme="minorBidi"/>
          <w:noProof/>
          <w:sz w:val="22"/>
          <w:szCs w:val="22"/>
        </w:rPr>
      </w:pPr>
      <w:hyperlink w:anchor="_Toc441751909" w:history="1">
        <w:r w:rsidR="00E4410B" w:rsidRPr="00E91C0D">
          <w:rPr>
            <w:rStyle w:val="Hyperlink"/>
            <w:noProof/>
          </w:rPr>
          <w:t>Table 6</w:t>
        </w:r>
        <w:r w:rsidR="00E4410B" w:rsidRPr="00E91C0D">
          <w:rPr>
            <w:rStyle w:val="Hyperlink"/>
            <w:noProof/>
          </w:rPr>
          <w:noBreakHyphen/>
          <w:t>5. LFER Model Estimates, Wave 3</w:t>
        </w:r>
        <w:r w:rsidR="00E4410B">
          <w:rPr>
            <w:noProof/>
            <w:webHidden/>
          </w:rPr>
          <w:tab/>
        </w:r>
        <w:r w:rsidR="00E4410B">
          <w:rPr>
            <w:noProof/>
            <w:webHidden/>
          </w:rPr>
          <w:fldChar w:fldCharType="begin"/>
        </w:r>
        <w:r w:rsidR="00E4410B">
          <w:rPr>
            <w:noProof/>
            <w:webHidden/>
          </w:rPr>
          <w:instrText xml:space="preserve"> PAGEREF _Toc441751909 \h </w:instrText>
        </w:r>
        <w:r w:rsidR="00E4410B">
          <w:rPr>
            <w:noProof/>
            <w:webHidden/>
          </w:rPr>
        </w:r>
        <w:r w:rsidR="00E4410B">
          <w:rPr>
            <w:noProof/>
            <w:webHidden/>
          </w:rPr>
          <w:fldChar w:fldCharType="separate"/>
        </w:r>
        <w:r w:rsidR="00E4410B">
          <w:rPr>
            <w:noProof/>
            <w:webHidden/>
          </w:rPr>
          <w:t>25</w:t>
        </w:r>
        <w:r w:rsidR="00E4410B">
          <w:rPr>
            <w:noProof/>
            <w:webHidden/>
          </w:rPr>
          <w:fldChar w:fldCharType="end"/>
        </w:r>
      </w:hyperlink>
    </w:p>
    <w:p w14:paraId="194E7DA7" w14:textId="77777777" w:rsidR="00E4410B" w:rsidRDefault="004F44C4">
      <w:pPr>
        <w:pStyle w:val="TableofFigures"/>
        <w:rPr>
          <w:rFonts w:asciiTheme="minorHAnsi" w:eastAsiaTheme="minorEastAsia" w:hAnsiTheme="minorHAnsi" w:cstheme="minorBidi"/>
          <w:noProof/>
          <w:sz w:val="22"/>
          <w:szCs w:val="22"/>
        </w:rPr>
      </w:pPr>
      <w:hyperlink w:anchor="_Toc441751910" w:history="1">
        <w:r w:rsidR="00E4410B" w:rsidRPr="00E91C0D">
          <w:rPr>
            <w:rStyle w:val="Hyperlink"/>
            <w:noProof/>
          </w:rPr>
          <w:t>Table 6</w:t>
        </w:r>
        <w:r w:rsidR="00E4410B" w:rsidRPr="00E91C0D">
          <w:rPr>
            <w:rStyle w:val="Hyperlink"/>
            <w:noProof/>
          </w:rPr>
          <w:noBreakHyphen/>
          <w:t>6. PPR Model Estimates, Wave 5 Non-AMI</w:t>
        </w:r>
        <w:r w:rsidR="00E4410B">
          <w:rPr>
            <w:noProof/>
            <w:webHidden/>
          </w:rPr>
          <w:tab/>
        </w:r>
        <w:r w:rsidR="00E4410B">
          <w:rPr>
            <w:noProof/>
            <w:webHidden/>
          </w:rPr>
          <w:fldChar w:fldCharType="begin"/>
        </w:r>
        <w:r w:rsidR="00E4410B">
          <w:rPr>
            <w:noProof/>
            <w:webHidden/>
          </w:rPr>
          <w:instrText xml:space="preserve"> PAGEREF _Toc441751910 \h </w:instrText>
        </w:r>
        <w:r w:rsidR="00E4410B">
          <w:rPr>
            <w:noProof/>
            <w:webHidden/>
          </w:rPr>
        </w:r>
        <w:r w:rsidR="00E4410B">
          <w:rPr>
            <w:noProof/>
            <w:webHidden/>
          </w:rPr>
          <w:fldChar w:fldCharType="separate"/>
        </w:r>
        <w:r w:rsidR="00E4410B">
          <w:rPr>
            <w:noProof/>
            <w:webHidden/>
          </w:rPr>
          <w:t>26</w:t>
        </w:r>
        <w:r w:rsidR="00E4410B">
          <w:rPr>
            <w:noProof/>
            <w:webHidden/>
          </w:rPr>
          <w:fldChar w:fldCharType="end"/>
        </w:r>
      </w:hyperlink>
    </w:p>
    <w:p w14:paraId="73372457" w14:textId="77777777" w:rsidR="00E4410B" w:rsidRDefault="004F44C4">
      <w:pPr>
        <w:pStyle w:val="TableofFigures"/>
        <w:rPr>
          <w:rFonts w:asciiTheme="minorHAnsi" w:eastAsiaTheme="minorEastAsia" w:hAnsiTheme="minorHAnsi" w:cstheme="minorBidi"/>
          <w:noProof/>
          <w:sz w:val="22"/>
          <w:szCs w:val="22"/>
        </w:rPr>
      </w:pPr>
      <w:hyperlink w:anchor="_Toc441751911" w:history="1">
        <w:r w:rsidR="00E4410B" w:rsidRPr="00E91C0D">
          <w:rPr>
            <w:rStyle w:val="Hyperlink"/>
            <w:noProof/>
          </w:rPr>
          <w:t>Table 6</w:t>
        </w:r>
        <w:r w:rsidR="00E4410B" w:rsidRPr="00E91C0D">
          <w:rPr>
            <w:rStyle w:val="Hyperlink"/>
            <w:noProof/>
          </w:rPr>
          <w:noBreakHyphen/>
          <w:t>7. LFER Model Estimates, Wave 5 Non-AMI</w:t>
        </w:r>
        <w:r w:rsidR="00E4410B">
          <w:rPr>
            <w:noProof/>
            <w:webHidden/>
          </w:rPr>
          <w:tab/>
        </w:r>
        <w:r w:rsidR="00E4410B">
          <w:rPr>
            <w:noProof/>
            <w:webHidden/>
          </w:rPr>
          <w:fldChar w:fldCharType="begin"/>
        </w:r>
        <w:r w:rsidR="00E4410B">
          <w:rPr>
            <w:noProof/>
            <w:webHidden/>
          </w:rPr>
          <w:instrText xml:space="preserve"> PAGEREF _Toc441751911 \h </w:instrText>
        </w:r>
        <w:r w:rsidR="00E4410B">
          <w:rPr>
            <w:noProof/>
            <w:webHidden/>
          </w:rPr>
        </w:r>
        <w:r w:rsidR="00E4410B">
          <w:rPr>
            <w:noProof/>
            <w:webHidden/>
          </w:rPr>
          <w:fldChar w:fldCharType="separate"/>
        </w:r>
        <w:r w:rsidR="00E4410B">
          <w:rPr>
            <w:noProof/>
            <w:webHidden/>
          </w:rPr>
          <w:t>27</w:t>
        </w:r>
        <w:r w:rsidR="00E4410B">
          <w:rPr>
            <w:noProof/>
            <w:webHidden/>
          </w:rPr>
          <w:fldChar w:fldCharType="end"/>
        </w:r>
      </w:hyperlink>
    </w:p>
    <w:p w14:paraId="257A120C" w14:textId="77777777" w:rsidR="00E4410B" w:rsidRDefault="004F44C4">
      <w:pPr>
        <w:pStyle w:val="TableofFigures"/>
        <w:rPr>
          <w:rFonts w:asciiTheme="minorHAnsi" w:eastAsiaTheme="minorEastAsia" w:hAnsiTheme="minorHAnsi" w:cstheme="minorBidi"/>
          <w:noProof/>
          <w:sz w:val="22"/>
          <w:szCs w:val="22"/>
        </w:rPr>
      </w:pPr>
      <w:hyperlink w:anchor="_Toc441751912" w:history="1">
        <w:r w:rsidR="00E4410B" w:rsidRPr="00E91C0D">
          <w:rPr>
            <w:rStyle w:val="Hyperlink"/>
            <w:noProof/>
          </w:rPr>
          <w:t>Table 6</w:t>
        </w:r>
        <w:r w:rsidR="00E4410B" w:rsidRPr="00E91C0D">
          <w:rPr>
            <w:rStyle w:val="Hyperlink"/>
            <w:noProof/>
          </w:rPr>
          <w:noBreakHyphen/>
          <w:t>8. Estimates of Double-Counted Savings: Wave 1, CR Persistence Group</w:t>
        </w:r>
        <w:r w:rsidR="00E4410B">
          <w:rPr>
            <w:noProof/>
            <w:webHidden/>
          </w:rPr>
          <w:tab/>
        </w:r>
        <w:r w:rsidR="00E4410B">
          <w:rPr>
            <w:noProof/>
            <w:webHidden/>
          </w:rPr>
          <w:fldChar w:fldCharType="begin"/>
        </w:r>
        <w:r w:rsidR="00E4410B">
          <w:rPr>
            <w:noProof/>
            <w:webHidden/>
          </w:rPr>
          <w:instrText xml:space="preserve"> PAGEREF _Toc441751912 \h </w:instrText>
        </w:r>
        <w:r w:rsidR="00E4410B">
          <w:rPr>
            <w:noProof/>
            <w:webHidden/>
          </w:rPr>
        </w:r>
        <w:r w:rsidR="00E4410B">
          <w:rPr>
            <w:noProof/>
            <w:webHidden/>
          </w:rPr>
          <w:fldChar w:fldCharType="separate"/>
        </w:r>
        <w:r w:rsidR="00E4410B">
          <w:rPr>
            <w:noProof/>
            <w:webHidden/>
          </w:rPr>
          <w:t>28</w:t>
        </w:r>
        <w:r w:rsidR="00E4410B">
          <w:rPr>
            <w:noProof/>
            <w:webHidden/>
          </w:rPr>
          <w:fldChar w:fldCharType="end"/>
        </w:r>
      </w:hyperlink>
    </w:p>
    <w:p w14:paraId="57131453" w14:textId="77777777" w:rsidR="00E4410B" w:rsidRDefault="004F44C4">
      <w:pPr>
        <w:pStyle w:val="TableofFigures"/>
        <w:rPr>
          <w:rFonts w:asciiTheme="minorHAnsi" w:eastAsiaTheme="minorEastAsia" w:hAnsiTheme="minorHAnsi" w:cstheme="minorBidi"/>
          <w:noProof/>
          <w:sz w:val="22"/>
          <w:szCs w:val="22"/>
        </w:rPr>
      </w:pPr>
      <w:hyperlink w:anchor="_Toc441751913" w:history="1">
        <w:r w:rsidR="00E4410B" w:rsidRPr="00E91C0D">
          <w:rPr>
            <w:rStyle w:val="Hyperlink"/>
            <w:noProof/>
          </w:rPr>
          <w:t>Table 6</w:t>
        </w:r>
        <w:r w:rsidR="00E4410B" w:rsidRPr="00E91C0D">
          <w:rPr>
            <w:rStyle w:val="Hyperlink"/>
            <w:noProof/>
          </w:rPr>
          <w:noBreakHyphen/>
          <w:t>9. Estimates of Double-Counted Savings: Wave 1, TR Persistence Group</w:t>
        </w:r>
        <w:r w:rsidR="00E4410B">
          <w:rPr>
            <w:noProof/>
            <w:webHidden/>
          </w:rPr>
          <w:tab/>
        </w:r>
        <w:r w:rsidR="00E4410B">
          <w:rPr>
            <w:noProof/>
            <w:webHidden/>
          </w:rPr>
          <w:fldChar w:fldCharType="begin"/>
        </w:r>
        <w:r w:rsidR="00E4410B">
          <w:rPr>
            <w:noProof/>
            <w:webHidden/>
          </w:rPr>
          <w:instrText xml:space="preserve"> PAGEREF _Toc441751913 \h </w:instrText>
        </w:r>
        <w:r w:rsidR="00E4410B">
          <w:rPr>
            <w:noProof/>
            <w:webHidden/>
          </w:rPr>
        </w:r>
        <w:r w:rsidR="00E4410B">
          <w:rPr>
            <w:noProof/>
            <w:webHidden/>
          </w:rPr>
          <w:fldChar w:fldCharType="separate"/>
        </w:r>
        <w:r w:rsidR="00E4410B">
          <w:rPr>
            <w:noProof/>
            <w:webHidden/>
          </w:rPr>
          <w:t>28</w:t>
        </w:r>
        <w:r w:rsidR="00E4410B">
          <w:rPr>
            <w:noProof/>
            <w:webHidden/>
          </w:rPr>
          <w:fldChar w:fldCharType="end"/>
        </w:r>
      </w:hyperlink>
    </w:p>
    <w:p w14:paraId="11FF9650" w14:textId="77777777" w:rsidR="00E4410B" w:rsidRDefault="004F44C4">
      <w:pPr>
        <w:pStyle w:val="TableofFigures"/>
        <w:rPr>
          <w:rFonts w:asciiTheme="minorHAnsi" w:eastAsiaTheme="minorEastAsia" w:hAnsiTheme="minorHAnsi" w:cstheme="minorBidi"/>
          <w:noProof/>
          <w:sz w:val="22"/>
          <w:szCs w:val="22"/>
        </w:rPr>
      </w:pPr>
      <w:hyperlink w:anchor="_Toc441751914" w:history="1">
        <w:r w:rsidR="00E4410B" w:rsidRPr="00E91C0D">
          <w:rPr>
            <w:rStyle w:val="Hyperlink"/>
            <w:noProof/>
          </w:rPr>
          <w:t>Table 6</w:t>
        </w:r>
        <w:r w:rsidR="00E4410B" w:rsidRPr="00E91C0D">
          <w:rPr>
            <w:rStyle w:val="Hyperlink"/>
            <w:noProof/>
          </w:rPr>
          <w:noBreakHyphen/>
          <w:t>10. Estimates of Double-Counted Savings: Wave 3, CR Persistence Group</w:t>
        </w:r>
        <w:r w:rsidR="00E4410B">
          <w:rPr>
            <w:noProof/>
            <w:webHidden/>
          </w:rPr>
          <w:tab/>
        </w:r>
        <w:r w:rsidR="00E4410B">
          <w:rPr>
            <w:noProof/>
            <w:webHidden/>
          </w:rPr>
          <w:fldChar w:fldCharType="begin"/>
        </w:r>
        <w:r w:rsidR="00E4410B">
          <w:rPr>
            <w:noProof/>
            <w:webHidden/>
          </w:rPr>
          <w:instrText xml:space="preserve"> PAGEREF _Toc441751914 \h </w:instrText>
        </w:r>
        <w:r w:rsidR="00E4410B">
          <w:rPr>
            <w:noProof/>
            <w:webHidden/>
          </w:rPr>
        </w:r>
        <w:r w:rsidR="00E4410B">
          <w:rPr>
            <w:noProof/>
            <w:webHidden/>
          </w:rPr>
          <w:fldChar w:fldCharType="separate"/>
        </w:r>
        <w:r w:rsidR="00E4410B">
          <w:rPr>
            <w:noProof/>
            <w:webHidden/>
          </w:rPr>
          <w:t>29</w:t>
        </w:r>
        <w:r w:rsidR="00E4410B">
          <w:rPr>
            <w:noProof/>
            <w:webHidden/>
          </w:rPr>
          <w:fldChar w:fldCharType="end"/>
        </w:r>
      </w:hyperlink>
    </w:p>
    <w:p w14:paraId="15362C98" w14:textId="77777777" w:rsidR="00E4410B" w:rsidRDefault="004F44C4">
      <w:pPr>
        <w:pStyle w:val="TableofFigures"/>
        <w:rPr>
          <w:rFonts w:asciiTheme="minorHAnsi" w:eastAsiaTheme="minorEastAsia" w:hAnsiTheme="minorHAnsi" w:cstheme="minorBidi"/>
          <w:noProof/>
          <w:sz w:val="22"/>
          <w:szCs w:val="22"/>
        </w:rPr>
      </w:pPr>
      <w:hyperlink w:anchor="_Toc441751915" w:history="1">
        <w:r w:rsidR="00E4410B" w:rsidRPr="00E91C0D">
          <w:rPr>
            <w:rStyle w:val="Hyperlink"/>
            <w:noProof/>
          </w:rPr>
          <w:t>Table 6</w:t>
        </w:r>
        <w:r w:rsidR="00E4410B" w:rsidRPr="00E91C0D">
          <w:rPr>
            <w:rStyle w:val="Hyperlink"/>
            <w:noProof/>
          </w:rPr>
          <w:noBreakHyphen/>
          <w:t>11. Estimates of Double-Counted Savings: Wave 3, TR Persistence Group</w:t>
        </w:r>
        <w:r w:rsidR="00E4410B">
          <w:rPr>
            <w:noProof/>
            <w:webHidden/>
          </w:rPr>
          <w:tab/>
        </w:r>
        <w:r w:rsidR="00E4410B">
          <w:rPr>
            <w:noProof/>
            <w:webHidden/>
          </w:rPr>
          <w:fldChar w:fldCharType="begin"/>
        </w:r>
        <w:r w:rsidR="00E4410B">
          <w:rPr>
            <w:noProof/>
            <w:webHidden/>
          </w:rPr>
          <w:instrText xml:space="preserve"> PAGEREF _Toc441751915 \h </w:instrText>
        </w:r>
        <w:r w:rsidR="00E4410B">
          <w:rPr>
            <w:noProof/>
            <w:webHidden/>
          </w:rPr>
        </w:r>
        <w:r w:rsidR="00E4410B">
          <w:rPr>
            <w:noProof/>
            <w:webHidden/>
          </w:rPr>
          <w:fldChar w:fldCharType="separate"/>
        </w:r>
        <w:r w:rsidR="00E4410B">
          <w:rPr>
            <w:noProof/>
            <w:webHidden/>
          </w:rPr>
          <w:t>29</w:t>
        </w:r>
        <w:r w:rsidR="00E4410B">
          <w:rPr>
            <w:noProof/>
            <w:webHidden/>
          </w:rPr>
          <w:fldChar w:fldCharType="end"/>
        </w:r>
      </w:hyperlink>
    </w:p>
    <w:p w14:paraId="5A59792A" w14:textId="77777777" w:rsidR="00E4410B" w:rsidRDefault="004F44C4">
      <w:pPr>
        <w:pStyle w:val="TableofFigures"/>
        <w:rPr>
          <w:rFonts w:asciiTheme="minorHAnsi" w:eastAsiaTheme="minorEastAsia" w:hAnsiTheme="minorHAnsi" w:cstheme="minorBidi"/>
          <w:noProof/>
          <w:sz w:val="22"/>
          <w:szCs w:val="22"/>
        </w:rPr>
      </w:pPr>
      <w:hyperlink w:anchor="_Toc441751916" w:history="1">
        <w:r w:rsidR="00E4410B" w:rsidRPr="00E91C0D">
          <w:rPr>
            <w:rStyle w:val="Hyperlink"/>
            <w:noProof/>
          </w:rPr>
          <w:t>Table 6</w:t>
        </w:r>
        <w:r w:rsidR="00E4410B" w:rsidRPr="00E91C0D">
          <w:rPr>
            <w:rStyle w:val="Hyperlink"/>
            <w:noProof/>
          </w:rPr>
          <w:noBreakHyphen/>
          <w:t>12. Estimates of Double-Counted Savings: Wave 5 Non-AMI, CR Persistence Group</w:t>
        </w:r>
        <w:r w:rsidR="00E4410B">
          <w:rPr>
            <w:noProof/>
            <w:webHidden/>
          </w:rPr>
          <w:tab/>
        </w:r>
        <w:r w:rsidR="00E4410B">
          <w:rPr>
            <w:noProof/>
            <w:webHidden/>
          </w:rPr>
          <w:fldChar w:fldCharType="begin"/>
        </w:r>
        <w:r w:rsidR="00E4410B">
          <w:rPr>
            <w:noProof/>
            <w:webHidden/>
          </w:rPr>
          <w:instrText xml:space="preserve"> PAGEREF _Toc441751916 \h </w:instrText>
        </w:r>
        <w:r w:rsidR="00E4410B">
          <w:rPr>
            <w:noProof/>
            <w:webHidden/>
          </w:rPr>
        </w:r>
        <w:r w:rsidR="00E4410B">
          <w:rPr>
            <w:noProof/>
            <w:webHidden/>
          </w:rPr>
          <w:fldChar w:fldCharType="separate"/>
        </w:r>
        <w:r w:rsidR="00E4410B">
          <w:rPr>
            <w:noProof/>
            <w:webHidden/>
          </w:rPr>
          <w:t>30</w:t>
        </w:r>
        <w:r w:rsidR="00E4410B">
          <w:rPr>
            <w:noProof/>
            <w:webHidden/>
          </w:rPr>
          <w:fldChar w:fldCharType="end"/>
        </w:r>
      </w:hyperlink>
    </w:p>
    <w:p w14:paraId="358A3812" w14:textId="77777777" w:rsidR="00E4410B" w:rsidRDefault="004F44C4">
      <w:pPr>
        <w:pStyle w:val="TableofFigures"/>
        <w:rPr>
          <w:rFonts w:asciiTheme="minorHAnsi" w:eastAsiaTheme="minorEastAsia" w:hAnsiTheme="minorHAnsi" w:cstheme="minorBidi"/>
          <w:noProof/>
          <w:sz w:val="22"/>
          <w:szCs w:val="22"/>
        </w:rPr>
      </w:pPr>
      <w:hyperlink w:anchor="_Toc441751917" w:history="1">
        <w:r w:rsidR="00E4410B" w:rsidRPr="00E91C0D">
          <w:rPr>
            <w:rStyle w:val="Hyperlink"/>
            <w:noProof/>
          </w:rPr>
          <w:t>Table 6</w:t>
        </w:r>
        <w:r w:rsidR="00E4410B" w:rsidRPr="00E91C0D">
          <w:rPr>
            <w:rStyle w:val="Hyperlink"/>
            <w:noProof/>
          </w:rPr>
          <w:noBreakHyphen/>
          <w:t>13. Estimates of Double-Counted Savings: Wave 5 Non-AMI, TR Persistence Group</w:t>
        </w:r>
        <w:r w:rsidR="00E4410B">
          <w:rPr>
            <w:noProof/>
            <w:webHidden/>
          </w:rPr>
          <w:tab/>
        </w:r>
        <w:r w:rsidR="00E4410B">
          <w:rPr>
            <w:noProof/>
            <w:webHidden/>
          </w:rPr>
          <w:fldChar w:fldCharType="begin"/>
        </w:r>
        <w:r w:rsidR="00E4410B">
          <w:rPr>
            <w:noProof/>
            <w:webHidden/>
          </w:rPr>
          <w:instrText xml:space="preserve"> PAGEREF _Toc441751917 \h </w:instrText>
        </w:r>
        <w:r w:rsidR="00E4410B">
          <w:rPr>
            <w:noProof/>
            <w:webHidden/>
          </w:rPr>
        </w:r>
        <w:r w:rsidR="00E4410B">
          <w:rPr>
            <w:noProof/>
            <w:webHidden/>
          </w:rPr>
          <w:fldChar w:fldCharType="separate"/>
        </w:r>
        <w:r w:rsidR="00E4410B">
          <w:rPr>
            <w:noProof/>
            <w:webHidden/>
          </w:rPr>
          <w:t>30</w:t>
        </w:r>
        <w:r w:rsidR="00E4410B">
          <w:rPr>
            <w:noProof/>
            <w:webHidden/>
          </w:rPr>
          <w:fldChar w:fldCharType="end"/>
        </w:r>
      </w:hyperlink>
    </w:p>
    <w:p w14:paraId="077D8417" w14:textId="77777777" w:rsidR="00F56D57" w:rsidRDefault="00D66F87" w:rsidP="00D66F87">
      <w:pPr>
        <w:rPr>
          <w:szCs w:val="20"/>
        </w:rPr>
        <w:sectPr w:rsidR="00F56D57" w:rsidSect="00F56D57">
          <w:footerReference w:type="default" r:id="rId16"/>
          <w:pgSz w:w="12240" w:h="15840" w:code="1"/>
          <w:pgMar w:top="1440" w:right="1440" w:bottom="1440" w:left="1440" w:header="720" w:footer="720" w:gutter="0"/>
          <w:pgNumType w:fmt="lowerRoman"/>
          <w:cols w:space="720"/>
          <w:docGrid w:linePitch="360"/>
        </w:sectPr>
      </w:pPr>
      <w:r w:rsidRPr="00E8651B">
        <w:rPr>
          <w:szCs w:val="20"/>
        </w:rPr>
        <w:fldChar w:fldCharType="end"/>
      </w:r>
    </w:p>
    <w:p w14:paraId="32DE384F" w14:textId="77777777" w:rsidR="00D12707" w:rsidRDefault="00D12707" w:rsidP="00D12707">
      <w:pPr>
        <w:pStyle w:val="Heading7"/>
      </w:pPr>
      <w:bookmarkStart w:id="2" w:name="_Toc441751869"/>
      <w:bookmarkStart w:id="3" w:name="_Toc398546619"/>
      <w:r w:rsidRPr="000A1A8D">
        <w:lastRenderedPageBreak/>
        <w:t>E</w:t>
      </w:r>
      <w:r>
        <w:t>.</w:t>
      </w:r>
      <w:r>
        <w:tab/>
        <w:t>Executive Summary</w:t>
      </w:r>
      <w:bookmarkEnd w:id="2"/>
      <w:r>
        <w:t xml:space="preserve"> </w:t>
      </w:r>
      <w:bookmarkEnd w:id="3"/>
    </w:p>
    <w:p w14:paraId="760823FA" w14:textId="4A565F48" w:rsidR="007E4459" w:rsidRDefault="00D12707" w:rsidP="007E4459">
      <w:r w:rsidRPr="00F64B8B">
        <w:t xml:space="preserve">This report presents a summary of the findings and results from </w:t>
      </w:r>
      <w:r w:rsidR="00F548A5">
        <w:t xml:space="preserve">a </w:t>
      </w:r>
      <w:r w:rsidR="003F3FAA">
        <w:t>persistence and decay rate study for the</w:t>
      </w:r>
      <w:r w:rsidRPr="00F64B8B">
        <w:t xml:space="preserve"> </w:t>
      </w:r>
      <w:r w:rsidR="007E4459">
        <w:t>Home Energy Report (HER) Opower</w:t>
      </w:r>
      <w:r>
        <w:t xml:space="preserve"> program.</w:t>
      </w:r>
      <w:r w:rsidR="007E4459">
        <w:t xml:space="preserve"> Commonwealth Edison Company (ComEd) designed the program to generate energy savings by providing residential customers with sets of information about customer energy use and energy conservation. Program participants receive</w:t>
      </w:r>
      <w:r w:rsidR="006F3FE0">
        <w:t>d</w:t>
      </w:r>
      <w:r w:rsidR="007E4459">
        <w:t xml:space="preserve"> information in the form of </w:t>
      </w:r>
      <w:r w:rsidR="00A670BD">
        <w:t>regularly mailed</w:t>
      </w:r>
      <w:r w:rsidR="0072473A">
        <w:t xml:space="preserve"> </w:t>
      </w:r>
      <w:r w:rsidR="007E4459">
        <w:t>home energy reports that g</w:t>
      </w:r>
      <w:r w:rsidR="006F3FE0">
        <w:t>a</w:t>
      </w:r>
      <w:r w:rsidR="007E4459">
        <w:t>ve customers various types of information, including the following:</w:t>
      </w:r>
    </w:p>
    <w:p w14:paraId="31592389" w14:textId="77777777" w:rsidR="007E4459" w:rsidRDefault="007E4459" w:rsidP="007E4459"/>
    <w:p w14:paraId="43B50008" w14:textId="4F4901B5" w:rsidR="007E4459" w:rsidRDefault="007E4459" w:rsidP="004F21FD">
      <w:pPr>
        <w:pStyle w:val="ListParagraph"/>
        <w:numPr>
          <w:ilvl w:val="0"/>
          <w:numId w:val="10"/>
        </w:numPr>
      </w:pPr>
      <w:r>
        <w:t>Assessment of how their recent energy use compare</w:t>
      </w:r>
      <w:r w:rsidR="006F3FE0">
        <w:t>d</w:t>
      </w:r>
      <w:r>
        <w:t xml:space="preserve"> to their energy use in the past</w:t>
      </w:r>
    </w:p>
    <w:p w14:paraId="4BB2C747" w14:textId="4E3A4291" w:rsidR="007E4459" w:rsidRDefault="007E4459" w:rsidP="004F21FD">
      <w:pPr>
        <w:pStyle w:val="ListParagraph"/>
        <w:numPr>
          <w:ilvl w:val="0"/>
          <w:numId w:val="10"/>
        </w:numPr>
      </w:pPr>
      <w:r>
        <w:t xml:space="preserve">Tips on how to reduce energy consumption, some of which </w:t>
      </w:r>
      <w:r w:rsidR="006F3FE0">
        <w:t>were</w:t>
      </w:r>
      <w:r>
        <w:t xml:space="preserve"> tailored to the customer’s circumstances.</w:t>
      </w:r>
    </w:p>
    <w:p w14:paraId="11CF14C4" w14:textId="1B0CC03C" w:rsidR="007E4459" w:rsidRDefault="007E4459" w:rsidP="004F21FD">
      <w:pPr>
        <w:pStyle w:val="ListParagraph"/>
        <w:numPr>
          <w:ilvl w:val="0"/>
          <w:numId w:val="10"/>
        </w:numPr>
      </w:pPr>
      <w:r>
        <w:t>Information on how their energy use compare</w:t>
      </w:r>
      <w:r w:rsidR="006F3FE0">
        <w:t>d</w:t>
      </w:r>
      <w:r>
        <w:t xml:space="preserve"> to </w:t>
      </w:r>
      <w:r w:rsidR="00602779">
        <w:t>that</w:t>
      </w:r>
      <w:r>
        <w:t xml:space="preserve"> of neighbors with similar homes.</w:t>
      </w:r>
    </w:p>
    <w:p w14:paraId="47803907" w14:textId="77777777" w:rsidR="007E4459" w:rsidRDefault="007E4459" w:rsidP="007E4459"/>
    <w:p w14:paraId="018625B9" w14:textId="2F21772D" w:rsidR="009330F5" w:rsidRDefault="003F3FAA" w:rsidP="009330F5">
      <w:bookmarkStart w:id="4" w:name="_Toc398546620"/>
      <w:r>
        <w:t>The Opower HER program was discontinued for three subsets of participants in October 2013.</w:t>
      </w:r>
      <w:r w:rsidR="000107B5">
        <w:rPr>
          <w:rStyle w:val="FootnoteReference"/>
        </w:rPr>
        <w:footnoteReference w:id="1"/>
      </w:r>
      <w:r w:rsidR="009330F5">
        <w:t xml:space="preserve"> These three terminated report (TR) groups are identified </w:t>
      </w:r>
      <w:r w:rsidR="002C755B">
        <w:t xml:space="preserve">in the </w:t>
      </w:r>
      <w:r w:rsidR="009330F5">
        <w:t>shad</w:t>
      </w:r>
      <w:r w:rsidR="002C755B">
        <w:t>ed rows</w:t>
      </w:r>
      <w:r w:rsidR="009330F5">
        <w:t xml:space="preserve"> </w:t>
      </w:r>
      <w:r w:rsidR="00A670BD">
        <w:t>of</w:t>
      </w:r>
      <w:r w:rsidR="009330F5">
        <w:t xml:space="preserve"> </w:t>
      </w:r>
      <w:r w:rsidR="009330F5">
        <w:fldChar w:fldCharType="begin"/>
      </w:r>
      <w:r w:rsidR="009330F5">
        <w:instrText xml:space="preserve"> REF _Ref440981110 \h </w:instrText>
      </w:r>
      <w:r w:rsidR="009330F5">
        <w:fldChar w:fldCharType="separate"/>
      </w:r>
      <w:r w:rsidR="00E4410B">
        <w:t>Table E-</w:t>
      </w:r>
      <w:r w:rsidR="00E4410B">
        <w:rPr>
          <w:noProof/>
        </w:rPr>
        <w:t>1</w:t>
      </w:r>
      <w:r w:rsidR="009330F5">
        <w:fldChar w:fldCharType="end"/>
      </w:r>
      <w:r w:rsidR="009330F5">
        <w:t xml:space="preserve">. Customers in Wave 1 TR received reports for just over four years before they were discontinued, Wave 3 TR for </w:t>
      </w:r>
      <w:r w:rsidR="00165E29">
        <w:t>two and a half years</w:t>
      </w:r>
      <w:r w:rsidR="009330F5">
        <w:t xml:space="preserve">, and Wave 5 Non-AMI TR for </w:t>
      </w:r>
      <w:r w:rsidR="006941A5">
        <w:t>just over one year</w:t>
      </w:r>
      <w:r w:rsidR="009330F5">
        <w:t xml:space="preserve">. </w:t>
      </w:r>
    </w:p>
    <w:p w14:paraId="72F551B1" w14:textId="77777777" w:rsidR="009330F5" w:rsidRDefault="009330F5" w:rsidP="009330F5"/>
    <w:p w14:paraId="77D132F5" w14:textId="7CEE81D1" w:rsidR="009330F5" w:rsidRDefault="009330F5" w:rsidP="004301F4">
      <w:pPr>
        <w:pStyle w:val="Caption"/>
      </w:pPr>
      <w:bookmarkStart w:id="5" w:name="_Ref440981110"/>
      <w:bookmarkStart w:id="6" w:name="_Toc441751898"/>
      <w:r>
        <w:t>Table E-</w:t>
      </w:r>
      <w:fldSimple w:instr=" SEQ Table_E- \* ARABIC ">
        <w:r w:rsidR="00E4410B">
          <w:rPr>
            <w:noProof/>
          </w:rPr>
          <w:t>1</w:t>
        </w:r>
      </w:fldSimple>
      <w:bookmarkEnd w:id="5"/>
      <w:r>
        <w:t>. Summary of Opower HER Waves</w:t>
      </w:r>
      <w:bookmarkEnd w:id="6"/>
    </w:p>
    <w:tbl>
      <w:tblPr>
        <w:tblStyle w:val="ComEdTable"/>
        <w:tblW w:w="5162" w:type="pct"/>
        <w:tblLook w:val="04A0" w:firstRow="1" w:lastRow="0" w:firstColumn="1" w:lastColumn="0" w:noHBand="0" w:noVBand="1"/>
      </w:tblPr>
      <w:tblGrid>
        <w:gridCol w:w="2378"/>
        <w:gridCol w:w="1827"/>
        <w:gridCol w:w="1645"/>
        <w:gridCol w:w="1827"/>
        <w:gridCol w:w="2209"/>
      </w:tblGrid>
      <w:tr w:rsidR="00165E29" w:rsidRPr="00A3367C" w14:paraId="1B442367" w14:textId="30B8109F" w:rsidTr="00165E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3" w:type="pct"/>
          </w:tcPr>
          <w:p w14:paraId="1AE64E27" w14:textId="77777777" w:rsidR="00165E29" w:rsidRPr="00A3367C" w:rsidRDefault="00165E29" w:rsidP="00165E29">
            <w:pPr>
              <w:keepNext/>
              <w:keepLines/>
              <w:rPr>
                <w:rFonts w:cs="Arial"/>
                <w:bCs/>
                <w:szCs w:val="20"/>
              </w:rPr>
            </w:pPr>
            <w:r>
              <w:rPr>
                <w:rFonts w:cs="Arial"/>
                <w:szCs w:val="20"/>
              </w:rPr>
              <w:t>Wave</w:t>
            </w:r>
          </w:p>
        </w:tc>
        <w:tc>
          <w:tcPr>
            <w:tcW w:w="924" w:type="pct"/>
          </w:tcPr>
          <w:p w14:paraId="1050FC19" w14:textId="77777777" w:rsidR="00165E29" w:rsidRPr="00A3367C" w:rsidRDefault="00165E29" w:rsidP="00165E29">
            <w:pPr>
              <w:keepNext/>
              <w:keepLines/>
              <w:cnfStyle w:val="100000000000" w:firstRow="1" w:lastRow="0" w:firstColumn="0" w:lastColumn="0" w:oddVBand="0" w:evenVBand="0" w:oddHBand="0" w:evenHBand="0" w:firstRowFirstColumn="0" w:firstRowLastColumn="0" w:lastRowFirstColumn="0" w:lastRowLastColumn="0"/>
              <w:rPr>
                <w:rFonts w:cs="Arial"/>
                <w:bCs/>
                <w:szCs w:val="20"/>
              </w:rPr>
            </w:pPr>
            <w:r>
              <w:rPr>
                <w:rFonts w:cs="Arial"/>
                <w:szCs w:val="20"/>
              </w:rPr>
              <w:t>Start Date</w:t>
            </w:r>
          </w:p>
        </w:tc>
        <w:tc>
          <w:tcPr>
            <w:tcW w:w="832" w:type="pct"/>
          </w:tcPr>
          <w:p w14:paraId="0DE3FAF7" w14:textId="77777777" w:rsidR="00165E29" w:rsidRPr="00A3367C" w:rsidRDefault="00165E29" w:rsidP="00165E29">
            <w:pPr>
              <w:keepNext/>
              <w:keepLines/>
              <w:cnfStyle w:val="100000000000" w:firstRow="1" w:lastRow="0" w:firstColumn="0" w:lastColumn="0" w:oddVBand="0" w:evenVBand="0" w:oddHBand="0" w:evenHBand="0" w:firstRowFirstColumn="0" w:firstRowLastColumn="0" w:lastRowFirstColumn="0" w:lastRowLastColumn="0"/>
              <w:rPr>
                <w:rFonts w:cs="Arial"/>
                <w:bCs/>
                <w:szCs w:val="20"/>
              </w:rPr>
            </w:pPr>
            <w:r>
              <w:rPr>
                <w:rFonts w:cs="Arial"/>
                <w:bCs/>
                <w:szCs w:val="20"/>
              </w:rPr>
              <w:t>Stop Date</w:t>
            </w:r>
          </w:p>
        </w:tc>
        <w:tc>
          <w:tcPr>
            <w:tcW w:w="924" w:type="pct"/>
          </w:tcPr>
          <w:p w14:paraId="7E1F8BD3" w14:textId="77777777" w:rsidR="00165E29" w:rsidRPr="009330F5" w:rsidRDefault="00165E29" w:rsidP="00165E29">
            <w:pPr>
              <w:keepNext/>
              <w:keepLines/>
              <w:cnfStyle w:val="100000000000" w:firstRow="1" w:lastRow="0" w:firstColumn="0" w:lastColumn="0" w:oddVBand="0" w:evenVBand="0" w:oddHBand="0" w:evenHBand="0" w:firstRowFirstColumn="0" w:firstRowLastColumn="0" w:lastRowFirstColumn="0" w:lastRowLastColumn="0"/>
              <w:rPr>
                <w:rStyle w:val="CommentReference"/>
                <w:sz w:val="20"/>
                <w:szCs w:val="20"/>
              </w:rPr>
            </w:pPr>
            <w:r w:rsidRPr="009330F5">
              <w:rPr>
                <w:rStyle w:val="CommentReference"/>
                <w:sz w:val="20"/>
                <w:szCs w:val="20"/>
              </w:rPr>
              <w:t>Restart Date</w:t>
            </w:r>
          </w:p>
        </w:tc>
        <w:tc>
          <w:tcPr>
            <w:tcW w:w="1118" w:type="pct"/>
          </w:tcPr>
          <w:p w14:paraId="20626E8B" w14:textId="7D2BD244" w:rsidR="00165E29" w:rsidRPr="009330F5" w:rsidRDefault="00165E29" w:rsidP="00165E29">
            <w:pPr>
              <w:keepNext/>
              <w:keepLines/>
              <w:cnfStyle w:val="100000000000" w:firstRow="1" w:lastRow="0" w:firstColumn="0" w:lastColumn="0" w:oddVBand="0" w:evenVBand="0" w:oddHBand="0" w:evenHBand="0" w:firstRowFirstColumn="0" w:firstRowLastColumn="0" w:lastRowFirstColumn="0" w:lastRowLastColumn="0"/>
              <w:rPr>
                <w:rStyle w:val="CommentReference"/>
                <w:sz w:val="20"/>
                <w:szCs w:val="20"/>
              </w:rPr>
            </w:pPr>
            <w:r>
              <w:rPr>
                <w:rStyle w:val="CommentReference"/>
                <w:sz w:val="20"/>
                <w:szCs w:val="20"/>
              </w:rPr>
              <w:t>Length of Treatment Before Termination</w:t>
            </w:r>
          </w:p>
        </w:tc>
      </w:tr>
      <w:tr w:rsidR="00165E29" w:rsidRPr="00CB6B1B" w14:paraId="7B657B10" w14:textId="7B37889C" w:rsidTr="00165E29">
        <w:tc>
          <w:tcPr>
            <w:cnfStyle w:val="001000000000" w:firstRow="0" w:lastRow="0" w:firstColumn="1" w:lastColumn="0" w:oddVBand="0" w:evenVBand="0" w:oddHBand="0" w:evenHBand="0" w:firstRowFirstColumn="0" w:firstRowLastColumn="0" w:lastRowFirstColumn="0" w:lastRowLastColumn="0"/>
            <w:tcW w:w="1203" w:type="pct"/>
          </w:tcPr>
          <w:p w14:paraId="200EE2BD" w14:textId="77777777" w:rsidR="00165E29" w:rsidRPr="00C67F44" w:rsidRDefault="00165E29" w:rsidP="00165E29">
            <w:pPr>
              <w:keepNext/>
              <w:keepLines/>
              <w:rPr>
                <w:rFonts w:cs="Arial"/>
                <w:color w:val="000000"/>
                <w:szCs w:val="20"/>
              </w:rPr>
            </w:pPr>
            <w:r>
              <w:rPr>
                <w:rFonts w:cs="Arial"/>
                <w:color w:val="000000"/>
                <w:szCs w:val="20"/>
              </w:rPr>
              <w:t>Wave 1 CR</w:t>
            </w:r>
          </w:p>
        </w:tc>
        <w:tc>
          <w:tcPr>
            <w:tcW w:w="924" w:type="pct"/>
          </w:tcPr>
          <w:p w14:paraId="761D289A"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July 2009</w:t>
            </w:r>
          </w:p>
        </w:tc>
        <w:tc>
          <w:tcPr>
            <w:tcW w:w="832" w:type="pct"/>
          </w:tcPr>
          <w:p w14:paraId="57AB81C6"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924" w:type="pct"/>
          </w:tcPr>
          <w:p w14:paraId="699E5D12"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1118" w:type="pct"/>
          </w:tcPr>
          <w:p w14:paraId="1C80B8C4" w14:textId="152E64A8" w:rsidR="00165E29"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r>
      <w:tr w:rsidR="00165E29" w:rsidRPr="00CB6B1B" w14:paraId="604D6BD6" w14:textId="113D06DB" w:rsidTr="00165E29">
        <w:tc>
          <w:tcPr>
            <w:cnfStyle w:val="001000000000" w:firstRow="0" w:lastRow="0" w:firstColumn="1" w:lastColumn="0" w:oddVBand="0" w:evenVBand="0" w:oddHBand="0" w:evenHBand="0" w:firstRowFirstColumn="0" w:firstRowLastColumn="0" w:lastRowFirstColumn="0" w:lastRowLastColumn="0"/>
            <w:tcW w:w="1203" w:type="pct"/>
          </w:tcPr>
          <w:p w14:paraId="7F2F1ADB" w14:textId="77777777" w:rsidR="00165E29" w:rsidRPr="00C67F44" w:rsidRDefault="00165E29" w:rsidP="00165E29">
            <w:pPr>
              <w:keepNext/>
              <w:keepLines/>
              <w:rPr>
                <w:rFonts w:cs="Arial"/>
                <w:color w:val="000000"/>
                <w:szCs w:val="20"/>
              </w:rPr>
            </w:pPr>
            <w:r>
              <w:rPr>
                <w:rFonts w:cs="Arial"/>
                <w:color w:val="000000"/>
                <w:szCs w:val="20"/>
              </w:rPr>
              <w:t>Wave 1 LR</w:t>
            </w:r>
          </w:p>
        </w:tc>
        <w:tc>
          <w:tcPr>
            <w:tcW w:w="924" w:type="pct"/>
          </w:tcPr>
          <w:p w14:paraId="4D26421D"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July 2009</w:t>
            </w:r>
          </w:p>
        </w:tc>
        <w:tc>
          <w:tcPr>
            <w:tcW w:w="832" w:type="pct"/>
          </w:tcPr>
          <w:p w14:paraId="4FC3246E"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October 2012</w:t>
            </w:r>
          </w:p>
        </w:tc>
        <w:tc>
          <w:tcPr>
            <w:tcW w:w="924" w:type="pct"/>
          </w:tcPr>
          <w:p w14:paraId="0C597E42"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August 2013</w:t>
            </w:r>
          </w:p>
        </w:tc>
        <w:tc>
          <w:tcPr>
            <w:tcW w:w="1118" w:type="pct"/>
          </w:tcPr>
          <w:p w14:paraId="6D3CB641" w14:textId="2FD82E84" w:rsidR="00165E29"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r>
      <w:tr w:rsidR="00165E29" w:rsidRPr="00CB6B1B" w14:paraId="1B26D76F" w14:textId="4D28CC61" w:rsidTr="00165E29">
        <w:tc>
          <w:tcPr>
            <w:cnfStyle w:val="001000000000" w:firstRow="0" w:lastRow="0" w:firstColumn="1" w:lastColumn="0" w:oddVBand="0" w:evenVBand="0" w:oddHBand="0" w:evenHBand="0" w:firstRowFirstColumn="0" w:firstRowLastColumn="0" w:lastRowFirstColumn="0" w:lastRowLastColumn="0"/>
            <w:tcW w:w="1203" w:type="pct"/>
            <w:shd w:val="clear" w:color="auto" w:fill="E4E1DB" w:themeFill="background2" w:themeFillTint="33"/>
          </w:tcPr>
          <w:p w14:paraId="152EE3FC" w14:textId="77777777" w:rsidR="00165E29" w:rsidRPr="00C67F44" w:rsidRDefault="00165E29" w:rsidP="00165E29">
            <w:pPr>
              <w:keepNext/>
              <w:keepLines/>
              <w:rPr>
                <w:rFonts w:cs="Arial"/>
                <w:color w:val="000000"/>
                <w:szCs w:val="20"/>
              </w:rPr>
            </w:pPr>
            <w:r>
              <w:rPr>
                <w:rFonts w:cs="Arial"/>
                <w:color w:val="000000"/>
                <w:szCs w:val="20"/>
              </w:rPr>
              <w:t>Wave 1 TR</w:t>
            </w:r>
          </w:p>
        </w:tc>
        <w:tc>
          <w:tcPr>
            <w:tcW w:w="924" w:type="pct"/>
            <w:shd w:val="clear" w:color="auto" w:fill="E4E1DB" w:themeFill="background2" w:themeFillTint="33"/>
          </w:tcPr>
          <w:p w14:paraId="42ECFBF6"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July 2009</w:t>
            </w:r>
          </w:p>
        </w:tc>
        <w:tc>
          <w:tcPr>
            <w:tcW w:w="832" w:type="pct"/>
            <w:shd w:val="clear" w:color="auto" w:fill="E4E1DB" w:themeFill="background2" w:themeFillTint="33"/>
          </w:tcPr>
          <w:p w14:paraId="188AD5CD"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October 2013</w:t>
            </w:r>
          </w:p>
        </w:tc>
        <w:tc>
          <w:tcPr>
            <w:tcW w:w="924" w:type="pct"/>
            <w:shd w:val="clear" w:color="auto" w:fill="E4E1DB" w:themeFill="background2" w:themeFillTint="33"/>
          </w:tcPr>
          <w:p w14:paraId="2138CD40"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1118" w:type="pct"/>
            <w:shd w:val="clear" w:color="auto" w:fill="E4E1DB" w:themeFill="background2" w:themeFillTint="33"/>
          </w:tcPr>
          <w:p w14:paraId="31358D51" w14:textId="137D3B3F" w:rsidR="00165E29"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52 months</w:t>
            </w:r>
          </w:p>
        </w:tc>
      </w:tr>
      <w:tr w:rsidR="00165E29" w:rsidRPr="00CB6B1B" w14:paraId="1B767C99" w14:textId="6E7B1B5D" w:rsidTr="00165E29">
        <w:tc>
          <w:tcPr>
            <w:cnfStyle w:val="001000000000" w:firstRow="0" w:lastRow="0" w:firstColumn="1" w:lastColumn="0" w:oddVBand="0" w:evenVBand="0" w:oddHBand="0" w:evenHBand="0" w:firstRowFirstColumn="0" w:firstRowLastColumn="0" w:lastRowFirstColumn="0" w:lastRowLastColumn="0"/>
            <w:tcW w:w="1203" w:type="pct"/>
          </w:tcPr>
          <w:p w14:paraId="3C23863B" w14:textId="77777777" w:rsidR="00165E29" w:rsidRPr="00C67F44" w:rsidRDefault="00165E29" w:rsidP="00165E29">
            <w:pPr>
              <w:keepNext/>
              <w:keepLines/>
              <w:rPr>
                <w:rFonts w:cs="Arial"/>
                <w:color w:val="000000"/>
                <w:szCs w:val="20"/>
              </w:rPr>
            </w:pPr>
            <w:r>
              <w:rPr>
                <w:rFonts w:cs="Arial"/>
                <w:color w:val="000000"/>
                <w:szCs w:val="20"/>
              </w:rPr>
              <w:t>Wave 2</w:t>
            </w:r>
          </w:p>
        </w:tc>
        <w:tc>
          <w:tcPr>
            <w:tcW w:w="924" w:type="pct"/>
          </w:tcPr>
          <w:p w14:paraId="39E15528"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September 2010</w:t>
            </w:r>
          </w:p>
        </w:tc>
        <w:tc>
          <w:tcPr>
            <w:tcW w:w="832" w:type="pct"/>
          </w:tcPr>
          <w:p w14:paraId="148CC390"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924" w:type="pct"/>
          </w:tcPr>
          <w:p w14:paraId="77373198"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1118" w:type="pct"/>
          </w:tcPr>
          <w:p w14:paraId="03D5AECF" w14:textId="4656A9B1" w:rsidR="00165E29"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r>
      <w:tr w:rsidR="00165E29" w:rsidRPr="00CB6B1B" w14:paraId="4424681C" w14:textId="379FDD98" w:rsidTr="00165E29">
        <w:tc>
          <w:tcPr>
            <w:cnfStyle w:val="001000000000" w:firstRow="0" w:lastRow="0" w:firstColumn="1" w:lastColumn="0" w:oddVBand="0" w:evenVBand="0" w:oddHBand="0" w:evenHBand="0" w:firstRowFirstColumn="0" w:firstRowLastColumn="0" w:lastRowFirstColumn="0" w:lastRowLastColumn="0"/>
            <w:tcW w:w="1203" w:type="pct"/>
          </w:tcPr>
          <w:p w14:paraId="2B96AE1C" w14:textId="77777777" w:rsidR="00165E29" w:rsidRPr="00C67F44" w:rsidRDefault="00165E29" w:rsidP="00165E29">
            <w:pPr>
              <w:keepNext/>
              <w:keepLines/>
              <w:rPr>
                <w:rFonts w:cs="Arial"/>
                <w:color w:val="000000"/>
                <w:szCs w:val="20"/>
              </w:rPr>
            </w:pPr>
            <w:r>
              <w:rPr>
                <w:rFonts w:cs="Arial"/>
                <w:color w:val="000000"/>
                <w:szCs w:val="20"/>
              </w:rPr>
              <w:t>Wave 3 CR</w:t>
            </w:r>
          </w:p>
        </w:tc>
        <w:tc>
          <w:tcPr>
            <w:tcW w:w="924" w:type="pct"/>
          </w:tcPr>
          <w:p w14:paraId="4EA2284F"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May 2011</w:t>
            </w:r>
          </w:p>
        </w:tc>
        <w:tc>
          <w:tcPr>
            <w:tcW w:w="832" w:type="pct"/>
          </w:tcPr>
          <w:p w14:paraId="3DF14B1F"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924" w:type="pct"/>
          </w:tcPr>
          <w:p w14:paraId="6CDBB7BB"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1118" w:type="pct"/>
          </w:tcPr>
          <w:p w14:paraId="0B04D202" w14:textId="05B8C1EC" w:rsidR="00165E29"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r>
      <w:tr w:rsidR="00165E29" w:rsidRPr="00CB6B1B" w14:paraId="7BFFA2E4" w14:textId="52F95CA2" w:rsidTr="00165E29">
        <w:tc>
          <w:tcPr>
            <w:cnfStyle w:val="001000000000" w:firstRow="0" w:lastRow="0" w:firstColumn="1" w:lastColumn="0" w:oddVBand="0" w:evenVBand="0" w:oddHBand="0" w:evenHBand="0" w:firstRowFirstColumn="0" w:firstRowLastColumn="0" w:lastRowFirstColumn="0" w:lastRowLastColumn="0"/>
            <w:tcW w:w="1203" w:type="pct"/>
          </w:tcPr>
          <w:p w14:paraId="43BAD8A8" w14:textId="77777777" w:rsidR="00165E29" w:rsidRPr="00C67F44" w:rsidRDefault="00165E29" w:rsidP="00165E29">
            <w:pPr>
              <w:keepNext/>
              <w:keepLines/>
              <w:rPr>
                <w:rFonts w:cs="Arial"/>
                <w:color w:val="000000"/>
                <w:szCs w:val="20"/>
              </w:rPr>
            </w:pPr>
            <w:r>
              <w:rPr>
                <w:rFonts w:cs="Arial"/>
                <w:color w:val="000000"/>
                <w:szCs w:val="20"/>
              </w:rPr>
              <w:t>Wave 3 LR</w:t>
            </w:r>
          </w:p>
        </w:tc>
        <w:tc>
          <w:tcPr>
            <w:tcW w:w="924" w:type="pct"/>
          </w:tcPr>
          <w:p w14:paraId="721680BE"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May 2011</w:t>
            </w:r>
          </w:p>
        </w:tc>
        <w:tc>
          <w:tcPr>
            <w:tcW w:w="832" w:type="pct"/>
          </w:tcPr>
          <w:p w14:paraId="6455DF73"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October 2012</w:t>
            </w:r>
          </w:p>
        </w:tc>
        <w:tc>
          <w:tcPr>
            <w:tcW w:w="924" w:type="pct"/>
          </w:tcPr>
          <w:p w14:paraId="4D6A244E"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August 2013</w:t>
            </w:r>
          </w:p>
        </w:tc>
        <w:tc>
          <w:tcPr>
            <w:tcW w:w="1118" w:type="pct"/>
          </w:tcPr>
          <w:p w14:paraId="43639EC0" w14:textId="1BF42D50" w:rsidR="00165E29"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r>
      <w:tr w:rsidR="00165E29" w:rsidRPr="00CB6B1B" w14:paraId="253737FA" w14:textId="5FCDF4CE" w:rsidTr="00165E29">
        <w:tc>
          <w:tcPr>
            <w:cnfStyle w:val="001000000000" w:firstRow="0" w:lastRow="0" w:firstColumn="1" w:lastColumn="0" w:oddVBand="0" w:evenVBand="0" w:oddHBand="0" w:evenHBand="0" w:firstRowFirstColumn="0" w:firstRowLastColumn="0" w:lastRowFirstColumn="0" w:lastRowLastColumn="0"/>
            <w:tcW w:w="1203" w:type="pct"/>
            <w:shd w:val="clear" w:color="auto" w:fill="E4E1DB" w:themeFill="background2" w:themeFillTint="33"/>
          </w:tcPr>
          <w:p w14:paraId="19190DE0" w14:textId="77777777" w:rsidR="00165E29" w:rsidRPr="00C67F44" w:rsidRDefault="00165E29" w:rsidP="00165E29">
            <w:pPr>
              <w:keepNext/>
              <w:keepLines/>
              <w:rPr>
                <w:rFonts w:cs="Arial"/>
                <w:color w:val="000000"/>
                <w:szCs w:val="20"/>
              </w:rPr>
            </w:pPr>
            <w:r>
              <w:rPr>
                <w:rFonts w:cs="Arial"/>
                <w:color w:val="000000"/>
                <w:szCs w:val="20"/>
              </w:rPr>
              <w:t>Wave 3 TR</w:t>
            </w:r>
          </w:p>
        </w:tc>
        <w:tc>
          <w:tcPr>
            <w:tcW w:w="924" w:type="pct"/>
            <w:shd w:val="clear" w:color="auto" w:fill="E4E1DB" w:themeFill="background2" w:themeFillTint="33"/>
          </w:tcPr>
          <w:p w14:paraId="71360664"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May 2011</w:t>
            </w:r>
          </w:p>
        </w:tc>
        <w:tc>
          <w:tcPr>
            <w:tcW w:w="832" w:type="pct"/>
            <w:shd w:val="clear" w:color="auto" w:fill="E4E1DB" w:themeFill="background2" w:themeFillTint="33"/>
          </w:tcPr>
          <w:p w14:paraId="40A01720"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October 2013</w:t>
            </w:r>
          </w:p>
        </w:tc>
        <w:tc>
          <w:tcPr>
            <w:tcW w:w="924" w:type="pct"/>
            <w:shd w:val="clear" w:color="auto" w:fill="E4E1DB" w:themeFill="background2" w:themeFillTint="33"/>
          </w:tcPr>
          <w:p w14:paraId="58A3F693"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1118" w:type="pct"/>
            <w:shd w:val="clear" w:color="auto" w:fill="E4E1DB" w:themeFill="background2" w:themeFillTint="33"/>
          </w:tcPr>
          <w:p w14:paraId="7B35607E" w14:textId="017B20D8" w:rsidR="00165E29"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30 months</w:t>
            </w:r>
          </w:p>
        </w:tc>
      </w:tr>
      <w:tr w:rsidR="00165E29" w:rsidRPr="00CB6B1B" w14:paraId="2F5A8F5A" w14:textId="49C3C3EC" w:rsidTr="00165E29">
        <w:tc>
          <w:tcPr>
            <w:cnfStyle w:val="001000000000" w:firstRow="0" w:lastRow="0" w:firstColumn="1" w:lastColumn="0" w:oddVBand="0" w:evenVBand="0" w:oddHBand="0" w:evenHBand="0" w:firstRowFirstColumn="0" w:firstRowLastColumn="0" w:lastRowFirstColumn="0" w:lastRowLastColumn="0"/>
            <w:tcW w:w="1203" w:type="pct"/>
          </w:tcPr>
          <w:p w14:paraId="526B2BBD" w14:textId="77777777" w:rsidR="00165E29" w:rsidRPr="00C67F44" w:rsidRDefault="00165E29" w:rsidP="00165E29">
            <w:pPr>
              <w:keepNext/>
              <w:keepLines/>
              <w:rPr>
                <w:rFonts w:cs="Arial"/>
                <w:color w:val="000000"/>
                <w:szCs w:val="20"/>
              </w:rPr>
            </w:pPr>
            <w:r>
              <w:rPr>
                <w:rFonts w:cs="Arial"/>
                <w:color w:val="000000"/>
                <w:szCs w:val="20"/>
              </w:rPr>
              <w:t>Wave 4</w:t>
            </w:r>
          </w:p>
        </w:tc>
        <w:tc>
          <w:tcPr>
            <w:tcW w:w="924" w:type="pct"/>
          </w:tcPr>
          <w:p w14:paraId="7479DB28"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January 2012</w:t>
            </w:r>
          </w:p>
        </w:tc>
        <w:tc>
          <w:tcPr>
            <w:tcW w:w="832" w:type="pct"/>
          </w:tcPr>
          <w:p w14:paraId="01D98426"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924" w:type="pct"/>
          </w:tcPr>
          <w:p w14:paraId="10AF479A"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1118" w:type="pct"/>
          </w:tcPr>
          <w:p w14:paraId="76402234" w14:textId="6BA7BC95" w:rsidR="00165E29"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r>
      <w:tr w:rsidR="00165E29" w:rsidRPr="00CB6B1B" w14:paraId="03A6622F" w14:textId="156D0D32" w:rsidTr="00165E29">
        <w:tc>
          <w:tcPr>
            <w:cnfStyle w:val="001000000000" w:firstRow="0" w:lastRow="0" w:firstColumn="1" w:lastColumn="0" w:oddVBand="0" w:evenVBand="0" w:oddHBand="0" w:evenHBand="0" w:firstRowFirstColumn="0" w:firstRowLastColumn="0" w:lastRowFirstColumn="0" w:lastRowLastColumn="0"/>
            <w:tcW w:w="1203" w:type="pct"/>
          </w:tcPr>
          <w:p w14:paraId="403A4736" w14:textId="77777777" w:rsidR="00165E29" w:rsidRDefault="00165E29" w:rsidP="00165E29">
            <w:pPr>
              <w:keepNext/>
              <w:keepLines/>
              <w:rPr>
                <w:rFonts w:cs="Arial"/>
                <w:color w:val="000000"/>
                <w:szCs w:val="20"/>
              </w:rPr>
            </w:pPr>
            <w:r>
              <w:rPr>
                <w:rFonts w:cs="Arial"/>
                <w:color w:val="000000"/>
                <w:szCs w:val="20"/>
              </w:rPr>
              <w:t>Wave 5 AMI</w:t>
            </w:r>
          </w:p>
        </w:tc>
        <w:tc>
          <w:tcPr>
            <w:tcW w:w="924" w:type="pct"/>
          </w:tcPr>
          <w:p w14:paraId="16CAC274" w14:textId="77777777" w:rsidR="00165E29"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May 2012</w:t>
            </w:r>
          </w:p>
        </w:tc>
        <w:tc>
          <w:tcPr>
            <w:tcW w:w="832" w:type="pct"/>
          </w:tcPr>
          <w:p w14:paraId="7B929BD4"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August 2014</w:t>
            </w:r>
          </w:p>
        </w:tc>
        <w:tc>
          <w:tcPr>
            <w:tcW w:w="924" w:type="pct"/>
          </w:tcPr>
          <w:p w14:paraId="4270FCFE"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1118" w:type="pct"/>
          </w:tcPr>
          <w:p w14:paraId="139FE4A6" w14:textId="1CFA903A" w:rsidR="00165E29"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r>
      <w:tr w:rsidR="00165E29" w:rsidRPr="00CB6B1B" w14:paraId="67A914BD" w14:textId="78137198" w:rsidTr="00165E29">
        <w:tc>
          <w:tcPr>
            <w:cnfStyle w:val="001000000000" w:firstRow="0" w:lastRow="0" w:firstColumn="1" w:lastColumn="0" w:oddVBand="0" w:evenVBand="0" w:oddHBand="0" w:evenHBand="0" w:firstRowFirstColumn="0" w:firstRowLastColumn="0" w:lastRowFirstColumn="0" w:lastRowLastColumn="0"/>
            <w:tcW w:w="1203" w:type="pct"/>
          </w:tcPr>
          <w:p w14:paraId="21116A9C" w14:textId="77777777" w:rsidR="00165E29" w:rsidRPr="00C67F44" w:rsidRDefault="00165E29" w:rsidP="00165E29">
            <w:pPr>
              <w:keepNext/>
              <w:keepLines/>
              <w:rPr>
                <w:rFonts w:cs="Arial"/>
                <w:color w:val="000000"/>
                <w:szCs w:val="20"/>
              </w:rPr>
            </w:pPr>
            <w:r>
              <w:rPr>
                <w:rFonts w:cs="Arial"/>
                <w:color w:val="000000"/>
                <w:szCs w:val="20"/>
              </w:rPr>
              <w:t>Wave 5 Non-AMI CR</w:t>
            </w:r>
          </w:p>
        </w:tc>
        <w:tc>
          <w:tcPr>
            <w:tcW w:w="924" w:type="pct"/>
          </w:tcPr>
          <w:p w14:paraId="3433ABBA"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July 2012</w:t>
            </w:r>
          </w:p>
        </w:tc>
        <w:tc>
          <w:tcPr>
            <w:tcW w:w="832" w:type="pct"/>
          </w:tcPr>
          <w:p w14:paraId="3D4FDC3B"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924" w:type="pct"/>
          </w:tcPr>
          <w:p w14:paraId="3BC09F39"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1118" w:type="pct"/>
          </w:tcPr>
          <w:p w14:paraId="1CF9C464" w14:textId="537BB5E5" w:rsidR="00165E29"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r>
      <w:tr w:rsidR="00165E29" w:rsidRPr="00CB6B1B" w14:paraId="7EE4C818" w14:textId="34EFE0A8" w:rsidTr="00165E29">
        <w:tc>
          <w:tcPr>
            <w:cnfStyle w:val="001000000000" w:firstRow="0" w:lastRow="0" w:firstColumn="1" w:lastColumn="0" w:oddVBand="0" w:evenVBand="0" w:oddHBand="0" w:evenHBand="0" w:firstRowFirstColumn="0" w:firstRowLastColumn="0" w:lastRowFirstColumn="0" w:lastRowLastColumn="0"/>
            <w:tcW w:w="1203" w:type="pct"/>
            <w:shd w:val="clear" w:color="auto" w:fill="E4E1DB" w:themeFill="background2" w:themeFillTint="33"/>
          </w:tcPr>
          <w:p w14:paraId="5C8D77FE" w14:textId="77777777" w:rsidR="00165E29" w:rsidRPr="00C67F44" w:rsidRDefault="00165E29" w:rsidP="00165E29">
            <w:pPr>
              <w:keepNext/>
              <w:keepLines/>
              <w:rPr>
                <w:rFonts w:cs="Arial"/>
                <w:color w:val="000000"/>
                <w:szCs w:val="20"/>
              </w:rPr>
            </w:pPr>
            <w:r>
              <w:rPr>
                <w:rFonts w:cs="Arial"/>
                <w:color w:val="000000"/>
                <w:szCs w:val="20"/>
              </w:rPr>
              <w:t>Wave 5 Non-AMI TR</w:t>
            </w:r>
          </w:p>
        </w:tc>
        <w:tc>
          <w:tcPr>
            <w:tcW w:w="924" w:type="pct"/>
            <w:shd w:val="clear" w:color="auto" w:fill="E4E1DB" w:themeFill="background2" w:themeFillTint="33"/>
          </w:tcPr>
          <w:p w14:paraId="3A41233D"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July 2012</w:t>
            </w:r>
          </w:p>
        </w:tc>
        <w:tc>
          <w:tcPr>
            <w:tcW w:w="832" w:type="pct"/>
            <w:shd w:val="clear" w:color="auto" w:fill="E4E1DB" w:themeFill="background2" w:themeFillTint="33"/>
          </w:tcPr>
          <w:p w14:paraId="6FF1BE70"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October 2013</w:t>
            </w:r>
          </w:p>
        </w:tc>
        <w:tc>
          <w:tcPr>
            <w:tcW w:w="924" w:type="pct"/>
            <w:shd w:val="clear" w:color="auto" w:fill="E4E1DB" w:themeFill="background2" w:themeFillTint="33"/>
          </w:tcPr>
          <w:p w14:paraId="2823C261"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1118" w:type="pct"/>
            <w:shd w:val="clear" w:color="auto" w:fill="E4E1DB" w:themeFill="background2" w:themeFillTint="33"/>
          </w:tcPr>
          <w:p w14:paraId="718A6CF0" w14:textId="4BFDEE34" w:rsidR="00165E29"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16 months</w:t>
            </w:r>
          </w:p>
        </w:tc>
      </w:tr>
      <w:tr w:rsidR="00165E29" w:rsidRPr="00CB6B1B" w14:paraId="17EEC320" w14:textId="66822035" w:rsidTr="00165E29">
        <w:tc>
          <w:tcPr>
            <w:cnfStyle w:val="001000000000" w:firstRow="0" w:lastRow="0" w:firstColumn="1" w:lastColumn="0" w:oddVBand="0" w:evenVBand="0" w:oddHBand="0" w:evenHBand="0" w:firstRowFirstColumn="0" w:firstRowLastColumn="0" w:lastRowFirstColumn="0" w:lastRowLastColumn="0"/>
            <w:tcW w:w="1203" w:type="pct"/>
          </w:tcPr>
          <w:p w14:paraId="29DD3E27" w14:textId="77777777" w:rsidR="00165E29" w:rsidRPr="00C67F44" w:rsidRDefault="00165E29" w:rsidP="00165E29">
            <w:pPr>
              <w:keepNext/>
              <w:keepLines/>
              <w:rPr>
                <w:rFonts w:cs="Arial"/>
                <w:color w:val="000000"/>
                <w:szCs w:val="20"/>
              </w:rPr>
            </w:pPr>
            <w:r>
              <w:rPr>
                <w:rFonts w:cs="Arial"/>
                <w:color w:val="000000"/>
                <w:szCs w:val="20"/>
              </w:rPr>
              <w:t>Wave 6</w:t>
            </w:r>
          </w:p>
        </w:tc>
        <w:tc>
          <w:tcPr>
            <w:tcW w:w="924" w:type="pct"/>
          </w:tcPr>
          <w:p w14:paraId="27A61458"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June 2013</w:t>
            </w:r>
          </w:p>
        </w:tc>
        <w:tc>
          <w:tcPr>
            <w:tcW w:w="832" w:type="pct"/>
          </w:tcPr>
          <w:p w14:paraId="296733F6"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924" w:type="pct"/>
          </w:tcPr>
          <w:p w14:paraId="77411C7C"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1118" w:type="pct"/>
          </w:tcPr>
          <w:p w14:paraId="291A762F" w14:textId="67A81CD3" w:rsidR="00165E29"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r>
      <w:tr w:rsidR="00165E29" w:rsidRPr="00CB6B1B" w14:paraId="06CC65EB" w14:textId="7734B63F" w:rsidTr="00165E29">
        <w:tc>
          <w:tcPr>
            <w:cnfStyle w:val="001000000000" w:firstRow="0" w:lastRow="0" w:firstColumn="1" w:lastColumn="0" w:oddVBand="0" w:evenVBand="0" w:oddHBand="0" w:evenHBand="0" w:firstRowFirstColumn="0" w:firstRowLastColumn="0" w:lastRowFirstColumn="0" w:lastRowLastColumn="0"/>
            <w:tcW w:w="1203" w:type="pct"/>
          </w:tcPr>
          <w:p w14:paraId="3DC062B0" w14:textId="77777777" w:rsidR="00165E29" w:rsidRPr="00C67F44" w:rsidRDefault="00165E29" w:rsidP="00165E29">
            <w:pPr>
              <w:keepNext/>
              <w:keepLines/>
              <w:rPr>
                <w:rFonts w:cs="Arial"/>
                <w:color w:val="000000"/>
                <w:szCs w:val="20"/>
              </w:rPr>
            </w:pPr>
            <w:r>
              <w:rPr>
                <w:rFonts w:cs="Arial"/>
                <w:color w:val="000000"/>
                <w:szCs w:val="20"/>
              </w:rPr>
              <w:t>Wave 7 Low</w:t>
            </w:r>
          </w:p>
        </w:tc>
        <w:tc>
          <w:tcPr>
            <w:tcW w:w="924" w:type="pct"/>
          </w:tcPr>
          <w:p w14:paraId="1896DF65"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June 2014</w:t>
            </w:r>
          </w:p>
        </w:tc>
        <w:tc>
          <w:tcPr>
            <w:tcW w:w="832" w:type="pct"/>
          </w:tcPr>
          <w:p w14:paraId="6F04D6EB"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924" w:type="pct"/>
          </w:tcPr>
          <w:p w14:paraId="27B5DC2D"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1118" w:type="pct"/>
          </w:tcPr>
          <w:p w14:paraId="3C409289" w14:textId="3766C5FC" w:rsidR="00165E29"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r>
      <w:tr w:rsidR="00165E29" w:rsidRPr="00CB6B1B" w14:paraId="2103FF3E" w14:textId="14427128" w:rsidTr="00165E29">
        <w:tc>
          <w:tcPr>
            <w:cnfStyle w:val="001000000000" w:firstRow="0" w:lastRow="0" w:firstColumn="1" w:lastColumn="0" w:oddVBand="0" w:evenVBand="0" w:oddHBand="0" w:evenHBand="0" w:firstRowFirstColumn="0" w:firstRowLastColumn="0" w:lastRowFirstColumn="0" w:lastRowLastColumn="0"/>
            <w:tcW w:w="1203" w:type="pct"/>
          </w:tcPr>
          <w:p w14:paraId="6A6EAB5B" w14:textId="77777777" w:rsidR="00165E29" w:rsidRPr="00C67F44" w:rsidRDefault="00165E29" w:rsidP="00165E29">
            <w:pPr>
              <w:keepNext/>
              <w:keepLines/>
              <w:rPr>
                <w:rFonts w:cs="Arial"/>
                <w:color w:val="000000"/>
                <w:szCs w:val="20"/>
              </w:rPr>
            </w:pPr>
            <w:r>
              <w:rPr>
                <w:rFonts w:cs="Arial"/>
                <w:color w:val="000000"/>
                <w:szCs w:val="20"/>
              </w:rPr>
              <w:t>Wave 7 High</w:t>
            </w:r>
          </w:p>
        </w:tc>
        <w:tc>
          <w:tcPr>
            <w:tcW w:w="924" w:type="pct"/>
          </w:tcPr>
          <w:p w14:paraId="32B0AABC"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June 2014</w:t>
            </w:r>
          </w:p>
        </w:tc>
        <w:tc>
          <w:tcPr>
            <w:tcW w:w="832" w:type="pct"/>
          </w:tcPr>
          <w:p w14:paraId="3E92BE9F"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924" w:type="pct"/>
          </w:tcPr>
          <w:p w14:paraId="1EA7A8D0" w14:textId="77777777" w:rsidR="00165E29" w:rsidRPr="00C67F44"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1118" w:type="pct"/>
          </w:tcPr>
          <w:p w14:paraId="53FBC7C6" w14:textId="7CC62DA2" w:rsidR="00165E29" w:rsidRDefault="00165E29" w:rsidP="00165E29">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r>
    </w:tbl>
    <w:p w14:paraId="4F0F596B" w14:textId="352D5E3B" w:rsidR="009330F5" w:rsidRDefault="009330F5" w:rsidP="000107B5">
      <w:pPr>
        <w:pStyle w:val="Source"/>
      </w:pPr>
      <w:r>
        <w:t>Source: Opower implementation data</w:t>
      </w:r>
    </w:p>
    <w:p w14:paraId="4F3A6D64" w14:textId="1E48C2D0" w:rsidR="00165E29" w:rsidRPr="00165E29" w:rsidRDefault="00165E29" w:rsidP="000107B5">
      <w:pPr>
        <w:pStyle w:val="Source"/>
        <w:rPr>
          <w:i w:val="0"/>
        </w:rPr>
      </w:pPr>
      <w:r>
        <w:rPr>
          <w:i w:val="0"/>
        </w:rPr>
        <w:t>Note: CR refer</w:t>
      </w:r>
      <w:r w:rsidR="00A670BD">
        <w:rPr>
          <w:i w:val="0"/>
        </w:rPr>
        <w:t>s to</w:t>
      </w:r>
      <w:r>
        <w:rPr>
          <w:i w:val="0"/>
        </w:rPr>
        <w:t xml:space="preserve"> </w:t>
      </w:r>
      <w:r w:rsidR="00BE73BD">
        <w:rPr>
          <w:i w:val="0"/>
        </w:rPr>
        <w:t>continued r</w:t>
      </w:r>
      <w:r>
        <w:rPr>
          <w:i w:val="0"/>
        </w:rPr>
        <w:t>eport, LR refer</w:t>
      </w:r>
      <w:r w:rsidR="00A670BD">
        <w:rPr>
          <w:i w:val="0"/>
        </w:rPr>
        <w:t>s to lapsed report, and TR refers to</w:t>
      </w:r>
      <w:r>
        <w:rPr>
          <w:i w:val="0"/>
        </w:rPr>
        <w:t xml:space="preserve"> terminated report</w:t>
      </w:r>
      <w:r w:rsidR="00BE73BD">
        <w:rPr>
          <w:i w:val="0"/>
        </w:rPr>
        <w:t>.</w:t>
      </w:r>
    </w:p>
    <w:p w14:paraId="0A2A9ABE" w14:textId="77777777" w:rsidR="009330F5" w:rsidRDefault="009330F5" w:rsidP="009330F5"/>
    <w:p w14:paraId="43C4375F" w14:textId="31E5B37E" w:rsidR="009330F5" w:rsidRPr="007A5A19" w:rsidRDefault="003F3FAA" w:rsidP="009330F5">
      <w:r>
        <w:lastRenderedPageBreak/>
        <w:t xml:space="preserve">The current study looks at persistence savings from this program that accrued in the year after reports were stopped, November 2013 to October 2014, for each of these three </w:t>
      </w:r>
      <w:r w:rsidR="00A670BD">
        <w:t xml:space="preserve">TR </w:t>
      </w:r>
      <w:r>
        <w:t>groups.</w:t>
      </w:r>
      <w:r w:rsidRPr="00356E69">
        <w:t xml:space="preserve"> </w:t>
      </w:r>
      <w:r w:rsidR="00165E29">
        <w:t xml:space="preserve">The persistence, decay, and measure life will be calculated by comparing the TR group from each wave to the continued report (CR) group for each wave. </w:t>
      </w:r>
      <w:r>
        <w:t>Over the past several years there has been a growing interest in the persistence of savings from HER programs after reports have been stopped. If savings persist after the cessation of reports, it has important implications for the lifetime measure savings and cost-effectiveness of HER programs. The current rule of thumb for electric programs is that the savings decay approximately 20 percent in the first year after reports are stopped.</w:t>
      </w:r>
      <w:bookmarkEnd w:id="4"/>
      <w:r w:rsidR="006941A5">
        <w:rPr>
          <w:rStyle w:val="FootnoteReference"/>
        </w:rPr>
        <w:footnoteReference w:id="2"/>
      </w:r>
    </w:p>
    <w:p w14:paraId="6F15FA40" w14:textId="6B2510A1" w:rsidR="009330F5" w:rsidRDefault="009330F5" w:rsidP="009330F5">
      <w:pPr>
        <w:pStyle w:val="Heading8"/>
      </w:pPr>
      <w:bookmarkStart w:id="7" w:name="_Toc441751870"/>
      <w:r w:rsidRPr="007A5A19">
        <w:t>S</w:t>
      </w:r>
      <w:r w:rsidR="006941A5">
        <w:t>tudy Savings:</w:t>
      </w:r>
      <w:r w:rsidRPr="007A5A19">
        <w:t xml:space="preserve"> </w:t>
      </w:r>
      <w:r>
        <w:t>November 2013 – October 2014</w:t>
      </w:r>
      <w:bookmarkEnd w:id="7"/>
    </w:p>
    <w:p w14:paraId="392E5ED0" w14:textId="635B1E07" w:rsidR="009330F5" w:rsidRDefault="009330F5" w:rsidP="00A371A3">
      <w:r>
        <w:fldChar w:fldCharType="begin"/>
      </w:r>
      <w:r>
        <w:instrText xml:space="preserve"> REF _Ref440980970 \h </w:instrText>
      </w:r>
      <w:r>
        <w:fldChar w:fldCharType="separate"/>
      </w:r>
      <w:r w:rsidR="00E4410B">
        <w:t>Table E-</w:t>
      </w:r>
      <w:r w:rsidR="00E4410B">
        <w:rPr>
          <w:noProof/>
        </w:rPr>
        <w:t>2</w:t>
      </w:r>
      <w:r>
        <w:fldChar w:fldCharType="end"/>
      </w:r>
      <w:r>
        <w:t xml:space="preserve"> </w:t>
      </w:r>
      <w:r w:rsidRPr="00A90B62">
        <w:t>summarize</w:t>
      </w:r>
      <w:r>
        <w:t>s</w:t>
      </w:r>
      <w:r w:rsidRPr="00A90B62">
        <w:t xml:space="preserve"> the </w:t>
      </w:r>
      <w:r>
        <w:t xml:space="preserve">electric </w:t>
      </w:r>
      <w:r w:rsidRPr="00A90B62">
        <w:t xml:space="preserve">savings from </w:t>
      </w:r>
      <w:r w:rsidRPr="00BE51A6">
        <w:t xml:space="preserve">the </w:t>
      </w:r>
      <w:r w:rsidR="00165E29">
        <w:t xml:space="preserve">CR and TR customers for each of the three relevant waves in the year after reports were stopped for the TR group. </w:t>
      </w:r>
      <w:r w:rsidR="00A371A3">
        <w:t xml:space="preserve">Reports were stopped for the TR customers in </w:t>
      </w:r>
      <w:r w:rsidR="00A670BD">
        <w:t xml:space="preserve">October 2013, thus </w:t>
      </w:r>
      <w:r>
        <w:t xml:space="preserve">this study evaluates savings in the </w:t>
      </w:r>
      <w:r w:rsidR="00DC47CF">
        <w:t xml:space="preserve">analysis </w:t>
      </w:r>
      <w:r>
        <w:t xml:space="preserve">period from </w:t>
      </w:r>
      <w:r w:rsidR="00A371A3">
        <w:t>November</w:t>
      </w:r>
      <w:r>
        <w:t xml:space="preserve"> 1, 201</w:t>
      </w:r>
      <w:r w:rsidR="00A371A3">
        <w:t>3</w:t>
      </w:r>
      <w:r>
        <w:t xml:space="preserve"> to </w:t>
      </w:r>
      <w:r w:rsidR="00A371A3">
        <w:t xml:space="preserve">October </w:t>
      </w:r>
      <w:r>
        <w:t>3</w:t>
      </w:r>
      <w:r w:rsidR="00A371A3">
        <w:t>1</w:t>
      </w:r>
      <w:r>
        <w:t>, 201</w:t>
      </w:r>
      <w:r w:rsidR="00A371A3">
        <w:t>4</w:t>
      </w:r>
      <w:r>
        <w:t xml:space="preserve">. Navigant </w:t>
      </w:r>
      <w:r w:rsidR="00DC47CF">
        <w:t>estimated</w:t>
      </w:r>
      <w:r>
        <w:t xml:space="preserve"> doubl</w:t>
      </w:r>
      <w:r w:rsidR="00DC47CF">
        <w:t>e-counted savings due to uplift in the analysis period but savings from legacy uplift were not estimated; since the analysis period does not line up with a program year Navigant does not have estimates of legacy uplift available for this time period. Navigant did test estimating legacy uplift as the same percentage of current year uplift as was found in the PY7 HER evaluation report</w:t>
      </w:r>
      <w:r w:rsidR="00DC47CF">
        <w:rPr>
          <w:rStyle w:val="FootnoteReference"/>
        </w:rPr>
        <w:footnoteReference w:id="3"/>
      </w:r>
      <w:r w:rsidR="00A670BD">
        <w:t>,</w:t>
      </w:r>
      <w:r w:rsidR="00DC47CF">
        <w:t xml:space="preserve"> but the difference in total savings made a negligible impact on the decay rate and measure life estimation that are the focus of this study, so the adjustment was left out.</w:t>
      </w:r>
    </w:p>
    <w:p w14:paraId="42F82B40" w14:textId="77777777" w:rsidR="009330F5" w:rsidRDefault="009330F5" w:rsidP="009330F5"/>
    <w:p w14:paraId="45A02059" w14:textId="0375EDF1" w:rsidR="009330F5" w:rsidRDefault="009330F5" w:rsidP="004301F4">
      <w:pPr>
        <w:pStyle w:val="Caption"/>
      </w:pPr>
      <w:bookmarkStart w:id="8" w:name="_Ref440980970"/>
      <w:bookmarkStart w:id="9" w:name="_Ref439864040"/>
      <w:bookmarkStart w:id="10" w:name="_Toc440555176"/>
      <w:bookmarkStart w:id="11" w:name="_Toc441751899"/>
      <w:r>
        <w:t>Table E-</w:t>
      </w:r>
      <w:fldSimple w:instr=" SEQ Table_E- \* ARABIC ">
        <w:r w:rsidR="00E4410B">
          <w:rPr>
            <w:noProof/>
          </w:rPr>
          <w:t>2</w:t>
        </w:r>
      </w:fldSimple>
      <w:bookmarkEnd w:id="8"/>
      <w:r>
        <w:t xml:space="preserve">. HER Total Savings from </w:t>
      </w:r>
      <w:r w:rsidR="002920AD">
        <w:t xml:space="preserve">November </w:t>
      </w:r>
      <w:r>
        <w:t>201</w:t>
      </w:r>
      <w:r w:rsidR="002920AD">
        <w:t>3</w:t>
      </w:r>
      <w:r>
        <w:t xml:space="preserve"> – </w:t>
      </w:r>
      <w:r w:rsidR="002920AD">
        <w:t xml:space="preserve">October </w:t>
      </w:r>
      <w:r>
        <w:t>201</w:t>
      </w:r>
      <w:bookmarkEnd w:id="9"/>
      <w:bookmarkEnd w:id="10"/>
      <w:r w:rsidR="002920AD">
        <w:t>4</w:t>
      </w:r>
      <w:bookmarkEnd w:id="11"/>
    </w:p>
    <w:tbl>
      <w:tblPr>
        <w:tblStyle w:val="Style3"/>
        <w:tblW w:w="9983" w:type="dxa"/>
        <w:jc w:val="center"/>
        <w:tblLayout w:type="fixed"/>
        <w:tblLook w:val="04A0" w:firstRow="1" w:lastRow="0" w:firstColumn="1" w:lastColumn="0" w:noHBand="0" w:noVBand="1"/>
      </w:tblPr>
      <w:tblGrid>
        <w:gridCol w:w="2448"/>
        <w:gridCol w:w="1255"/>
        <w:gridCol w:w="1256"/>
        <w:gridCol w:w="1256"/>
        <w:gridCol w:w="1256"/>
        <w:gridCol w:w="1256"/>
        <w:gridCol w:w="1256"/>
      </w:tblGrid>
      <w:tr w:rsidR="00165E29" w:rsidRPr="00B71D78" w14:paraId="6184800C" w14:textId="7785C2CB" w:rsidTr="00143D6B">
        <w:trPr>
          <w:cnfStyle w:val="100000000000" w:firstRow="1" w:lastRow="0" w:firstColumn="0" w:lastColumn="0" w:oddVBand="0" w:evenVBand="0" w:oddHBand="0"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2448" w:type="dxa"/>
            <w:tcBorders>
              <w:bottom w:val="single" w:sz="4" w:space="0" w:color="A29784"/>
              <w:right w:val="nil"/>
            </w:tcBorders>
            <w:hideMark/>
          </w:tcPr>
          <w:p w14:paraId="2B05D7F7" w14:textId="77777777" w:rsidR="00165E29" w:rsidRPr="003C5FC7" w:rsidRDefault="00165E29" w:rsidP="00223B43">
            <w:pPr>
              <w:keepNext/>
              <w:keepLines/>
              <w:jc w:val="left"/>
              <w:rPr>
                <w:rFonts w:ascii="Arial Narrow" w:eastAsia="Calibri" w:hAnsi="Arial Narrow"/>
                <w:sz w:val="20"/>
                <w:szCs w:val="20"/>
              </w:rPr>
            </w:pPr>
            <w:r w:rsidRPr="003C5FC7">
              <w:rPr>
                <w:rFonts w:ascii="Arial Narrow" w:hAnsi="Arial Narrow"/>
                <w:sz w:val="20"/>
                <w:szCs w:val="20"/>
              </w:rPr>
              <w:t>Savings Category</w:t>
            </w:r>
          </w:p>
        </w:tc>
        <w:tc>
          <w:tcPr>
            <w:tcW w:w="1255" w:type="dxa"/>
            <w:tcBorders>
              <w:left w:val="nil"/>
              <w:bottom w:val="single" w:sz="4" w:space="0" w:color="A29784"/>
              <w:right w:val="nil"/>
            </w:tcBorders>
            <w:hideMark/>
          </w:tcPr>
          <w:p w14:paraId="1A3AEC35" w14:textId="6FBAD061" w:rsidR="00165E29" w:rsidRPr="003C5FC7" w:rsidRDefault="00165E29" w:rsidP="00223B43">
            <w:pPr>
              <w:keepNext/>
              <w:keepLines/>
              <w:cnfStyle w:val="100000000000" w:firstRow="1" w:lastRow="0" w:firstColumn="0" w:lastColumn="0" w:oddVBand="0" w:evenVBand="0" w:oddHBand="0" w:evenHBand="0" w:firstRowFirstColumn="0" w:firstRowLastColumn="0" w:lastRowFirstColumn="0" w:lastRowLastColumn="0"/>
              <w:rPr>
                <w:rFonts w:ascii="Arial Narrow" w:eastAsia="Calibri" w:hAnsi="Arial Narrow"/>
                <w:sz w:val="20"/>
                <w:szCs w:val="20"/>
              </w:rPr>
            </w:pPr>
            <w:r w:rsidRPr="003C5FC7">
              <w:rPr>
                <w:rFonts w:ascii="Arial Narrow" w:hAnsi="Arial Narrow"/>
                <w:sz w:val="20"/>
                <w:szCs w:val="20"/>
              </w:rPr>
              <w:t>Wave 1 CR</w:t>
            </w:r>
          </w:p>
        </w:tc>
        <w:tc>
          <w:tcPr>
            <w:tcW w:w="1256" w:type="dxa"/>
            <w:tcBorders>
              <w:left w:val="nil"/>
              <w:bottom w:val="single" w:sz="4" w:space="0" w:color="A29784"/>
              <w:right w:val="nil"/>
            </w:tcBorders>
          </w:tcPr>
          <w:p w14:paraId="4058EA0C" w14:textId="08AF2173" w:rsidR="00165E29" w:rsidRPr="003C5FC7" w:rsidRDefault="00165E29" w:rsidP="00223B43">
            <w:pPr>
              <w:keepNext/>
              <w:keepLines/>
              <w:cnfStyle w:val="100000000000" w:firstRow="1" w:lastRow="0" w:firstColumn="0" w:lastColumn="0" w:oddVBand="0" w:evenVBand="0" w:oddHBand="0" w:evenHBand="0" w:firstRowFirstColumn="0" w:firstRowLastColumn="0" w:lastRowFirstColumn="0" w:lastRowLastColumn="0"/>
              <w:rPr>
                <w:rFonts w:ascii="Arial Narrow" w:hAnsi="Arial Narrow"/>
                <w:sz w:val="20"/>
                <w:szCs w:val="20"/>
              </w:rPr>
            </w:pPr>
            <w:r w:rsidRPr="003C5FC7">
              <w:rPr>
                <w:rFonts w:ascii="Arial Narrow" w:hAnsi="Arial Narrow"/>
                <w:sz w:val="20"/>
                <w:szCs w:val="20"/>
              </w:rPr>
              <w:t>Wave 1 TR</w:t>
            </w:r>
          </w:p>
        </w:tc>
        <w:tc>
          <w:tcPr>
            <w:tcW w:w="1256" w:type="dxa"/>
            <w:tcBorders>
              <w:left w:val="nil"/>
              <w:bottom w:val="single" w:sz="4" w:space="0" w:color="A29784"/>
              <w:right w:val="nil"/>
            </w:tcBorders>
          </w:tcPr>
          <w:p w14:paraId="42C4AF4D" w14:textId="3AF059D4" w:rsidR="00165E29" w:rsidRPr="003C5FC7" w:rsidRDefault="00165E29" w:rsidP="00223B43">
            <w:pPr>
              <w:keepNext/>
              <w:keepLines/>
              <w:cnfStyle w:val="100000000000" w:firstRow="1" w:lastRow="0" w:firstColumn="0" w:lastColumn="0" w:oddVBand="0" w:evenVBand="0" w:oddHBand="0" w:evenHBand="0" w:firstRowFirstColumn="0" w:firstRowLastColumn="0" w:lastRowFirstColumn="0" w:lastRowLastColumn="0"/>
              <w:rPr>
                <w:rFonts w:ascii="Arial Narrow" w:hAnsi="Arial Narrow"/>
                <w:sz w:val="20"/>
                <w:szCs w:val="20"/>
              </w:rPr>
            </w:pPr>
            <w:r w:rsidRPr="003C5FC7">
              <w:rPr>
                <w:rFonts w:ascii="Arial Narrow" w:hAnsi="Arial Narrow"/>
                <w:sz w:val="20"/>
                <w:szCs w:val="20"/>
              </w:rPr>
              <w:t>Wave 3 CR</w:t>
            </w:r>
          </w:p>
        </w:tc>
        <w:tc>
          <w:tcPr>
            <w:tcW w:w="1256" w:type="dxa"/>
            <w:tcBorders>
              <w:left w:val="nil"/>
              <w:bottom w:val="single" w:sz="4" w:space="0" w:color="A29784"/>
              <w:right w:val="nil"/>
            </w:tcBorders>
          </w:tcPr>
          <w:p w14:paraId="3E8744C3" w14:textId="4BE58D1C" w:rsidR="00165E29" w:rsidRPr="003C5FC7" w:rsidRDefault="00165E29" w:rsidP="00223B43">
            <w:pPr>
              <w:keepNext/>
              <w:keepLines/>
              <w:cnfStyle w:val="100000000000" w:firstRow="1" w:lastRow="0" w:firstColumn="0" w:lastColumn="0" w:oddVBand="0" w:evenVBand="0" w:oddHBand="0" w:evenHBand="0" w:firstRowFirstColumn="0" w:firstRowLastColumn="0" w:lastRowFirstColumn="0" w:lastRowLastColumn="0"/>
              <w:rPr>
                <w:rFonts w:ascii="Arial Narrow" w:hAnsi="Arial Narrow"/>
                <w:sz w:val="20"/>
                <w:szCs w:val="20"/>
              </w:rPr>
            </w:pPr>
            <w:r w:rsidRPr="003C5FC7">
              <w:rPr>
                <w:rFonts w:ascii="Arial Narrow" w:hAnsi="Arial Narrow"/>
                <w:sz w:val="20"/>
                <w:szCs w:val="20"/>
              </w:rPr>
              <w:t>Wave 3 TR</w:t>
            </w:r>
          </w:p>
        </w:tc>
        <w:tc>
          <w:tcPr>
            <w:tcW w:w="1256" w:type="dxa"/>
            <w:tcBorders>
              <w:left w:val="nil"/>
              <w:bottom w:val="single" w:sz="4" w:space="0" w:color="A29784"/>
              <w:right w:val="nil"/>
            </w:tcBorders>
          </w:tcPr>
          <w:p w14:paraId="027E9AE9" w14:textId="3CE84707" w:rsidR="00165E29" w:rsidRPr="003C5FC7" w:rsidRDefault="00165E29" w:rsidP="00223B43">
            <w:pPr>
              <w:keepNext/>
              <w:keepLines/>
              <w:cnfStyle w:val="100000000000" w:firstRow="1" w:lastRow="0" w:firstColumn="0" w:lastColumn="0" w:oddVBand="0" w:evenVBand="0" w:oddHBand="0" w:evenHBand="0" w:firstRowFirstColumn="0" w:firstRowLastColumn="0" w:lastRowFirstColumn="0" w:lastRowLastColumn="0"/>
              <w:rPr>
                <w:rFonts w:ascii="Arial Narrow" w:hAnsi="Arial Narrow"/>
                <w:sz w:val="20"/>
                <w:szCs w:val="20"/>
              </w:rPr>
            </w:pPr>
            <w:r w:rsidRPr="003C5FC7">
              <w:rPr>
                <w:rFonts w:ascii="Arial Narrow" w:hAnsi="Arial Narrow"/>
                <w:sz w:val="20"/>
                <w:szCs w:val="20"/>
              </w:rPr>
              <w:t>Wave 5 Non-AMI CR</w:t>
            </w:r>
          </w:p>
        </w:tc>
        <w:tc>
          <w:tcPr>
            <w:tcW w:w="1256" w:type="dxa"/>
            <w:tcBorders>
              <w:left w:val="nil"/>
            </w:tcBorders>
          </w:tcPr>
          <w:p w14:paraId="618EEA5E" w14:textId="520D1243" w:rsidR="00165E29" w:rsidRPr="003C5FC7" w:rsidRDefault="00165E29" w:rsidP="00223B43">
            <w:pPr>
              <w:keepNext/>
              <w:keepLines/>
              <w:cnfStyle w:val="100000000000" w:firstRow="1" w:lastRow="0" w:firstColumn="0" w:lastColumn="0" w:oddVBand="0" w:evenVBand="0" w:oddHBand="0" w:evenHBand="0" w:firstRowFirstColumn="0" w:firstRowLastColumn="0" w:lastRowFirstColumn="0" w:lastRowLastColumn="0"/>
              <w:rPr>
                <w:rFonts w:ascii="Arial Narrow" w:hAnsi="Arial Narrow"/>
                <w:sz w:val="20"/>
                <w:szCs w:val="20"/>
              </w:rPr>
            </w:pPr>
            <w:r w:rsidRPr="003C5FC7">
              <w:rPr>
                <w:rFonts w:ascii="Arial Narrow" w:hAnsi="Arial Narrow"/>
                <w:sz w:val="20"/>
                <w:szCs w:val="20"/>
              </w:rPr>
              <w:t>Wave 5 Non-AMI TR</w:t>
            </w:r>
          </w:p>
        </w:tc>
      </w:tr>
      <w:tr w:rsidR="00CF61BE" w:rsidRPr="0014550C" w14:paraId="00BEA50C" w14:textId="77777777" w:rsidTr="00143D6B">
        <w:trPr>
          <w:trHeight w:val="315"/>
          <w:jc w:val="center"/>
        </w:trPr>
        <w:tc>
          <w:tcPr>
            <w:cnfStyle w:val="001000000000" w:firstRow="0" w:lastRow="0" w:firstColumn="1" w:lastColumn="0" w:oddVBand="0" w:evenVBand="0" w:oddHBand="0" w:evenHBand="0" w:firstRowFirstColumn="0" w:firstRowLastColumn="0" w:lastRowFirstColumn="0" w:lastRowLastColumn="0"/>
            <w:tcW w:w="2448" w:type="dxa"/>
            <w:tcBorders>
              <w:top w:val="single" w:sz="4" w:space="0" w:color="A29784"/>
              <w:right w:val="nil"/>
            </w:tcBorders>
            <w:noWrap/>
          </w:tcPr>
          <w:p w14:paraId="6C73DD01" w14:textId="06139BB2" w:rsidR="00CF61BE" w:rsidRPr="008972A7" w:rsidRDefault="00CF61BE" w:rsidP="00CF61BE">
            <w:pPr>
              <w:keepNext/>
              <w:keepLines/>
              <w:rPr>
                <w:rFonts w:ascii="Arial Narrow" w:hAnsi="Arial Narrow"/>
                <w:sz w:val="20"/>
                <w:szCs w:val="20"/>
              </w:rPr>
            </w:pPr>
            <w:r w:rsidRPr="008972A7">
              <w:rPr>
                <w:rFonts w:ascii="Arial Narrow" w:hAnsi="Arial Narrow"/>
                <w:sz w:val="20"/>
                <w:szCs w:val="20"/>
              </w:rPr>
              <w:t>Number of Participants</w:t>
            </w:r>
          </w:p>
        </w:tc>
        <w:tc>
          <w:tcPr>
            <w:tcW w:w="1255" w:type="dxa"/>
            <w:tcBorders>
              <w:top w:val="single" w:sz="4" w:space="0" w:color="A29784"/>
              <w:left w:val="nil"/>
              <w:right w:val="nil"/>
            </w:tcBorders>
            <w:noWrap/>
          </w:tcPr>
          <w:p w14:paraId="33F271AA" w14:textId="4969C6D9" w:rsidR="00CF61BE" w:rsidRPr="008972A7" w:rsidRDefault="00CF61BE" w:rsidP="00CF61BE">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28,915</w:t>
            </w:r>
          </w:p>
        </w:tc>
        <w:tc>
          <w:tcPr>
            <w:tcW w:w="1256" w:type="dxa"/>
            <w:tcBorders>
              <w:top w:val="single" w:sz="4" w:space="0" w:color="A29784"/>
              <w:left w:val="nil"/>
              <w:right w:val="nil"/>
            </w:tcBorders>
          </w:tcPr>
          <w:p w14:paraId="76FF5BCC" w14:textId="29748F51" w:rsidR="00CF61BE" w:rsidRPr="008972A7" w:rsidRDefault="00CF61BE" w:rsidP="00CF61BE">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8,761</w:t>
            </w:r>
          </w:p>
        </w:tc>
        <w:tc>
          <w:tcPr>
            <w:tcW w:w="1256" w:type="dxa"/>
            <w:tcBorders>
              <w:top w:val="single" w:sz="4" w:space="0" w:color="A29784"/>
              <w:left w:val="nil"/>
              <w:right w:val="nil"/>
            </w:tcBorders>
          </w:tcPr>
          <w:p w14:paraId="3D71A788" w14:textId="71355060" w:rsidR="00CF61BE" w:rsidRPr="008972A7" w:rsidRDefault="00CF61BE" w:rsidP="00CF61BE">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179,057</w:t>
            </w:r>
          </w:p>
        </w:tc>
        <w:tc>
          <w:tcPr>
            <w:tcW w:w="1256" w:type="dxa"/>
            <w:tcBorders>
              <w:top w:val="single" w:sz="4" w:space="0" w:color="A29784"/>
              <w:left w:val="nil"/>
              <w:right w:val="nil"/>
            </w:tcBorders>
          </w:tcPr>
          <w:p w14:paraId="4C34E126" w14:textId="73221DB3" w:rsidR="00CF61BE" w:rsidRPr="008972A7" w:rsidRDefault="00CF61BE" w:rsidP="00CF61BE">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9,807</w:t>
            </w:r>
          </w:p>
        </w:tc>
        <w:tc>
          <w:tcPr>
            <w:tcW w:w="1256" w:type="dxa"/>
            <w:tcBorders>
              <w:top w:val="single" w:sz="4" w:space="0" w:color="A29784"/>
              <w:left w:val="nil"/>
              <w:right w:val="nil"/>
            </w:tcBorders>
          </w:tcPr>
          <w:p w14:paraId="23AE595B" w14:textId="1978BC1D" w:rsidR="00CF61BE" w:rsidRPr="008972A7" w:rsidRDefault="00CF61BE" w:rsidP="00CF61BE">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22,701</w:t>
            </w:r>
          </w:p>
        </w:tc>
        <w:tc>
          <w:tcPr>
            <w:tcW w:w="1256" w:type="dxa"/>
            <w:tcBorders>
              <w:left w:val="nil"/>
            </w:tcBorders>
          </w:tcPr>
          <w:p w14:paraId="72A6B6C5" w14:textId="5EE339A8" w:rsidR="00CF61BE" w:rsidRPr="008972A7" w:rsidRDefault="00CF61BE" w:rsidP="00CF61BE">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9,941</w:t>
            </w:r>
          </w:p>
        </w:tc>
      </w:tr>
      <w:tr w:rsidR="00CF61BE" w:rsidRPr="0014550C" w14:paraId="24B4CF75" w14:textId="77777777" w:rsidTr="00143D6B">
        <w:trPr>
          <w:trHeight w:val="315"/>
          <w:jc w:val="center"/>
        </w:trPr>
        <w:tc>
          <w:tcPr>
            <w:cnfStyle w:val="001000000000" w:firstRow="0" w:lastRow="0" w:firstColumn="1" w:lastColumn="0" w:oddVBand="0" w:evenVBand="0" w:oddHBand="0" w:evenHBand="0" w:firstRowFirstColumn="0" w:firstRowLastColumn="0" w:lastRowFirstColumn="0" w:lastRowLastColumn="0"/>
            <w:tcW w:w="2448" w:type="dxa"/>
            <w:tcBorders>
              <w:top w:val="single" w:sz="4" w:space="0" w:color="A29784"/>
              <w:right w:val="nil"/>
            </w:tcBorders>
            <w:noWrap/>
          </w:tcPr>
          <w:p w14:paraId="43BF144A" w14:textId="3563CEF4" w:rsidR="00CF61BE" w:rsidRPr="008972A7" w:rsidRDefault="00CF61BE" w:rsidP="00CF61BE">
            <w:pPr>
              <w:keepNext/>
              <w:keepLines/>
              <w:rPr>
                <w:rFonts w:ascii="Arial Narrow" w:hAnsi="Arial Narrow"/>
                <w:sz w:val="20"/>
                <w:szCs w:val="20"/>
              </w:rPr>
            </w:pPr>
            <w:r w:rsidRPr="008972A7">
              <w:rPr>
                <w:rFonts w:ascii="Arial Narrow" w:hAnsi="Arial Narrow"/>
                <w:sz w:val="20"/>
                <w:szCs w:val="20"/>
              </w:rPr>
              <w:t>Sample Size -  Treatment</w:t>
            </w:r>
          </w:p>
        </w:tc>
        <w:tc>
          <w:tcPr>
            <w:tcW w:w="1255" w:type="dxa"/>
            <w:tcBorders>
              <w:top w:val="single" w:sz="4" w:space="0" w:color="A29784"/>
              <w:left w:val="nil"/>
              <w:right w:val="nil"/>
            </w:tcBorders>
            <w:noWrap/>
          </w:tcPr>
          <w:p w14:paraId="147A3D0B" w14:textId="67BAD086" w:rsidR="00CF61BE" w:rsidRPr="008972A7" w:rsidRDefault="00CF61BE" w:rsidP="00CF61BE">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22,450</w:t>
            </w:r>
          </w:p>
        </w:tc>
        <w:tc>
          <w:tcPr>
            <w:tcW w:w="1256" w:type="dxa"/>
            <w:tcBorders>
              <w:top w:val="single" w:sz="4" w:space="0" w:color="A29784"/>
              <w:left w:val="nil"/>
              <w:right w:val="nil"/>
            </w:tcBorders>
          </w:tcPr>
          <w:p w14:paraId="30848086" w14:textId="6920E989" w:rsidR="00CF61BE" w:rsidRPr="008972A7" w:rsidRDefault="00CF61BE" w:rsidP="00CF61BE">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6,861</w:t>
            </w:r>
          </w:p>
        </w:tc>
        <w:tc>
          <w:tcPr>
            <w:tcW w:w="1256" w:type="dxa"/>
            <w:tcBorders>
              <w:top w:val="single" w:sz="4" w:space="0" w:color="A29784"/>
              <w:left w:val="nil"/>
              <w:right w:val="nil"/>
            </w:tcBorders>
          </w:tcPr>
          <w:p w14:paraId="664370FD" w14:textId="1A9188CF" w:rsidR="00CF61BE" w:rsidRPr="008972A7" w:rsidRDefault="00CF61BE" w:rsidP="00CF61BE">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150,504</w:t>
            </w:r>
          </w:p>
        </w:tc>
        <w:tc>
          <w:tcPr>
            <w:tcW w:w="1256" w:type="dxa"/>
            <w:tcBorders>
              <w:top w:val="single" w:sz="4" w:space="0" w:color="A29784"/>
              <w:left w:val="nil"/>
              <w:right w:val="nil"/>
            </w:tcBorders>
          </w:tcPr>
          <w:p w14:paraId="445291B8" w14:textId="3F88418D" w:rsidR="00CF61BE" w:rsidRPr="008972A7" w:rsidRDefault="00CF61BE" w:rsidP="00CF61BE">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8,204</w:t>
            </w:r>
          </w:p>
        </w:tc>
        <w:tc>
          <w:tcPr>
            <w:tcW w:w="1256" w:type="dxa"/>
            <w:tcBorders>
              <w:top w:val="single" w:sz="4" w:space="0" w:color="A29784"/>
              <w:left w:val="nil"/>
              <w:right w:val="nil"/>
            </w:tcBorders>
          </w:tcPr>
          <w:p w14:paraId="2EAD2AB1" w14:textId="7A343465" w:rsidR="00CF61BE" w:rsidRPr="008972A7" w:rsidRDefault="00CF61BE" w:rsidP="00CF61BE">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5,886</w:t>
            </w:r>
          </w:p>
        </w:tc>
        <w:tc>
          <w:tcPr>
            <w:tcW w:w="1256" w:type="dxa"/>
            <w:tcBorders>
              <w:left w:val="nil"/>
            </w:tcBorders>
          </w:tcPr>
          <w:p w14:paraId="444BA2E4" w14:textId="6B3BCC48" w:rsidR="00CF61BE" w:rsidRPr="008972A7" w:rsidRDefault="00CF61BE" w:rsidP="00CF61BE">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5,835</w:t>
            </w:r>
          </w:p>
        </w:tc>
      </w:tr>
      <w:tr w:rsidR="00CF61BE" w:rsidRPr="0014550C" w14:paraId="61C0BFE4" w14:textId="77777777" w:rsidTr="00143D6B">
        <w:trPr>
          <w:trHeight w:val="315"/>
          <w:jc w:val="center"/>
        </w:trPr>
        <w:tc>
          <w:tcPr>
            <w:cnfStyle w:val="001000000000" w:firstRow="0" w:lastRow="0" w:firstColumn="1" w:lastColumn="0" w:oddVBand="0" w:evenVBand="0" w:oddHBand="0" w:evenHBand="0" w:firstRowFirstColumn="0" w:firstRowLastColumn="0" w:lastRowFirstColumn="0" w:lastRowLastColumn="0"/>
            <w:tcW w:w="2448" w:type="dxa"/>
            <w:tcBorders>
              <w:top w:val="single" w:sz="4" w:space="0" w:color="A29784"/>
              <w:right w:val="nil"/>
            </w:tcBorders>
            <w:noWrap/>
          </w:tcPr>
          <w:p w14:paraId="46DC0B94" w14:textId="51072DF9" w:rsidR="00CF61BE" w:rsidRPr="008972A7" w:rsidRDefault="00CF61BE" w:rsidP="00CF61BE">
            <w:pPr>
              <w:keepNext/>
              <w:keepLines/>
              <w:rPr>
                <w:rFonts w:ascii="Arial Narrow" w:hAnsi="Arial Narrow"/>
                <w:sz w:val="20"/>
                <w:szCs w:val="20"/>
              </w:rPr>
            </w:pPr>
            <w:r w:rsidRPr="008972A7">
              <w:rPr>
                <w:rFonts w:ascii="Arial Narrow" w:hAnsi="Arial Narrow"/>
                <w:sz w:val="20"/>
                <w:szCs w:val="20"/>
              </w:rPr>
              <w:t>Sample Size - Control</w:t>
            </w:r>
          </w:p>
        </w:tc>
        <w:tc>
          <w:tcPr>
            <w:tcW w:w="1255" w:type="dxa"/>
            <w:tcBorders>
              <w:top w:val="single" w:sz="4" w:space="0" w:color="A29784"/>
              <w:left w:val="nil"/>
              <w:right w:val="nil"/>
            </w:tcBorders>
            <w:noWrap/>
          </w:tcPr>
          <w:p w14:paraId="02B500EA" w14:textId="0247F76B" w:rsidR="00CF61BE" w:rsidRPr="008972A7" w:rsidRDefault="00CF61BE" w:rsidP="00CF61BE">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27,623</w:t>
            </w:r>
          </w:p>
        </w:tc>
        <w:tc>
          <w:tcPr>
            <w:tcW w:w="1256" w:type="dxa"/>
            <w:tcBorders>
              <w:top w:val="single" w:sz="4" w:space="0" w:color="A29784"/>
              <w:left w:val="nil"/>
              <w:right w:val="nil"/>
            </w:tcBorders>
          </w:tcPr>
          <w:p w14:paraId="74F0C3CE" w14:textId="6B9976A9" w:rsidR="00CF61BE" w:rsidRPr="008972A7" w:rsidRDefault="00CF61BE" w:rsidP="00CF61BE">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w:t>
            </w:r>
          </w:p>
        </w:tc>
        <w:tc>
          <w:tcPr>
            <w:tcW w:w="1256" w:type="dxa"/>
            <w:tcBorders>
              <w:top w:val="single" w:sz="4" w:space="0" w:color="A29784"/>
              <w:left w:val="nil"/>
              <w:right w:val="nil"/>
            </w:tcBorders>
          </w:tcPr>
          <w:p w14:paraId="5394BBE2" w14:textId="7981F1D0" w:rsidR="00CF61BE" w:rsidRPr="008972A7" w:rsidRDefault="00CF61BE" w:rsidP="00CF61BE">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39,272</w:t>
            </w:r>
          </w:p>
        </w:tc>
        <w:tc>
          <w:tcPr>
            <w:tcW w:w="1256" w:type="dxa"/>
            <w:tcBorders>
              <w:top w:val="single" w:sz="4" w:space="0" w:color="A29784"/>
              <w:left w:val="nil"/>
              <w:right w:val="nil"/>
            </w:tcBorders>
          </w:tcPr>
          <w:p w14:paraId="0BF8BC39" w14:textId="2B4C22D1" w:rsidR="00CF61BE" w:rsidRPr="008972A7" w:rsidRDefault="00CF61BE" w:rsidP="00CF61BE">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w:t>
            </w:r>
          </w:p>
        </w:tc>
        <w:tc>
          <w:tcPr>
            <w:tcW w:w="1256" w:type="dxa"/>
            <w:tcBorders>
              <w:top w:val="single" w:sz="4" w:space="0" w:color="A29784"/>
              <w:left w:val="nil"/>
              <w:right w:val="nil"/>
            </w:tcBorders>
          </w:tcPr>
          <w:p w14:paraId="6059987E" w14:textId="187BB8C5" w:rsidR="00CF61BE" w:rsidRPr="008972A7" w:rsidRDefault="00CF61BE" w:rsidP="00CF61BE">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7,403</w:t>
            </w:r>
          </w:p>
        </w:tc>
        <w:tc>
          <w:tcPr>
            <w:tcW w:w="1256" w:type="dxa"/>
            <w:tcBorders>
              <w:left w:val="nil"/>
            </w:tcBorders>
          </w:tcPr>
          <w:p w14:paraId="683C060B" w14:textId="15D9848B" w:rsidR="00CF61BE" w:rsidRPr="008972A7" w:rsidRDefault="00CF61BE" w:rsidP="00CF61BE">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w:t>
            </w:r>
          </w:p>
        </w:tc>
      </w:tr>
      <w:tr w:rsidR="00165E29" w:rsidRPr="0014550C" w14:paraId="3F475950" w14:textId="77777777" w:rsidTr="00143D6B">
        <w:trPr>
          <w:trHeight w:val="315"/>
          <w:jc w:val="center"/>
        </w:trPr>
        <w:tc>
          <w:tcPr>
            <w:cnfStyle w:val="001000000000" w:firstRow="0" w:lastRow="0" w:firstColumn="1" w:lastColumn="0" w:oddVBand="0" w:evenVBand="0" w:oddHBand="0" w:evenHBand="0" w:firstRowFirstColumn="0" w:firstRowLastColumn="0" w:lastRowFirstColumn="0" w:lastRowLastColumn="0"/>
            <w:tcW w:w="2448" w:type="dxa"/>
            <w:tcBorders>
              <w:top w:val="single" w:sz="4" w:space="0" w:color="A29784"/>
              <w:right w:val="nil"/>
            </w:tcBorders>
            <w:noWrap/>
          </w:tcPr>
          <w:p w14:paraId="254C6F75" w14:textId="2F3A20D0" w:rsidR="00165E29" w:rsidRPr="008972A7" w:rsidRDefault="00165E29" w:rsidP="00223B43">
            <w:pPr>
              <w:keepNext/>
              <w:keepLines/>
              <w:rPr>
                <w:rFonts w:ascii="Arial Narrow" w:hAnsi="Arial Narrow"/>
                <w:sz w:val="20"/>
                <w:szCs w:val="20"/>
              </w:rPr>
            </w:pPr>
            <w:r w:rsidRPr="008972A7">
              <w:rPr>
                <w:rFonts w:ascii="Arial Narrow" w:hAnsi="Arial Narrow"/>
                <w:sz w:val="20"/>
                <w:szCs w:val="20"/>
              </w:rPr>
              <w:t>Percentage Savings</w:t>
            </w:r>
          </w:p>
        </w:tc>
        <w:tc>
          <w:tcPr>
            <w:tcW w:w="1255" w:type="dxa"/>
            <w:tcBorders>
              <w:top w:val="single" w:sz="4" w:space="0" w:color="A29784"/>
              <w:left w:val="nil"/>
              <w:right w:val="nil"/>
            </w:tcBorders>
            <w:noWrap/>
          </w:tcPr>
          <w:p w14:paraId="005CAFE1" w14:textId="55B0533D" w:rsidR="00165E29" w:rsidRPr="003C5FC7" w:rsidRDefault="003C5FC7"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sidRPr="003C5FC7">
              <w:rPr>
                <w:rFonts w:ascii="Arial Narrow" w:hAnsi="Arial Narrow"/>
                <w:color w:val="000000"/>
                <w:sz w:val="20"/>
                <w:szCs w:val="20"/>
              </w:rPr>
              <w:t>2.63%</w:t>
            </w:r>
          </w:p>
        </w:tc>
        <w:tc>
          <w:tcPr>
            <w:tcW w:w="1256" w:type="dxa"/>
            <w:tcBorders>
              <w:top w:val="single" w:sz="4" w:space="0" w:color="A29784"/>
              <w:left w:val="nil"/>
              <w:right w:val="nil"/>
            </w:tcBorders>
          </w:tcPr>
          <w:p w14:paraId="7ED3EC14" w14:textId="3BE9EB24" w:rsidR="00165E29" w:rsidRPr="003C5FC7" w:rsidRDefault="003C5FC7"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2.51%</w:t>
            </w:r>
          </w:p>
        </w:tc>
        <w:tc>
          <w:tcPr>
            <w:tcW w:w="1256" w:type="dxa"/>
            <w:tcBorders>
              <w:top w:val="single" w:sz="4" w:space="0" w:color="A29784"/>
              <w:left w:val="nil"/>
              <w:right w:val="nil"/>
            </w:tcBorders>
          </w:tcPr>
          <w:p w14:paraId="2314B4F4" w14:textId="387AAE8D" w:rsidR="00165E29" w:rsidRPr="003C5FC7" w:rsidRDefault="003C5FC7"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2.53%</w:t>
            </w:r>
          </w:p>
        </w:tc>
        <w:tc>
          <w:tcPr>
            <w:tcW w:w="1256" w:type="dxa"/>
            <w:tcBorders>
              <w:top w:val="single" w:sz="4" w:space="0" w:color="A29784"/>
              <w:left w:val="nil"/>
              <w:right w:val="nil"/>
            </w:tcBorders>
          </w:tcPr>
          <w:p w14:paraId="6C6EB5E7" w14:textId="3EF35EAA" w:rsidR="00165E29" w:rsidRPr="003C5FC7" w:rsidRDefault="003C5FC7"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2.47%</w:t>
            </w:r>
          </w:p>
        </w:tc>
        <w:tc>
          <w:tcPr>
            <w:tcW w:w="1256" w:type="dxa"/>
            <w:tcBorders>
              <w:top w:val="single" w:sz="4" w:space="0" w:color="A29784"/>
              <w:left w:val="nil"/>
              <w:right w:val="nil"/>
            </w:tcBorders>
          </w:tcPr>
          <w:p w14:paraId="6E4540C6" w14:textId="64BFCA09" w:rsidR="00165E29" w:rsidRPr="003C5FC7" w:rsidRDefault="003C5FC7"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1.88%</w:t>
            </w:r>
          </w:p>
        </w:tc>
        <w:tc>
          <w:tcPr>
            <w:tcW w:w="1256" w:type="dxa"/>
            <w:tcBorders>
              <w:left w:val="nil"/>
            </w:tcBorders>
          </w:tcPr>
          <w:p w14:paraId="71D2CE75" w14:textId="2CB6A85E" w:rsidR="00165E29" w:rsidRPr="003C5FC7" w:rsidRDefault="003C5FC7"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1.46%</w:t>
            </w:r>
          </w:p>
        </w:tc>
      </w:tr>
      <w:tr w:rsidR="003C5FC7" w:rsidRPr="0014550C" w14:paraId="76445F7F" w14:textId="77777777" w:rsidTr="00143D6B">
        <w:trPr>
          <w:trHeight w:val="315"/>
          <w:jc w:val="center"/>
        </w:trPr>
        <w:tc>
          <w:tcPr>
            <w:cnfStyle w:val="001000000000" w:firstRow="0" w:lastRow="0" w:firstColumn="1" w:lastColumn="0" w:oddVBand="0" w:evenVBand="0" w:oddHBand="0" w:evenHBand="0" w:firstRowFirstColumn="0" w:firstRowLastColumn="0" w:lastRowFirstColumn="0" w:lastRowLastColumn="0"/>
            <w:tcW w:w="2448" w:type="dxa"/>
            <w:tcBorders>
              <w:top w:val="single" w:sz="4" w:space="0" w:color="A29784"/>
              <w:right w:val="nil"/>
            </w:tcBorders>
            <w:noWrap/>
          </w:tcPr>
          <w:p w14:paraId="79EF80FD" w14:textId="6C504355" w:rsidR="003C5FC7" w:rsidRPr="008972A7" w:rsidRDefault="003C5FC7" w:rsidP="00223B43">
            <w:pPr>
              <w:keepNext/>
              <w:keepLines/>
              <w:jc w:val="right"/>
              <w:rPr>
                <w:rFonts w:ascii="Arial Narrow" w:hAnsi="Arial Narrow"/>
                <w:sz w:val="20"/>
                <w:szCs w:val="20"/>
              </w:rPr>
            </w:pPr>
            <w:r w:rsidRPr="008972A7">
              <w:rPr>
                <w:rFonts w:ascii="Arial Narrow" w:hAnsi="Arial Narrow"/>
                <w:i/>
                <w:iCs/>
                <w:color w:val="7F7F7F"/>
                <w:sz w:val="20"/>
                <w:szCs w:val="20"/>
              </w:rPr>
              <w:t xml:space="preserve">     Standard Error</w:t>
            </w:r>
          </w:p>
        </w:tc>
        <w:tc>
          <w:tcPr>
            <w:tcW w:w="1255" w:type="dxa"/>
            <w:tcBorders>
              <w:top w:val="single" w:sz="4" w:space="0" w:color="A29784"/>
              <w:left w:val="nil"/>
              <w:right w:val="nil"/>
            </w:tcBorders>
            <w:noWrap/>
          </w:tcPr>
          <w:p w14:paraId="7434544E" w14:textId="257606A7" w:rsidR="003C5FC7" w:rsidRPr="003C5FC7" w:rsidRDefault="003C5FC7"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i/>
                <w:color w:val="7F7F7F"/>
                <w:sz w:val="20"/>
                <w:szCs w:val="20"/>
              </w:rPr>
            </w:pPr>
            <w:r w:rsidRPr="003C5FC7">
              <w:rPr>
                <w:rFonts w:ascii="Arial Narrow" w:hAnsi="Arial Narrow"/>
                <w:i/>
                <w:color w:val="7F7F7F"/>
                <w:sz w:val="20"/>
                <w:szCs w:val="20"/>
              </w:rPr>
              <w:t>0.25%</w:t>
            </w:r>
          </w:p>
        </w:tc>
        <w:tc>
          <w:tcPr>
            <w:tcW w:w="1256" w:type="dxa"/>
            <w:tcBorders>
              <w:top w:val="single" w:sz="4" w:space="0" w:color="A29784"/>
              <w:left w:val="nil"/>
              <w:right w:val="nil"/>
            </w:tcBorders>
          </w:tcPr>
          <w:p w14:paraId="169331D8" w14:textId="17EE9FF1" w:rsidR="003C5FC7" w:rsidRPr="003C5FC7" w:rsidRDefault="003C5FC7"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i/>
                <w:color w:val="7F7F7F"/>
                <w:sz w:val="20"/>
                <w:szCs w:val="20"/>
              </w:rPr>
            </w:pPr>
            <w:r w:rsidRPr="003C5FC7">
              <w:rPr>
                <w:rFonts w:ascii="Arial Narrow" w:hAnsi="Arial Narrow"/>
                <w:i/>
                <w:color w:val="7F7F7F"/>
                <w:sz w:val="20"/>
                <w:szCs w:val="20"/>
              </w:rPr>
              <w:t>0.39%</w:t>
            </w:r>
          </w:p>
        </w:tc>
        <w:tc>
          <w:tcPr>
            <w:tcW w:w="1256" w:type="dxa"/>
            <w:tcBorders>
              <w:top w:val="single" w:sz="4" w:space="0" w:color="A29784"/>
              <w:left w:val="nil"/>
              <w:right w:val="nil"/>
            </w:tcBorders>
          </w:tcPr>
          <w:p w14:paraId="27EBE889" w14:textId="5587346F" w:rsidR="003C5FC7" w:rsidRPr="003C5FC7" w:rsidRDefault="003C5FC7"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i/>
                <w:color w:val="7F7F7F"/>
                <w:sz w:val="20"/>
                <w:szCs w:val="20"/>
              </w:rPr>
            </w:pPr>
            <w:r w:rsidRPr="003C5FC7">
              <w:rPr>
                <w:rFonts w:ascii="Arial Narrow" w:hAnsi="Arial Narrow"/>
                <w:i/>
                <w:color w:val="7F7F7F"/>
                <w:sz w:val="20"/>
                <w:szCs w:val="20"/>
              </w:rPr>
              <w:t>0.14%</w:t>
            </w:r>
          </w:p>
        </w:tc>
        <w:tc>
          <w:tcPr>
            <w:tcW w:w="1256" w:type="dxa"/>
            <w:tcBorders>
              <w:top w:val="single" w:sz="4" w:space="0" w:color="A29784"/>
              <w:left w:val="nil"/>
              <w:right w:val="nil"/>
            </w:tcBorders>
          </w:tcPr>
          <w:p w14:paraId="2044AB09" w14:textId="19837F85" w:rsidR="003C5FC7" w:rsidRPr="003C5FC7" w:rsidRDefault="003C5FC7"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i/>
                <w:color w:val="7F7F7F"/>
                <w:sz w:val="20"/>
                <w:szCs w:val="20"/>
              </w:rPr>
            </w:pPr>
            <w:r w:rsidRPr="003C5FC7">
              <w:rPr>
                <w:rFonts w:ascii="Arial Narrow" w:hAnsi="Arial Narrow"/>
                <w:i/>
                <w:color w:val="7F7F7F"/>
                <w:sz w:val="20"/>
                <w:szCs w:val="20"/>
              </w:rPr>
              <w:t>0.29%</w:t>
            </w:r>
          </w:p>
        </w:tc>
        <w:tc>
          <w:tcPr>
            <w:tcW w:w="1256" w:type="dxa"/>
            <w:tcBorders>
              <w:top w:val="single" w:sz="4" w:space="0" w:color="A29784"/>
              <w:left w:val="nil"/>
              <w:right w:val="nil"/>
            </w:tcBorders>
          </w:tcPr>
          <w:p w14:paraId="056234E4" w14:textId="7665E39B" w:rsidR="003C5FC7" w:rsidRPr="003C5FC7" w:rsidRDefault="003C5FC7"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i/>
                <w:color w:val="7F7F7F"/>
                <w:sz w:val="20"/>
                <w:szCs w:val="20"/>
              </w:rPr>
            </w:pPr>
            <w:r w:rsidRPr="003C5FC7">
              <w:rPr>
                <w:rFonts w:ascii="Arial Narrow" w:hAnsi="Arial Narrow"/>
                <w:i/>
                <w:color w:val="7F7F7F"/>
                <w:sz w:val="20"/>
                <w:szCs w:val="20"/>
              </w:rPr>
              <w:t>0.43%</w:t>
            </w:r>
          </w:p>
        </w:tc>
        <w:tc>
          <w:tcPr>
            <w:tcW w:w="1256" w:type="dxa"/>
            <w:tcBorders>
              <w:left w:val="nil"/>
            </w:tcBorders>
          </w:tcPr>
          <w:p w14:paraId="2393C048" w14:textId="3DD999C2" w:rsidR="003C5FC7" w:rsidRPr="003C5FC7" w:rsidRDefault="003C5FC7"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i/>
                <w:color w:val="7F7F7F"/>
                <w:sz w:val="20"/>
                <w:szCs w:val="20"/>
              </w:rPr>
            </w:pPr>
            <w:r w:rsidRPr="003C5FC7">
              <w:rPr>
                <w:rFonts w:ascii="Arial Narrow" w:hAnsi="Arial Narrow"/>
                <w:i/>
                <w:color w:val="7F7F7F"/>
                <w:sz w:val="20"/>
                <w:szCs w:val="20"/>
              </w:rPr>
              <w:t>0.43%</w:t>
            </w:r>
          </w:p>
        </w:tc>
      </w:tr>
      <w:tr w:rsidR="003C5FC7" w:rsidRPr="0014550C" w14:paraId="0A112C03" w14:textId="42C20578" w:rsidTr="00143D6B">
        <w:trPr>
          <w:trHeight w:val="315"/>
          <w:jc w:val="center"/>
        </w:trPr>
        <w:tc>
          <w:tcPr>
            <w:cnfStyle w:val="001000000000" w:firstRow="0" w:lastRow="0" w:firstColumn="1" w:lastColumn="0" w:oddVBand="0" w:evenVBand="0" w:oddHBand="0" w:evenHBand="0" w:firstRowFirstColumn="0" w:firstRowLastColumn="0" w:lastRowFirstColumn="0" w:lastRowLastColumn="0"/>
            <w:tcW w:w="2448" w:type="dxa"/>
            <w:tcBorders>
              <w:top w:val="single" w:sz="4" w:space="0" w:color="A29784"/>
              <w:right w:val="nil"/>
            </w:tcBorders>
            <w:noWrap/>
            <w:hideMark/>
          </w:tcPr>
          <w:p w14:paraId="3331418C" w14:textId="3809F6C3" w:rsidR="003C5FC7" w:rsidRPr="003C5FC7" w:rsidRDefault="003C5FC7" w:rsidP="00223B43">
            <w:pPr>
              <w:keepNext/>
              <w:keepLines/>
              <w:rPr>
                <w:rFonts w:ascii="Arial Narrow" w:eastAsia="Calibri" w:hAnsi="Arial Narrow"/>
                <w:sz w:val="20"/>
                <w:szCs w:val="20"/>
              </w:rPr>
            </w:pPr>
            <w:r w:rsidRPr="003C5FC7">
              <w:rPr>
                <w:rFonts w:ascii="Arial Narrow" w:hAnsi="Arial Narrow"/>
                <w:color w:val="000000"/>
                <w:sz w:val="20"/>
                <w:szCs w:val="20"/>
              </w:rPr>
              <w:t>Verified Net Savings, Prior to Uplift Adjustment, MWh</w:t>
            </w:r>
            <w:r w:rsidRPr="003C5FC7">
              <w:rPr>
                <w:rFonts w:ascii="Arial Narrow" w:hAnsi="Arial Narrow"/>
                <w:sz w:val="20"/>
                <w:szCs w:val="20"/>
              </w:rPr>
              <w:t>†</w:t>
            </w:r>
          </w:p>
        </w:tc>
        <w:tc>
          <w:tcPr>
            <w:tcW w:w="1255" w:type="dxa"/>
            <w:tcBorders>
              <w:top w:val="single" w:sz="4" w:space="0" w:color="A29784"/>
              <w:left w:val="nil"/>
              <w:right w:val="nil"/>
            </w:tcBorders>
            <w:noWrap/>
          </w:tcPr>
          <w:p w14:paraId="03AC7500" w14:textId="777FB44B" w:rsidR="003C5FC7" w:rsidRPr="003C5FC7" w:rsidRDefault="00240220"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8,710</w:t>
            </w:r>
          </w:p>
        </w:tc>
        <w:tc>
          <w:tcPr>
            <w:tcW w:w="1256" w:type="dxa"/>
            <w:tcBorders>
              <w:top w:val="single" w:sz="4" w:space="0" w:color="A29784"/>
              <w:left w:val="nil"/>
              <w:right w:val="nil"/>
            </w:tcBorders>
          </w:tcPr>
          <w:p w14:paraId="5BFE6550" w14:textId="6BD2226E" w:rsidR="003C5FC7" w:rsidRPr="003C5FC7" w:rsidRDefault="00240220"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2,543</w:t>
            </w:r>
          </w:p>
        </w:tc>
        <w:tc>
          <w:tcPr>
            <w:tcW w:w="1256" w:type="dxa"/>
            <w:tcBorders>
              <w:top w:val="single" w:sz="4" w:space="0" w:color="A29784"/>
              <w:left w:val="nil"/>
              <w:right w:val="nil"/>
            </w:tcBorders>
          </w:tcPr>
          <w:p w14:paraId="4506D37A" w14:textId="79349575" w:rsidR="003C5FC7" w:rsidRPr="003C5FC7" w:rsidRDefault="00240220"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72,656</w:t>
            </w:r>
          </w:p>
        </w:tc>
        <w:tc>
          <w:tcPr>
            <w:tcW w:w="1256" w:type="dxa"/>
            <w:tcBorders>
              <w:top w:val="single" w:sz="4" w:space="0" w:color="A29784"/>
              <w:left w:val="nil"/>
              <w:right w:val="nil"/>
            </w:tcBorders>
          </w:tcPr>
          <w:p w14:paraId="6B49FE72" w14:textId="012D82A0" w:rsidR="003C5FC7" w:rsidRPr="003C5FC7" w:rsidRDefault="00EE383D"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3,848</w:t>
            </w:r>
          </w:p>
        </w:tc>
        <w:tc>
          <w:tcPr>
            <w:tcW w:w="1256" w:type="dxa"/>
            <w:tcBorders>
              <w:top w:val="single" w:sz="4" w:space="0" w:color="A29784"/>
              <w:left w:val="nil"/>
              <w:right w:val="nil"/>
            </w:tcBorders>
          </w:tcPr>
          <w:p w14:paraId="5F9D2A6D" w14:textId="6D60EA8A" w:rsidR="003C5FC7" w:rsidRPr="003C5FC7" w:rsidRDefault="00EE383D"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2,995</w:t>
            </w:r>
          </w:p>
        </w:tc>
        <w:tc>
          <w:tcPr>
            <w:tcW w:w="1256" w:type="dxa"/>
            <w:tcBorders>
              <w:left w:val="nil"/>
            </w:tcBorders>
          </w:tcPr>
          <w:p w14:paraId="2858A6F6" w14:textId="75A2976C" w:rsidR="003C5FC7" w:rsidRPr="003C5FC7" w:rsidRDefault="00EE383D"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2,319</w:t>
            </w:r>
          </w:p>
        </w:tc>
      </w:tr>
      <w:tr w:rsidR="003C5FC7" w:rsidRPr="0014550C" w14:paraId="4EB96637" w14:textId="77777777" w:rsidTr="00143D6B">
        <w:trPr>
          <w:trHeight w:val="315"/>
          <w:jc w:val="center"/>
        </w:trPr>
        <w:tc>
          <w:tcPr>
            <w:cnfStyle w:val="001000000000" w:firstRow="0" w:lastRow="0" w:firstColumn="1" w:lastColumn="0" w:oddVBand="0" w:evenVBand="0" w:oddHBand="0" w:evenHBand="0" w:firstRowFirstColumn="0" w:firstRowLastColumn="0" w:lastRowFirstColumn="0" w:lastRowLastColumn="0"/>
            <w:tcW w:w="2448" w:type="dxa"/>
            <w:tcBorders>
              <w:top w:val="single" w:sz="4" w:space="0" w:color="A29784"/>
              <w:right w:val="nil"/>
            </w:tcBorders>
            <w:noWrap/>
          </w:tcPr>
          <w:p w14:paraId="4A8EF450" w14:textId="5CA8E043" w:rsidR="003C5FC7" w:rsidRPr="003C5FC7" w:rsidRDefault="003C5FC7" w:rsidP="00223B43">
            <w:pPr>
              <w:keepNext/>
              <w:keepLines/>
              <w:jc w:val="right"/>
              <w:rPr>
                <w:rFonts w:ascii="Arial Narrow" w:hAnsi="Arial Narrow"/>
                <w:color w:val="000000"/>
                <w:sz w:val="20"/>
                <w:szCs w:val="20"/>
              </w:rPr>
            </w:pPr>
            <w:r w:rsidRPr="003C5FC7">
              <w:rPr>
                <w:rFonts w:ascii="Arial Narrow" w:hAnsi="Arial Narrow"/>
                <w:i/>
                <w:iCs/>
                <w:color w:val="7F7F7F"/>
                <w:sz w:val="20"/>
                <w:szCs w:val="20"/>
              </w:rPr>
              <w:t>Standard Error</w:t>
            </w:r>
          </w:p>
        </w:tc>
        <w:tc>
          <w:tcPr>
            <w:tcW w:w="1255" w:type="dxa"/>
            <w:tcBorders>
              <w:top w:val="single" w:sz="4" w:space="0" w:color="A29784"/>
              <w:left w:val="nil"/>
              <w:right w:val="nil"/>
            </w:tcBorders>
            <w:noWrap/>
          </w:tcPr>
          <w:p w14:paraId="693F90EE" w14:textId="49F954BE" w:rsidR="003C5FC7" w:rsidRPr="00EE383D" w:rsidRDefault="00240220"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i/>
                <w:color w:val="7F7F7F"/>
                <w:sz w:val="20"/>
                <w:szCs w:val="20"/>
              </w:rPr>
            </w:pPr>
            <w:r w:rsidRPr="00EE383D">
              <w:rPr>
                <w:rFonts w:ascii="Arial Narrow" w:hAnsi="Arial Narrow"/>
                <w:i/>
                <w:color w:val="7F7F7F"/>
                <w:sz w:val="20"/>
                <w:szCs w:val="20"/>
              </w:rPr>
              <w:t>830</w:t>
            </w:r>
          </w:p>
        </w:tc>
        <w:tc>
          <w:tcPr>
            <w:tcW w:w="1256" w:type="dxa"/>
            <w:tcBorders>
              <w:top w:val="single" w:sz="4" w:space="0" w:color="A29784"/>
              <w:left w:val="nil"/>
              <w:right w:val="nil"/>
            </w:tcBorders>
          </w:tcPr>
          <w:p w14:paraId="46A7DB91" w14:textId="71B5F057" w:rsidR="003C5FC7" w:rsidRPr="00EE383D" w:rsidRDefault="00240220"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i/>
                <w:color w:val="7F7F7F"/>
                <w:sz w:val="20"/>
                <w:szCs w:val="20"/>
              </w:rPr>
            </w:pPr>
            <w:r w:rsidRPr="00EE383D">
              <w:rPr>
                <w:rFonts w:ascii="Arial Narrow" w:hAnsi="Arial Narrow"/>
                <w:i/>
                <w:color w:val="7F7F7F"/>
                <w:sz w:val="20"/>
                <w:szCs w:val="20"/>
              </w:rPr>
              <w:t>391</w:t>
            </w:r>
          </w:p>
        </w:tc>
        <w:tc>
          <w:tcPr>
            <w:tcW w:w="1256" w:type="dxa"/>
            <w:tcBorders>
              <w:top w:val="single" w:sz="4" w:space="0" w:color="A29784"/>
              <w:left w:val="nil"/>
              <w:right w:val="nil"/>
            </w:tcBorders>
          </w:tcPr>
          <w:p w14:paraId="309F331A" w14:textId="59341817" w:rsidR="003C5FC7" w:rsidRPr="00EE383D" w:rsidRDefault="00EE383D"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i/>
                <w:color w:val="7F7F7F"/>
                <w:sz w:val="20"/>
                <w:szCs w:val="20"/>
              </w:rPr>
            </w:pPr>
            <w:r w:rsidRPr="00EE383D">
              <w:rPr>
                <w:rFonts w:ascii="Arial Narrow" w:hAnsi="Arial Narrow"/>
                <w:i/>
                <w:color w:val="7F7F7F"/>
                <w:sz w:val="20"/>
                <w:szCs w:val="20"/>
              </w:rPr>
              <w:t>4,018</w:t>
            </w:r>
          </w:p>
        </w:tc>
        <w:tc>
          <w:tcPr>
            <w:tcW w:w="1256" w:type="dxa"/>
            <w:tcBorders>
              <w:top w:val="single" w:sz="4" w:space="0" w:color="A29784"/>
              <w:left w:val="nil"/>
              <w:right w:val="nil"/>
            </w:tcBorders>
          </w:tcPr>
          <w:p w14:paraId="667835B9" w14:textId="49F8EB1F" w:rsidR="003C5FC7" w:rsidRPr="00EE383D" w:rsidRDefault="00EE383D"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i/>
                <w:color w:val="7F7F7F"/>
                <w:sz w:val="20"/>
                <w:szCs w:val="20"/>
              </w:rPr>
            </w:pPr>
            <w:r w:rsidRPr="00EE383D">
              <w:rPr>
                <w:rFonts w:ascii="Arial Narrow" w:hAnsi="Arial Narrow"/>
                <w:i/>
                <w:color w:val="7F7F7F"/>
                <w:sz w:val="20"/>
                <w:szCs w:val="20"/>
              </w:rPr>
              <w:t>451</w:t>
            </w:r>
          </w:p>
        </w:tc>
        <w:tc>
          <w:tcPr>
            <w:tcW w:w="1256" w:type="dxa"/>
            <w:tcBorders>
              <w:top w:val="single" w:sz="4" w:space="0" w:color="A29784"/>
              <w:left w:val="nil"/>
              <w:right w:val="nil"/>
            </w:tcBorders>
          </w:tcPr>
          <w:p w14:paraId="2CB1ECC6" w14:textId="3A12931D" w:rsidR="003C5FC7" w:rsidRPr="00EE383D" w:rsidRDefault="00EE383D"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i/>
                <w:color w:val="7F7F7F"/>
                <w:sz w:val="20"/>
                <w:szCs w:val="20"/>
              </w:rPr>
            </w:pPr>
            <w:r w:rsidRPr="00EE383D">
              <w:rPr>
                <w:rFonts w:ascii="Arial Narrow" w:hAnsi="Arial Narrow"/>
                <w:i/>
                <w:color w:val="7F7F7F"/>
                <w:sz w:val="20"/>
                <w:szCs w:val="20"/>
              </w:rPr>
              <w:t>683</w:t>
            </w:r>
          </w:p>
        </w:tc>
        <w:tc>
          <w:tcPr>
            <w:tcW w:w="1256" w:type="dxa"/>
            <w:tcBorders>
              <w:left w:val="nil"/>
            </w:tcBorders>
          </w:tcPr>
          <w:p w14:paraId="40D5375B" w14:textId="79980CE8" w:rsidR="003C5FC7" w:rsidRPr="00EE383D" w:rsidRDefault="00EE383D"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i/>
                <w:color w:val="7F7F7F"/>
                <w:sz w:val="20"/>
                <w:szCs w:val="20"/>
              </w:rPr>
            </w:pPr>
            <w:r w:rsidRPr="00EE383D">
              <w:rPr>
                <w:rFonts w:ascii="Arial Narrow" w:hAnsi="Arial Narrow"/>
                <w:i/>
                <w:color w:val="7F7F7F"/>
                <w:sz w:val="20"/>
                <w:szCs w:val="20"/>
              </w:rPr>
              <w:t>691</w:t>
            </w:r>
          </w:p>
        </w:tc>
      </w:tr>
      <w:tr w:rsidR="003C5FC7" w:rsidRPr="0014550C" w14:paraId="2D22955B" w14:textId="77777777" w:rsidTr="00143D6B">
        <w:trPr>
          <w:trHeight w:val="315"/>
          <w:jc w:val="center"/>
        </w:trPr>
        <w:tc>
          <w:tcPr>
            <w:cnfStyle w:val="001000000000" w:firstRow="0" w:lastRow="0" w:firstColumn="1" w:lastColumn="0" w:oddVBand="0" w:evenVBand="0" w:oddHBand="0" w:evenHBand="0" w:firstRowFirstColumn="0" w:firstRowLastColumn="0" w:lastRowFirstColumn="0" w:lastRowLastColumn="0"/>
            <w:tcW w:w="2448" w:type="dxa"/>
            <w:tcBorders>
              <w:top w:val="single" w:sz="4" w:space="0" w:color="A29784"/>
              <w:right w:val="nil"/>
            </w:tcBorders>
            <w:noWrap/>
          </w:tcPr>
          <w:p w14:paraId="51FE6290" w14:textId="7762CECE" w:rsidR="003C5FC7" w:rsidRPr="003C5FC7" w:rsidRDefault="003C5FC7" w:rsidP="00223B43">
            <w:pPr>
              <w:keepNext/>
              <w:keepLines/>
              <w:rPr>
                <w:rFonts w:ascii="Arial Narrow" w:hAnsi="Arial Narrow"/>
                <w:sz w:val="20"/>
                <w:szCs w:val="20"/>
              </w:rPr>
            </w:pPr>
            <w:r w:rsidRPr="003C5FC7">
              <w:rPr>
                <w:rFonts w:ascii="Arial Narrow" w:hAnsi="Arial Narrow"/>
                <w:color w:val="000000"/>
                <w:sz w:val="20"/>
                <w:szCs w:val="20"/>
              </w:rPr>
              <w:t xml:space="preserve">Savings Uplift in Other EE Programs in </w:t>
            </w:r>
            <w:r w:rsidR="00EE383D">
              <w:rPr>
                <w:rFonts w:ascii="Arial Narrow" w:hAnsi="Arial Narrow"/>
                <w:color w:val="000000"/>
                <w:sz w:val="20"/>
                <w:szCs w:val="20"/>
              </w:rPr>
              <w:t>Current Year</w:t>
            </w:r>
            <w:r w:rsidRPr="003C5FC7">
              <w:rPr>
                <w:rFonts w:ascii="Arial Narrow" w:hAnsi="Arial Narrow"/>
                <w:color w:val="000000"/>
                <w:sz w:val="20"/>
                <w:szCs w:val="20"/>
              </w:rPr>
              <w:t>, MWh</w:t>
            </w:r>
            <w:r w:rsidRPr="003C5FC7">
              <w:rPr>
                <w:rFonts w:ascii="Arial Narrow" w:hAnsi="Arial Narrow"/>
                <w:sz w:val="20"/>
                <w:szCs w:val="20"/>
              </w:rPr>
              <w:t>‡</w:t>
            </w:r>
          </w:p>
        </w:tc>
        <w:tc>
          <w:tcPr>
            <w:tcW w:w="1255" w:type="dxa"/>
            <w:tcBorders>
              <w:top w:val="single" w:sz="4" w:space="0" w:color="A29784"/>
              <w:left w:val="nil"/>
              <w:right w:val="nil"/>
            </w:tcBorders>
            <w:noWrap/>
          </w:tcPr>
          <w:p w14:paraId="2718108C" w14:textId="24A4A9A7" w:rsidR="003C5FC7" w:rsidRPr="003C5FC7" w:rsidRDefault="00EE383D"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17</w:t>
            </w:r>
          </w:p>
        </w:tc>
        <w:tc>
          <w:tcPr>
            <w:tcW w:w="1256" w:type="dxa"/>
            <w:tcBorders>
              <w:top w:val="single" w:sz="4" w:space="0" w:color="A29784"/>
              <w:left w:val="nil"/>
              <w:right w:val="nil"/>
            </w:tcBorders>
          </w:tcPr>
          <w:p w14:paraId="613F835B" w14:textId="5C0D2609" w:rsidR="003C5FC7" w:rsidRPr="003C5FC7" w:rsidRDefault="00EE383D"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1</w:t>
            </w:r>
          </w:p>
        </w:tc>
        <w:tc>
          <w:tcPr>
            <w:tcW w:w="1256" w:type="dxa"/>
            <w:tcBorders>
              <w:top w:val="single" w:sz="4" w:space="0" w:color="A29784"/>
              <w:left w:val="nil"/>
              <w:right w:val="nil"/>
            </w:tcBorders>
          </w:tcPr>
          <w:p w14:paraId="5C9F123F" w14:textId="7F791436" w:rsidR="003C5FC7" w:rsidRPr="003C5FC7" w:rsidRDefault="00EE383D"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89</w:t>
            </w:r>
          </w:p>
        </w:tc>
        <w:tc>
          <w:tcPr>
            <w:tcW w:w="1256" w:type="dxa"/>
            <w:tcBorders>
              <w:top w:val="single" w:sz="4" w:space="0" w:color="A29784"/>
              <w:left w:val="nil"/>
              <w:right w:val="nil"/>
            </w:tcBorders>
          </w:tcPr>
          <w:p w14:paraId="5D8BF312" w14:textId="63095FDD" w:rsidR="003C5FC7" w:rsidRPr="003C5FC7" w:rsidRDefault="00EE383D"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3</w:t>
            </w:r>
          </w:p>
        </w:tc>
        <w:tc>
          <w:tcPr>
            <w:tcW w:w="1256" w:type="dxa"/>
            <w:tcBorders>
              <w:top w:val="single" w:sz="4" w:space="0" w:color="A29784"/>
              <w:left w:val="nil"/>
              <w:right w:val="nil"/>
            </w:tcBorders>
          </w:tcPr>
          <w:p w14:paraId="5CF8E0DD" w14:textId="79AF920D" w:rsidR="003C5FC7" w:rsidRPr="003C5FC7" w:rsidRDefault="00EE383D"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16</w:t>
            </w:r>
          </w:p>
        </w:tc>
        <w:tc>
          <w:tcPr>
            <w:tcW w:w="1256" w:type="dxa"/>
            <w:tcBorders>
              <w:left w:val="nil"/>
            </w:tcBorders>
          </w:tcPr>
          <w:p w14:paraId="52D76AA1" w14:textId="5F82E4B9" w:rsidR="003C5FC7" w:rsidRPr="003C5FC7" w:rsidRDefault="00EE383D"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-13</w:t>
            </w:r>
          </w:p>
        </w:tc>
      </w:tr>
      <w:tr w:rsidR="003C5FC7" w:rsidRPr="0014550C" w14:paraId="4FF69AC6" w14:textId="77777777" w:rsidTr="00143D6B">
        <w:trPr>
          <w:trHeight w:val="315"/>
          <w:jc w:val="center"/>
        </w:trPr>
        <w:tc>
          <w:tcPr>
            <w:cnfStyle w:val="001000000000" w:firstRow="0" w:lastRow="0" w:firstColumn="1" w:lastColumn="0" w:oddVBand="0" w:evenVBand="0" w:oddHBand="0" w:evenHBand="0" w:firstRowFirstColumn="0" w:firstRowLastColumn="0" w:lastRowFirstColumn="0" w:lastRowLastColumn="0"/>
            <w:tcW w:w="2448" w:type="dxa"/>
            <w:tcBorders>
              <w:top w:val="single" w:sz="4" w:space="0" w:color="A29784"/>
              <w:right w:val="nil"/>
            </w:tcBorders>
            <w:noWrap/>
          </w:tcPr>
          <w:p w14:paraId="07BB516C" w14:textId="268C1EE7" w:rsidR="003C5FC7" w:rsidRPr="003C5FC7" w:rsidRDefault="003C5FC7" w:rsidP="00223B43">
            <w:pPr>
              <w:keepNext/>
              <w:keepLines/>
              <w:rPr>
                <w:rFonts w:ascii="Arial Narrow" w:hAnsi="Arial Narrow"/>
                <w:color w:val="000000"/>
                <w:sz w:val="20"/>
                <w:szCs w:val="20"/>
              </w:rPr>
            </w:pPr>
            <w:r w:rsidRPr="003C5FC7">
              <w:rPr>
                <w:rFonts w:ascii="Arial Narrow" w:hAnsi="Arial Narrow"/>
                <w:color w:val="000000"/>
                <w:sz w:val="20"/>
                <w:szCs w:val="20"/>
              </w:rPr>
              <w:t xml:space="preserve">Verified </w:t>
            </w:r>
            <w:r w:rsidR="00DC47CF">
              <w:rPr>
                <w:rFonts w:ascii="Arial Narrow" w:hAnsi="Arial Narrow"/>
                <w:color w:val="000000"/>
                <w:sz w:val="20"/>
                <w:szCs w:val="20"/>
              </w:rPr>
              <w:t>Net</w:t>
            </w:r>
            <w:r w:rsidRPr="003C5FC7">
              <w:rPr>
                <w:rFonts w:ascii="Arial Narrow" w:hAnsi="Arial Narrow"/>
                <w:color w:val="000000"/>
                <w:sz w:val="20"/>
                <w:szCs w:val="20"/>
              </w:rPr>
              <w:t xml:space="preserve"> Savings, MWh†‡</w:t>
            </w:r>
          </w:p>
        </w:tc>
        <w:tc>
          <w:tcPr>
            <w:tcW w:w="1255" w:type="dxa"/>
            <w:tcBorders>
              <w:top w:val="single" w:sz="4" w:space="0" w:color="A29784"/>
              <w:left w:val="nil"/>
              <w:right w:val="nil"/>
            </w:tcBorders>
            <w:noWrap/>
          </w:tcPr>
          <w:p w14:paraId="382F5482" w14:textId="386DBDA3" w:rsidR="003C5FC7" w:rsidRPr="003C5FC7" w:rsidRDefault="00EE383D"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8,693</w:t>
            </w:r>
          </w:p>
        </w:tc>
        <w:tc>
          <w:tcPr>
            <w:tcW w:w="1256" w:type="dxa"/>
            <w:tcBorders>
              <w:top w:val="single" w:sz="4" w:space="0" w:color="A29784"/>
              <w:left w:val="nil"/>
              <w:right w:val="nil"/>
            </w:tcBorders>
          </w:tcPr>
          <w:p w14:paraId="0AC9C284" w14:textId="6510D980" w:rsidR="003C5FC7" w:rsidRPr="003C5FC7" w:rsidRDefault="00EE383D"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2,542</w:t>
            </w:r>
          </w:p>
        </w:tc>
        <w:tc>
          <w:tcPr>
            <w:tcW w:w="1256" w:type="dxa"/>
            <w:tcBorders>
              <w:top w:val="single" w:sz="4" w:space="0" w:color="A29784"/>
              <w:left w:val="nil"/>
              <w:right w:val="nil"/>
            </w:tcBorders>
          </w:tcPr>
          <w:p w14:paraId="7937F9C6" w14:textId="5274E1AF" w:rsidR="003C5FC7" w:rsidRPr="003C5FC7" w:rsidRDefault="00EE383D"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72,567</w:t>
            </w:r>
          </w:p>
        </w:tc>
        <w:tc>
          <w:tcPr>
            <w:tcW w:w="1256" w:type="dxa"/>
            <w:tcBorders>
              <w:top w:val="single" w:sz="4" w:space="0" w:color="A29784"/>
              <w:left w:val="nil"/>
              <w:right w:val="nil"/>
            </w:tcBorders>
          </w:tcPr>
          <w:p w14:paraId="73760721" w14:textId="6902DCC6" w:rsidR="003C5FC7" w:rsidRPr="003C5FC7" w:rsidRDefault="00EE383D"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3,845</w:t>
            </w:r>
          </w:p>
        </w:tc>
        <w:tc>
          <w:tcPr>
            <w:tcW w:w="1256" w:type="dxa"/>
            <w:tcBorders>
              <w:top w:val="single" w:sz="4" w:space="0" w:color="A29784"/>
              <w:left w:val="nil"/>
              <w:right w:val="nil"/>
            </w:tcBorders>
          </w:tcPr>
          <w:p w14:paraId="11FC73E7" w14:textId="2DDC8ED8" w:rsidR="003C5FC7" w:rsidRPr="003C5FC7" w:rsidRDefault="00EE383D"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2,979</w:t>
            </w:r>
          </w:p>
        </w:tc>
        <w:tc>
          <w:tcPr>
            <w:tcW w:w="1256" w:type="dxa"/>
            <w:tcBorders>
              <w:left w:val="nil"/>
            </w:tcBorders>
          </w:tcPr>
          <w:p w14:paraId="1CF72296" w14:textId="0160B210" w:rsidR="003C5FC7" w:rsidRPr="003C5FC7" w:rsidRDefault="00EE383D" w:rsidP="00223B43">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2,332</w:t>
            </w:r>
          </w:p>
        </w:tc>
      </w:tr>
    </w:tbl>
    <w:p w14:paraId="4FD22C9B" w14:textId="71B5770D" w:rsidR="009330F5" w:rsidRDefault="009330F5" w:rsidP="00223B43">
      <w:pPr>
        <w:pStyle w:val="Source"/>
        <w:keepNext/>
      </w:pPr>
      <w:r w:rsidRPr="00651E3A">
        <w:t xml:space="preserve">Source: </w:t>
      </w:r>
      <w:r>
        <w:t>Navigant analysis</w:t>
      </w:r>
    </w:p>
    <w:p w14:paraId="2F3641FC" w14:textId="3D386B00" w:rsidR="003C5FC7" w:rsidRDefault="003C5FC7" w:rsidP="003C5FC7">
      <w:pPr>
        <w:pStyle w:val="GraphFootnote"/>
        <w:keepNext/>
      </w:pPr>
      <w:r w:rsidRPr="00DF2E8A">
        <w:t>†</w:t>
      </w:r>
      <w:r>
        <w:t xml:space="preserve">Total savings are pro-rated for participants that closed their accounts during </w:t>
      </w:r>
      <w:r w:rsidR="00EE383D">
        <w:t>the analysis period</w:t>
      </w:r>
      <w:r>
        <w:t xml:space="preserve">. </w:t>
      </w:r>
    </w:p>
    <w:p w14:paraId="4F8E3D02" w14:textId="77777777" w:rsidR="003C5FC7" w:rsidRDefault="003C5FC7" w:rsidP="003C5FC7">
      <w:pPr>
        <w:pStyle w:val="GraphFootnote"/>
        <w:keepNext/>
      </w:pPr>
      <w:r w:rsidRPr="00461E60">
        <w:t>‡</w:t>
      </w:r>
      <w:r>
        <w:t>Negative double counted savings indicate that the participation rate in the EE program is higher for the control group than the treatment group. This lowers the baseline and underestimates HER program savings.</w:t>
      </w:r>
    </w:p>
    <w:p w14:paraId="59A522D6" w14:textId="1EC7551D" w:rsidR="003C5FC7" w:rsidRPr="003C5FC7" w:rsidRDefault="003C5FC7" w:rsidP="003C5FC7">
      <w:pPr>
        <w:pStyle w:val="Source"/>
        <w:rPr>
          <w:rFonts w:ascii="Arial Narrow" w:hAnsi="Arial Narrow"/>
          <w:i w:val="0"/>
        </w:rPr>
      </w:pPr>
      <w:r w:rsidRPr="003C5FC7">
        <w:rPr>
          <w:rFonts w:ascii="Arial Narrow" w:hAnsi="Arial Narrow"/>
          <w:i w:val="0"/>
          <w:color w:val="000000"/>
        </w:rPr>
        <w:t>†‡</w:t>
      </w:r>
      <w:r w:rsidRPr="003C5FC7">
        <w:rPr>
          <w:rFonts w:ascii="Arial Narrow" w:hAnsi="Arial Narrow"/>
          <w:i w:val="0"/>
        </w:rPr>
        <w:t xml:space="preserve"> Gross savings adjusted for savings uplift are equal to gross savings less the uplift of savings in other EE programs.</w:t>
      </w:r>
    </w:p>
    <w:p w14:paraId="249DDB76" w14:textId="0C4B3007" w:rsidR="00B72C5C" w:rsidRDefault="00B72C5C" w:rsidP="00B72C5C">
      <w:pPr>
        <w:pStyle w:val="Heading8"/>
      </w:pPr>
      <w:bookmarkStart w:id="12" w:name="_Toc440555149"/>
      <w:bookmarkStart w:id="13" w:name="_Toc441751871"/>
      <w:r>
        <w:lastRenderedPageBreak/>
        <w:t>Annual Savings Decay Rate</w:t>
      </w:r>
      <w:bookmarkEnd w:id="12"/>
      <w:bookmarkEnd w:id="13"/>
    </w:p>
    <w:p w14:paraId="56F91682" w14:textId="10496D5A" w:rsidR="00B72C5C" w:rsidRDefault="00B72C5C" w:rsidP="00B72C5C">
      <w:pPr>
        <w:pStyle w:val="FootnoteText"/>
        <w:rPr>
          <w:sz w:val="20"/>
        </w:rPr>
      </w:pPr>
      <w:r w:rsidRPr="00C750CB">
        <w:rPr>
          <w:sz w:val="22"/>
        </w:rPr>
        <w:fldChar w:fldCharType="begin"/>
      </w:r>
      <w:r w:rsidRPr="00C750CB">
        <w:rPr>
          <w:sz w:val="22"/>
        </w:rPr>
        <w:instrText xml:space="preserve"> REF _Ref440553851 \h </w:instrText>
      </w:r>
      <w:r>
        <w:rPr>
          <w:sz w:val="22"/>
        </w:rPr>
        <w:instrText xml:space="preserve"> \* MERGEFORMAT </w:instrText>
      </w:r>
      <w:r w:rsidRPr="00C750CB">
        <w:rPr>
          <w:sz w:val="22"/>
        </w:rPr>
      </w:r>
      <w:r w:rsidRPr="00C750CB">
        <w:rPr>
          <w:sz w:val="22"/>
        </w:rPr>
        <w:fldChar w:fldCharType="separate"/>
      </w:r>
      <w:r w:rsidR="00E4410B" w:rsidRPr="00E4410B">
        <w:rPr>
          <w:sz w:val="20"/>
        </w:rPr>
        <w:t>Table E-3</w:t>
      </w:r>
      <w:r w:rsidRPr="00C750CB">
        <w:rPr>
          <w:sz w:val="22"/>
        </w:rPr>
        <w:fldChar w:fldCharType="end"/>
      </w:r>
      <w:r>
        <w:rPr>
          <w:sz w:val="20"/>
        </w:rPr>
        <w:t xml:space="preserve"> p</w:t>
      </w:r>
      <w:r w:rsidRPr="00DB2DC8">
        <w:rPr>
          <w:sz w:val="20"/>
        </w:rPr>
        <w:t xml:space="preserve">resents </w:t>
      </w:r>
      <w:r>
        <w:rPr>
          <w:sz w:val="20"/>
        </w:rPr>
        <w:t>the annual decay rate, the lifetime persistence savings, and the measure life for each of the three TR groups in the first year after reports were stopped, November 2013 to October 2014.</w:t>
      </w:r>
      <w:r w:rsidR="00C8619F">
        <w:rPr>
          <w:rStyle w:val="FootnoteReference"/>
          <w:sz w:val="20"/>
        </w:rPr>
        <w:footnoteReference w:id="4"/>
      </w:r>
      <w:r>
        <w:rPr>
          <w:sz w:val="20"/>
        </w:rPr>
        <w:t xml:space="preserve"> </w:t>
      </w:r>
    </w:p>
    <w:p w14:paraId="2CE14E7F" w14:textId="77777777" w:rsidR="00B72C5C" w:rsidRDefault="00B72C5C" w:rsidP="00B72C5C">
      <w:pPr>
        <w:pStyle w:val="FootnoteText"/>
        <w:rPr>
          <w:sz w:val="20"/>
        </w:rPr>
      </w:pPr>
    </w:p>
    <w:p w14:paraId="5A8D2CBC" w14:textId="7AAC95B3" w:rsidR="00B72C5C" w:rsidRDefault="00B72C5C" w:rsidP="004301F4">
      <w:pPr>
        <w:pStyle w:val="Caption"/>
      </w:pPr>
      <w:bookmarkStart w:id="14" w:name="_Ref440553851"/>
      <w:bookmarkStart w:id="15" w:name="_Toc440555177"/>
      <w:bookmarkStart w:id="16" w:name="_Toc441751900"/>
      <w:r>
        <w:t>Table E-</w:t>
      </w:r>
      <w:fldSimple w:instr=" SEQ Table_E- \* ARABIC ">
        <w:r w:rsidR="00E4410B">
          <w:rPr>
            <w:noProof/>
          </w:rPr>
          <w:t>3</w:t>
        </w:r>
      </w:fldSimple>
      <w:bookmarkEnd w:id="14"/>
      <w:r>
        <w:t xml:space="preserve">. HER </w:t>
      </w:r>
      <w:bookmarkEnd w:id="15"/>
      <w:r w:rsidR="00713149">
        <w:t>Persistence Summary</w:t>
      </w:r>
      <w:bookmarkEnd w:id="16"/>
    </w:p>
    <w:tbl>
      <w:tblPr>
        <w:tblStyle w:val="Style3"/>
        <w:tblW w:w="9360" w:type="dxa"/>
        <w:jc w:val="center"/>
        <w:tblLayout w:type="fixed"/>
        <w:tblLook w:val="04A0" w:firstRow="1" w:lastRow="0" w:firstColumn="1" w:lastColumn="0" w:noHBand="0" w:noVBand="1"/>
      </w:tblPr>
      <w:tblGrid>
        <w:gridCol w:w="1898"/>
        <w:gridCol w:w="1718"/>
        <w:gridCol w:w="1718"/>
        <w:gridCol w:w="2013"/>
        <w:gridCol w:w="2013"/>
      </w:tblGrid>
      <w:tr w:rsidR="00353F95" w:rsidRPr="00B71D78" w14:paraId="69294652" w14:textId="4C7537E4" w:rsidTr="00353F95">
        <w:trPr>
          <w:cnfStyle w:val="100000000000" w:firstRow="1" w:lastRow="0" w:firstColumn="0" w:lastColumn="0" w:oddVBand="0" w:evenVBand="0" w:oddHBand="0" w:evenHBand="0" w:firstRowFirstColumn="0" w:firstRowLastColumn="0" w:lastRowFirstColumn="0" w:lastRowLastColumn="0"/>
          <w:trHeight w:val="603"/>
          <w:jc w:val="center"/>
        </w:trPr>
        <w:tc>
          <w:tcPr>
            <w:cnfStyle w:val="001000000000" w:firstRow="0" w:lastRow="0" w:firstColumn="1" w:lastColumn="0" w:oddVBand="0" w:evenVBand="0" w:oddHBand="0" w:evenHBand="0" w:firstRowFirstColumn="0" w:firstRowLastColumn="0" w:lastRowFirstColumn="0" w:lastRowLastColumn="0"/>
            <w:tcW w:w="1898" w:type="dxa"/>
            <w:hideMark/>
          </w:tcPr>
          <w:p w14:paraId="74FA16E3" w14:textId="77777777" w:rsidR="00353F95" w:rsidRPr="00353F95" w:rsidRDefault="00353F95" w:rsidP="00697FC4">
            <w:pPr>
              <w:keepNext/>
              <w:keepLines/>
              <w:jc w:val="left"/>
              <w:rPr>
                <w:rFonts w:ascii="Arial Narrow" w:eastAsia="Calibri" w:hAnsi="Arial Narrow"/>
                <w:sz w:val="20"/>
                <w:szCs w:val="20"/>
              </w:rPr>
            </w:pPr>
            <w:r w:rsidRPr="00353F95">
              <w:rPr>
                <w:rFonts w:ascii="Arial Narrow" w:hAnsi="Arial Narrow" w:cs="Calibri"/>
                <w:bCs/>
                <w:sz w:val="20"/>
                <w:szCs w:val="20"/>
              </w:rPr>
              <w:t>Type of Statistic</w:t>
            </w:r>
          </w:p>
        </w:tc>
        <w:tc>
          <w:tcPr>
            <w:tcW w:w="1718" w:type="dxa"/>
            <w:hideMark/>
          </w:tcPr>
          <w:p w14:paraId="5B01A524" w14:textId="59D7B07F" w:rsidR="00353F95" w:rsidRPr="00713149" w:rsidRDefault="00353F95" w:rsidP="00697FC4">
            <w:pPr>
              <w:keepNext/>
              <w:keepLines/>
              <w:cnfStyle w:val="100000000000" w:firstRow="1" w:lastRow="0" w:firstColumn="0" w:lastColumn="0" w:oddVBand="0" w:evenVBand="0" w:oddHBand="0" w:evenHBand="0" w:firstRowFirstColumn="0" w:firstRowLastColumn="0" w:lastRowFirstColumn="0" w:lastRowLastColumn="0"/>
              <w:rPr>
                <w:rFonts w:ascii="Arial Narrow" w:eastAsia="Calibri" w:hAnsi="Arial Narrow"/>
                <w:sz w:val="20"/>
                <w:szCs w:val="20"/>
              </w:rPr>
            </w:pPr>
            <w:r w:rsidRPr="00713149">
              <w:rPr>
                <w:rFonts w:ascii="Arial Narrow" w:eastAsia="Calibri" w:hAnsi="Arial Narrow"/>
                <w:sz w:val="20"/>
                <w:szCs w:val="20"/>
              </w:rPr>
              <w:t>Wave 1 TR</w:t>
            </w:r>
          </w:p>
        </w:tc>
        <w:tc>
          <w:tcPr>
            <w:tcW w:w="1718" w:type="dxa"/>
          </w:tcPr>
          <w:p w14:paraId="5D2513A9" w14:textId="4E7B9EC7" w:rsidR="00353F95" w:rsidRPr="00713149" w:rsidRDefault="00353F95" w:rsidP="00697FC4">
            <w:pPr>
              <w:keepNext/>
              <w:keepLines/>
              <w:cnfStyle w:val="100000000000" w:firstRow="1" w:lastRow="0" w:firstColumn="0" w:lastColumn="0" w:oddVBand="0" w:evenVBand="0" w:oddHBand="0" w:evenHBand="0" w:firstRowFirstColumn="0" w:firstRowLastColumn="0" w:lastRowFirstColumn="0" w:lastRowLastColumn="0"/>
              <w:rPr>
                <w:rFonts w:ascii="Arial Narrow" w:eastAsia="Calibri" w:hAnsi="Arial Narrow"/>
                <w:sz w:val="20"/>
                <w:szCs w:val="20"/>
              </w:rPr>
            </w:pPr>
            <w:r w:rsidRPr="00713149">
              <w:rPr>
                <w:rFonts w:ascii="Arial Narrow" w:eastAsia="Calibri" w:hAnsi="Arial Narrow"/>
                <w:sz w:val="20"/>
                <w:szCs w:val="20"/>
              </w:rPr>
              <w:t>Wave 3 TR</w:t>
            </w:r>
          </w:p>
        </w:tc>
        <w:tc>
          <w:tcPr>
            <w:tcW w:w="2013" w:type="dxa"/>
          </w:tcPr>
          <w:p w14:paraId="3BBD145C" w14:textId="77872084" w:rsidR="00353F95" w:rsidRPr="00713149" w:rsidRDefault="00353F95" w:rsidP="00697FC4">
            <w:pPr>
              <w:keepNext/>
              <w:keepLines/>
              <w:cnfStyle w:val="100000000000" w:firstRow="1" w:lastRow="0" w:firstColumn="0" w:lastColumn="0" w:oddVBand="0" w:evenVBand="0" w:oddHBand="0" w:evenHBand="0" w:firstRowFirstColumn="0" w:firstRowLastColumn="0" w:lastRowFirstColumn="0" w:lastRowLastColumn="0"/>
              <w:rPr>
                <w:rFonts w:ascii="Arial Narrow" w:eastAsia="Calibri" w:hAnsi="Arial Narrow"/>
                <w:sz w:val="20"/>
                <w:szCs w:val="20"/>
              </w:rPr>
            </w:pPr>
            <w:r w:rsidRPr="00713149">
              <w:rPr>
                <w:rFonts w:ascii="Arial Narrow" w:eastAsia="Calibri" w:hAnsi="Arial Narrow"/>
                <w:sz w:val="20"/>
                <w:szCs w:val="20"/>
              </w:rPr>
              <w:t>Wave 5 Non-AMI TR</w:t>
            </w:r>
          </w:p>
        </w:tc>
        <w:tc>
          <w:tcPr>
            <w:tcW w:w="2013" w:type="dxa"/>
          </w:tcPr>
          <w:p w14:paraId="47EE0DC1" w14:textId="0A5EE8FB" w:rsidR="00353F95" w:rsidRPr="00713149" w:rsidRDefault="00353F95" w:rsidP="00697FC4">
            <w:pPr>
              <w:keepNext/>
              <w:keepLines/>
              <w:cnfStyle w:val="100000000000" w:firstRow="1" w:lastRow="0" w:firstColumn="0" w:lastColumn="0" w:oddVBand="0" w:evenVBand="0" w:oddHBand="0" w:evenHBand="0" w:firstRowFirstColumn="0" w:firstRowLastColumn="0" w:lastRowFirstColumn="0" w:lastRowLastColumn="0"/>
              <w:rPr>
                <w:rFonts w:ascii="Arial Narrow" w:eastAsia="Calibri" w:hAnsi="Arial Narrow"/>
                <w:szCs w:val="20"/>
              </w:rPr>
            </w:pPr>
            <w:r>
              <w:rPr>
                <w:rFonts w:ascii="Arial Narrow" w:eastAsia="Calibri" w:hAnsi="Arial Narrow"/>
                <w:szCs w:val="20"/>
              </w:rPr>
              <w:t>Average</w:t>
            </w:r>
          </w:p>
        </w:tc>
      </w:tr>
      <w:tr w:rsidR="00353F95" w:rsidRPr="0014550C" w14:paraId="6E3D6FD1" w14:textId="12927C7C" w:rsidTr="00353F95">
        <w:trPr>
          <w:trHeight w:val="315"/>
          <w:jc w:val="center"/>
        </w:trPr>
        <w:tc>
          <w:tcPr>
            <w:cnfStyle w:val="001000000000" w:firstRow="0" w:lastRow="0" w:firstColumn="1" w:lastColumn="0" w:oddVBand="0" w:evenVBand="0" w:oddHBand="0" w:evenHBand="0" w:firstRowFirstColumn="0" w:firstRowLastColumn="0" w:lastRowFirstColumn="0" w:lastRowLastColumn="0"/>
            <w:tcW w:w="1898" w:type="dxa"/>
            <w:noWrap/>
            <w:hideMark/>
          </w:tcPr>
          <w:p w14:paraId="6F7B955F" w14:textId="77777777" w:rsidR="00353F95" w:rsidRPr="00713149" w:rsidRDefault="00353F95" w:rsidP="00697FC4">
            <w:pPr>
              <w:keepNext/>
              <w:keepLines/>
              <w:rPr>
                <w:rFonts w:ascii="Arial Narrow" w:eastAsia="Calibri" w:hAnsi="Arial Narrow"/>
                <w:sz w:val="20"/>
                <w:szCs w:val="20"/>
              </w:rPr>
            </w:pPr>
            <w:r w:rsidRPr="00713149">
              <w:rPr>
                <w:rFonts w:ascii="Arial Narrow" w:hAnsi="Arial Narrow" w:cs="Calibri"/>
                <w:color w:val="000000"/>
                <w:sz w:val="20"/>
                <w:szCs w:val="20"/>
              </w:rPr>
              <w:t>Annual Decay Rate</w:t>
            </w:r>
          </w:p>
        </w:tc>
        <w:tc>
          <w:tcPr>
            <w:tcW w:w="1718" w:type="dxa"/>
            <w:noWrap/>
          </w:tcPr>
          <w:p w14:paraId="731E58B1" w14:textId="0C2DF1E7" w:rsidR="00353F95" w:rsidRPr="00713149" w:rsidRDefault="00353F95" w:rsidP="00697FC4">
            <w:pP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sidRPr="00713149">
              <w:rPr>
                <w:rFonts w:ascii="Arial Narrow" w:hAnsi="Arial Narrow"/>
                <w:color w:val="000000"/>
                <w:sz w:val="20"/>
                <w:szCs w:val="20"/>
              </w:rPr>
              <w:t>4.39%</w:t>
            </w:r>
          </w:p>
        </w:tc>
        <w:tc>
          <w:tcPr>
            <w:tcW w:w="1718" w:type="dxa"/>
          </w:tcPr>
          <w:p w14:paraId="51324E8E" w14:textId="59A5D2EE" w:rsidR="00353F95" w:rsidRPr="00713149" w:rsidRDefault="00353F95" w:rsidP="00697FC4">
            <w:pP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20"/>
                <w:szCs w:val="20"/>
              </w:rPr>
            </w:pPr>
            <w:r w:rsidRPr="00713149">
              <w:rPr>
                <w:rFonts w:ascii="Arial Narrow" w:hAnsi="Arial Narrow" w:cs="Calibri"/>
                <w:color w:val="000000"/>
                <w:sz w:val="20"/>
                <w:szCs w:val="20"/>
              </w:rPr>
              <w:t>2.12%</w:t>
            </w:r>
          </w:p>
        </w:tc>
        <w:tc>
          <w:tcPr>
            <w:tcW w:w="2013" w:type="dxa"/>
          </w:tcPr>
          <w:p w14:paraId="546AF8C9" w14:textId="4999CE26" w:rsidR="00353F95" w:rsidRPr="00713149" w:rsidRDefault="00353F95" w:rsidP="00697FC4">
            <w:pP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20"/>
                <w:szCs w:val="20"/>
              </w:rPr>
            </w:pPr>
            <w:r w:rsidRPr="00713149">
              <w:rPr>
                <w:rFonts w:ascii="Arial Narrow" w:hAnsi="Arial Narrow" w:cs="Calibri"/>
                <w:color w:val="000000"/>
                <w:sz w:val="20"/>
                <w:szCs w:val="20"/>
              </w:rPr>
              <w:t>22.43%</w:t>
            </w:r>
          </w:p>
        </w:tc>
        <w:tc>
          <w:tcPr>
            <w:tcW w:w="2013" w:type="dxa"/>
          </w:tcPr>
          <w:p w14:paraId="18BE4C95" w14:textId="761C98F5" w:rsidR="00353F95" w:rsidRPr="00713149" w:rsidRDefault="00353F95" w:rsidP="00697FC4">
            <w:pP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Calibri"/>
                <w:color w:val="000000"/>
                <w:szCs w:val="20"/>
              </w:rPr>
              <w:t>9.64%</w:t>
            </w:r>
          </w:p>
        </w:tc>
      </w:tr>
      <w:tr w:rsidR="00353F95" w:rsidRPr="0014550C" w14:paraId="40645E24" w14:textId="578CB80F" w:rsidTr="00353F95">
        <w:trPr>
          <w:trHeight w:val="315"/>
          <w:jc w:val="center"/>
        </w:trPr>
        <w:tc>
          <w:tcPr>
            <w:cnfStyle w:val="001000000000" w:firstRow="0" w:lastRow="0" w:firstColumn="1" w:lastColumn="0" w:oddVBand="0" w:evenVBand="0" w:oddHBand="0" w:evenHBand="0" w:firstRowFirstColumn="0" w:firstRowLastColumn="0" w:lastRowFirstColumn="0" w:lastRowLastColumn="0"/>
            <w:tcW w:w="1898" w:type="dxa"/>
            <w:noWrap/>
          </w:tcPr>
          <w:p w14:paraId="45F785F5" w14:textId="35430CF0" w:rsidR="00353F95" w:rsidRPr="00713149" w:rsidRDefault="00353F95" w:rsidP="00713149">
            <w:pPr>
              <w:keepNext/>
              <w:keepLines/>
              <w:rPr>
                <w:rFonts w:ascii="Arial Narrow" w:hAnsi="Arial Narrow"/>
                <w:sz w:val="20"/>
                <w:szCs w:val="20"/>
              </w:rPr>
            </w:pPr>
            <w:r w:rsidRPr="00713149">
              <w:rPr>
                <w:rFonts w:ascii="Arial Narrow" w:hAnsi="Arial Narrow" w:cs="Calibri"/>
                <w:color w:val="000000"/>
                <w:sz w:val="20"/>
                <w:szCs w:val="20"/>
              </w:rPr>
              <w:t>Lifetime Persistence Savings, MWh</w:t>
            </w:r>
          </w:p>
        </w:tc>
        <w:tc>
          <w:tcPr>
            <w:tcW w:w="1718" w:type="dxa"/>
            <w:noWrap/>
          </w:tcPr>
          <w:p w14:paraId="43DAEA89" w14:textId="55EF68D8" w:rsidR="00353F95" w:rsidRPr="00713149" w:rsidRDefault="00353F95" w:rsidP="00697FC4">
            <w:pP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sidRPr="00713149">
              <w:rPr>
                <w:rFonts w:ascii="Arial Narrow" w:hAnsi="Arial Narrow"/>
                <w:color w:val="000000"/>
                <w:sz w:val="20"/>
                <w:szCs w:val="20"/>
              </w:rPr>
              <w:t>85,866</w:t>
            </w:r>
          </w:p>
        </w:tc>
        <w:tc>
          <w:tcPr>
            <w:tcW w:w="1718" w:type="dxa"/>
          </w:tcPr>
          <w:p w14:paraId="1CF4687B" w14:textId="5C960D0B" w:rsidR="00353F95" w:rsidRPr="00713149" w:rsidRDefault="00353F95" w:rsidP="00697FC4">
            <w:pP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20"/>
                <w:szCs w:val="20"/>
              </w:rPr>
            </w:pPr>
            <w:r w:rsidRPr="00713149">
              <w:rPr>
                <w:rFonts w:ascii="Arial Narrow" w:hAnsi="Arial Narrow" w:cs="Calibri"/>
                <w:color w:val="000000"/>
                <w:sz w:val="20"/>
                <w:szCs w:val="20"/>
              </w:rPr>
              <w:t>908,385</w:t>
            </w:r>
          </w:p>
        </w:tc>
        <w:tc>
          <w:tcPr>
            <w:tcW w:w="2013" w:type="dxa"/>
          </w:tcPr>
          <w:p w14:paraId="24AB8E37" w14:textId="037F5264" w:rsidR="00353F95" w:rsidRPr="00713149" w:rsidRDefault="00353F95" w:rsidP="00697FC4">
            <w:pP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20"/>
                <w:szCs w:val="20"/>
              </w:rPr>
            </w:pPr>
            <w:r w:rsidRPr="00713149">
              <w:rPr>
                <w:rFonts w:ascii="Arial Narrow" w:hAnsi="Arial Narrow" w:cs="Calibri"/>
                <w:color w:val="000000"/>
                <w:sz w:val="20"/>
                <w:szCs w:val="20"/>
              </w:rPr>
              <w:t>11,002</w:t>
            </w:r>
          </w:p>
        </w:tc>
        <w:tc>
          <w:tcPr>
            <w:tcW w:w="2013" w:type="dxa"/>
          </w:tcPr>
          <w:p w14:paraId="4C7DFFAD" w14:textId="4224DC8D" w:rsidR="00353F95" w:rsidRPr="00713149" w:rsidRDefault="00353F95" w:rsidP="00697FC4">
            <w:pP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Calibri"/>
                <w:color w:val="000000"/>
                <w:szCs w:val="20"/>
              </w:rPr>
              <w:t>-</w:t>
            </w:r>
          </w:p>
        </w:tc>
      </w:tr>
      <w:tr w:rsidR="00353F95" w:rsidRPr="0014550C" w14:paraId="7EC62ED7" w14:textId="18C65CBA" w:rsidTr="00353F95">
        <w:trPr>
          <w:trHeight w:val="315"/>
          <w:jc w:val="center"/>
        </w:trPr>
        <w:tc>
          <w:tcPr>
            <w:cnfStyle w:val="001000000000" w:firstRow="0" w:lastRow="0" w:firstColumn="1" w:lastColumn="0" w:oddVBand="0" w:evenVBand="0" w:oddHBand="0" w:evenHBand="0" w:firstRowFirstColumn="0" w:firstRowLastColumn="0" w:lastRowFirstColumn="0" w:lastRowLastColumn="0"/>
            <w:tcW w:w="1898" w:type="dxa"/>
            <w:noWrap/>
          </w:tcPr>
          <w:p w14:paraId="657C52C8" w14:textId="45DD4D68" w:rsidR="00353F95" w:rsidRPr="00713149" w:rsidRDefault="00353F95" w:rsidP="00713149">
            <w:pPr>
              <w:keepNext/>
              <w:keepLines/>
              <w:rPr>
                <w:rFonts w:ascii="Arial Narrow" w:hAnsi="Arial Narrow"/>
                <w:sz w:val="20"/>
                <w:szCs w:val="20"/>
              </w:rPr>
            </w:pPr>
            <w:r w:rsidRPr="00713149">
              <w:rPr>
                <w:rFonts w:ascii="Arial Narrow" w:hAnsi="Arial Narrow" w:cs="Calibri"/>
                <w:color w:val="000000"/>
                <w:sz w:val="20"/>
                <w:szCs w:val="20"/>
              </w:rPr>
              <w:t>HER Measure Life, Years</w:t>
            </w:r>
          </w:p>
        </w:tc>
        <w:tc>
          <w:tcPr>
            <w:tcW w:w="1718" w:type="dxa"/>
            <w:noWrap/>
          </w:tcPr>
          <w:p w14:paraId="6D80BC56" w14:textId="33C507D3" w:rsidR="00353F95" w:rsidRPr="00713149" w:rsidRDefault="00353F95" w:rsidP="00697FC4">
            <w:pP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sidRPr="00713149">
              <w:rPr>
                <w:rFonts w:ascii="Arial Narrow" w:hAnsi="Arial Narrow"/>
                <w:color w:val="000000"/>
                <w:sz w:val="20"/>
                <w:szCs w:val="20"/>
              </w:rPr>
              <w:t>11</w:t>
            </w:r>
          </w:p>
        </w:tc>
        <w:tc>
          <w:tcPr>
            <w:tcW w:w="1718" w:type="dxa"/>
          </w:tcPr>
          <w:p w14:paraId="59F0AEFF" w14:textId="28C9F87B" w:rsidR="00353F95" w:rsidRPr="00713149" w:rsidRDefault="00353F95" w:rsidP="00697FC4">
            <w:pP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20"/>
                <w:szCs w:val="20"/>
              </w:rPr>
            </w:pPr>
            <w:r w:rsidRPr="00713149">
              <w:rPr>
                <w:rFonts w:ascii="Arial Narrow" w:hAnsi="Arial Narrow" w:cs="Calibri"/>
                <w:color w:val="000000"/>
                <w:sz w:val="20"/>
                <w:szCs w:val="20"/>
              </w:rPr>
              <w:t>14</w:t>
            </w:r>
          </w:p>
        </w:tc>
        <w:tc>
          <w:tcPr>
            <w:tcW w:w="2013" w:type="dxa"/>
          </w:tcPr>
          <w:p w14:paraId="751C01BD" w14:textId="674E3D74" w:rsidR="00353F95" w:rsidRPr="00713149" w:rsidRDefault="00353F95" w:rsidP="00697FC4">
            <w:pP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20"/>
                <w:szCs w:val="20"/>
              </w:rPr>
            </w:pPr>
            <w:r w:rsidRPr="00713149">
              <w:rPr>
                <w:rFonts w:ascii="Arial Narrow" w:hAnsi="Arial Narrow" w:cs="Calibri"/>
                <w:color w:val="000000"/>
                <w:sz w:val="20"/>
                <w:szCs w:val="20"/>
              </w:rPr>
              <w:t>5</w:t>
            </w:r>
          </w:p>
        </w:tc>
        <w:tc>
          <w:tcPr>
            <w:tcW w:w="2013" w:type="dxa"/>
          </w:tcPr>
          <w:p w14:paraId="0CE00CFC" w14:textId="1B2DD648" w:rsidR="00353F95" w:rsidRPr="00713149" w:rsidRDefault="00353F95" w:rsidP="00697FC4">
            <w:pP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Calibri"/>
                <w:color w:val="000000"/>
                <w:szCs w:val="20"/>
              </w:rPr>
              <w:t>10</w:t>
            </w:r>
          </w:p>
        </w:tc>
      </w:tr>
    </w:tbl>
    <w:p w14:paraId="13FFFB33" w14:textId="1F223015" w:rsidR="00B72C5C" w:rsidRPr="00C750CB" w:rsidRDefault="00B72C5C" w:rsidP="00713149">
      <w:pPr>
        <w:pStyle w:val="Source"/>
        <w:ind w:left="180"/>
      </w:pPr>
      <w:r w:rsidRPr="00651E3A">
        <w:t xml:space="preserve">Source: </w:t>
      </w:r>
      <w:r>
        <w:t>Navigant analysis</w:t>
      </w:r>
    </w:p>
    <w:p w14:paraId="4D6E8B49" w14:textId="77777777" w:rsidR="00B72C5C" w:rsidRDefault="00B72C5C" w:rsidP="009330F5"/>
    <w:p w14:paraId="74277907" w14:textId="78D3AED1" w:rsidR="00713149" w:rsidRPr="009330F5" w:rsidRDefault="00A670BD" w:rsidP="009330F5">
      <w:r>
        <w:t>The decay rate wa</w:t>
      </w:r>
      <w:r w:rsidR="00713149">
        <w:t>s quite small for Wave 1 and 3 customers who had received reports for approximately four and two and a half years, respectively</w:t>
      </w:r>
      <w:r>
        <w:t>, before they were stopped</w:t>
      </w:r>
      <w:r w:rsidR="00713149">
        <w:t xml:space="preserve">. The decay rate </w:t>
      </w:r>
      <w:r>
        <w:t>wa</w:t>
      </w:r>
      <w:r w:rsidR="00713149">
        <w:t>s much larger for Wave 5</w:t>
      </w:r>
      <w:r>
        <w:t xml:space="preserve"> Non-AMI</w:t>
      </w:r>
      <w:r w:rsidR="00713149">
        <w:t xml:space="preserve"> customers who had received reports for approximately one year</w:t>
      </w:r>
      <w:r>
        <w:t xml:space="preserve"> before they were stopped</w:t>
      </w:r>
      <w:r w:rsidR="00713149">
        <w:t xml:space="preserve">. The rate of decay may be slower when customers have received reports for longer either because they have </w:t>
      </w:r>
      <w:r w:rsidR="00353F95">
        <w:t>become more ingrained in new behavioral habits formed because of the reports or because they have had more time to purchase new, efficient equipment in response to the reports.</w:t>
      </w:r>
      <w:r w:rsidR="00223B43">
        <w:t xml:space="preserve"> It is also possible that these differences in decay </w:t>
      </w:r>
      <w:r>
        <w:t>are</w:t>
      </w:r>
      <w:r w:rsidR="00223B43">
        <w:t xml:space="preserve"> driven by differences in t</w:t>
      </w:r>
      <w:r>
        <w:t>he participants in each wave, for example</w:t>
      </w:r>
      <w:r w:rsidR="00223B43">
        <w:t xml:space="preserve"> the average baseline usage for each wave was different. In PY7 baseline usage for Wave 1 TR was 39 kWh per day, Wave 3 TR was 49 kWh/day, and Wave 5 </w:t>
      </w:r>
      <w:r>
        <w:t>Non-AMI</w:t>
      </w:r>
      <w:r w:rsidR="00697C40">
        <w:t xml:space="preserve"> </w:t>
      </w:r>
      <w:r w:rsidR="00223B43">
        <w:t xml:space="preserve">was 60 kWh per day. </w:t>
      </w:r>
    </w:p>
    <w:p w14:paraId="76BE1CEC" w14:textId="77777777" w:rsidR="00D12707" w:rsidRPr="006D6819" w:rsidRDefault="00793904" w:rsidP="002E5EE9">
      <w:pPr>
        <w:pStyle w:val="Heading8"/>
        <w:numPr>
          <w:ilvl w:val="0"/>
          <w:numId w:val="0"/>
        </w:numPr>
        <w:ind w:left="720" w:hanging="720"/>
      </w:pPr>
      <w:bookmarkStart w:id="17" w:name="_Toc398546625"/>
      <w:bookmarkStart w:id="18" w:name="_Toc441751872"/>
      <w:r>
        <w:t>E.3</w:t>
      </w:r>
      <w:r w:rsidR="00D12707">
        <w:t>.</w:t>
      </w:r>
      <w:r w:rsidR="00D12707">
        <w:tab/>
        <w:t>Findings and Recommendations</w:t>
      </w:r>
      <w:bookmarkEnd w:id="17"/>
      <w:bookmarkEnd w:id="18"/>
    </w:p>
    <w:p w14:paraId="76687A59" w14:textId="6608F01A" w:rsidR="00D12707" w:rsidRDefault="00D12707" w:rsidP="00D12707">
      <w:r w:rsidRPr="00E8651B">
        <w:rPr>
          <w:szCs w:val="20"/>
        </w:rPr>
        <w:t xml:space="preserve">The following </w:t>
      </w:r>
      <w:r w:rsidR="006D4E8D">
        <w:rPr>
          <w:szCs w:val="20"/>
        </w:rPr>
        <w:t>section includes</w:t>
      </w:r>
      <w:r w:rsidRPr="00E8651B">
        <w:rPr>
          <w:szCs w:val="20"/>
        </w:rPr>
        <w:t xml:space="preserve"> </w:t>
      </w:r>
      <w:r w:rsidR="00353F95">
        <w:rPr>
          <w:szCs w:val="20"/>
        </w:rPr>
        <w:t xml:space="preserve">key </w:t>
      </w:r>
      <w:r w:rsidRPr="00E8651B">
        <w:rPr>
          <w:szCs w:val="20"/>
        </w:rPr>
        <w:t>findings and recommendations</w:t>
      </w:r>
      <w:r>
        <w:rPr>
          <w:szCs w:val="20"/>
        </w:rPr>
        <w:t>.</w:t>
      </w:r>
      <w:r>
        <w:rPr>
          <w:rStyle w:val="FootnoteReference"/>
          <w:szCs w:val="20"/>
        </w:rPr>
        <w:footnoteReference w:id="5"/>
      </w:r>
      <w:r w:rsidR="00B728C3">
        <w:rPr>
          <w:szCs w:val="20"/>
        </w:rPr>
        <w:t xml:space="preserve"> </w:t>
      </w:r>
    </w:p>
    <w:p w14:paraId="5BA25F42" w14:textId="77777777" w:rsidR="00670808" w:rsidRDefault="00670808" w:rsidP="00D12707"/>
    <w:p w14:paraId="4C2E8DED" w14:textId="39380A42" w:rsidR="00353F95" w:rsidRDefault="00353F95" w:rsidP="00353F95">
      <w:pPr>
        <w:ind w:left="540"/>
      </w:pPr>
      <w:r w:rsidRPr="00C33AE0">
        <w:rPr>
          <w:b/>
        </w:rPr>
        <w:t xml:space="preserve">Finding </w:t>
      </w:r>
      <w:r>
        <w:rPr>
          <w:b/>
        </w:rPr>
        <w:t>1</w:t>
      </w:r>
      <w:r w:rsidRPr="00C33AE0">
        <w:rPr>
          <w:b/>
        </w:rPr>
        <w:t>.</w:t>
      </w:r>
      <w:r w:rsidRPr="00C33AE0">
        <w:t xml:space="preserve"> </w:t>
      </w:r>
      <w:r>
        <w:t>The Wave specific annual decay rates for</w:t>
      </w:r>
      <w:r w:rsidR="00A670BD">
        <w:t xml:space="preserve"> the three ComEd HER TR groups we</w:t>
      </w:r>
      <w:r>
        <w:t xml:space="preserve">re </w:t>
      </w:r>
      <w:r w:rsidR="0015217E">
        <w:t>4 percent</w:t>
      </w:r>
      <w:r>
        <w:t xml:space="preserve"> for Wave 1, </w:t>
      </w:r>
      <w:r w:rsidR="0015217E">
        <w:t>2 percent</w:t>
      </w:r>
      <w:r>
        <w:t xml:space="preserve"> for Wave 3</w:t>
      </w:r>
      <w:r w:rsidR="0015217E">
        <w:t>, and 22 percent</w:t>
      </w:r>
      <w:r>
        <w:t xml:space="preserve"> for Wave 5 Non-AMI. The associated persistence factors</w:t>
      </w:r>
      <w:r w:rsidR="002321E1">
        <w:t xml:space="preserve"> (</w:t>
      </w:r>
      <w:r>
        <w:t>the percentage of saving</w:t>
      </w:r>
      <w:r w:rsidR="00A670BD">
        <w:t>s that persist after one year</w:t>
      </w:r>
      <w:r w:rsidR="002321E1">
        <w:t>)</w:t>
      </w:r>
      <w:r w:rsidR="00A670BD">
        <w:t xml:space="preserve"> we</w:t>
      </w:r>
      <w:r>
        <w:t>re 96</w:t>
      </w:r>
      <w:r w:rsidR="0015217E">
        <w:t xml:space="preserve"> percent</w:t>
      </w:r>
      <w:r>
        <w:t>, 98</w:t>
      </w:r>
      <w:r w:rsidR="0015217E">
        <w:t xml:space="preserve"> percent, and 78 percent</w:t>
      </w:r>
      <w:r>
        <w:t>, respectively. These results suggest that the decay rate differs depending on the length of time customers had received reports before they were stopped.</w:t>
      </w:r>
    </w:p>
    <w:p w14:paraId="3107A0E7" w14:textId="77777777" w:rsidR="00353F95" w:rsidRDefault="00353F95" w:rsidP="00353F95">
      <w:pPr>
        <w:ind w:left="540"/>
      </w:pPr>
    </w:p>
    <w:p w14:paraId="0CB495AA" w14:textId="37076FA9" w:rsidR="00353F95" w:rsidRDefault="00353F95" w:rsidP="00353F95">
      <w:pPr>
        <w:ind w:left="540"/>
      </w:pPr>
      <w:r>
        <w:rPr>
          <w:b/>
        </w:rPr>
        <w:t xml:space="preserve">Finding 2. </w:t>
      </w:r>
      <w:r>
        <w:t xml:space="preserve">The </w:t>
      </w:r>
      <w:r w:rsidR="0015217E">
        <w:t xml:space="preserve">Wave specific </w:t>
      </w:r>
      <w:r>
        <w:t xml:space="preserve">estimated measure life </w:t>
      </w:r>
      <w:r w:rsidR="0015217E">
        <w:t xml:space="preserve">for the three ComEd HER TR groups </w:t>
      </w:r>
      <w:r w:rsidR="00A670BD">
        <w:t>we</w:t>
      </w:r>
      <w:r w:rsidR="0015217E">
        <w:t xml:space="preserve">re 11 years for Wave 1, 14 years for Wave 3, and </w:t>
      </w:r>
      <w:r w:rsidR="005E4AFC">
        <w:t xml:space="preserve">5 </w:t>
      </w:r>
      <w:r w:rsidR="0015217E">
        <w:t>years for Wave 5 Non-AMI</w:t>
      </w:r>
      <w:r w:rsidR="00A670BD">
        <w:t>. This means that if reports we</w:t>
      </w:r>
      <w:r>
        <w:t xml:space="preserve">re sent for </w:t>
      </w:r>
      <w:r w:rsidR="005E4AFC">
        <w:t xml:space="preserve">52 months, </w:t>
      </w:r>
      <w:r w:rsidR="00DB3394">
        <w:t xml:space="preserve">such as in </w:t>
      </w:r>
      <w:r w:rsidR="005E4AFC">
        <w:t>Wave 1</w:t>
      </w:r>
      <w:r>
        <w:t>, treatment customers w</w:t>
      </w:r>
      <w:r w:rsidR="00A670BD">
        <w:t>ould</w:t>
      </w:r>
      <w:r>
        <w:t xml:space="preserve"> continue to achieve savings for </w:t>
      </w:r>
      <w:r w:rsidR="005E4AFC">
        <w:t>10</w:t>
      </w:r>
      <w:r>
        <w:t xml:space="preserve"> more years after reports stopped</w:t>
      </w:r>
      <w:r w:rsidR="005E4AFC">
        <w:t xml:space="preserve">; if reports </w:t>
      </w:r>
      <w:r w:rsidR="00A670BD">
        <w:t>we</w:t>
      </w:r>
      <w:r w:rsidR="005E4AFC">
        <w:t xml:space="preserve">re sent for 30 months, </w:t>
      </w:r>
      <w:r w:rsidR="00DB3394">
        <w:t>such as in</w:t>
      </w:r>
      <w:r w:rsidR="005E4AFC">
        <w:t xml:space="preserve"> Wave 2, savings continue for 13 more years; and if reports </w:t>
      </w:r>
      <w:r w:rsidR="00A670BD">
        <w:t>wer</w:t>
      </w:r>
      <w:r w:rsidR="005E4AFC">
        <w:t>e sent for 16 month</w:t>
      </w:r>
      <w:r w:rsidR="00A670BD">
        <w:t>s</w:t>
      </w:r>
      <w:r w:rsidR="005E4AFC">
        <w:t xml:space="preserve">, </w:t>
      </w:r>
      <w:r w:rsidR="00DB3394">
        <w:t>such as in</w:t>
      </w:r>
      <w:r w:rsidR="005E4AFC">
        <w:t xml:space="preserve"> Wave 5 Non-AMI, savings continue for 4 more years</w:t>
      </w:r>
      <w:r>
        <w:t>.</w:t>
      </w:r>
    </w:p>
    <w:p w14:paraId="06DE42C6" w14:textId="77777777" w:rsidR="00353F95" w:rsidRDefault="00353F95" w:rsidP="00353F95">
      <w:pPr>
        <w:ind w:left="540"/>
      </w:pPr>
    </w:p>
    <w:p w14:paraId="17B45942" w14:textId="1A9F48A0" w:rsidR="00353F95" w:rsidRDefault="00353F95" w:rsidP="00353F95">
      <w:pPr>
        <w:ind w:left="540"/>
      </w:pPr>
      <w:r w:rsidRPr="00422181">
        <w:rPr>
          <w:b/>
        </w:rPr>
        <w:lastRenderedPageBreak/>
        <w:t>Recommendation</w:t>
      </w:r>
      <w:r>
        <w:rPr>
          <w:b/>
        </w:rPr>
        <w:t xml:space="preserve"> 1</w:t>
      </w:r>
      <w:r w:rsidRPr="00422181">
        <w:rPr>
          <w:b/>
        </w:rPr>
        <w:t>.</w:t>
      </w:r>
      <w:r w:rsidRPr="00C33AE0">
        <w:t xml:space="preserve"> </w:t>
      </w:r>
      <w:r>
        <w:t xml:space="preserve">The results of this research should be considered in determining persistence factors and measure life for </w:t>
      </w:r>
      <w:r w:rsidR="00A670BD">
        <w:t xml:space="preserve">HER programs in </w:t>
      </w:r>
      <w:r>
        <w:t xml:space="preserve">the Illinois </w:t>
      </w:r>
      <w:r w:rsidR="00DB3394">
        <w:t xml:space="preserve">Technical Reference Manual (IL </w:t>
      </w:r>
      <w:r>
        <w:t>TRM</w:t>
      </w:r>
      <w:r w:rsidR="00DB3394">
        <w:t>)</w:t>
      </w:r>
      <w:r>
        <w:t xml:space="preserve">. </w:t>
      </w:r>
      <w:r w:rsidR="00DC569C">
        <w:t>Current IL TRM planning includes</w:t>
      </w:r>
      <w:r w:rsidR="00EB13F7">
        <w:t xml:space="preserve"> a “reset” in</w:t>
      </w:r>
      <w:r w:rsidR="00486FCA">
        <w:t xml:space="preserve"> </w:t>
      </w:r>
      <w:r w:rsidR="001F1B50">
        <w:t>PY10</w:t>
      </w:r>
      <w:r w:rsidR="00EB13F7">
        <w:rPr>
          <w:rStyle w:val="FootnoteReference"/>
        </w:rPr>
        <w:footnoteReference w:id="6"/>
      </w:r>
      <w:r w:rsidR="00EB13F7">
        <w:t xml:space="preserve"> where all pre-existing</w:t>
      </w:r>
      <w:r w:rsidR="006D7C0A">
        <w:t xml:space="preserve"> HER</w:t>
      </w:r>
      <w:r w:rsidR="00EB13F7">
        <w:t xml:space="preserve"> program waves </w:t>
      </w:r>
      <w:r w:rsidR="001F1B50">
        <w:t>will be</w:t>
      </w:r>
      <w:r w:rsidR="00EB13F7">
        <w:t xml:space="preserve"> considered to be in </w:t>
      </w:r>
      <w:r w:rsidR="001F1B50">
        <w:t xml:space="preserve">Year 1 </w:t>
      </w:r>
      <w:r w:rsidR="00EB13F7">
        <w:t>at that time</w:t>
      </w:r>
      <w:r w:rsidR="001F1B50">
        <w:t xml:space="preserve"> and adopt one set of persistence factors</w:t>
      </w:r>
      <w:r w:rsidR="00DC569C">
        <w:t>.</w:t>
      </w:r>
      <w:r w:rsidR="001F1B50">
        <w:rPr>
          <w:rStyle w:val="FootnoteReference"/>
        </w:rPr>
        <w:footnoteReference w:id="7"/>
      </w:r>
      <w:r w:rsidR="00486FCA">
        <w:t xml:space="preserve"> </w:t>
      </w:r>
      <w:r w:rsidR="00603203">
        <w:t xml:space="preserve">This IL TRM measure is planned to account for the fact that HER programs have a multi-year measure life. </w:t>
      </w:r>
      <w:r w:rsidR="00DC569C">
        <w:t xml:space="preserve">Of the decay rate and measure life analysis for the three waves presented in this research, </w:t>
      </w:r>
      <w:r w:rsidR="00486FCA">
        <w:t xml:space="preserve">Navigant </w:t>
      </w:r>
      <w:r w:rsidR="00DB3394">
        <w:t>recommends</w:t>
      </w:r>
      <w:r w:rsidR="00486FCA">
        <w:t xml:space="preserve"> that </w:t>
      </w:r>
      <w:r w:rsidR="006D7C0A">
        <w:t xml:space="preserve">the </w:t>
      </w:r>
      <w:r w:rsidR="00DB3394">
        <w:t>findings</w:t>
      </w:r>
      <w:r w:rsidR="00486FCA">
        <w:t xml:space="preserve"> for Wave 5 Non-AMI</w:t>
      </w:r>
      <w:r w:rsidR="00050582">
        <w:t xml:space="preserve"> (22 percent decay and a 5 year measure life)</w:t>
      </w:r>
      <w:r w:rsidR="00DB3394">
        <w:t>,</w:t>
      </w:r>
      <w:r w:rsidR="00050582">
        <w:t xml:space="preserve"> may be the </w:t>
      </w:r>
      <w:r w:rsidR="006D7C0A">
        <w:t>most applicable</w:t>
      </w:r>
      <w:r w:rsidR="00050582">
        <w:t xml:space="preserve"> values to consider for the IL TRM because </w:t>
      </w:r>
      <w:r w:rsidR="00DC569C">
        <w:t xml:space="preserve">Wave 5 Non-AMI </w:t>
      </w:r>
      <w:r w:rsidR="00050582">
        <w:t>was</w:t>
      </w:r>
      <w:r w:rsidR="00DB3394">
        <w:t xml:space="preserve"> the wave in which customers</w:t>
      </w:r>
      <w:r w:rsidR="00486FCA">
        <w:t xml:space="preserve"> had only received reports for</w:t>
      </w:r>
      <w:r w:rsidR="006D7C0A">
        <w:t xml:space="preserve"> approximately</w:t>
      </w:r>
      <w:r w:rsidR="00486FCA">
        <w:t xml:space="preserve"> one year</w:t>
      </w:r>
      <w:r w:rsidR="00050582">
        <w:t>.</w:t>
      </w:r>
      <w:r w:rsidR="001F1B50">
        <w:t xml:space="preserve"> </w:t>
      </w:r>
      <w:r w:rsidR="00DB3394">
        <w:t>However, t</w:t>
      </w:r>
      <w:r>
        <w:t xml:space="preserve">his study represents </w:t>
      </w:r>
      <w:r w:rsidR="008A4FC7">
        <w:t xml:space="preserve">only </w:t>
      </w:r>
      <w:r>
        <w:t>one data point in a broader literature and any values created for the I</w:t>
      </w:r>
      <w:r w:rsidR="00526DF2">
        <w:t>L</w:t>
      </w:r>
      <w:r>
        <w:t xml:space="preserve"> TRM should also take the broader literature into account.</w:t>
      </w:r>
    </w:p>
    <w:p w14:paraId="7CD0FCB5" w14:textId="77777777" w:rsidR="00353F95" w:rsidRDefault="00353F95" w:rsidP="00353F95">
      <w:pPr>
        <w:ind w:left="540"/>
      </w:pPr>
    </w:p>
    <w:p w14:paraId="787BB3BF" w14:textId="451CBB54" w:rsidR="00353F95" w:rsidRPr="00871403" w:rsidRDefault="00353F95" w:rsidP="00353F95">
      <w:pPr>
        <w:ind w:left="540"/>
      </w:pPr>
      <w:r>
        <w:rPr>
          <w:b/>
        </w:rPr>
        <w:t xml:space="preserve">Recommendation 2. </w:t>
      </w:r>
      <w:r w:rsidR="00486FCA">
        <w:t>ComEd</w:t>
      </w:r>
      <w:r>
        <w:t xml:space="preserve"> should continue this study and look at savings in the second year after reports are stopped, from </w:t>
      </w:r>
      <w:r w:rsidR="00486FCA">
        <w:t>November</w:t>
      </w:r>
      <w:r>
        <w:t xml:space="preserve"> 201</w:t>
      </w:r>
      <w:r w:rsidR="00486FCA">
        <w:t>4</w:t>
      </w:r>
      <w:r>
        <w:t xml:space="preserve"> to </w:t>
      </w:r>
      <w:r w:rsidR="00486FCA">
        <w:t xml:space="preserve">October </w:t>
      </w:r>
      <w:r>
        <w:t>201</w:t>
      </w:r>
      <w:r w:rsidR="00486FCA">
        <w:t>5</w:t>
      </w:r>
      <w:r>
        <w:t xml:space="preserve">. The continued study would estimate the decay rate in the second year after reports are stopped. This would add to research on whether decay rates remain constant, increase, or decrease in the second year and the results could be used to inform second year persistence factors in the </w:t>
      </w:r>
      <w:r w:rsidR="00486FCA">
        <w:t>IL</w:t>
      </w:r>
      <w:r>
        <w:t xml:space="preserve"> TRM.</w:t>
      </w:r>
    </w:p>
    <w:p w14:paraId="126F6AE4" w14:textId="591ED784" w:rsidR="00CA2F4C" w:rsidRPr="00D908EC" w:rsidRDefault="00780C71" w:rsidP="00013969">
      <w:pPr>
        <w:pStyle w:val="Heading1"/>
        <w:numPr>
          <w:ilvl w:val="0"/>
          <w:numId w:val="8"/>
        </w:numPr>
      </w:pPr>
      <w:bookmarkStart w:id="19" w:name="_Toc441751873"/>
      <w:r>
        <w:lastRenderedPageBreak/>
        <w:t>Introduction</w:t>
      </w:r>
      <w:bookmarkEnd w:id="19"/>
    </w:p>
    <w:p w14:paraId="3C63BB90" w14:textId="77777777" w:rsidR="00780C71" w:rsidRDefault="00780C71" w:rsidP="00780C71">
      <w:pPr>
        <w:pStyle w:val="Heading2"/>
        <w:ind w:left="720" w:hanging="720"/>
      </w:pPr>
      <w:bookmarkStart w:id="20" w:name="_Toc398546627"/>
      <w:bookmarkStart w:id="21" w:name="_Toc441751874"/>
      <w:r>
        <w:t>Program Description</w:t>
      </w:r>
      <w:bookmarkEnd w:id="20"/>
      <w:bookmarkEnd w:id="21"/>
    </w:p>
    <w:p w14:paraId="75A3AED4" w14:textId="06C32E34" w:rsidR="00BE1241" w:rsidRDefault="00BE1241" w:rsidP="00BE1241">
      <w:bookmarkStart w:id="22" w:name="_Toc398546628"/>
      <w:r w:rsidRPr="00F64B8B">
        <w:t xml:space="preserve">This report presents a summary of the findings and results from </w:t>
      </w:r>
      <w:r>
        <w:t>persistence and decay rate study for the</w:t>
      </w:r>
      <w:r w:rsidRPr="00F64B8B">
        <w:t xml:space="preserve"> </w:t>
      </w:r>
      <w:r>
        <w:t xml:space="preserve">Home Energy Report (HER) Opower program. Commonwealth Edison Company (ComEd) designed the program to generate energy savings by providing residential customers with sets of information about customer energy use and energy conservation. Program participants received information in the form of </w:t>
      </w:r>
      <w:r w:rsidR="00F05E89">
        <w:t>regularly mailed</w:t>
      </w:r>
      <w:r>
        <w:t xml:space="preserve"> home energy reports that gave customers various types of information, including the following:</w:t>
      </w:r>
    </w:p>
    <w:p w14:paraId="2376FB25" w14:textId="77777777" w:rsidR="00BE1241" w:rsidRDefault="00BE1241" w:rsidP="00BE1241"/>
    <w:p w14:paraId="268D854C" w14:textId="77777777" w:rsidR="00BE1241" w:rsidRDefault="00BE1241" w:rsidP="00BE1241">
      <w:pPr>
        <w:pStyle w:val="ListParagraph"/>
        <w:numPr>
          <w:ilvl w:val="0"/>
          <w:numId w:val="10"/>
        </w:numPr>
      </w:pPr>
      <w:r>
        <w:t>Assessment of how their recent energy use compared to their energy use in the past</w:t>
      </w:r>
    </w:p>
    <w:p w14:paraId="1E3F79B2" w14:textId="77777777" w:rsidR="00BE1241" w:rsidRDefault="00BE1241" w:rsidP="00BE1241">
      <w:pPr>
        <w:pStyle w:val="ListParagraph"/>
        <w:numPr>
          <w:ilvl w:val="0"/>
          <w:numId w:val="10"/>
        </w:numPr>
      </w:pPr>
      <w:r>
        <w:t>Tips on how to reduce energy consumption, some of which were tailored to the customer’s circumstances.</w:t>
      </w:r>
    </w:p>
    <w:p w14:paraId="042C6747" w14:textId="77777777" w:rsidR="00BE1241" w:rsidRDefault="00BE1241" w:rsidP="00BE1241">
      <w:pPr>
        <w:pStyle w:val="ListParagraph"/>
        <w:numPr>
          <w:ilvl w:val="0"/>
          <w:numId w:val="10"/>
        </w:numPr>
      </w:pPr>
      <w:r>
        <w:t>Information on how their energy use compared to that of neighbors with similar homes.</w:t>
      </w:r>
    </w:p>
    <w:p w14:paraId="085ED660" w14:textId="77777777" w:rsidR="00BE1241" w:rsidRDefault="00BE1241" w:rsidP="00BE1241"/>
    <w:p w14:paraId="7824DD11" w14:textId="5EDC238D" w:rsidR="00F05E89" w:rsidRDefault="00F05E89" w:rsidP="00F05E89">
      <w:r>
        <w:t>The Opower HER program was discontinued for three subsets of participants in October 2013.</w:t>
      </w:r>
      <w:r>
        <w:rPr>
          <w:rStyle w:val="FootnoteReference"/>
        </w:rPr>
        <w:footnoteReference w:id="8"/>
      </w:r>
      <w:r>
        <w:t xml:space="preserve"> These three terminated report (TR) groups are identified in the shaded rows of </w:t>
      </w:r>
      <w:r>
        <w:fldChar w:fldCharType="begin"/>
      </w:r>
      <w:r>
        <w:instrText xml:space="preserve"> REF _Ref441562194 \h </w:instrText>
      </w:r>
      <w:r>
        <w:fldChar w:fldCharType="separate"/>
      </w:r>
      <w:r w:rsidR="00E4410B">
        <w:t xml:space="preserve">Table </w:t>
      </w:r>
      <w:r w:rsidR="00E4410B">
        <w:rPr>
          <w:noProof/>
        </w:rPr>
        <w:t>1</w:t>
      </w:r>
      <w:r w:rsidR="00E4410B">
        <w:noBreakHyphen/>
      </w:r>
      <w:r w:rsidR="00E4410B">
        <w:rPr>
          <w:noProof/>
        </w:rPr>
        <w:t>1</w:t>
      </w:r>
      <w:r>
        <w:fldChar w:fldCharType="end"/>
      </w:r>
      <w:r>
        <w:t xml:space="preserve">. Customers in Wave 1 TR received reports for just over four years before they were discontinued, Wave 3 TR for two and a half years, and Wave 5 Non-AMI TR for just over one year. </w:t>
      </w:r>
    </w:p>
    <w:p w14:paraId="5EA63E23" w14:textId="3E4CB00A" w:rsidR="00BE1241" w:rsidRDefault="00F05E89" w:rsidP="004301F4">
      <w:pPr>
        <w:pStyle w:val="Caption"/>
      </w:pPr>
      <w:r>
        <w:t xml:space="preserve">   </w:t>
      </w:r>
    </w:p>
    <w:p w14:paraId="2B503A73" w14:textId="7BABBF5A" w:rsidR="00F05E89" w:rsidRDefault="00F05E89" w:rsidP="004301F4">
      <w:pPr>
        <w:pStyle w:val="Caption"/>
      </w:pPr>
      <w:bookmarkStart w:id="23" w:name="_Ref441562194"/>
      <w:bookmarkStart w:id="24" w:name="_Toc441751901"/>
      <w:r>
        <w:t xml:space="preserve">Table </w:t>
      </w:r>
      <w:fldSimple w:instr=" STYLEREF 1 \s ">
        <w:r w:rsidR="00E4410B">
          <w:rPr>
            <w:noProof/>
          </w:rPr>
          <w:t>1</w:t>
        </w:r>
      </w:fldSimple>
      <w:r>
        <w:noBreakHyphen/>
      </w:r>
      <w:fldSimple w:instr=" SEQ Table \* ARABIC \s 1 ">
        <w:r w:rsidR="00E4410B">
          <w:rPr>
            <w:noProof/>
          </w:rPr>
          <w:t>1</w:t>
        </w:r>
      </w:fldSimple>
      <w:bookmarkEnd w:id="23"/>
      <w:r>
        <w:t>. Summary of Opower HER Waves</w:t>
      </w:r>
      <w:bookmarkEnd w:id="24"/>
    </w:p>
    <w:tbl>
      <w:tblPr>
        <w:tblStyle w:val="ComEdTable"/>
        <w:tblW w:w="5162" w:type="pct"/>
        <w:tblLook w:val="04A0" w:firstRow="1" w:lastRow="0" w:firstColumn="1" w:lastColumn="0" w:noHBand="0" w:noVBand="1"/>
      </w:tblPr>
      <w:tblGrid>
        <w:gridCol w:w="2378"/>
        <w:gridCol w:w="1827"/>
        <w:gridCol w:w="1645"/>
        <w:gridCol w:w="1827"/>
        <w:gridCol w:w="2209"/>
      </w:tblGrid>
      <w:tr w:rsidR="00BE1241" w:rsidRPr="00A3367C" w14:paraId="754339B4" w14:textId="77777777" w:rsidTr="00F05E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3" w:type="pct"/>
          </w:tcPr>
          <w:p w14:paraId="2AAABCC0" w14:textId="77777777" w:rsidR="00BE1241" w:rsidRPr="00A3367C" w:rsidRDefault="00BE1241" w:rsidP="00697FC4">
            <w:pPr>
              <w:keepNext/>
              <w:keepLines/>
              <w:rPr>
                <w:rFonts w:cs="Arial"/>
                <w:bCs/>
                <w:szCs w:val="20"/>
              </w:rPr>
            </w:pPr>
            <w:r>
              <w:rPr>
                <w:rFonts w:cs="Arial"/>
                <w:szCs w:val="20"/>
              </w:rPr>
              <w:t>Wave</w:t>
            </w:r>
          </w:p>
        </w:tc>
        <w:tc>
          <w:tcPr>
            <w:tcW w:w="924" w:type="pct"/>
          </w:tcPr>
          <w:p w14:paraId="7317EB23" w14:textId="77777777" w:rsidR="00BE1241" w:rsidRPr="00A3367C" w:rsidRDefault="00BE1241" w:rsidP="00697FC4">
            <w:pPr>
              <w:keepNext/>
              <w:keepLines/>
              <w:cnfStyle w:val="100000000000" w:firstRow="1" w:lastRow="0" w:firstColumn="0" w:lastColumn="0" w:oddVBand="0" w:evenVBand="0" w:oddHBand="0" w:evenHBand="0" w:firstRowFirstColumn="0" w:firstRowLastColumn="0" w:lastRowFirstColumn="0" w:lastRowLastColumn="0"/>
              <w:rPr>
                <w:rFonts w:cs="Arial"/>
                <w:bCs/>
                <w:szCs w:val="20"/>
              </w:rPr>
            </w:pPr>
            <w:r>
              <w:rPr>
                <w:rFonts w:cs="Arial"/>
                <w:szCs w:val="20"/>
              </w:rPr>
              <w:t>Start Date</w:t>
            </w:r>
          </w:p>
        </w:tc>
        <w:tc>
          <w:tcPr>
            <w:tcW w:w="832" w:type="pct"/>
          </w:tcPr>
          <w:p w14:paraId="77A4924D" w14:textId="77777777" w:rsidR="00BE1241" w:rsidRPr="00A3367C" w:rsidRDefault="00BE1241" w:rsidP="00697FC4">
            <w:pPr>
              <w:keepNext/>
              <w:keepLines/>
              <w:cnfStyle w:val="100000000000" w:firstRow="1" w:lastRow="0" w:firstColumn="0" w:lastColumn="0" w:oddVBand="0" w:evenVBand="0" w:oddHBand="0" w:evenHBand="0" w:firstRowFirstColumn="0" w:firstRowLastColumn="0" w:lastRowFirstColumn="0" w:lastRowLastColumn="0"/>
              <w:rPr>
                <w:rFonts w:cs="Arial"/>
                <w:bCs/>
                <w:szCs w:val="20"/>
              </w:rPr>
            </w:pPr>
            <w:r>
              <w:rPr>
                <w:rFonts w:cs="Arial"/>
                <w:bCs/>
                <w:szCs w:val="20"/>
              </w:rPr>
              <w:t>Stop Date</w:t>
            </w:r>
          </w:p>
        </w:tc>
        <w:tc>
          <w:tcPr>
            <w:tcW w:w="924" w:type="pct"/>
          </w:tcPr>
          <w:p w14:paraId="7F8D8616" w14:textId="77777777" w:rsidR="00BE1241" w:rsidRPr="009330F5" w:rsidRDefault="00BE1241" w:rsidP="00697FC4">
            <w:pPr>
              <w:keepNext/>
              <w:keepLines/>
              <w:cnfStyle w:val="100000000000" w:firstRow="1" w:lastRow="0" w:firstColumn="0" w:lastColumn="0" w:oddVBand="0" w:evenVBand="0" w:oddHBand="0" w:evenHBand="0" w:firstRowFirstColumn="0" w:firstRowLastColumn="0" w:lastRowFirstColumn="0" w:lastRowLastColumn="0"/>
              <w:rPr>
                <w:rStyle w:val="CommentReference"/>
                <w:sz w:val="20"/>
                <w:szCs w:val="20"/>
              </w:rPr>
            </w:pPr>
            <w:r w:rsidRPr="009330F5">
              <w:rPr>
                <w:rStyle w:val="CommentReference"/>
                <w:sz w:val="20"/>
                <w:szCs w:val="20"/>
              </w:rPr>
              <w:t>Restart Date</w:t>
            </w:r>
          </w:p>
        </w:tc>
        <w:tc>
          <w:tcPr>
            <w:tcW w:w="1117" w:type="pct"/>
          </w:tcPr>
          <w:p w14:paraId="735DEC68" w14:textId="77777777" w:rsidR="00BE1241" w:rsidRPr="009330F5" w:rsidRDefault="00BE1241" w:rsidP="00697FC4">
            <w:pPr>
              <w:keepNext/>
              <w:keepLines/>
              <w:cnfStyle w:val="100000000000" w:firstRow="1" w:lastRow="0" w:firstColumn="0" w:lastColumn="0" w:oddVBand="0" w:evenVBand="0" w:oddHBand="0" w:evenHBand="0" w:firstRowFirstColumn="0" w:firstRowLastColumn="0" w:lastRowFirstColumn="0" w:lastRowLastColumn="0"/>
              <w:rPr>
                <w:rStyle w:val="CommentReference"/>
                <w:sz w:val="20"/>
                <w:szCs w:val="20"/>
              </w:rPr>
            </w:pPr>
            <w:r>
              <w:rPr>
                <w:rStyle w:val="CommentReference"/>
                <w:sz w:val="20"/>
                <w:szCs w:val="20"/>
              </w:rPr>
              <w:t>Length of Treatment Before Termination</w:t>
            </w:r>
          </w:p>
        </w:tc>
      </w:tr>
      <w:tr w:rsidR="00BE1241" w:rsidRPr="00CB6B1B" w14:paraId="42B2B216" w14:textId="77777777" w:rsidTr="00F05E89">
        <w:tc>
          <w:tcPr>
            <w:cnfStyle w:val="001000000000" w:firstRow="0" w:lastRow="0" w:firstColumn="1" w:lastColumn="0" w:oddVBand="0" w:evenVBand="0" w:oddHBand="0" w:evenHBand="0" w:firstRowFirstColumn="0" w:firstRowLastColumn="0" w:lastRowFirstColumn="0" w:lastRowLastColumn="0"/>
            <w:tcW w:w="1203" w:type="pct"/>
          </w:tcPr>
          <w:p w14:paraId="2F09AC32" w14:textId="77777777" w:rsidR="00BE1241" w:rsidRPr="00C67F44" w:rsidRDefault="00BE1241" w:rsidP="00697FC4">
            <w:pPr>
              <w:keepNext/>
              <w:keepLines/>
              <w:rPr>
                <w:rFonts w:cs="Arial"/>
                <w:color w:val="000000"/>
                <w:szCs w:val="20"/>
              </w:rPr>
            </w:pPr>
            <w:r>
              <w:rPr>
                <w:rFonts w:cs="Arial"/>
                <w:color w:val="000000"/>
                <w:szCs w:val="20"/>
              </w:rPr>
              <w:t>Wave 1 CR</w:t>
            </w:r>
          </w:p>
        </w:tc>
        <w:tc>
          <w:tcPr>
            <w:tcW w:w="924" w:type="pct"/>
          </w:tcPr>
          <w:p w14:paraId="211FD31B"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July 2009</w:t>
            </w:r>
          </w:p>
        </w:tc>
        <w:tc>
          <w:tcPr>
            <w:tcW w:w="832" w:type="pct"/>
          </w:tcPr>
          <w:p w14:paraId="5CF27D96"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924" w:type="pct"/>
          </w:tcPr>
          <w:p w14:paraId="5DC8C7F8"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1117" w:type="pct"/>
          </w:tcPr>
          <w:p w14:paraId="7AAC652F" w14:textId="77777777" w:rsidR="00BE1241"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r>
      <w:tr w:rsidR="00BE1241" w:rsidRPr="00CB6B1B" w14:paraId="20CD92D8" w14:textId="77777777" w:rsidTr="00F05E89">
        <w:tc>
          <w:tcPr>
            <w:cnfStyle w:val="001000000000" w:firstRow="0" w:lastRow="0" w:firstColumn="1" w:lastColumn="0" w:oddVBand="0" w:evenVBand="0" w:oddHBand="0" w:evenHBand="0" w:firstRowFirstColumn="0" w:firstRowLastColumn="0" w:lastRowFirstColumn="0" w:lastRowLastColumn="0"/>
            <w:tcW w:w="1203" w:type="pct"/>
          </w:tcPr>
          <w:p w14:paraId="5C66D320" w14:textId="77777777" w:rsidR="00BE1241" w:rsidRPr="00C67F44" w:rsidRDefault="00BE1241" w:rsidP="00697FC4">
            <w:pPr>
              <w:keepNext/>
              <w:keepLines/>
              <w:rPr>
                <w:rFonts w:cs="Arial"/>
                <w:color w:val="000000"/>
                <w:szCs w:val="20"/>
              </w:rPr>
            </w:pPr>
            <w:r>
              <w:rPr>
                <w:rFonts w:cs="Arial"/>
                <w:color w:val="000000"/>
                <w:szCs w:val="20"/>
              </w:rPr>
              <w:t>Wave 1 LR</w:t>
            </w:r>
          </w:p>
        </w:tc>
        <w:tc>
          <w:tcPr>
            <w:tcW w:w="924" w:type="pct"/>
          </w:tcPr>
          <w:p w14:paraId="6FBE6A5C"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July 2009</w:t>
            </w:r>
          </w:p>
        </w:tc>
        <w:tc>
          <w:tcPr>
            <w:tcW w:w="832" w:type="pct"/>
          </w:tcPr>
          <w:p w14:paraId="77032F4C"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October 2012</w:t>
            </w:r>
          </w:p>
        </w:tc>
        <w:tc>
          <w:tcPr>
            <w:tcW w:w="924" w:type="pct"/>
          </w:tcPr>
          <w:p w14:paraId="503A7BC2"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August 2013</w:t>
            </w:r>
          </w:p>
        </w:tc>
        <w:tc>
          <w:tcPr>
            <w:tcW w:w="1117" w:type="pct"/>
          </w:tcPr>
          <w:p w14:paraId="6EAA92C5" w14:textId="77777777" w:rsidR="00BE1241"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r>
      <w:tr w:rsidR="00BE1241" w:rsidRPr="00CB6B1B" w14:paraId="4861E8E4" w14:textId="77777777" w:rsidTr="00F05E89">
        <w:tc>
          <w:tcPr>
            <w:cnfStyle w:val="001000000000" w:firstRow="0" w:lastRow="0" w:firstColumn="1" w:lastColumn="0" w:oddVBand="0" w:evenVBand="0" w:oddHBand="0" w:evenHBand="0" w:firstRowFirstColumn="0" w:firstRowLastColumn="0" w:lastRowFirstColumn="0" w:lastRowLastColumn="0"/>
            <w:tcW w:w="1203" w:type="pct"/>
            <w:shd w:val="clear" w:color="auto" w:fill="E4E1DB" w:themeFill="background2" w:themeFillTint="33"/>
          </w:tcPr>
          <w:p w14:paraId="098724F1" w14:textId="77777777" w:rsidR="00BE1241" w:rsidRPr="00C67F44" w:rsidRDefault="00BE1241" w:rsidP="00697FC4">
            <w:pPr>
              <w:keepNext/>
              <w:keepLines/>
              <w:rPr>
                <w:rFonts w:cs="Arial"/>
                <w:color w:val="000000"/>
                <w:szCs w:val="20"/>
              </w:rPr>
            </w:pPr>
            <w:r>
              <w:rPr>
                <w:rFonts w:cs="Arial"/>
                <w:color w:val="000000"/>
                <w:szCs w:val="20"/>
              </w:rPr>
              <w:t>Wave 1 TR</w:t>
            </w:r>
          </w:p>
        </w:tc>
        <w:tc>
          <w:tcPr>
            <w:tcW w:w="924" w:type="pct"/>
            <w:shd w:val="clear" w:color="auto" w:fill="E4E1DB" w:themeFill="background2" w:themeFillTint="33"/>
          </w:tcPr>
          <w:p w14:paraId="20A0D512"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July 2009</w:t>
            </w:r>
          </w:p>
        </w:tc>
        <w:tc>
          <w:tcPr>
            <w:tcW w:w="832" w:type="pct"/>
            <w:shd w:val="clear" w:color="auto" w:fill="E4E1DB" w:themeFill="background2" w:themeFillTint="33"/>
          </w:tcPr>
          <w:p w14:paraId="551ACAC3"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October 2013</w:t>
            </w:r>
          </w:p>
        </w:tc>
        <w:tc>
          <w:tcPr>
            <w:tcW w:w="924" w:type="pct"/>
            <w:shd w:val="clear" w:color="auto" w:fill="E4E1DB" w:themeFill="background2" w:themeFillTint="33"/>
          </w:tcPr>
          <w:p w14:paraId="7FE16FA8"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1117" w:type="pct"/>
            <w:shd w:val="clear" w:color="auto" w:fill="E4E1DB" w:themeFill="background2" w:themeFillTint="33"/>
          </w:tcPr>
          <w:p w14:paraId="0685718D" w14:textId="77777777" w:rsidR="00BE1241"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52 months</w:t>
            </w:r>
          </w:p>
        </w:tc>
      </w:tr>
      <w:tr w:rsidR="00BE1241" w:rsidRPr="00CB6B1B" w14:paraId="55D6E1D5" w14:textId="77777777" w:rsidTr="00F05E89">
        <w:tc>
          <w:tcPr>
            <w:cnfStyle w:val="001000000000" w:firstRow="0" w:lastRow="0" w:firstColumn="1" w:lastColumn="0" w:oddVBand="0" w:evenVBand="0" w:oddHBand="0" w:evenHBand="0" w:firstRowFirstColumn="0" w:firstRowLastColumn="0" w:lastRowFirstColumn="0" w:lastRowLastColumn="0"/>
            <w:tcW w:w="1203" w:type="pct"/>
          </w:tcPr>
          <w:p w14:paraId="6F305548" w14:textId="77777777" w:rsidR="00BE1241" w:rsidRPr="00C67F44" w:rsidRDefault="00BE1241" w:rsidP="00697FC4">
            <w:pPr>
              <w:keepNext/>
              <w:keepLines/>
              <w:rPr>
                <w:rFonts w:cs="Arial"/>
                <w:color w:val="000000"/>
                <w:szCs w:val="20"/>
              </w:rPr>
            </w:pPr>
            <w:r>
              <w:rPr>
                <w:rFonts w:cs="Arial"/>
                <w:color w:val="000000"/>
                <w:szCs w:val="20"/>
              </w:rPr>
              <w:t>Wave 2</w:t>
            </w:r>
          </w:p>
        </w:tc>
        <w:tc>
          <w:tcPr>
            <w:tcW w:w="924" w:type="pct"/>
          </w:tcPr>
          <w:p w14:paraId="2C449EEC"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September 2010</w:t>
            </w:r>
          </w:p>
        </w:tc>
        <w:tc>
          <w:tcPr>
            <w:tcW w:w="832" w:type="pct"/>
          </w:tcPr>
          <w:p w14:paraId="5F918FA3"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924" w:type="pct"/>
          </w:tcPr>
          <w:p w14:paraId="6E403A20"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1117" w:type="pct"/>
          </w:tcPr>
          <w:p w14:paraId="3102DCA1" w14:textId="77777777" w:rsidR="00BE1241"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r>
      <w:tr w:rsidR="00BE1241" w:rsidRPr="00CB6B1B" w14:paraId="69BABD54" w14:textId="77777777" w:rsidTr="00F05E89">
        <w:tc>
          <w:tcPr>
            <w:cnfStyle w:val="001000000000" w:firstRow="0" w:lastRow="0" w:firstColumn="1" w:lastColumn="0" w:oddVBand="0" w:evenVBand="0" w:oddHBand="0" w:evenHBand="0" w:firstRowFirstColumn="0" w:firstRowLastColumn="0" w:lastRowFirstColumn="0" w:lastRowLastColumn="0"/>
            <w:tcW w:w="1203" w:type="pct"/>
          </w:tcPr>
          <w:p w14:paraId="2FA27DF3" w14:textId="77777777" w:rsidR="00BE1241" w:rsidRPr="00C67F44" w:rsidRDefault="00BE1241" w:rsidP="00697FC4">
            <w:pPr>
              <w:keepNext/>
              <w:keepLines/>
              <w:rPr>
                <w:rFonts w:cs="Arial"/>
                <w:color w:val="000000"/>
                <w:szCs w:val="20"/>
              </w:rPr>
            </w:pPr>
            <w:r>
              <w:rPr>
                <w:rFonts w:cs="Arial"/>
                <w:color w:val="000000"/>
                <w:szCs w:val="20"/>
              </w:rPr>
              <w:t>Wave 3 CR</w:t>
            </w:r>
          </w:p>
        </w:tc>
        <w:tc>
          <w:tcPr>
            <w:tcW w:w="924" w:type="pct"/>
          </w:tcPr>
          <w:p w14:paraId="07C69764"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May 2011</w:t>
            </w:r>
          </w:p>
        </w:tc>
        <w:tc>
          <w:tcPr>
            <w:tcW w:w="832" w:type="pct"/>
          </w:tcPr>
          <w:p w14:paraId="68AA8F13"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924" w:type="pct"/>
          </w:tcPr>
          <w:p w14:paraId="723FAB22"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1117" w:type="pct"/>
          </w:tcPr>
          <w:p w14:paraId="0F953263" w14:textId="77777777" w:rsidR="00BE1241"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r>
      <w:tr w:rsidR="00BE1241" w:rsidRPr="00CB6B1B" w14:paraId="6D4272AB" w14:textId="77777777" w:rsidTr="00F05E89">
        <w:tc>
          <w:tcPr>
            <w:cnfStyle w:val="001000000000" w:firstRow="0" w:lastRow="0" w:firstColumn="1" w:lastColumn="0" w:oddVBand="0" w:evenVBand="0" w:oddHBand="0" w:evenHBand="0" w:firstRowFirstColumn="0" w:firstRowLastColumn="0" w:lastRowFirstColumn="0" w:lastRowLastColumn="0"/>
            <w:tcW w:w="1203" w:type="pct"/>
          </w:tcPr>
          <w:p w14:paraId="3BFE36A7" w14:textId="77777777" w:rsidR="00BE1241" w:rsidRPr="00C67F44" w:rsidRDefault="00BE1241" w:rsidP="00697FC4">
            <w:pPr>
              <w:keepNext/>
              <w:keepLines/>
              <w:rPr>
                <w:rFonts w:cs="Arial"/>
                <w:color w:val="000000"/>
                <w:szCs w:val="20"/>
              </w:rPr>
            </w:pPr>
            <w:r>
              <w:rPr>
                <w:rFonts w:cs="Arial"/>
                <w:color w:val="000000"/>
                <w:szCs w:val="20"/>
              </w:rPr>
              <w:t>Wave 3 LR</w:t>
            </w:r>
          </w:p>
        </w:tc>
        <w:tc>
          <w:tcPr>
            <w:tcW w:w="924" w:type="pct"/>
          </w:tcPr>
          <w:p w14:paraId="2283772B"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May 2011</w:t>
            </w:r>
          </w:p>
        </w:tc>
        <w:tc>
          <w:tcPr>
            <w:tcW w:w="832" w:type="pct"/>
          </w:tcPr>
          <w:p w14:paraId="287F5F93"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October 2012</w:t>
            </w:r>
          </w:p>
        </w:tc>
        <w:tc>
          <w:tcPr>
            <w:tcW w:w="924" w:type="pct"/>
          </w:tcPr>
          <w:p w14:paraId="398251A9"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August 2013</w:t>
            </w:r>
          </w:p>
        </w:tc>
        <w:tc>
          <w:tcPr>
            <w:tcW w:w="1117" w:type="pct"/>
          </w:tcPr>
          <w:p w14:paraId="57839044" w14:textId="77777777" w:rsidR="00BE1241"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r>
      <w:tr w:rsidR="00BE1241" w:rsidRPr="00CB6B1B" w14:paraId="5F2F818E" w14:textId="77777777" w:rsidTr="00F05E89">
        <w:tc>
          <w:tcPr>
            <w:cnfStyle w:val="001000000000" w:firstRow="0" w:lastRow="0" w:firstColumn="1" w:lastColumn="0" w:oddVBand="0" w:evenVBand="0" w:oddHBand="0" w:evenHBand="0" w:firstRowFirstColumn="0" w:firstRowLastColumn="0" w:lastRowFirstColumn="0" w:lastRowLastColumn="0"/>
            <w:tcW w:w="1203" w:type="pct"/>
            <w:shd w:val="clear" w:color="auto" w:fill="E4E1DB" w:themeFill="background2" w:themeFillTint="33"/>
          </w:tcPr>
          <w:p w14:paraId="2935EE87" w14:textId="77777777" w:rsidR="00BE1241" w:rsidRPr="00C67F44" w:rsidRDefault="00BE1241" w:rsidP="00697FC4">
            <w:pPr>
              <w:keepNext/>
              <w:keepLines/>
              <w:rPr>
                <w:rFonts w:cs="Arial"/>
                <w:color w:val="000000"/>
                <w:szCs w:val="20"/>
              </w:rPr>
            </w:pPr>
            <w:r>
              <w:rPr>
                <w:rFonts w:cs="Arial"/>
                <w:color w:val="000000"/>
                <w:szCs w:val="20"/>
              </w:rPr>
              <w:t>Wave 3 TR</w:t>
            </w:r>
          </w:p>
        </w:tc>
        <w:tc>
          <w:tcPr>
            <w:tcW w:w="924" w:type="pct"/>
            <w:shd w:val="clear" w:color="auto" w:fill="E4E1DB" w:themeFill="background2" w:themeFillTint="33"/>
          </w:tcPr>
          <w:p w14:paraId="150C73CF"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May 2011</w:t>
            </w:r>
          </w:p>
        </w:tc>
        <w:tc>
          <w:tcPr>
            <w:tcW w:w="832" w:type="pct"/>
            <w:shd w:val="clear" w:color="auto" w:fill="E4E1DB" w:themeFill="background2" w:themeFillTint="33"/>
          </w:tcPr>
          <w:p w14:paraId="19C3799C"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October 2013</w:t>
            </w:r>
          </w:p>
        </w:tc>
        <w:tc>
          <w:tcPr>
            <w:tcW w:w="924" w:type="pct"/>
            <w:shd w:val="clear" w:color="auto" w:fill="E4E1DB" w:themeFill="background2" w:themeFillTint="33"/>
          </w:tcPr>
          <w:p w14:paraId="7B1D0BFE"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1117" w:type="pct"/>
            <w:shd w:val="clear" w:color="auto" w:fill="E4E1DB" w:themeFill="background2" w:themeFillTint="33"/>
          </w:tcPr>
          <w:p w14:paraId="24620390" w14:textId="77777777" w:rsidR="00BE1241"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30 months</w:t>
            </w:r>
          </w:p>
        </w:tc>
      </w:tr>
      <w:tr w:rsidR="00BE1241" w:rsidRPr="00CB6B1B" w14:paraId="4105B1A4" w14:textId="77777777" w:rsidTr="00F05E89">
        <w:tc>
          <w:tcPr>
            <w:cnfStyle w:val="001000000000" w:firstRow="0" w:lastRow="0" w:firstColumn="1" w:lastColumn="0" w:oddVBand="0" w:evenVBand="0" w:oddHBand="0" w:evenHBand="0" w:firstRowFirstColumn="0" w:firstRowLastColumn="0" w:lastRowFirstColumn="0" w:lastRowLastColumn="0"/>
            <w:tcW w:w="1203" w:type="pct"/>
          </w:tcPr>
          <w:p w14:paraId="3C8A010C" w14:textId="77777777" w:rsidR="00BE1241" w:rsidRPr="00C67F44" w:rsidRDefault="00BE1241" w:rsidP="00697FC4">
            <w:pPr>
              <w:keepNext/>
              <w:keepLines/>
              <w:rPr>
                <w:rFonts w:cs="Arial"/>
                <w:color w:val="000000"/>
                <w:szCs w:val="20"/>
              </w:rPr>
            </w:pPr>
            <w:r>
              <w:rPr>
                <w:rFonts w:cs="Arial"/>
                <w:color w:val="000000"/>
                <w:szCs w:val="20"/>
              </w:rPr>
              <w:t>Wave 4</w:t>
            </w:r>
          </w:p>
        </w:tc>
        <w:tc>
          <w:tcPr>
            <w:tcW w:w="924" w:type="pct"/>
          </w:tcPr>
          <w:p w14:paraId="155708BF"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January 2012</w:t>
            </w:r>
          </w:p>
        </w:tc>
        <w:tc>
          <w:tcPr>
            <w:tcW w:w="832" w:type="pct"/>
          </w:tcPr>
          <w:p w14:paraId="46F743A1"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924" w:type="pct"/>
          </w:tcPr>
          <w:p w14:paraId="16EA52D4"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1117" w:type="pct"/>
          </w:tcPr>
          <w:p w14:paraId="3678529A" w14:textId="77777777" w:rsidR="00BE1241"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r>
      <w:tr w:rsidR="00BE1241" w:rsidRPr="00CB6B1B" w14:paraId="657F9E14" w14:textId="77777777" w:rsidTr="00F05E89">
        <w:tc>
          <w:tcPr>
            <w:cnfStyle w:val="001000000000" w:firstRow="0" w:lastRow="0" w:firstColumn="1" w:lastColumn="0" w:oddVBand="0" w:evenVBand="0" w:oddHBand="0" w:evenHBand="0" w:firstRowFirstColumn="0" w:firstRowLastColumn="0" w:lastRowFirstColumn="0" w:lastRowLastColumn="0"/>
            <w:tcW w:w="1203" w:type="pct"/>
          </w:tcPr>
          <w:p w14:paraId="127CB64D" w14:textId="77777777" w:rsidR="00BE1241" w:rsidRDefault="00BE1241" w:rsidP="00697FC4">
            <w:pPr>
              <w:keepNext/>
              <w:keepLines/>
              <w:rPr>
                <w:rFonts w:cs="Arial"/>
                <w:color w:val="000000"/>
                <w:szCs w:val="20"/>
              </w:rPr>
            </w:pPr>
            <w:r>
              <w:rPr>
                <w:rFonts w:cs="Arial"/>
                <w:color w:val="000000"/>
                <w:szCs w:val="20"/>
              </w:rPr>
              <w:t>Wave 5 AMI</w:t>
            </w:r>
          </w:p>
        </w:tc>
        <w:tc>
          <w:tcPr>
            <w:tcW w:w="924" w:type="pct"/>
          </w:tcPr>
          <w:p w14:paraId="556A53A8" w14:textId="77777777" w:rsidR="00BE1241"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May 2012</w:t>
            </w:r>
          </w:p>
        </w:tc>
        <w:tc>
          <w:tcPr>
            <w:tcW w:w="832" w:type="pct"/>
          </w:tcPr>
          <w:p w14:paraId="6B1829E6"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August 2014</w:t>
            </w:r>
          </w:p>
        </w:tc>
        <w:tc>
          <w:tcPr>
            <w:tcW w:w="924" w:type="pct"/>
          </w:tcPr>
          <w:p w14:paraId="190C3C8A"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1117" w:type="pct"/>
          </w:tcPr>
          <w:p w14:paraId="057B47D6" w14:textId="77777777" w:rsidR="00BE1241"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r>
      <w:tr w:rsidR="00BE1241" w:rsidRPr="00CB6B1B" w14:paraId="40251AC5" w14:textId="77777777" w:rsidTr="00F05E89">
        <w:tc>
          <w:tcPr>
            <w:cnfStyle w:val="001000000000" w:firstRow="0" w:lastRow="0" w:firstColumn="1" w:lastColumn="0" w:oddVBand="0" w:evenVBand="0" w:oddHBand="0" w:evenHBand="0" w:firstRowFirstColumn="0" w:firstRowLastColumn="0" w:lastRowFirstColumn="0" w:lastRowLastColumn="0"/>
            <w:tcW w:w="1203" w:type="pct"/>
          </w:tcPr>
          <w:p w14:paraId="6BE04E17" w14:textId="77777777" w:rsidR="00BE1241" w:rsidRPr="00C67F44" w:rsidRDefault="00BE1241" w:rsidP="00697FC4">
            <w:pPr>
              <w:keepNext/>
              <w:keepLines/>
              <w:rPr>
                <w:rFonts w:cs="Arial"/>
                <w:color w:val="000000"/>
                <w:szCs w:val="20"/>
              </w:rPr>
            </w:pPr>
            <w:r>
              <w:rPr>
                <w:rFonts w:cs="Arial"/>
                <w:color w:val="000000"/>
                <w:szCs w:val="20"/>
              </w:rPr>
              <w:t>Wave 5 Non-AMI CR</w:t>
            </w:r>
          </w:p>
        </w:tc>
        <w:tc>
          <w:tcPr>
            <w:tcW w:w="924" w:type="pct"/>
          </w:tcPr>
          <w:p w14:paraId="1720A69E"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July 2012</w:t>
            </w:r>
          </w:p>
        </w:tc>
        <w:tc>
          <w:tcPr>
            <w:tcW w:w="832" w:type="pct"/>
          </w:tcPr>
          <w:p w14:paraId="5AA4C25B"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924" w:type="pct"/>
          </w:tcPr>
          <w:p w14:paraId="7DC0F76B"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1117" w:type="pct"/>
          </w:tcPr>
          <w:p w14:paraId="6EE0C652" w14:textId="77777777" w:rsidR="00BE1241"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r>
      <w:tr w:rsidR="00BE1241" w:rsidRPr="00CB6B1B" w14:paraId="72B366B7" w14:textId="77777777" w:rsidTr="00F05E89">
        <w:tc>
          <w:tcPr>
            <w:cnfStyle w:val="001000000000" w:firstRow="0" w:lastRow="0" w:firstColumn="1" w:lastColumn="0" w:oddVBand="0" w:evenVBand="0" w:oddHBand="0" w:evenHBand="0" w:firstRowFirstColumn="0" w:firstRowLastColumn="0" w:lastRowFirstColumn="0" w:lastRowLastColumn="0"/>
            <w:tcW w:w="1203" w:type="pct"/>
            <w:shd w:val="clear" w:color="auto" w:fill="E4E1DB" w:themeFill="background2" w:themeFillTint="33"/>
          </w:tcPr>
          <w:p w14:paraId="6A80CF74" w14:textId="77777777" w:rsidR="00BE1241" w:rsidRPr="00C67F44" w:rsidRDefault="00BE1241" w:rsidP="00697FC4">
            <w:pPr>
              <w:keepNext/>
              <w:keepLines/>
              <w:rPr>
                <w:rFonts w:cs="Arial"/>
                <w:color w:val="000000"/>
                <w:szCs w:val="20"/>
              </w:rPr>
            </w:pPr>
            <w:r>
              <w:rPr>
                <w:rFonts w:cs="Arial"/>
                <w:color w:val="000000"/>
                <w:szCs w:val="20"/>
              </w:rPr>
              <w:t>Wave 5 Non-AMI TR</w:t>
            </w:r>
          </w:p>
        </w:tc>
        <w:tc>
          <w:tcPr>
            <w:tcW w:w="924" w:type="pct"/>
            <w:shd w:val="clear" w:color="auto" w:fill="E4E1DB" w:themeFill="background2" w:themeFillTint="33"/>
          </w:tcPr>
          <w:p w14:paraId="6AA397D0"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July 2012</w:t>
            </w:r>
          </w:p>
        </w:tc>
        <w:tc>
          <w:tcPr>
            <w:tcW w:w="832" w:type="pct"/>
            <w:shd w:val="clear" w:color="auto" w:fill="E4E1DB" w:themeFill="background2" w:themeFillTint="33"/>
          </w:tcPr>
          <w:p w14:paraId="2103FE60"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October 2013</w:t>
            </w:r>
          </w:p>
        </w:tc>
        <w:tc>
          <w:tcPr>
            <w:tcW w:w="924" w:type="pct"/>
            <w:shd w:val="clear" w:color="auto" w:fill="E4E1DB" w:themeFill="background2" w:themeFillTint="33"/>
          </w:tcPr>
          <w:p w14:paraId="31426D5C"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1117" w:type="pct"/>
            <w:shd w:val="clear" w:color="auto" w:fill="E4E1DB" w:themeFill="background2" w:themeFillTint="33"/>
          </w:tcPr>
          <w:p w14:paraId="5C6A3D02" w14:textId="77777777" w:rsidR="00BE1241"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16 months</w:t>
            </w:r>
          </w:p>
        </w:tc>
      </w:tr>
      <w:tr w:rsidR="00BE1241" w:rsidRPr="00CB6B1B" w14:paraId="08FD6481" w14:textId="77777777" w:rsidTr="00F05E89">
        <w:tc>
          <w:tcPr>
            <w:cnfStyle w:val="001000000000" w:firstRow="0" w:lastRow="0" w:firstColumn="1" w:lastColumn="0" w:oddVBand="0" w:evenVBand="0" w:oddHBand="0" w:evenHBand="0" w:firstRowFirstColumn="0" w:firstRowLastColumn="0" w:lastRowFirstColumn="0" w:lastRowLastColumn="0"/>
            <w:tcW w:w="1203" w:type="pct"/>
          </w:tcPr>
          <w:p w14:paraId="67787762" w14:textId="77777777" w:rsidR="00BE1241" w:rsidRPr="00C67F44" w:rsidRDefault="00BE1241" w:rsidP="00697FC4">
            <w:pPr>
              <w:keepNext/>
              <w:keepLines/>
              <w:rPr>
                <w:rFonts w:cs="Arial"/>
                <w:color w:val="000000"/>
                <w:szCs w:val="20"/>
              </w:rPr>
            </w:pPr>
            <w:r>
              <w:rPr>
                <w:rFonts w:cs="Arial"/>
                <w:color w:val="000000"/>
                <w:szCs w:val="20"/>
              </w:rPr>
              <w:t>Wave 6</w:t>
            </w:r>
          </w:p>
        </w:tc>
        <w:tc>
          <w:tcPr>
            <w:tcW w:w="924" w:type="pct"/>
          </w:tcPr>
          <w:p w14:paraId="1388E304"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June 2013</w:t>
            </w:r>
          </w:p>
        </w:tc>
        <w:tc>
          <w:tcPr>
            <w:tcW w:w="832" w:type="pct"/>
          </w:tcPr>
          <w:p w14:paraId="0579BFF6"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924" w:type="pct"/>
          </w:tcPr>
          <w:p w14:paraId="2AC5F9FD"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1117" w:type="pct"/>
          </w:tcPr>
          <w:p w14:paraId="08142C8A" w14:textId="77777777" w:rsidR="00BE1241"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r>
      <w:tr w:rsidR="00BE1241" w:rsidRPr="00CB6B1B" w14:paraId="07B3B4CA" w14:textId="77777777" w:rsidTr="00F05E89">
        <w:tc>
          <w:tcPr>
            <w:cnfStyle w:val="001000000000" w:firstRow="0" w:lastRow="0" w:firstColumn="1" w:lastColumn="0" w:oddVBand="0" w:evenVBand="0" w:oddHBand="0" w:evenHBand="0" w:firstRowFirstColumn="0" w:firstRowLastColumn="0" w:lastRowFirstColumn="0" w:lastRowLastColumn="0"/>
            <w:tcW w:w="1203" w:type="pct"/>
          </w:tcPr>
          <w:p w14:paraId="7C056F71" w14:textId="77777777" w:rsidR="00BE1241" w:rsidRPr="00C67F44" w:rsidRDefault="00BE1241" w:rsidP="00697FC4">
            <w:pPr>
              <w:keepNext/>
              <w:keepLines/>
              <w:rPr>
                <w:rFonts w:cs="Arial"/>
                <w:color w:val="000000"/>
                <w:szCs w:val="20"/>
              </w:rPr>
            </w:pPr>
            <w:r>
              <w:rPr>
                <w:rFonts w:cs="Arial"/>
                <w:color w:val="000000"/>
                <w:szCs w:val="20"/>
              </w:rPr>
              <w:t>Wave 7 Low</w:t>
            </w:r>
          </w:p>
        </w:tc>
        <w:tc>
          <w:tcPr>
            <w:tcW w:w="924" w:type="pct"/>
          </w:tcPr>
          <w:p w14:paraId="7791464C"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June 2014</w:t>
            </w:r>
          </w:p>
        </w:tc>
        <w:tc>
          <w:tcPr>
            <w:tcW w:w="832" w:type="pct"/>
          </w:tcPr>
          <w:p w14:paraId="1B42C261"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924" w:type="pct"/>
          </w:tcPr>
          <w:p w14:paraId="6B27C4F3"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1117" w:type="pct"/>
          </w:tcPr>
          <w:p w14:paraId="6FBB8394" w14:textId="77777777" w:rsidR="00BE1241"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r>
      <w:tr w:rsidR="00BE1241" w:rsidRPr="00CB6B1B" w14:paraId="6026E602" w14:textId="77777777" w:rsidTr="00F05E89">
        <w:tc>
          <w:tcPr>
            <w:cnfStyle w:val="001000000000" w:firstRow="0" w:lastRow="0" w:firstColumn="1" w:lastColumn="0" w:oddVBand="0" w:evenVBand="0" w:oddHBand="0" w:evenHBand="0" w:firstRowFirstColumn="0" w:firstRowLastColumn="0" w:lastRowFirstColumn="0" w:lastRowLastColumn="0"/>
            <w:tcW w:w="1203" w:type="pct"/>
          </w:tcPr>
          <w:p w14:paraId="142B4BC7" w14:textId="77777777" w:rsidR="00BE1241" w:rsidRPr="00C67F44" w:rsidRDefault="00BE1241" w:rsidP="00697FC4">
            <w:pPr>
              <w:keepNext/>
              <w:keepLines/>
              <w:rPr>
                <w:rFonts w:cs="Arial"/>
                <w:color w:val="000000"/>
                <w:szCs w:val="20"/>
              </w:rPr>
            </w:pPr>
            <w:r>
              <w:rPr>
                <w:rFonts w:cs="Arial"/>
                <w:color w:val="000000"/>
                <w:szCs w:val="20"/>
              </w:rPr>
              <w:t>Wave 7 High</w:t>
            </w:r>
          </w:p>
        </w:tc>
        <w:tc>
          <w:tcPr>
            <w:tcW w:w="924" w:type="pct"/>
          </w:tcPr>
          <w:p w14:paraId="5C06D314"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June 2014</w:t>
            </w:r>
          </w:p>
        </w:tc>
        <w:tc>
          <w:tcPr>
            <w:tcW w:w="832" w:type="pct"/>
          </w:tcPr>
          <w:p w14:paraId="0CDC928A"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924" w:type="pct"/>
          </w:tcPr>
          <w:p w14:paraId="04EE7DAC" w14:textId="77777777" w:rsidR="00BE1241" w:rsidRPr="00C67F44"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c>
          <w:tcPr>
            <w:tcW w:w="1117" w:type="pct"/>
          </w:tcPr>
          <w:p w14:paraId="4C57D22D" w14:textId="77777777" w:rsidR="00BE1241" w:rsidRDefault="00BE1241" w:rsidP="00697FC4">
            <w:pPr>
              <w:keepNext/>
              <w:keepLines/>
              <w:cnfStyle w:val="000000000000" w:firstRow="0" w:lastRow="0" w:firstColumn="0" w:lastColumn="0" w:oddVBand="0" w:evenVBand="0" w:oddHBand="0" w:evenHBand="0" w:firstRowFirstColumn="0" w:firstRowLastColumn="0" w:lastRowFirstColumn="0" w:lastRowLastColumn="0"/>
              <w:rPr>
                <w:rFonts w:cs="Arial"/>
                <w:color w:val="000000"/>
                <w:szCs w:val="20"/>
              </w:rPr>
            </w:pPr>
            <w:r>
              <w:rPr>
                <w:rFonts w:cs="Arial"/>
                <w:color w:val="000000"/>
                <w:szCs w:val="20"/>
              </w:rPr>
              <w:t>-</w:t>
            </w:r>
          </w:p>
        </w:tc>
      </w:tr>
    </w:tbl>
    <w:p w14:paraId="4F52B683" w14:textId="77777777" w:rsidR="00BE1241" w:rsidRDefault="00BE1241" w:rsidP="00BE1241">
      <w:pPr>
        <w:pStyle w:val="Source"/>
        <w:ind w:left="900"/>
      </w:pPr>
      <w:r>
        <w:t>Source: Opower implementation data</w:t>
      </w:r>
    </w:p>
    <w:p w14:paraId="3330ACFC" w14:textId="1B3CF9B7" w:rsidR="00BE1241" w:rsidRPr="00165E29" w:rsidRDefault="00BE1241" w:rsidP="00BE1241">
      <w:pPr>
        <w:pStyle w:val="Source"/>
        <w:ind w:left="900"/>
        <w:rPr>
          <w:i w:val="0"/>
        </w:rPr>
      </w:pPr>
      <w:r>
        <w:rPr>
          <w:i w:val="0"/>
        </w:rPr>
        <w:t>Note: CR refers</w:t>
      </w:r>
      <w:r w:rsidR="00F05E89">
        <w:rPr>
          <w:i w:val="0"/>
        </w:rPr>
        <w:t xml:space="preserve"> to</w:t>
      </w:r>
      <w:r>
        <w:rPr>
          <w:i w:val="0"/>
        </w:rPr>
        <w:t xml:space="preserve"> Continued Report, LR refers</w:t>
      </w:r>
      <w:r w:rsidR="00F05E89">
        <w:rPr>
          <w:i w:val="0"/>
        </w:rPr>
        <w:t xml:space="preserve"> to</w:t>
      </w:r>
      <w:r>
        <w:rPr>
          <w:i w:val="0"/>
        </w:rPr>
        <w:t xml:space="preserve"> lapsed report, and TR refers</w:t>
      </w:r>
      <w:r w:rsidR="00F05E89">
        <w:rPr>
          <w:i w:val="0"/>
        </w:rPr>
        <w:t xml:space="preserve"> to</w:t>
      </w:r>
      <w:r>
        <w:rPr>
          <w:i w:val="0"/>
        </w:rPr>
        <w:t xml:space="preserve"> terminated report</w:t>
      </w:r>
    </w:p>
    <w:p w14:paraId="6D6920E0" w14:textId="77777777" w:rsidR="00BE1241" w:rsidRDefault="00BE1241" w:rsidP="00BE1241"/>
    <w:p w14:paraId="123EE3EF" w14:textId="25320158" w:rsidR="00F05E89" w:rsidRPr="007A5A19" w:rsidRDefault="00F05E89" w:rsidP="00F05E89">
      <w:r>
        <w:t>The current study looks at persistence savings from this program that accrued in the year after reports were stopped, November 2013 to October 2014, for each of these three TR groups.</w:t>
      </w:r>
      <w:r w:rsidRPr="00356E69">
        <w:t xml:space="preserve"> </w:t>
      </w:r>
      <w:r>
        <w:t>The persistence, decay, and measure life were calculated by comparing the TR group from each wave to the continued report (CR) group for each wave. Over the past several years there has been a growing interest in the persistence of savings from HER programs after reports have been stopped. If savings persist after the cessation of reports, it has important implications for the lifetime measure savings and cost-effectiveness of HER programs. The current rule of thumb for electric programs is that the savings decay approximately 20 percent in the first year after reports are stopped.</w:t>
      </w:r>
      <w:r>
        <w:rPr>
          <w:rStyle w:val="FootnoteReference"/>
        </w:rPr>
        <w:footnoteReference w:id="9"/>
      </w:r>
    </w:p>
    <w:p w14:paraId="2362318C" w14:textId="77777777" w:rsidR="00780C71" w:rsidRDefault="00780C71" w:rsidP="00780C71">
      <w:pPr>
        <w:pStyle w:val="Heading2"/>
        <w:ind w:left="720" w:hanging="720"/>
      </w:pPr>
      <w:bookmarkStart w:id="25" w:name="_Toc441751875"/>
      <w:r>
        <w:t>Evaluation Objectives</w:t>
      </w:r>
      <w:bookmarkEnd w:id="22"/>
      <w:bookmarkEnd w:id="25"/>
    </w:p>
    <w:p w14:paraId="776856BE" w14:textId="4BC9CE8F" w:rsidR="00BE1241" w:rsidRDefault="00BE1241" w:rsidP="00EA005C">
      <w:pPr>
        <w:rPr>
          <w:szCs w:val="20"/>
        </w:rPr>
      </w:pPr>
      <w:r>
        <w:t xml:space="preserve">The primary objective of this study is </w:t>
      </w:r>
      <w:r w:rsidR="00F05E89">
        <w:t xml:space="preserve">to </w:t>
      </w:r>
      <w:r>
        <w:t xml:space="preserve">estimate </w:t>
      </w:r>
      <w:r>
        <w:rPr>
          <w:szCs w:val="20"/>
        </w:rPr>
        <w:t>the annual savings decay rate for</w:t>
      </w:r>
      <w:r w:rsidR="00EA005C">
        <w:rPr>
          <w:szCs w:val="20"/>
        </w:rPr>
        <w:t xml:space="preserve"> each of the three relevant groups in</w:t>
      </w:r>
      <w:r>
        <w:rPr>
          <w:szCs w:val="20"/>
        </w:rPr>
        <w:t xml:space="preserve"> the HER program and the associated program measure life. In this evaluation, the savings decay is defined as </w:t>
      </w:r>
      <w:r w:rsidR="00EA005C">
        <w:t>the reduction in savings post-stoppage of the HER reports</w:t>
      </w:r>
      <w:r w:rsidR="00EA005C" w:rsidRPr="00AF2B50">
        <w:t xml:space="preserve"> plus the opportunity cost of missed incremental saving</w:t>
      </w:r>
      <w:r w:rsidR="00F05E89">
        <w:t>.</w:t>
      </w:r>
      <w:r w:rsidR="00EA005C">
        <w:t xml:space="preserve"> </w:t>
      </w:r>
      <w:r w:rsidR="00F05E89">
        <w:t>This definition</w:t>
      </w:r>
      <w:r w:rsidR="00EA005C">
        <w:t xml:space="preserve"> answers the question,</w:t>
      </w:r>
      <w:r w:rsidR="00EA005C" w:rsidRPr="00AF2B50">
        <w:t xml:space="preserve"> “how much less would the HER program save if reports were terminated relative to continuing </w:t>
      </w:r>
      <w:r w:rsidR="0059439E">
        <w:t xml:space="preserve">to receive </w:t>
      </w:r>
      <w:r w:rsidR="00EA005C" w:rsidRPr="00AF2B50">
        <w:t>them?”</w:t>
      </w:r>
    </w:p>
    <w:p w14:paraId="31A86B6F" w14:textId="77777777" w:rsidR="00EA005C" w:rsidRDefault="00EA005C" w:rsidP="00BE1241">
      <w:pPr>
        <w:rPr>
          <w:szCs w:val="20"/>
        </w:rPr>
      </w:pPr>
    </w:p>
    <w:p w14:paraId="48ED6A75" w14:textId="7BA2B628" w:rsidR="00CA2F4C" w:rsidRPr="00E40AED" w:rsidRDefault="00EA005C" w:rsidP="00013969">
      <w:pPr>
        <w:pStyle w:val="Heading1"/>
      </w:pPr>
      <w:bookmarkStart w:id="26" w:name="_Toc441751876"/>
      <w:r>
        <w:lastRenderedPageBreak/>
        <w:t>Study</w:t>
      </w:r>
      <w:r w:rsidR="00780C71">
        <w:t xml:space="preserve"> Approach</w:t>
      </w:r>
      <w:bookmarkEnd w:id="26"/>
    </w:p>
    <w:p w14:paraId="3BC1E907" w14:textId="39D570B4" w:rsidR="00CC7E62" w:rsidRPr="00DF12AD" w:rsidRDefault="00EA005C" w:rsidP="00CC7E62">
      <w:pPr>
        <w:rPr>
          <w:szCs w:val="22"/>
        </w:rPr>
      </w:pPr>
      <w:bookmarkStart w:id="27" w:name="_Toc398546632"/>
      <w:r>
        <w:rPr>
          <w:szCs w:val="22"/>
        </w:rPr>
        <w:t xml:space="preserve">The study approach for the persistence savings from the HER program relies on statistical analysis appropriate for a RCT and is consistent with the approach used in the annual program year evaluation reports. </w:t>
      </w:r>
      <w:r w:rsidR="000F4974">
        <w:t>Navigant estimated program impacts using two approaches: a simple post-program regression (PPR) analysis with lagged controls and a linear fixed-effects regression (LFER) analysis applied to monthly billing data.</w:t>
      </w:r>
      <w:r w:rsidR="00F05E89">
        <w:t xml:space="preserve"> The persistence, decay, and measure life were calculated by comparing the TR group from each wave to the CR group for each wave.</w:t>
      </w:r>
    </w:p>
    <w:p w14:paraId="2DF3C3CA" w14:textId="77777777" w:rsidR="00441D99" w:rsidRDefault="00441D99" w:rsidP="00013969">
      <w:pPr>
        <w:pStyle w:val="Heading2"/>
        <w:numPr>
          <w:ilvl w:val="1"/>
          <w:numId w:val="1"/>
        </w:numPr>
        <w:ind w:left="720" w:hanging="720"/>
      </w:pPr>
      <w:bookmarkStart w:id="28" w:name="_Toc441751877"/>
      <w:r>
        <w:t>Overview of Data Collection Activities</w:t>
      </w:r>
      <w:bookmarkEnd w:id="27"/>
      <w:bookmarkEnd w:id="28"/>
    </w:p>
    <w:p w14:paraId="72FF5228" w14:textId="579E35DE" w:rsidR="00CC7E62" w:rsidRDefault="00CC7E62" w:rsidP="00CC7E62">
      <w:bookmarkStart w:id="29" w:name="_Toc398546633"/>
      <w:r>
        <w:t xml:space="preserve">Navigant </w:t>
      </w:r>
      <w:r w:rsidR="00EA005C">
        <w:t>used</w:t>
      </w:r>
      <w:r>
        <w:t xml:space="preserve"> tracking data and monthly billing data for all program participants and control customers from September 2008 to </w:t>
      </w:r>
      <w:r w:rsidR="00F44417">
        <w:t>October</w:t>
      </w:r>
      <w:r w:rsidR="00EA005C">
        <w:t xml:space="preserve"> 2014</w:t>
      </w:r>
      <w:r>
        <w:t xml:space="preserve"> from the program implementer. </w:t>
      </w:r>
      <w:r>
        <w:fldChar w:fldCharType="begin"/>
      </w:r>
      <w:r>
        <w:instrText xml:space="preserve"> REF _Ref403658227 \h </w:instrText>
      </w:r>
      <w:r>
        <w:fldChar w:fldCharType="separate"/>
      </w:r>
      <w:r w:rsidR="00E4410B">
        <w:t xml:space="preserve">Table </w:t>
      </w:r>
      <w:r w:rsidR="00E4410B">
        <w:rPr>
          <w:noProof/>
        </w:rPr>
        <w:t>2</w:t>
      </w:r>
      <w:r w:rsidR="00E4410B">
        <w:noBreakHyphen/>
      </w:r>
      <w:r w:rsidR="00E4410B">
        <w:rPr>
          <w:noProof/>
        </w:rPr>
        <w:t>1</w:t>
      </w:r>
      <w:r>
        <w:fldChar w:fldCharType="end"/>
      </w:r>
      <w:r>
        <w:t xml:space="preserve"> provides details.</w:t>
      </w:r>
    </w:p>
    <w:p w14:paraId="47FFC609" w14:textId="77777777" w:rsidR="00CC7E62" w:rsidRDefault="00CC7E62" w:rsidP="00CC7E62"/>
    <w:p w14:paraId="3A5D2AB3" w14:textId="64103ED3" w:rsidR="00CC7E62" w:rsidRDefault="00CC7E62" w:rsidP="004301F4">
      <w:pPr>
        <w:pStyle w:val="Caption"/>
      </w:pPr>
      <w:bookmarkStart w:id="30" w:name="_Ref403658227"/>
      <w:bookmarkStart w:id="31" w:name="_Toc381938133"/>
      <w:bookmarkStart w:id="32" w:name="_Toc397011686"/>
      <w:bookmarkStart w:id="33" w:name="_Toc397011696"/>
      <w:bookmarkStart w:id="34" w:name="_Toc398541814"/>
      <w:bookmarkStart w:id="35" w:name="_Toc398541927"/>
      <w:bookmarkStart w:id="36" w:name="_Toc403123218"/>
      <w:bookmarkStart w:id="37" w:name="_Toc408396094"/>
      <w:bookmarkStart w:id="38" w:name="_Toc408990894"/>
      <w:bookmarkStart w:id="39" w:name="_Toc441751902"/>
      <w:r>
        <w:t xml:space="preserve">Table </w:t>
      </w:r>
      <w:fldSimple w:instr=" STYLEREF 1 \s ">
        <w:r w:rsidR="00E4410B">
          <w:rPr>
            <w:noProof/>
          </w:rPr>
          <w:t>2</w:t>
        </w:r>
      </w:fldSimple>
      <w:r w:rsidR="00F05E89">
        <w:noBreakHyphen/>
      </w:r>
      <w:fldSimple w:instr=" SEQ Table \* ARABIC \s 1 ">
        <w:r w:rsidR="00E4410B">
          <w:rPr>
            <w:noProof/>
          </w:rPr>
          <w:t>1</w:t>
        </w:r>
      </w:fldSimple>
      <w:bookmarkEnd w:id="30"/>
      <w:r>
        <w:t>. Primary Data Collection Activities</w:t>
      </w:r>
      <w:bookmarkEnd w:id="31"/>
      <w:bookmarkEnd w:id="32"/>
      <w:bookmarkEnd w:id="33"/>
      <w:bookmarkEnd w:id="34"/>
      <w:bookmarkEnd w:id="35"/>
      <w:bookmarkEnd w:id="36"/>
      <w:bookmarkEnd w:id="37"/>
      <w:bookmarkEnd w:id="38"/>
      <w:bookmarkEnd w:id="39"/>
    </w:p>
    <w:tbl>
      <w:tblPr>
        <w:tblStyle w:val="ComEdTable"/>
        <w:tblW w:w="0" w:type="auto"/>
        <w:tblLook w:val="01E0" w:firstRow="1" w:lastRow="1" w:firstColumn="1" w:lastColumn="1" w:noHBand="0" w:noVBand="0"/>
      </w:tblPr>
      <w:tblGrid>
        <w:gridCol w:w="2735"/>
        <w:gridCol w:w="2790"/>
        <w:gridCol w:w="1217"/>
        <w:gridCol w:w="1217"/>
        <w:gridCol w:w="1218"/>
      </w:tblGrid>
      <w:tr w:rsidR="00CC7E62" w:rsidRPr="0084191C" w14:paraId="17C0F7A0" w14:textId="77777777" w:rsidTr="00CC7E62">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735" w:type="dxa"/>
          </w:tcPr>
          <w:p w14:paraId="233BF04B" w14:textId="77777777" w:rsidR="00CC7E62" w:rsidRPr="0084191C" w:rsidRDefault="00CC7E62" w:rsidP="00CC7E62">
            <w:pPr>
              <w:keepNext/>
              <w:keepLines/>
              <w:spacing w:before="40" w:after="40"/>
              <w:jc w:val="left"/>
              <w:rPr>
                <w:rFonts w:ascii="Arial Narrow" w:hAnsi="Arial Narrow"/>
                <w:b w:val="0"/>
                <w:color w:val="FFFFFF"/>
              </w:rPr>
            </w:pPr>
            <w:r w:rsidRPr="0084191C">
              <w:rPr>
                <w:rFonts w:ascii="Arial Narrow" w:hAnsi="Arial Narrow"/>
                <w:color w:val="FFFFFF"/>
              </w:rPr>
              <w:t>Collection Method</w:t>
            </w:r>
          </w:p>
        </w:tc>
        <w:tc>
          <w:tcPr>
            <w:tcW w:w="2790" w:type="dxa"/>
          </w:tcPr>
          <w:p w14:paraId="4D7E29DD" w14:textId="77777777" w:rsidR="00CC7E62" w:rsidRPr="0084191C" w:rsidRDefault="00CC7E62" w:rsidP="00CC7E62">
            <w:pPr>
              <w:keepNext/>
              <w:keepLines/>
              <w:spacing w:before="40" w:after="40"/>
              <w:ind w:left="19"/>
              <w:jc w:val="left"/>
              <w:cnfStyle w:val="100000000000" w:firstRow="1" w:lastRow="0" w:firstColumn="0" w:lastColumn="0" w:oddVBand="0" w:evenVBand="0" w:oddHBand="0" w:evenHBand="0" w:firstRowFirstColumn="0" w:firstRowLastColumn="0" w:lastRowFirstColumn="0" w:lastRowLastColumn="0"/>
              <w:rPr>
                <w:rFonts w:ascii="Arial Narrow" w:hAnsi="Arial Narrow"/>
                <w:b w:val="0"/>
                <w:color w:val="FFFFFF"/>
              </w:rPr>
            </w:pPr>
            <w:r w:rsidRPr="0084191C">
              <w:rPr>
                <w:rFonts w:ascii="Arial Narrow" w:hAnsi="Arial Narrow"/>
                <w:color w:val="FFFFFF"/>
              </w:rPr>
              <w:t>Subject Data</w:t>
            </w:r>
          </w:p>
        </w:tc>
        <w:tc>
          <w:tcPr>
            <w:tcW w:w="1217" w:type="dxa"/>
          </w:tcPr>
          <w:p w14:paraId="7C18DB19" w14:textId="77777777" w:rsidR="00CC7E62" w:rsidRPr="0084191C" w:rsidRDefault="00CC7E62" w:rsidP="00CC7E62">
            <w:pPr>
              <w:keepNext/>
              <w:keepLines/>
              <w:spacing w:before="40" w:after="40"/>
              <w:jc w:val="left"/>
              <w:cnfStyle w:val="100000000000" w:firstRow="1" w:lastRow="0" w:firstColumn="0" w:lastColumn="0" w:oddVBand="0" w:evenVBand="0" w:oddHBand="0" w:evenHBand="0" w:firstRowFirstColumn="0" w:firstRowLastColumn="0" w:lastRowFirstColumn="0" w:lastRowLastColumn="0"/>
              <w:rPr>
                <w:rFonts w:ascii="Arial Narrow" w:hAnsi="Arial Narrow"/>
                <w:b w:val="0"/>
                <w:color w:val="FFFFFF"/>
              </w:rPr>
            </w:pPr>
            <w:r w:rsidRPr="0084191C">
              <w:rPr>
                <w:rFonts w:ascii="Arial Narrow" w:hAnsi="Arial Narrow"/>
                <w:color w:val="FFFFFF"/>
              </w:rPr>
              <w:t>Quantity</w:t>
            </w:r>
          </w:p>
        </w:tc>
        <w:tc>
          <w:tcPr>
            <w:tcW w:w="1217" w:type="dxa"/>
          </w:tcPr>
          <w:p w14:paraId="609A49C9" w14:textId="77777777" w:rsidR="00CC7E62" w:rsidRPr="0084191C" w:rsidRDefault="00CC7E62" w:rsidP="00CC7E62">
            <w:pPr>
              <w:keepNext/>
              <w:keepLines/>
              <w:spacing w:before="40" w:after="40"/>
              <w:jc w:val="left"/>
              <w:cnfStyle w:val="100000000000" w:firstRow="1" w:lastRow="0" w:firstColumn="0" w:lastColumn="0" w:oddVBand="0" w:evenVBand="0" w:oddHBand="0" w:evenHBand="0" w:firstRowFirstColumn="0" w:firstRowLastColumn="0" w:lastRowFirstColumn="0" w:lastRowLastColumn="0"/>
              <w:rPr>
                <w:rFonts w:ascii="Arial Narrow" w:hAnsi="Arial Narrow"/>
                <w:b w:val="0"/>
                <w:color w:val="FFFFFF"/>
              </w:rPr>
            </w:pPr>
            <w:r w:rsidRPr="0084191C">
              <w:rPr>
                <w:rFonts w:ascii="Arial Narrow" w:hAnsi="Arial Narrow"/>
                <w:color w:val="FFFFFF"/>
              </w:rPr>
              <w:t>Net Impact</w:t>
            </w:r>
          </w:p>
        </w:tc>
        <w:tc>
          <w:tcPr>
            <w:tcW w:w="1218" w:type="dxa"/>
          </w:tcPr>
          <w:p w14:paraId="1A0DA007" w14:textId="77777777" w:rsidR="00CC7E62" w:rsidRPr="0084191C" w:rsidRDefault="00CC7E62" w:rsidP="00CC7E62">
            <w:pPr>
              <w:keepNext/>
              <w:keepLines/>
              <w:spacing w:before="40" w:after="40"/>
              <w:jc w:val="left"/>
              <w:cnfStyle w:val="100000000000" w:firstRow="1" w:lastRow="0" w:firstColumn="0" w:lastColumn="0" w:oddVBand="0" w:evenVBand="0" w:oddHBand="0" w:evenHBand="0" w:firstRowFirstColumn="0" w:firstRowLastColumn="0" w:lastRowFirstColumn="0" w:lastRowLastColumn="0"/>
              <w:rPr>
                <w:rFonts w:ascii="Arial Narrow" w:hAnsi="Arial Narrow"/>
                <w:b w:val="0"/>
                <w:color w:val="FFFFFF"/>
              </w:rPr>
            </w:pPr>
            <w:r w:rsidRPr="0084191C">
              <w:rPr>
                <w:rFonts w:ascii="Arial Narrow" w:hAnsi="Arial Narrow"/>
                <w:color w:val="FFFFFF"/>
              </w:rPr>
              <w:t>Process</w:t>
            </w:r>
          </w:p>
        </w:tc>
      </w:tr>
      <w:tr w:rsidR="00CC7E62" w:rsidRPr="0084191C" w14:paraId="04D42922" w14:textId="77777777" w:rsidTr="00CC7E62">
        <w:tc>
          <w:tcPr>
            <w:cnfStyle w:val="001000000000" w:firstRow="0" w:lastRow="0" w:firstColumn="1" w:lastColumn="0" w:oddVBand="0" w:evenVBand="0" w:oddHBand="0" w:evenHBand="0" w:firstRowFirstColumn="0" w:firstRowLastColumn="0" w:lastRowFirstColumn="0" w:lastRowLastColumn="0"/>
            <w:tcW w:w="2735" w:type="dxa"/>
          </w:tcPr>
          <w:p w14:paraId="60E868C0" w14:textId="77777777" w:rsidR="00CC7E62" w:rsidRPr="0084191C" w:rsidRDefault="00CC7E62" w:rsidP="00CC7E62">
            <w:pPr>
              <w:keepNext/>
              <w:keepLines/>
              <w:spacing w:before="40" w:after="40"/>
              <w:jc w:val="left"/>
              <w:rPr>
                <w:rFonts w:ascii="Arial Narrow" w:hAnsi="Arial Narrow"/>
              </w:rPr>
            </w:pPr>
            <w:r w:rsidRPr="0084191C">
              <w:rPr>
                <w:rFonts w:ascii="Arial Narrow" w:hAnsi="Arial Narrow"/>
              </w:rPr>
              <w:t>Billing Data</w:t>
            </w:r>
          </w:p>
        </w:tc>
        <w:tc>
          <w:tcPr>
            <w:tcW w:w="2790" w:type="dxa"/>
          </w:tcPr>
          <w:p w14:paraId="4F076D5C" w14:textId="77777777" w:rsidR="00CC7E62" w:rsidRPr="0084191C" w:rsidRDefault="00CC7E62" w:rsidP="00CC7E62">
            <w:pPr>
              <w:keepNext/>
              <w:keepLines/>
              <w:spacing w:before="40" w:after="40"/>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84191C">
              <w:rPr>
                <w:rFonts w:ascii="Arial Narrow" w:hAnsi="Arial Narrow"/>
              </w:rPr>
              <w:t>Program participants and controls</w:t>
            </w:r>
          </w:p>
        </w:tc>
        <w:tc>
          <w:tcPr>
            <w:tcW w:w="1217" w:type="dxa"/>
          </w:tcPr>
          <w:p w14:paraId="6AFB3391" w14:textId="77777777" w:rsidR="00CC7E62" w:rsidRPr="0084191C" w:rsidRDefault="00CC7E62" w:rsidP="00CC7E62">
            <w:pPr>
              <w:keepNext/>
              <w:keepLines/>
              <w:spacing w:before="40" w:after="40"/>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84191C">
              <w:rPr>
                <w:rFonts w:ascii="Arial Narrow" w:hAnsi="Arial Narrow"/>
              </w:rPr>
              <w:t>All</w:t>
            </w:r>
          </w:p>
        </w:tc>
        <w:tc>
          <w:tcPr>
            <w:tcW w:w="1217" w:type="dxa"/>
          </w:tcPr>
          <w:p w14:paraId="41F63704" w14:textId="77777777" w:rsidR="00CC7E62" w:rsidRPr="0084191C" w:rsidRDefault="00CC7E62" w:rsidP="00CC7E62">
            <w:pPr>
              <w:keepNext/>
              <w:keepLines/>
              <w:spacing w:before="40" w:after="40"/>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84191C">
              <w:rPr>
                <w:rFonts w:ascii="Arial Narrow" w:hAnsi="Arial Narrow"/>
              </w:rPr>
              <w:t>X</w:t>
            </w:r>
          </w:p>
        </w:tc>
        <w:tc>
          <w:tcPr>
            <w:tcW w:w="1218" w:type="dxa"/>
          </w:tcPr>
          <w:p w14:paraId="1DA95951" w14:textId="77777777" w:rsidR="00CC7E62" w:rsidRPr="0084191C" w:rsidRDefault="00CC7E62" w:rsidP="00CC7E62">
            <w:pPr>
              <w:keepNext/>
              <w:keepLines/>
              <w:spacing w:before="40" w:after="40"/>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84191C">
              <w:rPr>
                <w:rFonts w:ascii="Arial Narrow" w:hAnsi="Arial Narrow"/>
              </w:rPr>
              <w:t>N/A</w:t>
            </w:r>
          </w:p>
        </w:tc>
      </w:tr>
      <w:tr w:rsidR="00CC7E62" w:rsidRPr="0084191C" w14:paraId="213A3C17" w14:textId="77777777" w:rsidTr="00CC7E62">
        <w:tc>
          <w:tcPr>
            <w:cnfStyle w:val="001000000000" w:firstRow="0" w:lastRow="0" w:firstColumn="1" w:lastColumn="0" w:oddVBand="0" w:evenVBand="0" w:oddHBand="0" w:evenHBand="0" w:firstRowFirstColumn="0" w:firstRowLastColumn="0" w:lastRowFirstColumn="0" w:lastRowLastColumn="0"/>
            <w:tcW w:w="2735" w:type="dxa"/>
          </w:tcPr>
          <w:p w14:paraId="5A3AB360" w14:textId="77777777" w:rsidR="00CC7E62" w:rsidRPr="0084191C" w:rsidRDefault="00CC7E62" w:rsidP="00CC7E62">
            <w:pPr>
              <w:keepNext/>
              <w:keepLines/>
              <w:spacing w:before="40" w:after="40"/>
              <w:jc w:val="left"/>
              <w:rPr>
                <w:rFonts w:ascii="Arial Narrow" w:hAnsi="Arial Narrow"/>
              </w:rPr>
            </w:pPr>
            <w:r w:rsidRPr="0084191C">
              <w:rPr>
                <w:rFonts w:ascii="Arial Narrow" w:hAnsi="Arial Narrow"/>
              </w:rPr>
              <w:t>Tracking Data</w:t>
            </w:r>
          </w:p>
        </w:tc>
        <w:tc>
          <w:tcPr>
            <w:tcW w:w="2790" w:type="dxa"/>
          </w:tcPr>
          <w:p w14:paraId="1900424B" w14:textId="77777777" w:rsidR="00CC7E62" w:rsidRPr="0084191C" w:rsidRDefault="00CC7E62" w:rsidP="00CC7E62">
            <w:pPr>
              <w:keepNext/>
              <w:keepLines/>
              <w:spacing w:before="40" w:after="40"/>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84191C">
              <w:rPr>
                <w:rFonts w:ascii="Arial Narrow" w:hAnsi="Arial Narrow"/>
              </w:rPr>
              <w:t>Program participants and controls</w:t>
            </w:r>
          </w:p>
        </w:tc>
        <w:tc>
          <w:tcPr>
            <w:tcW w:w="1217" w:type="dxa"/>
          </w:tcPr>
          <w:p w14:paraId="39FBF79C" w14:textId="77777777" w:rsidR="00CC7E62" w:rsidRPr="0084191C" w:rsidRDefault="00CC7E62" w:rsidP="00CC7E62">
            <w:pPr>
              <w:keepNext/>
              <w:keepLines/>
              <w:spacing w:before="40" w:after="40"/>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84191C">
              <w:rPr>
                <w:rFonts w:ascii="Arial Narrow" w:hAnsi="Arial Narrow"/>
              </w:rPr>
              <w:t>All</w:t>
            </w:r>
          </w:p>
        </w:tc>
        <w:tc>
          <w:tcPr>
            <w:tcW w:w="1217" w:type="dxa"/>
          </w:tcPr>
          <w:p w14:paraId="1256F6A3" w14:textId="77777777" w:rsidR="00CC7E62" w:rsidRPr="0084191C" w:rsidRDefault="00CC7E62" w:rsidP="00CC7E62">
            <w:pPr>
              <w:keepNext/>
              <w:keepLines/>
              <w:spacing w:before="40" w:after="40"/>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84191C">
              <w:rPr>
                <w:rFonts w:ascii="Arial Narrow" w:hAnsi="Arial Narrow"/>
              </w:rPr>
              <w:t>X</w:t>
            </w:r>
          </w:p>
        </w:tc>
        <w:tc>
          <w:tcPr>
            <w:tcW w:w="1218" w:type="dxa"/>
          </w:tcPr>
          <w:p w14:paraId="2D409253" w14:textId="77777777" w:rsidR="00CC7E62" w:rsidRPr="0084191C" w:rsidRDefault="00CC7E62" w:rsidP="00CC7E62">
            <w:pPr>
              <w:keepNext/>
              <w:keepLines/>
              <w:spacing w:before="40" w:after="40"/>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84191C">
              <w:rPr>
                <w:rFonts w:ascii="Arial Narrow" w:hAnsi="Arial Narrow"/>
              </w:rPr>
              <w:t>N/A</w:t>
            </w:r>
          </w:p>
        </w:tc>
      </w:tr>
      <w:tr w:rsidR="00CC7E62" w:rsidRPr="0084191C" w14:paraId="7ADE2AC6" w14:textId="77777777" w:rsidTr="00CC7E6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5" w:type="dxa"/>
          </w:tcPr>
          <w:p w14:paraId="52201233" w14:textId="77777777" w:rsidR="00CC7E62" w:rsidRPr="0084191C" w:rsidRDefault="00CC7E62" w:rsidP="00CC7E62">
            <w:pPr>
              <w:keepNext/>
              <w:keepLines/>
              <w:spacing w:before="40" w:after="40"/>
              <w:jc w:val="left"/>
              <w:rPr>
                <w:rFonts w:ascii="Arial Narrow" w:hAnsi="Arial Narrow"/>
              </w:rPr>
            </w:pPr>
            <w:r w:rsidRPr="0084191C">
              <w:rPr>
                <w:rFonts w:ascii="Arial Narrow" w:hAnsi="Arial Narrow"/>
              </w:rPr>
              <w:t>Tracking Data for Other Programs</w:t>
            </w:r>
          </w:p>
        </w:tc>
        <w:tc>
          <w:tcPr>
            <w:tcW w:w="2790" w:type="dxa"/>
          </w:tcPr>
          <w:p w14:paraId="3367122F" w14:textId="77777777" w:rsidR="00CC7E62" w:rsidRPr="0084191C" w:rsidRDefault="00CC7E62" w:rsidP="00CC7E62">
            <w:pPr>
              <w:keepNext/>
              <w:keepLines/>
              <w:spacing w:before="40" w:after="40"/>
              <w:jc w:val="left"/>
              <w:cnfStyle w:val="010000000000" w:firstRow="0" w:lastRow="1" w:firstColumn="0" w:lastColumn="0" w:oddVBand="0" w:evenVBand="0" w:oddHBand="0" w:evenHBand="0" w:firstRowFirstColumn="0" w:firstRowLastColumn="0" w:lastRowFirstColumn="0" w:lastRowLastColumn="0"/>
              <w:rPr>
                <w:rFonts w:ascii="Arial Narrow" w:hAnsi="Arial Narrow"/>
              </w:rPr>
            </w:pPr>
            <w:r w:rsidRPr="0084191C">
              <w:rPr>
                <w:rFonts w:ascii="Arial Narrow" w:hAnsi="Arial Narrow"/>
              </w:rPr>
              <w:t>Participants in other programs</w:t>
            </w:r>
          </w:p>
        </w:tc>
        <w:tc>
          <w:tcPr>
            <w:tcW w:w="1217" w:type="dxa"/>
          </w:tcPr>
          <w:p w14:paraId="14315EE2" w14:textId="77777777" w:rsidR="00CC7E62" w:rsidRPr="0084191C" w:rsidRDefault="00CC7E62" w:rsidP="00CC7E62">
            <w:pPr>
              <w:keepNext/>
              <w:keepLines/>
              <w:spacing w:before="40" w:after="40"/>
              <w:jc w:val="left"/>
              <w:cnfStyle w:val="010000000000" w:firstRow="0" w:lastRow="1" w:firstColumn="0" w:lastColumn="0" w:oddVBand="0" w:evenVBand="0" w:oddHBand="0" w:evenHBand="0" w:firstRowFirstColumn="0" w:firstRowLastColumn="0" w:lastRowFirstColumn="0" w:lastRowLastColumn="0"/>
              <w:rPr>
                <w:rFonts w:ascii="Arial Narrow" w:hAnsi="Arial Narrow"/>
              </w:rPr>
            </w:pPr>
            <w:r w:rsidRPr="0084191C">
              <w:rPr>
                <w:rFonts w:ascii="Arial Narrow" w:hAnsi="Arial Narrow"/>
              </w:rPr>
              <w:t>All</w:t>
            </w:r>
          </w:p>
        </w:tc>
        <w:tc>
          <w:tcPr>
            <w:tcW w:w="1217" w:type="dxa"/>
          </w:tcPr>
          <w:p w14:paraId="4511B45B" w14:textId="77777777" w:rsidR="00CC7E62" w:rsidRPr="0084191C" w:rsidRDefault="00CC7E62" w:rsidP="00CC7E62">
            <w:pPr>
              <w:keepNext/>
              <w:keepLines/>
              <w:spacing w:before="40" w:after="40"/>
              <w:jc w:val="left"/>
              <w:cnfStyle w:val="010000000000" w:firstRow="0" w:lastRow="1" w:firstColumn="0" w:lastColumn="0" w:oddVBand="0" w:evenVBand="0" w:oddHBand="0" w:evenHBand="0" w:firstRowFirstColumn="0" w:firstRowLastColumn="0" w:lastRowFirstColumn="0" w:lastRowLastColumn="0"/>
              <w:rPr>
                <w:rFonts w:ascii="Arial Narrow" w:hAnsi="Arial Narrow"/>
              </w:rPr>
            </w:pPr>
            <w:r w:rsidRPr="0084191C">
              <w:rPr>
                <w:rFonts w:ascii="Arial Narrow" w:hAnsi="Arial Narrow"/>
              </w:rPr>
              <w:t>X</w:t>
            </w:r>
          </w:p>
        </w:tc>
        <w:tc>
          <w:tcPr>
            <w:tcW w:w="1218" w:type="dxa"/>
          </w:tcPr>
          <w:p w14:paraId="5340DFFF" w14:textId="77777777" w:rsidR="00CC7E62" w:rsidRPr="0084191C" w:rsidRDefault="00CC7E62" w:rsidP="00CC7E62">
            <w:pPr>
              <w:keepNext/>
              <w:keepLines/>
              <w:spacing w:before="40" w:after="40"/>
              <w:jc w:val="left"/>
              <w:cnfStyle w:val="010000000000" w:firstRow="0" w:lastRow="1" w:firstColumn="0" w:lastColumn="0" w:oddVBand="0" w:evenVBand="0" w:oddHBand="0" w:evenHBand="0" w:firstRowFirstColumn="0" w:firstRowLastColumn="0" w:lastRowFirstColumn="0" w:lastRowLastColumn="0"/>
              <w:rPr>
                <w:rFonts w:ascii="Arial Narrow" w:hAnsi="Arial Narrow"/>
              </w:rPr>
            </w:pPr>
            <w:r w:rsidRPr="0084191C">
              <w:rPr>
                <w:rFonts w:ascii="Arial Narrow" w:hAnsi="Arial Narrow"/>
              </w:rPr>
              <w:t>N/A</w:t>
            </w:r>
          </w:p>
        </w:tc>
      </w:tr>
    </w:tbl>
    <w:p w14:paraId="4CFA3325" w14:textId="1165BB2D" w:rsidR="00CC7E62" w:rsidRDefault="00CC7E62" w:rsidP="003F5E04">
      <w:pPr>
        <w:pStyle w:val="Source"/>
      </w:pPr>
      <w:r>
        <w:t>Source: Navigant analysis</w:t>
      </w:r>
    </w:p>
    <w:p w14:paraId="43A5B632" w14:textId="77777777" w:rsidR="00D1797B" w:rsidRPr="000144EC" w:rsidRDefault="00D1797B" w:rsidP="00D1797B">
      <w:pPr>
        <w:pStyle w:val="Heading2"/>
      </w:pPr>
      <w:bookmarkStart w:id="40" w:name="_Toc408990866"/>
      <w:bookmarkStart w:id="41" w:name="_Toc441751878"/>
      <w:bookmarkEnd w:id="29"/>
      <w:r w:rsidRPr="000144EC">
        <w:t>Sampling Plan</w:t>
      </w:r>
      <w:bookmarkEnd w:id="40"/>
      <w:bookmarkEnd w:id="41"/>
    </w:p>
    <w:p w14:paraId="474B81EB" w14:textId="354CC138" w:rsidR="00D1797B" w:rsidRDefault="00D1797B" w:rsidP="00D1797B">
      <w:r>
        <w:t xml:space="preserve">The HER program was </w:t>
      </w:r>
      <w:r w:rsidR="00236BAC">
        <w:t xml:space="preserve">executed </w:t>
      </w:r>
      <w:r>
        <w:t xml:space="preserve">by the program implementer as a RCT, in which individuals </w:t>
      </w:r>
      <w:r w:rsidR="00236BAC">
        <w:t xml:space="preserve">were </w:t>
      </w:r>
      <w:r>
        <w:t xml:space="preserve">randomly assigned to </w:t>
      </w:r>
      <w:r w:rsidR="00236BAC">
        <w:t xml:space="preserve">either </w:t>
      </w:r>
      <w:r>
        <w:t xml:space="preserve">a treatment (participant) group </w:t>
      </w:r>
      <w:r w:rsidR="00236BAC">
        <w:t xml:space="preserve">or </w:t>
      </w:r>
      <w:r>
        <w:t xml:space="preserve">control </w:t>
      </w:r>
      <w:r w:rsidR="00946A17">
        <w:t xml:space="preserve">(non-participant) </w:t>
      </w:r>
      <w:r>
        <w:t>group</w:t>
      </w:r>
      <w:r w:rsidR="00236BAC">
        <w:t>.</w:t>
      </w:r>
      <w:r>
        <w:rPr>
          <w:rStyle w:val="FootnoteReference"/>
        </w:rPr>
        <w:footnoteReference w:id="10"/>
      </w:r>
      <w:r w:rsidR="00F44417">
        <w:t xml:space="preserve"> </w:t>
      </w:r>
      <w:r w:rsidR="00F05E89">
        <w:t xml:space="preserve">To create </w:t>
      </w:r>
      <w:r w:rsidR="00F44417">
        <w:t>the TR subgroups</w:t>
      </w:r>
      <w:r w:rsidR="00F05E89">
        <w:t>,</w:t>
      </w:r>
      <w:r w:rsidR="00F44417">
        <w:t xml:space="preserve"> treatment customers were randomly split between the CR and TR groups. </w:t>
      </w:r>
    </w:p>
    <w:p w14:paraId="0A1021DD" w14:textId="77777777" w:rsidR="00D1797B" w:rsidRPr="000144EC" w:rsidRDefault="00D1797B" w:rsidP="00D1797B">
      <w:pPr>
        <w:pStyle w:val="Heading2"/>
      </w:pPr>
      <w:bookmarkStart w:id="42" w:name="_Toc350199020"/>
      <w:bookmarkStart w:id="43" w:name="_Toc378688187"/>
      <w:bookmarkStart w:id="44" w:name="_Toc403122797"/>
      <w:bookmarkStart w:id="45" w:name="_Toc408990867"/>
      <w:bookmarkStart w:id="46" w:name="_Toc441751879"/>
      <w:r w:rsidRPr="000144EC">
        <w:t>Data Used in Impact Analysis</w:t>
      </w:r>
      <w:bookmarkEnd w:id="42"/>
      <w:bookmarkEnd w:id="43"/>
      <w:bookmarkEnd w:id="44"/>
      <w:bookmarkEnd w:id="45"/>
      <w:bookmarkEnd w:id="46"/>
    </w:p>
    <w:p w14:paraId="2FB00295" w14:textId="6659F3C4" w:rsidR="000F4974" w:rsidRDefault="00D1797B" w:rsidP="00D1797B">
      <w:pPr>
        <w:keepNext/>
        <w:keepLines/>
      </w:pPr>
      <w:r>
        <w:t xml:space="preserve">In preparation for the impact analysis, Navigant combined and cleaned the data provided by the implementer. The dataset </w:t>
      </w:r>
      <w:r w:rsidRPr="00805137">
        <w:t xml:space="preserve">included </w:t>
      </w:r>
      <w:r w:rsidR="00FC5766">
        <w:t>265,078</w:t>
      </w:r>
      <w:r>
        <w:t xml:space="preserve"> </w:t>
      </w:r>
      <w:r w:rsidR="008460AC">
        <w:t xml:space="preserve">treatment </w:t>
      </w:r>
      <w:r w:rsidR="00946A17">
        <w:t xml:space="preserve">customers </w:t>
      </w:r>
      <w:r w:rsidRPr="00CE1A87">
        <w:t xml:space="preserve">and </w:t>
      </w:r>
      <w:r w:rsidR="00FC5766">
        <w:t>105,677</w:t>
      </w:r>
      <w:r w:rsidRPr="00CE1A87">
        <w:t xml:space="preserve"> controls</w:t>
      </w:r>
      <w:r>
        <w:t xml:space="preserve">. </w:t>
      </w:r>
      <w:r w:rsidR="00851337">
        <w:t xml:space="preserve">Data during the twelve month pre-period for each wave and </w:t>
      </w:r>
      <w:r w:rsidR="00F44417">
        <w:t xml:space="preserve">the twelve month </w:t>
      </w:r>
      <w:r w:rsidR="00F05E89">
        <w:t>analysis</w:t>
      </w:r>
      <w:r w:rsidR="00F44417">
        <w:t xml:space="preserve"> period from November 2013 to October 2014</w:t>
      </w:r>
      <w:r w:rsidR="00851337">
        <w:t xml:space="preserve"> was used in the regression analysis for each of the two models described in Section </w:t>
      </w:r>
      <w:r w:rsidR="00851337">
        <w:fldChar w:fldCharType="begin"/>
      </w:r>
      <w:r w:rsidR="00851337">
        <w:instrText xml:space="preserve"> REF _Ref432774092 \r \h </w:instrText>
      </w:r>
      <w:r w:rsidR="00851337">
        <w:fldChar w:fldCharType="separate"/>
      </w:r>
      <w:r w:rsidR="00E4410B">
        <w:t>2.4</w:t>
      </w:r>
      <w:r w:rsidR="00851337">
        <w:fldChar w:fldCharType="end"/>
      </w:r>
      <w:r w:rsidR="00851337">
        <w:t xml:space="preserve">. </w:t>
      </w:r>
    </w:p>
    <w:p w14:paraId="112A7D12" w14:textId="77777777" w:rsidR="000F4974" w:rsidRDefault="000F4974" w:rsidP="00D1797B">
      <w:pPr>
        <w:keepNext/>
        <w:keepLines/>
      </w:pPr>
    </w:p>
    <w:p w14:paraId="27EFD030" w14:textId="0E5FED97" w:rsidR="00D1797B" w:rsidRDefault="00D1797B" w:rsidP="00D1797B">
      <w:pPr>
        <w:keepNext/>
        <w:keepLines/>
      </w:pPr>
      <w:r>
        <w:t>Navigant removed the following customers and data points from the analysis:</w:t>
      </w:r>
    </w:p>
    <w:p w14:paraId="7E7AB6E6" w14:textId="77373F28" w:rsidR="00D1797B" w:rsidRDefault="00D1797B" w:rsidP="004F21FD">
      <w:pPr>
        <w:pStyle w:val="ListParagraph"/>
        <w:numPr>
          <w:ilvl w:val="0"/>
          <w:numId w:val="15"/>
        </w:numPr>
      </w:pPr>
      <w:r>
        <w:t xml:space="preserve">Customers with an active account and less than 11 bills or any customer with more than 13 bills during </w:t>
      </w:r>
      <w:r w:rsidR="00E67EDC">
        <w:t>the analysis period</w:t>
      </w:r>
      <w:r w:rsidR="00064EA7">
        <w:t>;</w:t>
      </w:r>
    </w:p>
    <w:p w14:paraId="44C79143" w14:textId="076EBF24" w:rsidR="00D1797B" w:rsidRDefault="00D1797B" w:rsidP="004F21FD">
      <w:pPr>
        <w:pStyle w:val="ListParagraph"/>
        <w:numPr>
          <w:ilvl w:val="0"/>
          <w:numId w:val="15"/>
        </w:numPr>
      </w:pPr>
      <w:r>
        <w:t>Customers with less than 11 or more than 13 bills during the pre-program year</w:t>
      </w:r>
      <w:r w:rsidR="00064EA7">
        <w:t>;</w:t>
      </w:r>
    </w:p>
    <w:p w14:paraId="57BA7208" w14:textId="22458223" w:rsidR="00A31E1A" w:rsidRDefault="00A31E1A" w:rsidP="004F21FD">
      <w:pPr>
        <w:pStyle w:val="ListParagraph"/>
        <w:numPr>
          <w:ilvl w:val="0"/>
          <w:numId w:val="15"/>
        </w:numPr>
      </w:pPr>
      <w:r>
        <w:t>Observations with missing or negative usage</w:t>
      </w:r>
      <w:r w:rsidR="00064EA7">
        <w:t>;</w:t>
      </w:r>
    </w:p>
    <w:p w14:paraId="5D596AA0" w14:textId="5F9E2DFD" w:rsidR="00D1797B" w:rsidRDefault="00D1797B" w:rsidP="004F21FD">
      <w:pPr>
        <w:pStyle w:val="ListParagraph"/>
        <w:numPr>
          <w:ilvl w:val="0"/>
          <w:numId w:val="15"/>
        </w:numPr>
      </w:pPr>
      <w:r>
        <w:t>Observations with less than 20 or more than 40 days in the billing cycle</w:t>
      </w:r>
      <w:r w:rsidR="00064EA7">
        <w:t>;</w:t>
      </w:r>
    </w:p>
    <w:p w14:paraId="36A13A97" w14:textId="172BD665" w:rsidR="00D1797B" w:rsidRDefault="00D1797B" w:rsidP="004F21FD">
      <w:pPr>
        <w:pStyle w:val="ListParagraph"/>
        <w:numPr>
          <w:ilvl w:val="0"/>
          <w:numId w:val="15"/>
        </w:numPr>
      </w:pPr>
      <w:r>
        <w:t>Outliers, defined as observations with average daily usage more than one order of magnitude from the median usage</w:t>
      </w:r>
      <w:r w:rsidR="00064EA7">
        <w:t>.</w:t>
      </w:r>
      <w:r w:rsidRPr="004F61EC">
        <w:rPr>
          <w:rStyle w:val="FootnoteReference"/>
        </w:rPr>
        <w:footnoteReference w:id="11"/>
      </w:r>
    </w:p>
    <w:p w14:paraId="34E668FF" w14:textId="77777777" w:rsidR="005E714E" w:rsidRDefault="005E714E" w:rsidP="00F232E1">
      <w:pPr>
        <w:pStyle w:val="ListParagraph"/>
      </w:pPr>
    </w:p>
    <w:p w14:paraId="633DB1EF" w14:textId="42F83C59" w:rsidR="00B3766E" w:rsidRDefault="00B3766E" w:rsidP="00B3766E">
      <w:r>
        <w:t xml:space="preserve">Detailed counts of the customers and observations removed by wave are included in Section </w:t>
      </w:r>
      <w:r>
        <w:fldChar w:fldCharType="begin"/>
      </w:r>
      <w:r>
        <w:instrText xml:space="preserve"> REF _Ref432774329 \r \h </w:instrText>
      </w:r>
      <w:r>
        <w:fldChar w:fldCharType="separate"/>
      </w:r>
      <w:r w:rsidR="00C80FAE">
        <w:t>6.1</w:t>
      </w:r>
      <w:r>
        <w:fldChar w:fldCharType="end"/>
      </w:r>
      <w:r>
        <w:t xml:space="preserve"> of the appendix.</w:t>
      </w:r>
    </w:p>
    <w:p w14:paraId="625181D4" w14:textId="77777777" w:rsidR="00D1797B" w:rsidRPr="000144EC" w:rsidRDefault="00D1797B" w:rsidP="00D1797B">
      <w:pPr>
        <w:pStyle w:val="Heading2"/>
      </w:pPr>
      <w:bookmarkStart w:id="47" w:name="_Toc378688188"/>
      <w:bookmarkStart w:id="48" w:name="_Toc403122798"/>
      <w:bookmarkStart w:id="49" w:name="_Ref405822804"/>
      <w:bookmarkStart w:id="50" w:name="_Toc408990868"/>
      <w:bookmarkStart w:id="51" w:name="_Ref432774092"/>
      <w:bookmarkStart w:id="52" w:name="_Toc441751880"/>
      <w:r w:rsidRPr="000144EC">
        <w:t xml:space="preserve">Statistical Models </w:t>
      </w:r>
      <w:r>
        <w:t>U</w:t>
      </w:r>
      <w:r w:rsidRPr="000144EC">
        <w:t>sed in the Impact Evaluation</w:t>
      </w:r>
      <w:bookmarkEnd w:id="47"/>
      <w:bookmarkEnd w:id="48"/>
      <w:bookmarkEnd w:id="49"/>
      <w:bookmarkEnd w:id="50"/>
      <w:bookmarkEnd w:id="51"/>
      <w:bookmarkEnd w:id="52"/>
    </w:p>
    <w:p w14:paraId="6BEE8D16" w14:textId="3E9048EC" w:rsidR="00D1797B" w:rsidRDefault="004E121E" w:rsidP="00D1797B">
      <w:r>
        <w:t xml:space="preserve">As indicated above, </w:t>
      </w:r>
      <w:r w:rsidR="00D1797B">
        <w:t>Navigant estimated program impacts using two approaches: a simple post-program regression (PPR) analysis with lagged controls and a linear fixed-effects regression (LFER) analysis applied to monthly billing data. Navigant use</w:t>
      </w:r>
      <w:r w:rsidR="00F05E89">
        <w:t>d</w:t>
      </w:r>
      <w:r w:rsidR="00D1797B">
        <w:t xml:space="preserve"> </w:t>
      </w:r>
      <w:r w:rsidR="00946A17">
        <w:t xml:space="preserve">the </w:t>
      </w:r>
      <w:r w:rsidR="00D1797B">
        <w:t xml:space="preserve">PPR results </w:t>
      </w:r>
      <w:r w:rsidR="00F05E89">
        <w:t xml:space="preserve">to calculate decay and measure life, </w:t>
      </w:r>
      <w:r w:rsidR="00A00EB0">
        <w:t>but r</w:t>
      </w:r>
      <w:r w:rsidR="001F4327">
        <w:t>a</w:t>
      </w:r>
      <w:r w:rsidR="00A00EB0">
        <w:t>n both</w:t>
      </w:r>
      <w:r w:rsidR="00A00EB0" w:rsidRPr="00A00EB0">
        <w:t xml:space="preserve"> </w:t>
      </w:r>
      <w:r w:rsidR="00A00EB0">
        <w:t>models as a robustness check.</w:t>
      </w:r>
      <w:r w:rsidR="00A00EB0">
        <w:rPr>
          <w:rStyle w:val="FootnoteReference"/>
        </w:rPr>
        <w:footnoteReference w:id="12"/>
      </w:r>
      <w:r w:rsidR="00A00EB0">
        <w:t xml:space="preserve"> Alt</w:t>
      </w:r>
      <w:r w:rsidR="00D1797B">
        <w:t>hough the two models are structurally very different, assuming the RCT is well balanced with respect to the drivers of energy use, in a single sample they generate very similar estimates of program savings.</w:t>
      </w:r>
    </w:p>
    <w:p w14:paraId="39A7747C" w14:textId="77777777" w:rsidR="00D1797B" w:rsidRDefault="00D1797B" w:rsidP="00D1797B"/>
    <w:p w14:paraId="682C9DAC" w14:textId="0A854D54" w:rsidR="00D1797B" w:rsidRDefault="00D1797B" w:rsidP="00D1797B">
      <w:r>
        <w:t>The PPR model combine</w:t>
      </w:r>
      <w:r w:rsidR="00946A17">
        <w:t>s</w:t>
      </w:r>
      <w:r>
        <w:t xml:space="preserve"> both cross-sectional and time-series data in a panel </w:t>
      </w:r>
      <w:r w:rsidR="001F4327">
        <w:t>format</w:t>
      </w:r>
      <w:r>
        <w:t>. It uses the post-program data</w:t>
      </w:r>
      <w:r w:rsidR="00946A17">
        <w:t xml:space="preserve"> as the dependent variable</w:t>
      </w:r>
      <w:r w:rsidR="00BA4664">
        <w:t>, with lagged energy use from</w:t>
      </w:r>
      <w:r>
        <w:t xml:space="preserve"> the same calendar month of the pre-program period serving as a control for any small, systematic differences between the treatment and control customers. The lagged energy use term is similar to the customer fixed effect included in the LFER model explained below.</w:t>
      </w:r>
    </w:p>
    <w:p w14:paraId="12A9CD84" w14:textId="77777777" w:rsidR="00D1797B" w:rsidRDefault="00D1797B" w:rsidP="00D1797B"/>
    <w:p w14:paraId="173E085D" w14:textId="45C82029" w:rsidR="00D1797B" w:rsidRDefault="00D1797B" w:rsidP="00D1797B">
      <w:r>
        <w:t xml:space="preserve">As with the PPR model, the LFER model combines both cross-sectional and time-series data in a panel </w:t>
      </w:r>
      <w:r w:rsidR="004A59A3">
        <w:t>format</w:t>
      </w:r>
      <w:r>
        <w:t>. The regression essentially compares pre- and post-program bi</w:t>
      </w:r>
      <w:r w:rsidR="002D2B19">
        <w:t xml:space="preserve">lling data for participants and </w:t>
      </w:r>
      <w:r>
        <w:t>control</w:t>
      </w:r>
      <w:r w:rsidR="002D2B19">
        <w:t>s</w:t>
      </w:r>
      <w:r>
        <w:t xml:space="preserve"> to identify the effect of the program. The customer-specific fixed effect is a key feature of the LFER analysis and captures all customer-specific factors affecting electricity usage that do not change</w:t>
      </w:r>
      <w:r w:rsidR="002D2B19">
        <w:t xml:space="preserve"> </w:t>
      </w:r>
      <w:r>
        <w:t>over time, including those that are unobservable. Examples include th</w:t>
      </w:r>
      <w:r w:rsidR="002D2B19">
        <w:t>e square footage of a residence or</w:t>
      </w:r>
      <w:r>
        <w:t xml:space="preserve"> the number</w:t>
      </w:r>
      <w:r w:rsidR="002D2B19">
        <w:t xml:space="preserve"> of occupants</w:t>
      </w:r>
      <w:r>
        <w:t>. The fixed effect represents an attempt to control for any small, systematic differences between the treatment and control customers that might occur due to chance.</w:t>
      </w:r>
    </w:p>
    <w:p w14:paraId="41D38F3B" w14:textId="77777777" w:rsidR="00D1797B" w:rsidRDefault="00D1797B" w:rsidP="00D1797B"/>
    <w:p w14:paraId="6C2AB428" w14:textId="7D6CFCA9" w:rsidR="00D1797B" w:rsidRDefault="00D1797B" w:rsidP="00D1797B">
      <w:r>
        <w:t xml:space="preserve">Section </w:t>
      </w:r>
      <w:r w:rsidR="005064C7">
        <w:fldChar w:fldCharType="begin"/>
      </w:r>
      <w:r w:rsidR="005064C7">
        <w:instrText xml:space="preserve"> REF _Ref432751975 \r \h </w:instrText>
      </w:r>
      <w:r w:rsidR="005064C7">
        <w:fldChar w:fldCharType="separate"/>
      </w:r>
      <w:r w:rsidR="00E4410B">
        <w:t>6.2</w:t>
      </w:r>
      <w:r w:rsidR="005064C7">
        <w:fldChar w:fldCharType="end"/>
      </w:r>
      <w:r>
        <w:t xml:space="preserve"> presents </w:t>
      </w:r>
      <w:r w:rsidRPr="00EF4225">
        <w:t xml:space="preserve">the </w:t>
      </w:r>
      <w:r>
        <w:t>PPR</w:t>
      </w:r>
      <w:r w:rsidRPr="00EF4225">
        <w:t xml:space="preserve"> </w:t>
      </w:r>
      <w:r>
        <w:t>and LFER models used in th</w:t>
      </w:r>
      <w:r w:rsidR="00F05E89">
        <w:t>is</w:t>
      </w:r>
      <w:r>
        <w:t xml:space="preserve"> analysis.</w:t>
      </w:r>
    </w:p>
    <w:p w14:paraId="3D4E47AF" w14:textId="77777777" w:rsidR="00D1797B" w:rsidRPr="000144EC" w:rsidRDefault="00D1797B" w:rsidP="00D1797B">
      <w:pPr>
        <w:pStyle w:val="Heading2"/>
      </w:pPr>
      <w:bookmarkStart w:id="53" w:name="_Toc350199022"/>
      <w:bookmarkStart w:id="54" w:name="_Ref373242715"/>
      <w:bookmarkStart w:id="55" w:name="_Toc378688189"/>
      <w:bookmarkStart w:id="56" w:name="_Toc403122799"/>
      <w:bookmarkStart w:id="57" w:name="_Toc408990869"/>
      <w:bookmarkStart w:id="58" w:name="_Toc441751881"/>
      <w:r w:rsidRPr="000144EC">
        <w:t xml:space="preserve">Accounting for Uplift in </w:t>
      </w:r>
      <w:r>
        <w:t>O</w:t>
      </w:r>
      <w:r w:rsidRPr="000144EC">
        <w:t>ther Energy Efficiency Programs</w:t>
      </w:r>
      <w:bookmarkEnd w:id="53"/>
      <w:bookmarkEnd w:id="54"/>
      <w:bookmarkEnd w:id="55"/>
      <w:bookmarkEnd w:id="56"/>
      <w:bookmarkEnd w:id="57"/>
      <w:bookmarkEnd w:id="58"/>
    </w:p>
    <w:p w14:paraId="1501C977" w14:textId="070F5999" w:rsidR="0095049E" w:rsidRDefault="0095049E" w:rsidP="0095049E">
      <w:pPr>
        <w:pStyle w:val="Heading3"/>
      </w:pPr>
      <w:bookmarkStart w:id="59" w:name="_Ref432696502"/>
      <w:bookmarkStart w:id="60" w:name="_Toc441751882"/>
      <w:r>
        <w:t xml:space="preserve">Accounting for Uplift in </w:t>
      </w:r>
      <w:bookmarkEnd w:id="59"/>
      <w:r w:rsidR="00F44417">
        <w:t xml:space="preserve">the </w:t>
      </w:r>
      <w:r w:rsidR="00F05E89">
        <w:t>Analysis Period</w:t>
      </w:r>
      <w:bookmarkEnd w:id="60"/>
    </w:p>
    <w:p w14:paraId="7F20E6CD" w14:textId="0B3B005D" w:rsidR="00D1797B" w:rsidRDefault="00D1797B" w:rsidP="00D1797B">
      <w:r>
        <w:t xml:space="preserve">The </w:t>
      </w:r>
      <w:r w:rsidR="00F05E89">
        <w:t>reports</w:t>
      </w:r>
      <w:r>
        <w:t xml:space="preserve"> sent to participating households include energy-saving tips, some of which encourage participants to enroll in other ComEd energy efficiency (EE) programs. If participation rates in other EE programs are the same for </w:t>
      </w:r>
      <w:r w:rsidR="002D2B19">
        <w:t xml:space="preserve">the </w:t>
      </w:r>
      <w:r>
        <w:t>HER participant and control groups, the savings estimates from the regression analys</w:t>
      </w:r>
      <w:r w:rsidR="00283520">
        <w:t>e</w:t>
      </w:r>
      <w:r>
        <w:t xml:space="preserve">s are already “net” of savings from the other programs, as this indicates the HER program </w:t>
      </w:r>
      <w:r w:rsidR="00F86309">
        <w:t xml:space="preserve">did not increase or decrease </w:t>
      </w:r>
      <w:r>
        <w:t xml:space="preserve">participation in the other EE programs. However, if the HER program affects participation rates in other EE programs, then savings across all programs are lower than indicated by the simple summation of savings in the HER and EE programs. For instance, if the HER </w:t>
      </w:r>
      <w:r>
        <w:lastRenderedPageBreak/>
        <w:t>program increases participation in other EE programs, the increase in savings may be allocated to either the HER program or the EE program, but cannot be allocated to both programs simultaneously.</w:t>
      </w:r>
      <w:r>
        <w:rPr>
          <w:rStyle w:val="FootnoteReference"/>
        </w:rPr>
        <w:footnoteReference w:id="13"/>
      </w:r>
    </w:p>
    <w:p w14:paraId="2C434BB2" w14:textId="77777777" w:rsidR="00D1797B" w:rsidRDefault="00D1797B" w:rsidP="00D1797B"/>
    <w:p w14:paraId="2CBBC402" w14:textId="57FC2BE6" w:rsidR="00D1797B" w:rsidRDefault="00D1797B" w:rsidP="00D1797B">
      <w:pPr>
        <w:rPr>
          <w:rFonts w:cs="Arial"/>
        </w:rPr>
      </w:pPr>
      <w:r w:rsidRPr="00A37902">
        <w:rPr>
          <w:rFonts w:cs="Arial"/>
        </w:rPr>
        <w:t>As data permitted, Navigant used a difference-in-difference (DID) statistic to estimate uplift in other EE programs</w:t>
      </w:r>
      <w:r>
        <w:rPr>
          <w:rFonts w:cs="Arial"/>
        </w:rPr>
        <w:t>.</w:t>
      </w:r>
      <w:r w:rsidRPr="00A37902">
        <w:rPr>
          <w:rFonts w:cs="Arial"/>
        </w:rPr>
        <w:t xml:space="preserve"> </w:t>
      </w:r>
      <w:r>
        <w:rPr>
          <w:rFonts w:cs="Arial"/>
        </w:rPr>
        <w:t>To calculate the DID statistic,</w:t>
      </w:r>
      <w:r w:rsidRPr="00A37902">
        <w:rPr>
          <w:rFonts w:cs="Arial"/>
        </w:rPr>
        <w:t xml:space="preserve"> </w:t>
      </w:r>
      <w:r>
        <w:rPr>
          <w:rFonts w:cs="Arial"/>
        </w:rPr>
        <w:t xml:space="preserve">Navigant subtracted </w:t>
      </w:r>
      <w:r w:rsidRPr="00A37902">
        <w:rPr>
          <w:rFonts w:cs="Arial"/>
        </w:rPr>
        <w:t>the change in the participation rate in another EE program between</w:t>
      </w:r>
      <w:r>
        <w:rPr>
          <w:rFonts w:cs="Arial"/>
        </w:rPr>
        <w:t xml:space="preserve"> </w:t>
      </w:r>
      <w:r w:rsidR="00AF5956">
        <w:rPr>
          <w:rFonts w:cs="Arial"/>
        </w:rPr>
        <w:t>the analysis period</w:t>
      </w:r>
      <w:r w:rsidRPr="00A37902">
        <w:rPr>
          <w:rFonts w:cs="Arial"/>
        </w:rPr>
        <w:t xml:space="preserve"> and the pre-program year for the control group from the same change for the treatment group.</w:t>
      </w:r>
      <w:r>
        <w:rPr>
          <w:rFonts w:cs="Arial"/>
        </w:rPr>
        <w:t xml:space="preserve"> F</w:t>
      </w:r>
      <w:r w:rsidRPr="00A37902">
        <w:rPr>
          <w:rFonts w:cs="Arial"/>
        </w:rPr>
        <w:t>or instance, if the rate of participation in an EE program during</w:t>
      </w:r>
      <w:r w:rsidR="00AF5956">
        <w:rPr>
          <w:rFonts w:cs="Arial"/>
        </w:rPr>
        <w:t xml:space="preserve"> the analysis period </w:t>
      </w:r>
      <w:r w:rsidRPr="00A37902">
        <w:rPr>
          <w:rFonts w:cs="Arial"/>
        </w:rPr>
        <w:t xml:space="preserve">is </w:t>
      </w:r>
      <w:r>
        <w:rPr>
          <w:rFonts w:cs="Arial"/>
        </w:rPr>
        <w:t>five percent</w:t>
      </w:r>
      <w:r w:rsidRPr="00A37902">
        <w:rPr>
          <w:rFonts w:cs="Arial"/>
        </w:rPr>
        <w:t xml:space="preserve"> for the treatment group and </w:t>
      </w:r>
      <w:r>
        <w:rPr>
          <w:rFonts w:cs="Arial"/>
        </w:rPr>
        <w:t>three percent</w:t>
      </w:r>
      <w:r w:rsidRPr="00A37902">
        <w:rPr>
          <w:rFonts w:cs="Arial"/>
        </w:rPr>
        <w:t xml:space="preserve"> for the control group, and the rate of participation during the year before the start of the HER program is </w:t>
      </w:r>
      <w:r>
        <w:rPr>
          <w:rFonts w:cs="Arial"/>
        </w:rPr>
        <w:t>two percent</w:t>
      </w:r>
      <w:r w:rsidRPr="00A37902">
        <w:rPr>
          <w:rFonts w:cs="Arial"/>
        </w:rPr>
        <w:t xml:space="preserve"> for the </w:t>
      </w:r>
      <w:r>
        <w:rPr>
          <w:rFonts w:cs="Arial"/>
        </w:rPr>
        <w:t>treatment</w:t>
      </w:r>
      <w:r w:rsidRPr="00A37902">
        <w:rPr>
          <w:rFonts w:cs="Arial"/>
        </w:rPr>
        <w:t xml:space="preserve"> group and </w:t>
      </w:r>
      <w:r>
        <w:rPr>
          <w:rFonts w:cs="Arial"/>
        </w:rPr>
        <w:t>one percent</w:t>
      </w:r>
      <w:r w:rsidRPr="00A37902">
        <w:rPr>
          <w:rFonts w:cs="Arial"/>
        </w:rPr>
        <w:t xml:space="preserve"> for the control group, then the rate of uplift due to the HER program is </w:t>
      </w:r>
      <w:r>
        <w:rPr>
          <w:rFonts w:cs="Arial"/>
        </w:rPr>
        <w:t xml:space="preserve">one percent, as reflected </w:t>
      </w:r>
      <w:r w:rsidR="00F232E1">
        <w:rPr>
          <w:rFonts w:cs="Arial"/>
        </w:rPr>
        <w:t xml:space="preserve">in </w:t>
      </w:r>
      <w:r w:rsidR="00F232E1">
        <w:rPr>
          <w:rFonts w:cs="Arial"/>
        </w:rPr>
        <w:fldChar w:fldCharType="begin"/>
      </w:r>
      <w:r w:rsidR="00F232E1">
        <w:rPr>
          <w:rFonts w:cs="Arial"/>
        </w:rPr>
        <w:instrText xml:space="preserve"> REF _Ref433270894 \h </w:instrText>
      </w:r>
      <w:r w:rsidR="00F232E1">
        <w:rPr>
          <w:rFonts w:cs="Arial"/>
        </w:rPr>
      </w:r>
      <w:r w:rsidR="00F232E1">
        <w:rPr>
          <w:rFonts w:cs="Arial"/>
        </w:rPr>
        <w:fldChar w:fldCharType="separate"/>
      </w:r>
      <w:r w:rsidR="00E4410B">
        <w:t xml:space="preserve">Equation </w:t>
      </w:r>
      <w:r w:rsidR="00E4410B">
        <w:rPr>
          <w:noProof/>
        </w:rPr>
        <w:t>2</w:t>
      </w:r>
      <w:r w:rsidR="00E4410B">
        <w:noBreakHyphen/>
      </w:r>
      <w:r w:rsidR="00E4410B">
        <w:rPr>
          <w:noProof/>
        </w:rPr>
        <w:t>1</w:t>
      </w:r>
      <w:r w:rsidR="00F232E1">
        <w:rPr>
          <w:rFonts w:cs="Arial"/>
        </w:rPr>
        <w:fldChar w:fldCharType="end"/>
      </w:r>
      <w:r w:rsidR="00F232E1">
        <w:rPr>
          <w:rFonts w:cs="Arial"/>
        </w:rPr>
        <w:t>.</w:t>
      </w:r>
    </w:p>
    <w:p w14:paraId="72BC2ECE" w14:textId="77777777" w:rsidR="003449AF" w:rsidRDefault="003449AF" w:rsidP="00D1797B">
      <w:pPr>
        <w:rPr>
          <w:rFonts w:cs="Arial"/>
        </w:rPr>
      </w:pPr>
    </w:p>
    <w:p w14:paraId="3E89873A" w14:textId="3AB6A1D0" w:rsidR="00F232E1" w:rsidRDefault="00F232E1" w:rsidP="004301F4">
      <w:pPr>
        <w:pStyle w:val="Caption"/>
      </w:pPr>
      <w:bookmarkStart w:id="61" w:name="_Ref433270894"/>
      <w:r>
        <w:t xml:space="preserve">Equation </w:t>
      </w:r>
      <w:fldSimple w:instr=" STYLEREF 1 \s ">
        <w:r w:rsidR="00E4410B">
          <w:rPr>
            <w:noProof/>
          </w:rPr>
          <w:t>2</w:t>
        </w:r>
      </w:fldSimple>
      <w:r w:rsidR="00751510">
        <w:noBreakHyphen/>
      </w:r>
      <w:fldSimple w:instr=" SEQ Equation \* ARABIC \s 1 ">
        <w:r w:rsidR="00E4410B">
          <w:rPr>
            <w:noProof/>
          </w:rPr>
          <w:t>1</w:t>
        </w:r>
      </w:fldSimple>
      <w:bookmarkEnd w:id="61"/>
      <w:r>
        <w:t>. DID Statistic Calculation</w:t>
      </w:r>
    </w:p>
    <w:p w14:paraId="3A5B3A1F" w14:textId="61268EDD" w:rsidR="00D1797B" w:rsidRPr="00F232E1" w:rsidRDefault="004F44C4" w:rsidP="00D1797B">
      <w:pPr>
        <w:rPr>
          <w:rFonts w:cs="Arial"/>
        </w:rPr>
      </w:pPr>
      <m:oMathPara>
        <m:oMath>
          <m:d>
            <m:dPr>
              <m:ctrlPr>
                <w:rPr>
                  <w:rFonts w:ascii="Cambria Math" w:hAnsi="Cambria Math" w:cs="Arial"/>
                  <w:i/>
                </w:rPr>
              </m:ctrlPr>
            </m:dPr>
            <m:e>
              <m:r>
                <w:rPr>
                  <w:rFonts w:ascii="Cambria Math" w:hAnsi="Cambria Math" w:cs="Arial"/>
                </w:rPr>
                <m:t>analysis period treatment group participation-prePY treatment group participation</m:t>
              </m:r>
            </m:e>
          </m:d>
          <m:r>
            <w:rPr>
              <w:rFonts w:ascii="Cambria Math" w:hAnsi="Cambria Math" w:cs="Arial"/>
            </w:rPr>
            <m:t>-</m:t>
          </m:r>
          <m:d>
            <m:dPr>
              <m:ctrlPr>
                <w:rPr>
                  <w:rFonts w:ascii="Cambria Math" w:hAnsi="Cambria Math" w:cs="Arial"/>
                  <w:i/>
                </w:rPr>
              </m:ctrlPr>
            </m:dPr>
            <m:e>
              <m:r>
                <w:rPr>
                  <w:rFonts w:ascii="Cambria Math" w:hAnsi="Cambria Math" w:cs="Arial"/>
                </w:rPr>
                <m:t>analysis period control group participation-prePY control group participation</m:t>
              </m:r>
            </m:e>
          </m:d>
          <m:r>
            <w:rPr>
              <w:rFonts w:ascii="Cambria Math" w:hAnsi="Cambria Math" w:cs="Arial"/>
            </w:rPr>
            <m:t>=DID statistic</m:t>
          </m:r>
        </m:oMath>
      </m:oMathPara>
    </w:p>
    <w:p w14:paraId="3376269B" w14:textId="241A7EE5" w:rsidR="00F232E1" w:rsidRPr="00F232E1" w:rsidRDefault="004F44C4" w:rsidP="00D1797B">
      <w:pPr>
        <w:rPr>
          <w:rFonts w:cs="Arial"/>
        </w:rPr>
      </w:pPr>
      <m:oMathPara>
        <m:oMath>
          <m:d>
            <m:dPr>
              <m:ctrlPr>
                <w:rPr>
                  <w:rFonts w:ascii="Cambria Math" w:hAnsi="Cambria Math" w:cs="Arial"/>
                  <w:i/>
                </w:rPr>
              </m:ctrlPr>
            </m:dPr>
            <m:e>
              <m:r>
                <w:rPr>
                  <w:rFonts w:ascii="Cambria Math" w:hAnsi="Cambria Math" w:cs="Arial"/>
                </w:rPr>
                <m:t>5%-2%</m:t>
              </m:r>
            </m:e>
          </m:d>
          <m:r>
            <w:rPr>
              <w:rFonts w:ascii="Cambria Math" w:hAnsi="Cambria Math" w:cs="Arial"/>
            </w:rPr>
            <m:t>-</m:t>
          </m:r>
          <m:d>
            <m:dPr>
              <m:ctrlPr>
                <w:rPr>
                  <w:rFonts w:ascii="Cambria Math" w:hAnsi="Cambria Math" w:cs="Arial"/>
                  <w:i/>
                </w:rPr>
              </m:ctrlPr>
            </m:dPr>
            <m:e>
              <m:r>
                <w:rPr>
                  <w:rFonts w:ascii="Cambria Math" w:hAnsi="Cambria Math" w:cs="Arial"/>
                </w:rPr>
                <m:t>3%-1%</m:t>
              </m:r>
            </m:e>
          </m:d>
          <m:r>
            <w:rPr>
              <w:rFonts w:ascii="Cambria Math" w:hAnsi="Cambria Math" w:cs="Arial"/>
            </w:rPr>
            <m:t>=1%</m:t>
          </m:r>
        </m:oMath>
      </m:oMathPara>
    </w:p>
    <w:p w14:paraId="2237DFF6" w14:textId="77777777" w:rsidR="00F232E1" w:rsidRPr="00F232E1" w:rsidRDefault="00F232E1" w:rsidP="00D1797B">
      <w:pPr>
        <w:rPr>
          <w:rFonts w:cs="Arial"/>
        </w:rPr>
      </w:pPr>
    </w:p>
    <w:p w14:paraId="02ED4F61" w14:textId="77777777" w:rsidR="00D1797B" w:rsidRPr="00A37902" w:rsidRDefault="00D1797B" w:rsidP="00D1797B">
      <w:pPr>
        <w:rPr>
          <w:rFonts w:cs="Arial"/>
        </w:rPr>
      </w:pPr>
      <w:r>
        <w:rPr>
          <w:rFonts w:cs="Arial"/>
        </w:rPr>
        <w:t>The DID statistic generates an unbiased estimate of uplift when the baseline average rate of participation is the same for the treatment and control groups, or when they are different due only to differences between the two groups in time-invariant factors, such as the square footage of the residence.</w:t>
      </w:r>
    </w:p>
    <w:p w14:paraId="650AFE9F" w14:textId="77777777" w:rsidR="00D1797B" w:rsidRPr="00A37902" w:rsidRDefault="00D1797B" w:rsidP="00D1797B">
      <w:pPr>
        <w:ind w:left="1440" w:hanging="1440"/>
        <w:rPr>
          <w:rFonts w:cs="Arial"/>
        </w:rPr>
      </w:pPr>
    </w:p>
    <w:p w14:paraId="71D7176B" w14:textId="4362C25B" w:rsidR="00D1797B" w:rsidRPr="00A37902" w:rsidRDefault="00D1797B" w:rsidP="00D1797B">
      <w:pPr>
        <w:rPr>
          <w:rFonts w:cs="Arial"/>
        </w:rPr>
      </w:pPr>
      <w:r w:rsidRPr="00A37902">
        <w:rPr>
          <w:rFonts w:cs="Arial"/>
        </w:rPr>
        <w:t xml:space="preserve">An alternative statistic that generates an unbiased estimate of uplift when the </w:t>
      </w:r>
      <w:r>
        <w:rPr>
          <w:rFonts w:cs="Arial"/>
        </w:rPr>
        <w:t>baseline average rate</w:t>
      </w:r>
      <w:r w:rsidRPr="00A37902">
        <w:rPr>
          <w:rFonts w:cs="Arial"/>
        </w:rPr>
        <w:t xml:space="preserve"> of participation in the EE program </w:t>
      </w:r>
      <w:r>
        <w:rPr>
          <w:rFonts w:cs="Arial"/>
        </w:rPr>
        <w:t xml:space="preserve">is </w:t>
      </w:r>
      <w:r w:rsidRPr="00A37902">
        <w:rPr>
          <w:rFonts w:cs="Arial"/>
        </w:rPr>
        <w:t xml:space="preserve">the same for the treatment and control groups is a simple difference in participation rates during </w:t>
      </w:r>
      <w:r w:rsidR="00AF5956">
        <w:rPr>
          <w:rFonts w:cs="Arial"/>
        </w:rPr>
        <w:t>the analysis period.</w:t>
      </w:r>
      <w:r>
        <w:rPr>
          <w:rFonts w:cs="Arial"/>
        </w:rPr>
        <w:t xml:space="preserve"> </w:t>
      </w:r>
      <w:r w:rsidRPr="00A37902">
        <w:rPr>
          <w:rFonts w:cs="Arial"/>
        </w:rPr>
        <w:t>Navigant uses this alternative statistic –the “post-only difference”</w:t>
      </w:r>
      <w:r>
        <w:rPr>
          <w:rFonts w:cs="Arial"/>
        </w:rPr>
        <w:t xml:space="preserve"> (POD) statistic –in </w:t>
      </w:r>
      <w:r w:rsidRPr="00A37902">
        <w:rPr>
          <w:rFonts w:cs="Arial"/>
        </w:rPr>
        <w:t>case</w:t>
      </w:r>
      <w:r>
        <w:rPr>
          <w:rFonts w:cs="Arial"/>
        </w:rPr>
        <w:t>s</w:t>
      </w:r>
      <w:r w:rsidRPr="00A37902">
        <w:rPr>
          <w:rFonts w:cs="Arial"/>
        </w:rPr>
        <w:t xml:space="preserve"> where the EE program did not exi</w:t>
      </w:r>
      <w:r>
        <w:rPr>
          <w:rFonts w:cs="Arial"/>
        </w:rPr>
        <w:t>st for the entire pre-program year</w:t>
      </w:r>
      <w:r w:rsidRPr="00A37902">
        <w:rPr>
          <w:rFonts w:cs="Arial"/>
        </w:rPr>
        <w:t>.</w:t>
      </w:r>
    </w:p>
    <w:p w14:paraId="63AA45CD" w14:textId="77777777" w:rsidR="00D1797B" w:rsidRDefault="00D1797B" w:rsidP="00D1797B"/>
    <w:p w14:paraId="1644B2E6" w14:textId="62FC5B3B" w:rsidR="00D1797B" w:rsidRPr="00E33283" w:rsidRDefault="00D1797B" w:rsidP="00D1797B">
      <w:r>
        <w:t xml:space="preserve">Navigant examined the uplift associated with </w:t>
      </w:r>
      <w:r w:rsidR="006616E6">
        <w:t>four</w:t>
      </w:r>
      <w:r>
        <w:t xml:space="preserve"> EE programs: </w:t>
      </w:r>
      <w:r w:rsidR="00B8010A">
        <w:t xml:space="preserve">the </w:t>
      </w:r>
      <w:r>
        <w:t>Fridge and Freezer Recycl</w:t>
      </w:r>
      <w:r w:rsidR="00B8010A">
        <w:t>ing</w:t>
      </w:r>
      <w:r>
        <w:t xml:space="preserve"> (FFR) program, </w:t>
      </w:r>
      <w:r w:rsidR="00B8010A">
        <w:t>the Home Energy Assessment (HEA) program,</w:t>
      </w:r>
      <w:r w:rsidR="006616E6">
        <w:t xml:space="preserve"> the Home Energy Rebates (Rebate) program,</w:t>
      </w:r>
      <w:r w:rsidR="00B8010A">
        <w:t xml:space="preserve"> and the</w:t>
      </w:r>
      <w:r>
        <w:t xml:space="preserve"> Multi-family </w:t>
      </w:r>
      <w:r w:rsidR="00B8010A">
        <w:t>Energy Savings</w:t>
      </w:r>
      <w:r>
        <w:t xml:space="preserve"> Program (ME</w:t>
      </w:r>
      <w:r w:rsidR="00B8010A">
        <w:t>S</w:t>
      </w:r>
      <w:r>
        <w:t>P</w:t>
      </w:r>
      <w:r w:rsidR="00B8010A">
        <w:t>)</w:t>
      </w:r>
      <w:r>
        <w:t xml:space="preserve">. </w:t>
      </w:r>
      <w:r w:rsidR="004301F4">
        <w:t xml:space="preserve">In this study, we refer to the EE programs by the names used in PY7 since the analysis period spans two program years. </w:t>
      </w:r>
      <w:r>
        <w:t xml:space="preserve">The FFR program achieves energy savings through retirement and recycling of older, inefficient refrigerators, freezers, and room air conditioners. </w:t>
      </w:r>
      <w:r w:rsidR="00AF5956">
        <w:t>In PY7, t</w:t>
      </w:r>
      <w:r w:rsidR="00B8010A">
        <w:t>he HEA program replaced two PY6 programs: the Home Energy Savings (HES)</w:t>
      </w:r>
      <w:r w:rsidR="006616E6">
        <w:t xml:space="preserve"> program and the Home Energy Jumpstart (HEJ) program. The HEA program is offered jointly with the local gas utilities and achieves savings by providing </w:t>
      </w:r>
      <w:r w:rsidR="00D52857">
        <w:t xml:space="preserve">direct </w:t>
      </w:r>
      <w:r w:rsidR="006616E6">
        <w:t xml:space="preserve">installation of </w:t>
      </w:r>
      <w:r w:rsidR="00D52857">
        <w:t xml:space="preserve">low-cost efficiency measures for single family homes, such as </w:t>
      </w:r>
      <w:r w:rsidR="006616E6">
        <w:t>compacts fluorescent lightbulbs (CFLs)</w:t>
      </w:r>
      <w:r w:rsidR="00D52857">
        <w:t xml:space="preserve"> and low-flow</w:t>
      </w:r>
      <w:r w:rsidR="006616E6">
        <w:t xml:space="preserve"> showerheads</w:t>
      </w:r>
      <w:r w:rsidR="00D52857">
        <w:t>.</w:t>
      </w:r>
      <w:r w:rsidR="006616E6">
        <w:t xml:space="preserve"> The Rebate program</w:t>
      </w:r>
      <w:r w:rsidR="00D52857">
        <w:t>, which</w:t>
      </w:r>
      <w:r w:rsidR="006616E6">
        <w:t xml:space="preserve"> replaced the Complete System Rep</w:t>
      </w:r>
      <w:r w:rsidR="00D52857">
        <w:t>lacement (CSR) program from PY6, o</w:t>
      </w:r>
      <w:r>
        <w:t xml:space="preserve">ffers </w:t>
      </w:r>
      <w:r w:rsidR="006616E6">
        <w:t xml:space="preserve">weatherization and </w:t>
      </w:r>
      <w:r>
        <w:t>incentives to residential customers to encourage customer purchases of higher efficiency heating, ventilating, and air-</w:t>
      </w:r>
      <w:r w:rsidRPr="00510556">
        <w:t>conditioning</w:t>
      </w:r>
      <w:r>
        <w:t xml:space="preserve"> (HVAC) equipment. The ME</w:t>
      </w:r>
      <w:r w:rsidR="00B8010A">
        <w:t>S</w:t>
      </w:r>
      <w:r>
        <w:t xml:space="preserve">P offers direct installation of low-cost efficiency measures, such as water efficiency measures </w:t>
      </w:r>
      <w:r w:rsidR="00F54049">
        <w:t xml:space="preserve">and </w:t>
      </w:r>
      <w:r>
        <w:t>CFLs at eligible multifamily residences.</w:t>
      </w:r>
    </w:p>
    <w:p w14:paraId="648FEAD5" w14:textId="77777777" w:rsidR="00D1797B" w:rsidRDefault="00D1797B" w:rsidP="00D1797B"/>
    <w:p w14:paraId="0030DFF3" w14:textId="453BF4D6" w:rsidR="00D1797B" w:rsidRDefault="00D1797B" w:rsidP="00D1797B">
      <w:r>
        <w:t xml:space="preserve">For each EE program, double-counted savings were calculated separately for </w:t>
      </w:r>
      <w:r w:rsidR="00F44417">
        <w:t xml:space="preserve">the CR and TR </w:t>
      </w:r>
      <w:r>
        <w:t>subgroup</w:t>
      </w:r>
      <w:r w:rsidR="00F44417">
        <w:t>s</w:t>
      </w:r>
      <w:r>
        <w:t xml:space="preserve"> in Waves 1, 3, and 5 Non-AMI.</w:t>
      </w:r>
    </w:p>
    <w:p w14:paraId="59167707" w14:textId="4A6EE5C5" w:rsidR="0095049E" w:rsidRDefault="0095049E" w:rsidP="0095049E">
      <w:pPr>
        <w:pStyle w:val="Heading3"/>
      </w:pPr>
      <w:bookmarkStart w:id="62" w:name="_Ref432956660"/>
      <w:bookmarkStart w:id="63" w:name="_Toc441751883"/>
      <w:r>
        <w:lastRenderedPageBreak/>
        <w:t>Accounting for Legacy Uplift</w:t>
      </w:r>
      <w:bookmarkEnd w:id="62"/>
      <w:bookmarkEnd w:id="63"/>
    </w:p>
    <w:p w14:paraId="6F594986" w14:textId="78A36D46" w:rsidR="0095049E" w:rsidRDefault="0095049E" w:rsidP="0095049E">
      <w:r>
        <w:t xml:space="preserve">The uplift adjustment methodology described in Section </w:t>
      </w:r>
      <w:r>
        <w:fldChar w:fldCharType="begin"/>
      </w:r>
      <w:r>
        <w:instrText xml:space="preserve"> REF _Ref432696502 \r \h </w:instrText>
      </w:r>
      <w:r>
        <w:fldChar w:fldCharType="separate"/>
      </w:r>
      <w:r w:rsidR="00E4410B">
        <w:t>2.5.1</w:t>
      </w:r>
      <w:r>
        <w:fldChar w:fldCharType="end"/>
      </w:r>
      <w:r>
        <w:t xml:space="preserve"> only accounts for uplift which occurs in the current year because EE program tracking files in any given program year only capture the new measures installed in that year, regardless of the expected measure lives.</w:t>
      </w:r>
      <w:r>
        <w:rPr>
          <w:rStyle w:val="FootnoteReference"/>
          <w:rFonts w:eastAsiaTheme="majorEastAsia"/>
        </w:rPr>
        <w:footnoteReference w:id="14"/>
      </w:r>
      <w:r>
        <w:t xml:space="preserve"> However, for other EE programs with multi-year measure lives, HER pro</w:t>
      </w:r>
      <w:r w:rsidR="00205B95">
        <w:t>gram savings capture</w:t>
      </w:r>
      <w:r>
        <w:t xml:space="preserve"> the portion of their savings due to uplift in each year of that program’s measure life. For instance, a measure with a ten-year measure life that was installed in PY2 would generate savings captured in the HER program savings not just in PY2, but in PY3 through PY11 as well.</w:t>
      </w:r>
    </w:p>
    <w:p w14:paraId="4F667E75" w14:textId="77777777" w:rsidR="0095049E" w:rsidRDefault="0095049E" w:rsidP="0095049E"/>
    <w:p w14:paraId="0408CC49" w14:textId="4BBA3A06" w:rsidR="0025731C" w:rsidRDefault="00AF5956" w:rsidP="0095049E">
      <w:r>
        <w:t>Since the analysis period for this study is off from a regular pr</w:t>
      </w:r>
      <w:r w:rsidR="00697FC4">
        <w:t>ogram year Navigant wa</w:t>
      </w:r>
      <w:r w:rsidR="00131D88">
        <w:t>s unable to accurately estimate legacy uplift for this analysis period. Navigant did test estimating legacy uplift as the same percentage of current year uplift as was found in the PY7 HER evaluation report</w:t>
      </w:r>
      <w:r w:rsidR="00131D88">
        <w:rPr>
          <w:rStyle w:val="FootnoteReference"/>
        </w:rPr>
        <w:footnoteReference w:id="15"/>
      </w:r>
      <w:r w:rsidR="00131D88">
        <w:t>, but the difference in total savings made a negligible impact on the decay rate and measure life estimation that are the focus of this study, so the legacy uplift adjustment was left out.</w:t>
      </w:r>
    </w:p>
    <w:p w14:paraId="73C98E53" w14:textId="77777777" w:rsidR="0025731C" w:rsidRDefault="0025731C" w:rsidP="0025731C">
      <w:pPr>
        <w:pStyle w:val="Heading2"/>
      </w:pPr>
      <w:bookmarkStart w:id="64" w:name="_Toc440555162"/>
      <w:bookmarkStart w:id="65" w:name="_Toc441751884"/>
      <w:r>
        <w:t>Estimating Decay</w:t>
      </w:r>
      <w:bookmarkEnd w:id="64"/>
      <w:bookmarkEnd w:id="65"/>
    </w:p>
    <w:p w14:paraId="16660B27" w14:textId="61D4C2C4" w:rsidR="0025731C" w:rsidRDefault="0025731C" w:rsidP="0025731C">
      <w:r>
        <w:t xml:space="preserve">The </w:t>
      </w:r>
      <w:r w:rsidR="00D06212">
        <w:t xml:space="preserve">annual </w:t>
      </w:r>
      <w:r>
        <w:t>decay rate is equal to one minus the ratio of the percentage savings</w:t>
      </w:r>
      <w:r w:rsidR="00D06212">
        <w:t xml:space="preserve"> for the TR group</w:t>
      </w:r>
      <w:r>
        <w:t xml:space="preserve"> in the first year after the reports were discontinued to percentage savings</w:t>
      </w:r>
      <w:r w:rsidR="00D06212">
        <w:t xml:space="preserve"> for the CR group</w:t>
      </w:r>
      <w:r>
        <w:t xml:space="preserve"> in th</w:t>
      </w:r>
      <w:r w:rsidR="00D06212">
        <w:t>at same</w:t>
      </w:r>
      <w:r>
        <w:t xml:space="preserve"> year</w:t>
      </w:r>
      <w:r w:rsidR="00D06212">
        <w:t xml:space="preserve">. </w:t>
      </w:r>
      <w:r>
        <w:fldChar w:fldCharType="begin"/>
      </w:r>
      <w:r>
        <w:instrText xml:space="preserve"> REF _Ref440032526 \h </w:instrText>
      </w:r>
      <w:r>
        <w:fldChar w:fldCharType="separate"/>
      </w:r>
      <w:r w:rsidR="00E4410B">
        <w:t xml:space="preserve">Equation </w:t>
      </w:r>
      <w:r w:rsidR="00E4410B">
        <w:rPr>
          <w:noProof/>
        </w:rPr>
        <w:t>2</w:t>
      </w:r>
      <w:r w:rsidR="00E4410B">
        <w:noBreakHyphen/>
      </w:r>
      <w:r w:rsidR="00E4410B">
        <w:rPr>
          <w:noProof/>
        </w:rPr>
        <w:t>2</w:t>
      </w:r>
      <w:r>
        <w:fldChar w:fldCharType="end"/>
      </w:r>
      <w:r>
        <w:t xml:space="preserve"> shows this calculation where δ is the decay rate.</w:t>
      </w:r>
    </w:p>
    <w:p w14:paraId="63C69A87" w14:textId="77777777" w:rsidR="0025731C" w:rsidRDefault="0025731C" w:rsidP="0025731C"/>
    <w:p w14:paraId="55231232" w14:textId="77777777" w:rsidR="0025731C" w:rsidRDefault="0025731C" w:rsidP="004301F4">
      <w:pPr>
        <w:pStyle w:val="Caption"/>
      </w:pPr>
      <w:bookmarkStart w:id="66" w:name="_Ref440032526"/>
      <w:r>
        <w:t xml:space="preserve">Equation </w:t>
      </w:r>
      <w:fldSimple w:instr=" STYLEREF 1 \s ">
        <w:r w:rsidR="00E4410B">
          <w:rPr>
            <w:noProof/>
          </w:rPr>
          <w:t>2</w:t>
        </w:r>
      </w:fldSimple>
      <w:r>
        <w:noBreakHyphen/>
      </w:r>
      <w:fldSimple w:instr=" SEQ Equation \* ARABIC \s 1 ">
        <w:r w:rsidR="00E4410B">
          <w:rPr>
            <w:noProof/>
          </w:rPr>
          <w:t>2</w:t>
        </w:r>
      </w:fldSimple>
      <w:bookmarkEnd w:id="66"/>
      <w:r>
        <w:t>. Decay Rate</w:t>
      </w:r>
    </w:p>
    <w:p w14:paraId="3D7DEA3F" w14:textId="650D51F1" w:rsidR="0025731C" w:rsidRDefault="0025731C" w:rsidP="0025731C">
      <w:pPr>
        <w:spacing w:before="120"/>
      </w:pPr>
      <m:oMathPara>
        <m:oMath>
          <m:r>
            <w:rPr>
              <w:rFonts w:ascii="Cambria Math" w:hAnsi="Cambria Math"/>
            </w:rPr>
            <m:t>δ=1-</m:t>
          </m:r>
          <m:f>
            <m:fPr>
              <m:ctrlPr>
                <w:rPr>
                  <w:rFonts w:ascii="Cambria Math" w:hAnsi="Cambria Math"/>
                  <w:i/>
                </w:rPr>
              </m:ctrlPr>
            </m:fPr>
            <m:num>
              <m:r>
                <w:rPr>
                  <w:rFonts w:ascii="Cambria Math" w:hAnsi="Cambria Math"/>
                </w:rPr>
                <m:t>% Savings for TR in first year after reports stop</m:t>
              </m:r>
            </m:num>
            <m:den>
              <m:r>
                <w:rPr>
                  <w:rFonts w:ascii="Cambria Math" w:hAnsi="Cambria Math"/>
                </w:rPr>
                <m:t>% Savings for CR in first year after reports stop for TR</m:t>
              </m:r>
            </m:den>
          </m:f>
        </m:oMath>
      </m:oMathPara>
    </w:p>
    <w:p w14:paraId="229043D0" w14:textId="77777777" w:rsidR="0025731C" w:rsidRDefault="0025731C" w:rsidP="0025731C"/>
    <w:p w14:paraId="3AF568C7" w14:textId="57DF017C" w:rsidR="00D06212" w:rsidRDefault="00D06212" w:rsidP="00D06212">
      <w:r>
        <w:t>The estimated decay rate is used to estimate the measure life of the HER program for the year reports are stopped contingent on receiving reports for</w:t>
      </w:r>
      <w:r w:rsidR="00C8619F">
        <w:t xml:space="preserve"> </w:t>
      </w:r>
      <w:r w:rsidR="00C8619F" w:rsidRPr="004301F4">
        <w:rPr>
          <w:i/>
        </w:rPr>
        <w:t>x</w:t>
      </w:r>
      <w:r w:rsidR="00C8619F">
        <w:t xml:space="preserve"> number of years before they we</w:t>
      </w:r>
      <w:r>
        <w:t>re stopped. This method assumes that the measure life is one y</w:t>
      </w:r>
      <w:r w:rsidR="004301F4">
        <w:t>ear for each year that reports we</w:t>
      </w:r>
      <w:r>
        <w:t xml:space="preserve">re sent up to the final year reports </w:t>
      </w:r>
      <w:r w:rsidR="004301F4">
        <w:t>we</w:t>
      </w:r>
      <w:r>
        <w:t xml:space="preserve">re sent when the measure life </w:t>
      </w:r>
      <w:r w:rsidR="004301F4">
        <w:t>is</w:t>
      </w:r>
      <w:r>
        <w:t xml:space="preserve"> greater than one assuming any persistence of savings. For example, Wave 1 began receiving reports in PY2, estimating measure life in this way would make the measure life one year in PY2-5 and more than one year in PY6, the year in which reports were stopped, for the TR group. </w:t>
      </w:r>
    </w:p>
    <w:p w14:paraId="5D5DA75F" w14:textId="77777777" w:rsidR="00D06212" w:rsidRDefault="00D06212" w:rsidP="00D06212"/>
    <w:p w14:paraId="640FF8F7" w14:textId="04ADC802" w:rsidR="00D06212" w:rsidRDefault="00D06212" w:rsidP="00D06212">
      <w:r>
        <w:t xml:space="preserve">An intermediate </w:t>
      </w:r>
      <w:r w:rsidR="00190F86">
        <w:t>step to estimating</w:t>
      </w:r>
      <w:r>
        <w:t xml:space="preserve"> the measure life is to estimate the lifetime persistence savings, which is the total savings attributabl</w:t>
      </w:r>
      <w:r w:rsidR="004301F4">
        <w:t>e to the program after reports we</w:t>
      </w:r>
      <w:r>
        <w:t xml:space="preserve">re stopped. The lifetime persistence savings are calculated via an infinite series which converges to </w:t>
      </w:r>
      <w:r>
        <w:fldChar w:fldCharType="begin"/>
      </w:r>
      <w:r>
        <w:instrText xml:space="preserve"> REF _Ref440032845 \h </w:instrText>
      </w:r>
      <w:r>
        <w:fldChar w:fldCharType="separate"/>
      </w:r>
      <w:r w:rsidR="00E4410B">
        <w:t xml:space="preserve">Equation </w:t>
      </w:r>
      <w:r w:rsidR="00E4410B">
        <w:rPr>
          <w:noProof/>
        </w:rPr>
        <w:t>2</w:t>
      </w:r>
      <w:r w:rsidR="00E4410B">
        <w:noBreakHyphen/>
      </w:r>
      <w:r w:rsidR="00E4410B">
        <w:rPr>
          <w:noProof/>
        </w:rPr>
        <w:t>3</w:t>
      </w:r>
      <w:r>
        <w:fldChar w:fldCharType="end"/>
      </w:r>
      <w:r w:rsidR="00C8619F">
        <w:t xml:space="preserve"> where α is the annual attrition due to residence changes</w:t>
      </w:r>
      <w:r>
        <w:t>.</w:t>
      </w:r>
      <w:r>
        <w:rPr>
          <w:rStyle w:val="FootnoteReference"/>
        </w:rPr>
        <w:footnoteReference w:id="16"/>
      </w:r>
      <w:r w:rsidRPr="00E55942">
        <w:rPr>
          <w:vertAlign w:val="superscript"/>
        </w:rPr>
        <w:t>,</w:t>
      </w:r>
      <w:r>
        <w:rPr>
          <w:rStyle w:val="FootnoteReference"/>
        </w:rPr>
        <w:footnoteReference w:id="17"/>
      </w:r>
      <w:r>
        <w:rPr>
          <w:i/>
        </w:rPr>
        <w:t xml:space="preserve"> </w:t>
      </w:r>
    </w:p>
    <w:p w14:paraId="53CF15F0" w14:textId="77777777" w:rsidR="00D06212" w:rsidRDefault="00D06212" w:rsidP="00D06212"/>
    <w:p w14:paraId="4A897BD8" w14:textId="77777777" w:rsidR="00D06212" w:rsidRDefault="00D06212" w:rsidP="004301F4">
      <w:pPr>
        <w:pStyle w:val="Caption"/>
      </w:pPr>
      <w:bookmarkStart w:id="67" w:name="_Ref440032845"/>
      <w:r>
        <w:lastRenderedPageBreak/>
        <w:t xml:space="preserve">Equation </w:t>
      </w:r>
      <w:fldSimple w:instr=" STYLEREF 1 \s ">
        <w:r w:rsidR="00E4410B">
          <w:rPr>
            <w:noProof/>
          </w:rPr>
          <w:t>2</w:t>
        </w:r>
      </w:fldSimple>
      <w:r>
        <w:noBreakHyphen/>
      </w:r>
      <w:fldSimple w:instr=" SEQ Equation \* ARABIC \s 1 ">
        <w:r w:rsidR="00E4410B">
          <w:rPr>
            <w:noProof/>
          </w:rPr>
          <w:t>3</w:t>
        </w:r>
      </w:fldSimple>
      <w:bookmarkEnd w:id="67"/>
      <w:r>
        <w:t>.</w:t>
      </w:r>
      <w:r w:rsidRPr="00577541">
        <w:t xml:space="preserve"> </w:t>
      </w:r>
      <w:r>
        <w:t xml:space="preserve">Lifetime </w:t>
      </w:r>
      <w:r w:rsidRPr="00577541">
        <w:t>Persistence Savings Convergence</w:t>
      </w:r>
    </w:p>
    <w:p w14:paraId="1760D747" w14:textId="2C89DE71" w:rsidR="00D06212" w:rsidRDefault="00D06212" w:rsidP="00D06212">
      <m:oMathPara>
        <m:oMath>
          <m:r>
            <w:rPr>
              <w:rFonts w:ascii="Cambria Math" w:hAnsi="Cambria Math"/>
            </w:rPr>
            <m:t>Lifetime Persistence Savings=</m:t>
          </m:r>
          <m:f>
            <m:fPr>
              <m:ctrlPr>
                <w:rPr>
                  <w:rFonts w:ascii="Cambria Math" w:hAnsi="Cambria Math"/>
                  <w:i/>
                </w:rPr>
              </m:ctrlPr>
            </m:fPr>
            <m:num>
              <m:r>
                <w:rPr>
                  <w:rFonts w:ascii="Cambria Math" w:hAnsi="Cambria Math"/>
                </w:rPr>
                <m:t>Total Savings for CR in first year after reports stop for TR</m:t>
              </m:r>
            </m:num>
            <m:den>
              <m:r>
                <w:rPr>
                  <w:rFonts w:ascii="Cambria Math" w:hAnsi="Cambria Math"/>
                </w:rPr>
                <m:t>δ+α-(δ*α)</m:t>
              </m:r>
            </m:den>
          </m:f>
        </m:oMath>
      </m:oMathPara>
    </w:p>
    <w:p w14:paraId="054D6844" w14:textId="2E09F37D" w:rsidR="00D06212" w:rsidRDefault="00D06212" w:rsidP="00D06212"/>
    <w:p w14:paraId="283E5408" w14:textId="413CE3F7" w:rsidR="0025731C" w:rsidRDefault="0025731C" w:rsidP="0025731C">
      <w:r>
        <w:t xml:space="preserve">The lifetime persistence savings is used to estimate the measure life of the HER program contingent on having received reports for </w:t>
      </w:r>
      <w:r w:rsidR="00C8619F" w:rsidRPr="004301F4">
        <w:rPr>
          <w:i/>
        </w:rPr>
        <w:t>x</w:t>
      </w:r>
      <w:r w:rsidR="00C8619F">
        <w:t xml:space="preserve"> number of years before they were stopped</w:t>
      </w:r>
      <w:r>
        <w:t xml:space="preserve">, as shown in </w:t>
      </w:r>
      <w:r>
        <w:fldChar w:fldCharType="begin"/>
      </w:r>
      <w:r>
        <w:instrText xml:space="preserve"> REF _Ref440031857 \h </w:instrText>
      </w:r>
      <w:r>
        <w:fldChar w:fldCharType="separate"/>
      </w:r>
      <w:r w:rsidR="00E4410B">
        <w:t xml:space="preserve">Equation </w:t>
      </w:r>
      <w:r w:rsidR="00E4410B">
        <w:rPr>
          <w:noProof/>
        </w:rPr>
        <w:t>2</w:t>
      </w:r>
      <w:r w:rsidR="00E4410B">
        <w:noBreakHyphen/>
      </w:r>
      <w:r w:rsidR="00E4410B">
        <w:rPr>
          <w:noProof/>
        </w:rPr>
        <w:t>4</w:t>
      </w:r>
      <w:r>
        <w:fldChar w:fldCharType="end"/>
      </w:r>
      <w:r>
        <w:t xml:space="preserve">. </w:t>
      </w:r>
    </w:p>
    <w:p w14:paraId="7A2A7CD0" w14:textId="77777777" w:rsidR="0025731C" w:rsidRDefault="0025731C" w:rsidP="0025731C"/>
    <w:p w14:paraId="72E865F7" w14:textId="7F6B1804" w:rsidR="00C8619F" w:rsidRPr="00C8619F" w:rsidRDefault="0025731C" w:rsidP="004301F4">
      <w:pPr>
        <w:pStyle w:val="Caption"/>
      </w:pPr>
      <w:bookmarkStart w:id="68" w:name="_Ref440031857"/>
      <w:r>
        <w:t xml:space="preserve">Equation </w:t>
      </w:r>
      <w:fldSimple w:instr=" STYLEREF 1 \s ">
        <w:r w:rsidR="00E4410B">
          <w:rPr>
            <w:noProof/>
          </w:rPr>
          <w:t>2</w:t>
        </w:r>
      </w:fldSimple>
      <w:r>
        <w:noBreakHyphen/>
      </w:r>
      <w:fldSimple w:instr=" SEQ Equation \* ARABIC \s 1 ">
        <w:r w:rsidR="00E4410B">
          <w:rPr>
            <w:noProof/>
          </w:rPr>
          <w:t>4</w:t>
        </w:r>
      </w:fldSimple>
      <w:bookmarkEnd w:id="68"/>
      <w:r>
        <w:t>. Measure Life</w:t>
      </w:r>
    </w:p>
    <w:p w14:paraId="30A41C2E" w14:textId="5120E42F" w:rsidR="00AF5956" w:rsidRDefault="00C8619F" w:rsidP="00C8619F">
      <w:pPr>
        <w:spacing w:before="120" w:after="120"/>
        <w:ind w:left="-450"/>
        <w:jc w:val="center"/>
      </w:pPr>
      <m:oMathPara>
        <m:oMath>
          <m:r>
            <w:rPr>
              <w:rFonts w:ascii="Cambria Math" w:hAnsi="Cambria Math"/>
            </w:rPr>
            <m:t>Meas Life=</m:t>
          </m:r>
          <m:f>
            <m:fPr>
              <m:ctrlPr>
                <w:rPr>
                  <w:rFonts w:ascii="Cambria Math" w:hAnsi="Cambria Math"/>
                  <w:i/>
                </w:rPr>
              </m:ctrlPr>
            </m:fPr>
            <m:num>
              <m:r>
                <w:rPr>
                  <w:rFonts w:ascii="Cambria Math" w:hAnsi="Cambria Math"/>
                </w:rPr>
                <m:t>Total Savings for CR in first year after reports stop for TR+Lifetime Persistence Savings</m:t>
              </m:r>
            </m:num>
            <m:den>
              <m:r>
                <w:rPr>
                  <w:rFonts w:ascii="Cambria Math" w:hAnsi="Cambria Math"/>
                </w:rPr>
                <m:t>Total Savings for CR in first year after reports stop for TR</m:t>
              </m:r>
            </m:den>
          </m:f>
        </m:oMath>
      </m:oMathPara>
    </w:p>
    <w:p w14:paraId="3A643C86" w14:textId="4D814EC3" w:rsidR="00441D99" w:rsidRDefault="00697C40" w:rsidP="00013969">
      <w:pPr>
        <w:pStyle w:val="Heading1"/>
      </w:pPr>
      <w:bookmarkStart w:id="69" w:name="_Toc398546637"/>
      <w:bookmarkStart w:id="70" w:name="_Toc441751885"/>
      <w:r>
        <w:lastRenderedPageBreak/>
        <w:t>Gros</w:t>
      </w:r>
      <w:r w:rsidR="00441D99" w:rsidRPr="00441D99">
        <w:t>s Impact Evaluati</w:t>
      </w:r>
      <w:r w:rsidR="00441D99">
        <w:t>on</w:t>
      </w:r>
      <w:bookmarkEnd w:id="69"/>
      <w:bookmarkEnd w:id="70"/>
    </w:p>
    <w:bookmarkStart w:id="71" w:name="_Toc378688192"/>
    <w:bookmarkStart w:id="72" w:name="_Toc403122802"/>
    <w:bookmarkStart w:id="73" w:name="_Toc408990872"/>
    <w:p w14:paraId="30166C1A" w14:textId="58025B76" w:rsidR="00697FC4" w:rsidRDefault="00697FC4" w:rsidP="00697FC4">
      <w:r>
        <w:fldChar w:fldCharType="begin"/>
      </w:r>
      <w:r>
        <w:instrText xml:space="preserve"> REF _Ref441157797 \h </w:instrText>
      </w:r>
      <w:r>
        <w:fldChar w:fldCharType="separate"/>
      </w:r>
      <w:r w:rsidR="00E4410B">
        <w:t xml:space="preserve">Table </w:t>
      </w:r>
      <w:r w:rsidR="00E4410B">
        <w:rPr>
          <w:noProof/>
        </w:rPr>
        <w:t>3</w:t>
      </w:r>
      <w:r w:rsidR="00E4410B">
        <w:noBreakHyphen/>
      </w:r>
      <w:r w:rsidR="00E4410B">
        <w:rPr>
          <w:noProof/>
        </w:rPr>
        <w:t>1</w:t>
      </w:r>
      <w:r>
        <w:fldChar w:fldCharType="end"/>
      </w:r>
      <w:r>
        <w:t xml:space="preserve"> </w:t>
      </w:r>
      <w:r w:rsidRPr="00A90B62">
        <w:t>summarize</w:t>
      </w:r>
      <w:r>
        <w:t>s</w:t>
      </w:r>
      <w:r w:rsidRPr="00A90B62">
        <w:t xml:space="preserve"> the </w:t>
      </w:r>
      <w:r>
        <w:t xml:space="preserve">electric </w:t>
      </w:r>
      <w:r w:rsidRPr="00A90B62">
        <w:t xml:space="preserve">savings from </w:t>
      </w:r>
      <w:r w:rsidRPr="00BE51A6">
        <w:t xml:space="preserve">the </w:t>
      </w:r>
      <w:r>
        <w:t>CR and TR customers for each of the three relevant waves in the year after reports were stopped for the TR group. Navigant estimated double-counted savings due to uplift in the analysis period but savings from legacy uplift were not estimated; since the analysis period does not line up with a program year Navigant does not have estimates of legacy uplift available for this time period. Navigant did test estimating legacy uplift as the same percentage of current year uplift as was found in the PY7 HER evaluation report</w:t>
      </w:r>
      <w:r>
        <w:rPr>
          <w:rStyle w:val="FootnoteReference"/>
        </w:rPr>
        <w:footnoteReference w:id="18"/>
      </w:r>
      <w:r>
        <w:t>, but the difference in total savings made a negligible impact on the decay rate and measure life estimation that are the focus of this study, so the adjustment was left out.</w:t>
      </w:r>
    </w:p>
    <w:p w14:paraId="493B2065" w14:textId="77777777" w:rsidR="00697FC4" w:rsidRDefault="00697FC4" w:rsidP="00697FC4"/>
    <w:p w14:paraId="6F4D2EEF" w14:textId="52946E60" w:rsidR="00697FC4" w:rsidRDefault="00697FC4" w:rsidP="004301F4">
      <w:pPr>
        <w:pStyle w:val="Caption"/>
      </w:pPr>
      <w:bookmarkStart w:id="74" w:name="_Ref441157797"/>
      <w:bookmarkStart w:id="75" w:name="_Ref441158161"/>
      <w:bookmarkStart w:id="76" w:name="_Toc441751903"/>
      <w:r>
        <w:t xml:space="preserve">Table </w:t>
      </w:r>
      <w:fldSimple w:instr=" STYLEREF 1 \s ">
        <w:r w:rsidR="00E4410B">
          <w:rPr>
            <w:noProof/>
          </w:rPr>
          <w:t>3</w:t>
        </w:r>
      </w:fldSimple>
      <w:r w:rsidR="00F05E89">
        <w:noBreakHyphen/>
      </w:r>
      <w:fldSimple w:instr=" SEQ Table \* ARABIC \s 1 ">
        <w:r w:rsidR="00E4410B">
          <w:rPr>
            <w:noProof/>
          </w:rPr>
          <w:t>1</w:t>
        </w:r>
      </w:fldSimple>
      <w:bookmarkEnd w:id="74"/>
      <w:r>
        <w:t>. HER Total Savings from November 2013 – October 2014</w:t>
      </w:r>
      <w:bookmarkEnd w:id="75"/>
      <w:bookmarkEnd w:id="76"/>
    </w:p>
    <w:tbl>
      <w:tblPr>
        <w:tblStyle w:val="Style3"/>
        <w:tblW w:w="9839" w:type="dxa"/>
        <w:jc w:val="center"/>
        <w:tblLayout w:type="fixed"/>
        <w:tblLook w:val="04A0" w:firstRow="1" w:lastRow="0" w:firstColumn="1" w:lastColumn="0" w:noHBand="0" w:noVBand="1"/>
      </w:tblPr>
      <w:tblGrid>
        <w:gridCol w:w="2304"/>
        <w:gridCol w:w="1255"/>
        <w:gridCol w:w="1256"/>
        <w:gridCol w:w="1256"/>
        <w:gridCol w:w="1256"/>
        <w:gridCol w:w="1256"/>
        <w:gridCol w:w="1256"/>
      </w:tblGrid>
      <w:tr w:rsidR="00223B43" w:rsidRPr="00B71D78" w14:paraId="415CDA08" w14:textId="77777777" w:rsidTr="00671715">
        <w:trPr>
          <w:cnfStyle w:val="100000000000" w:firstRow="1" w:lastRow="0" w:firstColumn="0" w:lastColumn="0" w:oddVBand="0" w:evenVBand="0" w:oddHBand="0"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2304" w:type="dxa"/>
            <w:tcBorders>
              <w:bottom w:val="single" w:sz="4" w:space="0" w:color="A29784"/>
              <w:right w:val="nil"/>
            </w:tcBorders>
            <w:hideMark/>
          </w:tcPr>
          <w:p w14:paraId="7BB9A1C4" w14:textId="77777777" w:rsidR="00223B43" w:rsidRPr="003C5FC7" w:rsidRDefault="00223B43" w:rsidP="00671715">
            <w:pPr>
              <w:keepNext/>
              <w:keepLines/>
              <w:jc w:val="left"/>
              <w:rPr>
                <w:rFonts w:ascii="Arial Narrow" w:eastAsia="Calibri" w:hAnsi="Arial Narrow"/>
                <w:sz w:val="20"/>
                <w:szCs w:val="20"/>
              </w:rPr>
            </w:pPr>
            <w:r w:rsidRPr="003C5FC7">
              <w:rPr>
                <w:rFonts w:ascii="Arial Narrow" w:hAnsi="Arial Narrow"/>
                <w:sz w:val="20"/>
                <w:szCs w:val="20"/>
              </w:rPr>
              <w:t>Savings Category</w:t>
            </w:r>
          </w:p>
        </w:tc>
        <w:tc>
          <w:tcPr>
            <w:tcW w:w="1255" w:type="dxa"/>
            <w:tcBorders>
              <w:left w:val="nil"/>
              <w:bottom w:val="single" w:sz="4" w:space="0" w:color="A29784"/>
              <w:right w:val="nil"/>
            </w:tcBorders>
            <w:hideMark/>
          </w:tcPr>
          <w:p w14:paraId="1B7FDB0F" w14:textId="77777777" w:rsidR="00223B43" w:rsidRPr="003C5FC7" w:rsidRDefault="00223B43" w:rsidP="00671715">
            <w:pPr>
              <w:keepNext/>
              <w:keepLines/>
              <w:cnfStyle w:val="100000000000" w:firstRow="1" w:lastRow="0" w:firstColumn="0" w:lastColumn="0" w:oddVBand="0" w:evenVBand="0" w:oddHBand="0" w:evenHBand="0" w:firstRowFirstColumn="0" w:firstRowLastColumn="0" w:lastRowFirstColumn="0" w:lastRowLastColumn="0"/>
              <w:rPr>
                <w:rFonts w:ascii="Arial Narrow" w:eastAsia="Calibri" w:hAnsi="Arial Narrow"/>
                <w:sz w:val="20"/>
                <w:szCs w:val="20"/>
              </w:rPr>
            </w:pPr>
            <w:r w:rsidRPr="003C5FC7">
              <w:rPr>
                <w:rFonts w:ascii="Arial Narrow" w:hAnsi="Arial Narrow"/>
                <w:sz w:val="20"/>
                <w:szCs w:val="20"/>
              </w:rPr>
              <w:t>Wave 1 CR</w:t>
            </w:r>
          </w:p>
        </w:tc>
        <w:tc>
          <w:tcPr>
            <w:tcW w:w="1256" w:type="dxa"/>
            <w:tcBorders>
              <w:left w:val="nil"/>
              <w:bottom w:val="single" w:sz="4" w:space="0" w:color="A29784"/>
              <w:right w:val="nil"/>
            </w:tcBorders>
          </w:tcPr>
          <w:p w14:paraId="130395DC" w14:textId="77777777" w:rsidR="00223B43" w:rsidRPr="003C5FC7" w:rsidRDefault="00223B43" w:rsidP="00671715">
            <w:pPr>
              <w:keepNext/>
              <w:keepLines/>
              <w:cnfStyle w:val="100000000000" w:firstRow="1" w:lastRow="0" w:firstColumn="0" w:lastColumn="0" w:oddVBand="0" w:evenVBand="0" w:oddHBand="0" w:evenHBand="0" w:firstRowFirstColumn="0" w:firstRowLastColumn="0" w:lastRowFirstColumn="0" w:lastRowLastColumn="0"/>
              <w:rPr>
                <w:rFonts w:ascii="Arial Narrow" w:hAnsi="Arial Narrow"/>
                <w:sz w:val="20"/>
                <w:szCs w:val="20"/>
              </w:rPr>
            </w:pPr>
            <w:r w:rsidRPr="003C5FC7">
              <w:rPr>
                <w:rFonts w:ascii="Arial Narrow" w:hAnsi="Arial Narrow"/>
                <w:sz w:val="20"/>
                <w:szCs w:val="20"/>
              </w:rPr>
              <w:t>Wave 1 TR</w:t>
            </w:r>
          </w:p>
        </w:tc>
        <w:tc>
          <w:tcPr>
            <w:tcW w:w="1256" w:type="dxa"/>
            <w:tcBorders>
              <w:left w:val="nil"/>
              <w:bottom w:val="single" w:sz="4" w:space="0" w:color="A29784"/>
              <w:right w:val="nil"/>
            </w:tcBorders>
          </w:tcPr>
          <w:p w14:paraId="0B98D05F" w14:textId="77777777" w:rsidR="00223B43" w:rsidRPr="003C5FC7" w:rsidRDefault="00223B43" w:rsidP="00671715">
            <w:pPr>
              <w:keepNext/>
              <w:keepLines/>
              <w:cnfStyle w:val="100000000000" w:firstRow="1" w:lastRow="0" w:firstColumn="0" w:lastColumn="0" w:oddVBand="0" w:evenVBand="0" w:oddHBand="0" w:evenHBand="0" w:firstRowFirstColumn="0" w:firstRowLastColumn="0" w:lastRowFirstColumn="0" w:lastRowLastColumn="0"/>
              <w:rPr>
                <w:rFonts w:ascii="Arial Narrow" w:hAnsi="Arial Narrow"/>
                <w:sz w:val="20"/>
                <w:szCs w:val="20"/>
              </w:rPr>
            </w:pPr>
            <w:r w:rsidRPr="003C5FC7">
              <w:rPr>
                <w:rFonts w:ascii="Arial Narrow" w:hAnsi="Arial Narrow"/>
                <w:sz w:val="20"/>
                <w:szCs w:val="20"/>
              </w:rPr>
              <w:t>Wave 3 CR</w:t>
            </w:r>
          </w:p>
        </w:tc>
        <w:tc>
          <w:tcPr>
            <w:tcW w:w="1256" w:type="dxa"/>
            <w:tcBorders>
              <w:left w:val="nil"/>
              <w:bottom w:val="single" w:sz="4" w:space="0" w:color="A29784"/>
              <w:right w:val="nil"/>
            </w:tcBorders>
          </w:tcPr>
          <w:p w14:paraId="007E8FE0" w14:textId="77777777" w:rsidR="00223B43" w:rsidRPr="003C5FC7" w:rsidRDefault="00223B43" w:rsidP="00671715">
            <w:pPr>
              <w:keepNext/>
              <w:keepLines/>
              <w:cnfStyle w:val="100000000000" w:firstRow="1" w:lastRow="0" w:firstColumn="0" w:lastColumn="0" w:oddVBand="0" w:evenVBand="0" w:oddHBand="0" w:evenHBand="0" w:firstRowFirstColumn="0" w:firstRowLastColumn="0" w:lastRowFirstColumn="0" w:lastRowLastColumn="0"/>
              <w:rPr>
                <w:rFonts w:ascii="Arial Narrow" w:hAnsi="Arial Narrow"/>
                <w:sz w:val="20"/>
                <w:szCs w:val="20"/>
              </w:rPr>
            </w:pPr>
            <w:r w:rsidRPr="003C5FC7">
              <w:rPr>
                <w:rFonts w:ascii="Arial Narrow" w:hAnsi="Arial Narrow"/>
                <w:sz w:val="20"/>
                <w:szCs w:val="20"/>
              </w:rPr>
              <w:t>Wave 3 TR</w:t>
            </w:r>
          </w:p>
        </w:tc>
        <w:tc>
          <w:tcPr>
            <w:tcW w:w="1256" w:type="dxa"/>
            <w:tcBorders>
              <w:left w:val="nil"/>
              <w:bottom w:val="single" w:sz="4" w:space="0" w:color="A29784"/>
              <w:right w:val="nil"/>
            </w:tcBorders>
          </w:tcPr>
          <w:p w14:paraId="1262432B" w14:textId="77777777" w:rsidR="00223B43" w:rsidRPr="003C5FC7" w:rsidRDefault="00223B43" w:rsidP="00671715">
            <w:pPr>
              <w:keepNext/>
              <w:keepLines/>
              <w:cnfStyle w:val="100000000000" w:firstRow="1" w:lastRow="0" w:firstColumn="0" w:lastColumn="0" w:oddVBand="0" w:evenVBand="0" w:oddHBand="0" w:evenHBand="0" w:firstRowFirstColumn="0" w:firstRowLastColumn="0" w:lastRowFirstColumn="0" w:lastRowLastColumn="0"/>
              <w:rPr>
                <w:rFonts w:ascii="Arial Narrow" w:hAnsi="Arial Narrow"/>
                <w:sz w:val="20"/>
                <w:szCs w:val="20"/>
              </w:rPr>
            </w:pPr>
            <w:r w:rsidRPr="003C5FC7">
              <w:rPr>
                <w:rFonts w:ascii="Arial Narrow" w:hAnsi="Arial Narrow"/>
                <w:sz w:val="20"/>
                <w:szCs w:val="20"/>
              </w:rPr>
              <w:t>Wave 5 Non-AMI CR</w:t>
            </w:r>
          </w:p>
        </w:tc>
        <w:tc>
          <w:tcPr>
            <w:tcW w:w="1256" w:type="dxa"/>
            <w:tcBorders>
              <w:left w:val="nil"/>
            </w:tcBorders>
          </w:tcPr>
          <w:p w14:paraId="5EB78457" w14:textId="77777777" w:rsidR="00223B43" w:rsidRPr="003C5FC7" w:rsidRDefault="00223B43" w:rsidP="00671715">
            <w:pPr>
              <w:keepNext/>
              <w:keepLines/>
              <w:cnfStyle w:val="100000000000" w:firstRow="1" w:lastRow="0" w:firstColumn="0" w:lastColumn="0" w:oddVBand="0" w:evenVBand="0" w:oddHBand="0" w:evenHBand="0" w:firstRowFirstColumn="0" w:firstRowLastColumn="0" w:lastRowFirstColumn="0" w:lastRowLastColumn="0"/>
              <w:rPr>
                <w:rFonts w:ascii="Arial Narrow" w:hAnsi="Arial Narrow"/>
                <w:sz w:val="20"/>
                <w:szCs w:val="20"/>
              </w:rPr>
            </w:pPr>
            <w:r w:rsidRPr="003C5FC7">
              <w:rPr>
                <w:rFonts w:ascii="Arial Narrow" w:hAnsi="Arial Narrow"/>
                <w:sz w:val="20"/>
                <w:szCs w:val="20"/>
              </w:rPr>
              <w:t>Wave 5 Non-AMI TR</w:t>
            </w:r>
          </w:p>
        </w:tc>
      </w:tr>
      <w:tr w:rsidR="002C23D5" w:rsidRPr="0014550C" w14:paraId="76D594AE" w14:textId="77777777" w:rsidTr="00671715">
        <w:trPr>
          <w:trHeight w:val="315"/>
          <w:jc w:val="center"/>
        </w:trPr>
        <w:tc>
          <w:tcPr>
            <w:cnfStyle w:val="001000000000" w:firstRow="0" w:lastRow="0" w:firstColumn="1" w:lastColumn="0" w:oddVBand="0" w:evenVBand="0" w:oddHBand="0" w:evenHBand="0" w:firstRowFirstColumn="0" w:firstRowLastColumn="0" w:lastRowFirstColumn="0" w:lastRowLastColumn="0"/>
            <w:tcW w:w="2304" w:type="dxa"/>
            <w:tcBorders>
              <w:top w:val="single" w:sz="4" w:space="0" w:color="A29784"/>
              <w:right w:val="nil"/>
            </w:tcBorders>
            <w:noWrap/>
          </w:tcPr>
          <w:p w14:paraId="22252D97" w14:textId="77777777" w:rsidR="002C23D5" w:rsidRPr="002C23D5" w:rsidRDefault="002C23D5" w:rsidP="002C23D5">
            <w:pPr>
              <w:keepNext/>
              <w:keepLines/>
              <w:rPr>
                <w:rFonts w:ascii="Arial Narrow" w:hAnsi="Arial Narrow"/>
                <w:sz w:val="20"/>
                <w:szCs w:val="20"/>
              </w:rPr>
            </w:pPr>
            <w:r w:rsidRPr="002C23D5">
              <w:rPr>
                <w:rFonts w:ascii="Arial Narrow" w:hAnsi="Arial Narrow"/>
                <w:sz w:val="20"/>
                <w:szCs w:val="20"/>
              </w:rPr>
              <w:t>Number of Participants</w:t>
            </w:r>
          </w:p>
        </w:tc>
        <w:tc>
          <w:tcPr>
            <w:tcW w:w="1255" w:type="dxa"/>
            <w:tcBorders>
              <w:top w:val="single" w:sz="4" w:space="0" w:color="A29784"/>
              <w:left w:val="nil"/>
              <w:right w:val="nil"/>
            </w:tcBorders>
            <w:noWrap/>
          </w:tcPr>
          <w:p w14:paraId="0752B4AE" w14:textId="44F1A490" w:rsidR="002C23D5" w:rsidRPr="003C5FC7" w:rsidRDefault="007E27BD" w:rsidP="002C23D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 w:val="20"/>
                <w:szCs w:val="20"/>
              </w:rPr>
              <w:t>28,915</w:t>
            </w:r>
          </w:p>
        </w:tc>
        <w:tc>
          <w:tcPr>
            <w:tcW w:w="1256" w:type="dxa"/>
            <w:tcBorders>
              <w:top w:val="single" w:sz="4" w:space="0" w:color="A29784"/>
              <w:left w:val="nil"/>
              <w:right w:val="nil"/>
            </w:tcBorders>
          </w:tcPr>
          <w:p w14:paraId="0AEA1AE1" w14:textId="4C1B0753" w:rsidR="002C23D5" w:rsidRDefault="007E27BD" w:rsidP="002C23D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 w:val="20"/>
                <w:szCs w:val="20"/>
              </w:rPr>
              <w:t>8,761</w:t>
            </w:r>
          </w:p>
        </w:tc>
        <w:tc>
          <w:tcPr>
            <w:tcW w:w="1256" w:type="dxa"/>
            <w:tcBorders>
              <w:top w:val="single" w:sz="4" w:space="0" w:color="A29784"/>
              <w:left w:val="nil"/>
              <w:right w:val="nil"/>
            </w:tcBorders>
          </w:tcPr>
          <w:p w14:paraId="5215EEE5" w14:textId="531AF442" w:rsidR="002C23D5" w:rsidRDefault="000B561D" w:rsidP="002C23D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 w:val="20"/>
                <w:szCs w:val="20"/>
              </w:rPr>
              <w:t>179,057</w:t>
            </w:r>
          </w:p>
        </w:tc>
        <w:tc>
          <w:tcPr>
            <w:tcW w:w="1256" w:type="dxa"/>
            <w:tcBorders>
              <w:top w:val="single" w:sz="4" w:space="0" w:color="A29784"/>
              <w:left w:val="nil"/>
              <w:right w:val="nil"/>
            </w:tcBorders>
          </w:tcPr>
          <w:p w14:paraId="2E7ABA22" w14:textId="5E0EEED0" w:rsidR="002C23D5" w:rsidRDefault="002C23D5" w:rsidP="002C23D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 w:val="20"/>
                <w:szCs w:val="20"/>
              </w:rPr>
              <w:t>9,807</w:t>
            </w:r>
          </w:p>
        </w:tc>
        <w:tc>
          <w:tcPr>
            <w:tcW w:w="1256" w:type="dxa"/>
            <w:tcBorders>
              <w:top w:val="single" w:sz="4" w:space="0" w:color="A29784"/>
              <w:left w:val="nil"/>
              <w:right w:val="nil"/>
            </w:tcBorders>
          </w:tcPr>
          <w:p w14:paraId="35437641" w14:textId="7DEC8C7B" w:rsidR="002C23D5" w:rsidRDefault="002C23D5" w:rsidP="002C23D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 w:val="20"/>
                <w:szCs w:val="20"/>
              </w:rPr>
              <w:t>22,701</w:t>
            </w:r>
          </w:p>
        </w:tc>
        <w:tc>
          <w:tcPr>
            <w:tcW w:w="1256" w:type="dxa"/>
            <w:tcBorders>
              <w:left w:val="nil"/>
            </w:tcBorders>
          </w:tcPr>
          <w:p w14:paraId="781C7586" w14:textId="76D6529A" w:rsidR="002C23D5" w:rsidRDefault="002C23D5" w:rsidP="002C23D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 w:val="20"/>
                <w:szCs w:val="20"/>
              </w:rPr>
              <w:t>9,941</w:t>
            </w:r>
          </w:p>
        </w:tc>
      </w:tr>
      <w:tr w:rsidR="002C23D5" w:rsidRPr="0014550C" w14:paraId="516C5489" w14:textId="77777777" w:rsidTr="00671715">
        <w:trPr>
          <w:trHeight w:val="315"/>
          <w:jc w:val="center"/>
        </w:trPr>
        <w:tc>
          <w:tcPr>
            <w:cnfStyle w:val="001000000000" w:firstRow="0" w:lastRow="0" w:firstColumn="1" w:lastColumn="0" w:oddVBand="0" w:evenVBand="0" w:oddHBand="0" w:evenHBand="0" w:firstRowFirstColumn="0" w:firstRowLastColumn="0" w:lastRowFirstColumn="0" w:lastRowLastColumn="0"/>
            <w:tcW w:w="2304" w:type="dxa"/>
            <w:tcBorders>
              <w:top w:val="single" w:sz="4" w:space="0" w:color="A29784"/>
              <w:right w:val="nil"/>
            </w:tcBorders>
            <w:noWrap/>
          </w:tcPr>
          <w:p w14:paraId="7AB5D2EA" w14:textId="77777777" w:rsidR="002C23D5" w:rsidRPr="002C23D5" w:rsidRDefault="002C23D5" w:rsidP="002C23D5">
            <w:pPr>
              <w:keepNext/>
              <w:keepLines/>
              <w:rPr>
                <w:rFonts w:ascii="Arial Narrow" w:hAnsi="Arial Narrow"/>
                <w:sz w:val="20"/>
                <w:szCs w:val="20"/>
              </w:rPr>
            </w:pPr>
            <w:r w:rsidRPr="002C23D5">
              <w:rPr>
                <w:rFonts w:ascii="Arial Narrow" w:hAnsi="Arial Narrow"/>
                <w:sz w:val="20"/>
                <w:szCs w:val="20"/>
              </w:rPr>
              <w:t>Sample Size -  Treatment</w:t>
            </w:r>
          </w:p>
        </w:tc>
        <w:tc>
          <w:tcPr>
            <w:tcW w:w="1255" w:type="dxa"/>
            <w:tcBorders>
              <w:top w:val="single" w:sz="4" w:space="0" w:color="A29784"/>
              <w:left w:val="nil"/>
              <w:right w:val="nil"/>
            </w:tcBorders>
            <w:noWrap/>
          </w:tcPr>
          <w:p w14:paraId="2C695704" w14:textId="172BCAF8" w:rsidR="002C23D5" w:rsidRPr="003C5FC7" w:rsidRDefault="002C23D5" w:rsidP="002C23D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 w:val="20"/>
                <w:szCs w:val="20"/>
              </w:rPr>
              <w:t>22,450</w:t>
            </w:r>
          </w:p>
        </w:tc>
        <w:tc>
          <w:tcPr>
            <w:tcW w:w="1256" w:type="dxa"/>
            <w:tcBorders>
              <w:top w:val="single" w:sz="4" w:space="0" w:color="A29784"/>
              <w:left w:val="nil"/>
              <w:right w:val="nil"/>
            </w:tcBorders>
          </w:tcPr>
          <w:p w14:paraId="603BFF9B" w14:textId="06164AAA" w:rsidR="002C23D5" w:rsidRDefault="002C23D5" w:rsidP="002C23D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 w:val="20"/>
                <w:szCs w:val="20"/>
              </w:rPr>
              <w:t>6,861</w:t>
            </w:r>
          </w:p>
        </w:tc>
        <w:tc>
          <w:tcPr>
            <w:tcW w:w="1256" w:type="dxa"/>
            <w:tcBorders>
              <w:top w:val="single" w:sz="4" w:space="0" w:color="A29784"/>
              <w:left w:val="nil"/>
              <w:right w:val="nil"/>
            </w:tcBorders>
          </w:tcPr>
          <w:p w14:paraId="78C9BE43" w14:textId="203B0293" w:rsidR="002C23D5" w:rsidRDefault="002C23D5" w:rsidP="002C23D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 w:val="20"/>
                <w:szCs w:val="20"/>
              </w:rPr>
              <w:t>150,504</w:t>
            </w:r>
          </w:p>
        </w:tc>
        <w:tc>
          <w:tcPr>
            <w:tcW w:w="1256" w:type="dxa"/>
            <w:tcBorders>
              <w:top w:val="single" w:sz="4" w:space="0" w:color="A29784"/>
              <w:left w:val="nil"/>
              <w:right w:val="nil"/>
            </w:tcBorders>
          </w:tcPr>
          <w:p w14:paraId="6E951230" w14:textId="12DE7854" w:rsidR="002C23D5" w:rsidRDefault="002C23D5" w:rsidP="002C23D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 w:val="20"/>
                <w:szCs w:val="20"/>
              </w:rPr>
              <w:t>8,204</w:t>
            </w:r>
          </w:p>
        </w:tc>
        <w:tc>
          <w:tcPr>
            <w:tcW w:w="1256" w:type="dxa"/>
            <w:tcBorders>
              <w:top w:val="single" w:sz="4" w:space="0" w:color="A29784"/>
              <w:left w:val="nil"/>
              <w:right w:val="nil"/>
            </w:tcBorders>
          </w:tcPr>
          <w:p w14:paraId="67E7B365" w14:textId="7BBAE775" w:rsidR="002C23D5" w:rsidRDefault="002C23D5" w:rsidP="002C23D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 w:val="20"/>
                <w:szCs w:val="20"/>
              </w:rPr>
              <w:t>5,886</w:t>
            </w:r>
          </w:p>
        </w:tc>
        <w:tc>
          <w:tcPr>
            <w:tcW w:w="1256" w:type="dxa"/>
            <w:tcBorders>
              <w:left w:val="nil"/>
            </w:tcBorders>
          </w:tcPr>
          <w:p w14:paraId="3EDA228D" w14:textId="4C4E7581" w:rsidR="002C23D5" w:rsidRDefault="002C23D5" w:rsidP="002C23D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 w:val="20"/>
                <w:szCs w:val="20"/>
              </w:rPr>
              <w:t>5,835</w:t>
            </w:r>
          </w:p>
        </w:tc>
      </w:tr>
      <w:tr w:rsidR="002C23D5" w:rsidRPr="0014550C" w14:paraId="577BA926" w14:textId="77777777" w:rsidTr="00671715">
        <w:trPr>
          <w:trHeight w:val="315"/>
          <w:jc w:val="center"/>
        </w:trPr>
        <w:tc>
          <w:tcPr>
            <w:cnfStyle w:val="001000000000" w:firstRow="0" w:lastRow="0" w:firstColumn="1" w:lastColumn="0" w:oddVBand="0" w:evenVBand="0" w:oddHBand="0" w:evenHBand="0" w:firstRowFirstColumn="0" w:firstRowLastColumn="0" w:lastRowFirstColumn="0" w:lastRowLastColumn="0"/>
            <w:tcW w:w="2304" w:type="dxa"/>
            <w:tcBorders>
              <w:top w:val="single" w:sz="4" w:space="0" w:color="A29784"/>
              <w:right w:val="nil"/>
            </w:tcBorders>
            <w:noWrap/>
          </w:tcPr>
          <w:p w14:paraId="43F3F964" w14:textId="77777777" w:rsidR="002C23D5" w:rsidRPr="002C23D5" w:rsidRDefault="002C23D5" w:rsidP="002C23D5">
            <w:pPr>
              <w:keepNext/>
              <w:keepLines/>
              <w:rPr>
                <w:rFonts w:ascii="Arial Narrow" w:hAnsi="Arial Narrow"/>
                <w:sz w:val="20"/>
                <w:szCs w:val="20"/>
              </w:rPr>
            </w:pPr>
            <w:r w:rsidRPr="002C23D5">
              <w:rPr>
                <w:rFonts w:ascii="Arial Narrow" w:hAnsi="Arial Narrow"/>
                <w:sz w:val="20"/>
                <w:szCs w:val="20"/>
              </w:rPr>
              <w:t>Sample Size - Control</w:t>
            </w:r>
          </w:p>
        </w:tc>
        <w:tc>
          <w:tcPr>
            <w:tcW w:w="1255" w:type="dxa"/>
            <w:tcBorders>
              <w:top w:val="single" w:sz="4" w:space="0" w:color="A29784"/>
              <w:left w:val="nil"/>
              <w:right w:val="nil"/>
            </w:tcBorders>
            <w:noWrap/>
          </w:tcPr>
          <w:p w14:paraId="01B34135" w14:textId="78FEB565" w:rsidR="002C23D5" w:rsidRPr="003C5FC7" w:rsidRDefault="002C23D5" w:rsidP="002C23D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 w:val="20"/>
                <w:szCs w:val="20"/>
              </w:rPr>
              <w:t>27,623</w:t>
            </w:r>
          </w:p>
        </w:tc>
        <w:tc>
          <w:tcPr>
            <w:tcW w:w="1256" w:type="dxa"/>
            <w:tcBorders>
              <w:top w:val="single" w:sz="4" w:space="0" w:color="A29784"/>
              <w:left w:val="nil"/>
              <w:right w:val="nil"/>
            </w:tcBorders>
          </w:tcPr>
          <w:p w14:paraId="54D9337E" w14:textId="5E81D43B" w:rsidR="002C23D5" w:rsidRDefault="002C23D5" w:rsidP="002C23D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 w:val="20"/>
                <w:szCs w:val="20"/>
              </w:rPr>
              <w:t>-</w:t>
            </w:r>
          </w:p>
        </w:tc>
        <w:tc>
          <w:tcPr>
            <w:tcW w:w="1256" w:type="dxa"/>
            <w:tcBorders>
              <w:top w:val="single" w:sz="4" w:space="0" w:color="A29784"/>
              <w:left w:val="nil"/>
              <w:right w:val="nil"/>
            </w:tcBorders>
          </w:tcPr>
          <w:p w14:paraId="2B994D2E" w14:textId="35B7D50B" w:rsidR="002C23D5" w:rsidRDefault="002C23D5" w:rsidP="002C23D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 w:val="20"/>
                <w:szCs w:val="20"/>
              </w:rPr>
              <w:t>39,272</w:t>
            </w:r>
          </w:p>
        </w:tc>
        <w:tc>
          <w:tcPr>
            <w:tcW w:w="1256" w:type="dxa"/>
            <w:tcBorders>
              <w:top w:val="single" w:sz="4" w:space="0" w:color="A29784"/>
              <w:left w:val="nil"/>
              <w:right w:val="nil"/>
            </w:tcBorders>
          </w:tcPr>
          <w:p w14:paraId="3332B77A" w14:textId="6874D944" w:rsidR="002C23D5" w:rsidRDefault="002C23D5" w:rsidP="002C23D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 w:val="20"/>
                <w:szCs w:val="20"/>
              </w:rPr>
              <w:t>-</w:t>
            </w:r>
          </w:p>
        </w:tc>
        <w:tc>
          <w:tcPr>
            <w:tcW w:w="1256" w:type="dxa"/>
            <w:tcBorders>
              <w:top w:val="single" w:sz="4" w:space="0" w:color="A29784"/>
              <w:left w:val="nil"/>
              <w:right w:val="nil"/>
            </w:tcBorders>
          </w:tcPr>
          <w:p w14:paraId="3BB58E06" w14:textId="4C197885" w:rsidR="002C23D5" w:rsidRDefault="002C23D5" w:rsidP="002C23D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 w:val="20"/>
                <w:szCs w:val="20"/>
              </w:rPr>
              <w:t>7</w:t>
            </w:r>
            <w:r w:rsidR="000B561D">
              <w:rPr>
                <w:rFonts w:ascii="Arial Narrow" w:hAnsi="Arial Narrow"/>
                <w:color w:val="000000"/>
                <w:sz w:val="20"/>
                <w:szCs w:val="20"/>
              </w:rPr>
              <w:t>,</w:t>
            </w:r>
            <w:r>
              <w:rPr>
                <w:rFonts w:ascii="Arial Narrow" w:hAnsi="Arial Narrow"/>
                <w:color w:val="000000"/>
                <w:sz w:val="20"/>
                <w:szCs w:val="20"/>
              </w:rPr>
              <w:t>403</w:t>
            </w:r>
          </w:p>
        </w:tc>
        <w:tc>
          <w:tcPr>
            <w:tcW w:w="1256" w:type="dxa"/>
            <w:tcBorders>
              <w:left w:val="nil"/>
            </w:tcBorders>
          </w:tcPr>
          <w:p w14:paraId="3F1659B1" w14:textId="0F794BF2" w:rsidR="002C23D5" w:rsidRDefault="002C23D5" w:rsidP="002C23D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 w:val="20"/>
                <w:szCs w:val="20"/>
              </w:rPr>
              <w:t>-</w:t>
            </w:r>
          </w:p>
        </w:tc>
      </w:tr>
      <w:tr w:rsidR="00223B43" w:rsidRPr="0014550C" w14:paraId="6F227069" w14:textId="77777777" w:rsidTr="00671715">
        <w:trPr>
          <w:trHeight w:val="315"/>
          <w:jc w:val="center"/>
        </w:trPr>
        <w:tc>
          <w:tcPr>
            <w:cnfStyle w:val="001000000000" w:firstRow="0" w:lastRow="0" w:firstColumn="1" w:lastColumn="0" w:oddVBand="0" w:evenVBand="0" w:oddHBand="0" w:evenHBand="0" w:firstRowFirstColumn="0" w:firstRowLastColumn="0" w:lastRowFirstColumn="0" w:lastRowLastColumn="0"/>
            <w:tcW w:w="2304" w:type="dxa"/>
            <w:tcBorders>
              <w:top w:val="single" w:sz="4" w:space="0" w:color="A29784"/>
              <w:right w:val="nil"/>
            </w:tcBorders>
            <w:noWrap/>
          </w:tcPr>
          <w:p w14:paraId="3E150C71" w14:textId="77777777" w:rsidR="00223B43" w:rsidRPr="003C5FC7" w:rsidRDefault="00223B43" w:rsidP="00671715">
            <w:pPr>
              <w:keepNext/>
              <w:keepLines/>
              <w:rPr>
                <w:rFonts w:ascii="Arial Narrow" w:hAnsi="Arial Narrow"/>
                <w:sz w:val="20"/>
                <w:szCs w:val="20"/>
              </w:rPr>
            </w:pPr>
            <w:r w:rsidRPr="003C5FC7">
              <w:rPr>
                <w:rFonts w:ascii="Arial Narrow" w:hAnsi="Arial Narrow"/>
                <w:sz w:val="20"/>
                <w:szCs w:val="20"/>
              </w:rPr>
              <w:t>Percentage Savings</w:t>
            </w:r>
          </w:p>
        </w:tc>
        <w:tc>
          <w:tcPr>
            <w:tcW w:w="1255" w:type="dxa"/>
            <w:tcBorders>
              <w:top w:val="single" w:sz="4" w:space="0" w:color="A29784"/>
              <w:left w:val="nil"/>
              <w:right w:val="nil"/>
            </w:tcBorders>
            <w:noWrap/>
          </w:tcPr>
          <w:p w14:paraId="488B2BA2"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sidRPr="003C5FC7">
              <w:rPr>
                <w:rFonts w:ascii="Arial Narrow" w:hAnsi="Arial Narrow"/>
                <w:color w:val="000000"/>
                <w:sz w:val="20"/>
                <w:szCs w:val="20"/>
              </w:rPr>
              <w:t>2.63%</w:t>
            </w:r>
          </w:p>
        </w:tc>
        <w:tc>
          <w:tcPr>
            <w:tcW w:w="1256" w:type="dxa"/>
            <w:tcBorders>
              <w:top w:val="single" w:sz="4" w:space="0" w:color="A29784"/>
              <w:left w:val="nil"/>
              <w:right w:val="nil"/>
            </w:tcBorders>
          </w:tcPr>
          <w:p w14:paraId="1E15C4DD"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2.51%</w:t>
            </w:r>
          </w:p>
        </w:tc>
        <w:tc>
          <w:tcPr>
            <w:tcW w:w="1256" w:type="dxa"/>
            <w:tcBorders>
              <w:top w:val="single" w:sz="4" w:space="0" w:color="A29784"/>
              <w:left w:val="nil"/>
              <w:right w:val="nil"/>
            </w:tcBorders>
          </w:tcPr>
          <w:p w14:paraId="442E120D"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2.53%</w:t>
            </w:r>
          </w:p>
        </w:tc>
        <w:tc>
          <w:tcPr>
            <w:tcW w:w="1256" w:type="dxa"/>
            <w:tcBorders>
              <w:top w:val="single" w:sz="4" w:space="0" w:color="A29784"/>
              <w:left w:val="nil"/>
              <w:right w:val="nil"/>
            </w:tcBorders>
          </w:tcPr>
          <w:p w14:paraId="3677464E"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2.47%</w:t>
            </w:r>
          </w:p>
        </w:tc>
        <w:tc>
          <w:tcPr>
            <w:tcW w:w="1256" w:type="dxa"/>
            <w:tcBorders>
              <w:top w:val="single" w:sz="4" w:space="0" w:color="A29784"/>
              <w:left w:val="nil"/>
              <w:right w:val="nil"/>
            </w:tcBorders>
          </w:tcPr>
          <w:p w14:paraId="18D0E00D"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1.88%</w:t>
            </w:r>
          </w:p>
        </w:tc>
        <w:tc>
          <w:tcPr>
            <w:tcW w:w="1256" w:type="dxa"/>
            <w:tcBorders>
              <w:left w:val="nil"/>
            </w:tcBorders>
          </w:tcPr>
          <w:p w14:paraId="203011AA"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1.46%</w:t>
            </w:r>
          </w:p>
        </w:tc>
      </w:tr>
      <w:tr w:rsidR="00223B43" w:rsidRPr="0014550C" w14:paraId="2079075D" w14:textId="77777777" w:rsidTr="00671715">
        <w:trPr>
          <w:trHeight w:val="315"/>
          <w:jc w:val="center"/>
        </w:trPr>
        <w:tc>
          <w:tcPr>
            <w:cnfStyle w:val="001000000000" w:firstRow="0" w:lastRow="0" w:firstColumn="1" w:lastColumn="0" w:oddVBand="0" w:evenVBand="0" w:oddHBand="0" w:evenHBand="0" w:firstRowFirstColumn="0" w:firstRowLastColumn="0" w:lastRowFirstColumn="0" w:lastRowLastColumn="0"/>
            <w:tcW w:w="2304" w:type="dxa"/>
            <w:tcBorders>
              <w:top w:val="single" w:sz="4" w:space="0" w:color="A29784"/>
              <w:right w:val="nil"/>
            </w:tcBorders>
            <w:noWrap/>
          </w:tcPr>
          <w:p w14:paraId="173F5B31" w14:textId="77777777" w:rsidR="00223B43" w:rsidRPr="003C5FC7" w:rsidRDefault="00223B43" w:rsidP="00671715">
            <w:pPr>
              <w:keepNext/>
              <w:keepLines/>
              <w:jc w:val="right"/>
              <w:rPr>
                <w:rFonts w:ascii="Arial Narrow" w:hAnsi="Arial Narrow"/>
                <w:sz w:val="20"/>
                <w:szCs w:val="20"/>
              </w:rPr>
            </w:pPr>
            <w:r w:rsidRPr="003C5FC7">
              <w:rPr>
                <w:rFonts w:ascii="Arial Narrow" w:hAnsi="Arial Narrow"/>
                <w:i/>
                <w:iCs/>
                <w:color w:val="7F7F7F"/>
                <w:sz w:val="20"/>
                <w:szCs w:val="20"/>
              </w:rPr>
              <w:t xml:space="preserve">     Standard Error</w:t>
            </w:r>
          </w:p>
        </w:tc>
        <w:tc>
          <w:tcPr>
            <w:tcW w:w="1255" w:type="dxa"/>
            <w:tcBorders>
              <w:top w:val="single" w:sz="4" w:space="0" w:color="A29784"/>
              <w:left w:val="nil"/>
              <w:right w:val="nil"/>
            </w:tcBorders>
            <w:noWrap/>
          </w:tcPr>
          <w:p w14:paraId="749A21C4"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i/>
                <w:color w:val="7F7F7F"/>
                <w:sz w:val="20"/>
                <w:szCs w:val="20"/>
              </w:rPr>
            </w:pPr>
            <w:r w:rsidRPr="003C5FC7">
              <w:rPr>
                <w:rFonts w:ascii="Arial Narrow" w:hAnsi="Arial Narrow"/>
                <w:i/>
                <w:color w:val="7F7F7F"/>
                <w:sz w:val="20"/>
                <w:szCs w:val="20"/>
              </w:rPr>
              <w:t>0.25%</w:t>
            </w:r>
          </w:p>
        </w:tc>
        <w:tc>
          <w:tcPr>
            <w:tcW w:w="1256" w:type="dxa"/>
            <w:tcBorders>
              <w:top w:val="single" w:sz="4" w:space="0" w:color="A29784"/>
              <w:left w:val="nil"/>
              <w:right w:val="nil"/>
            </w:tcBorders>
          </w:tcPr>
          <w:p w14:paraId="580E5A88"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i/>
                <w:color w:val="7F7F7F"/>
                <w:sz w:val="20"/>
                <w:szCs w:val="20"/>
              </w:rPr>
            </w:pPr>
            <w:r w:rsidRPr="003C5FC7">
              <w:rPr>
                <w:rFonts w:ascii="Arial Narrow" w:hAnsi="Arial Narrow"/>
                <w:i/>
                <w:color w:val="7F7F7F"/>
                <w:sz w:val="20"/>
                <w:szCs w:val="20"/>
              </w:rPr>
              <w:t>0.39%</w:t>
            </w:r>
          </w:p>
        </w:tc>
        <w:tc>
          <w:tcPr>
            <w:tcW w:w="1256" w:type="dxa"/>
            <w:tcBorders>
              <w:top w:val="single" w:sz="4" w:space="0" w:color="A29784"/>
              <w:left w:val="nil"/>
              <w:right w:val="nil"/>
            </w:tcBorders>
          </w:tcPr>
          <w:p w14:paraId="39B3F6D6"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i/>
                <w:color w:val="7F7F7F"/>
                <w:sz w:val="20"/>
                <w:szCs w:val="20"/>
              </w:rPr>
            </w:pPr>
            <w:r w:rsidRPr="003C5FC7">
              <w:rPr>
                <w:rFonts w:ascii="Arial Narrow" w:hAnsi="Arial Narrow"/>
                <w:i/>
                <w:color w:val="7F7F7F"/>
                <w:sz w:val="20"/>
                <w:szCs w:val="20"/>
              </w:rPr>
              <w:t>0.14%</w:t>
            </w:r>
          </w:p>
        </w:tc>
        <w:tc>
          <w:tcPr>
            <w:tcW w:w="1256" w:type="dxa"/>
            <w:tcBorders>
              <w:top w:val="single" w:sz="4" w:space="0" w:color="A29784"/>
              <w:left w:val="nil"/>
              <w:right w:val="nil"/>
            </w:tcBorders>
          </w:tcPr>
          <w:p w14:paraId="48114B01"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i/>
                <w:color w:val="7F7F7F"/>
                <w:sz w:val="20"/>
                <w:szCs w:val="20"/>
              </w:rPr>
            </w:pPr>
            <w:r w:rsidRPr="003C5FC7">
              <w:rPr>
                <w:rFonts w:ascii="Arial Narrow" w:hAnsi="Arial Narrow"/>
                <w:i/>
                <w:color w:val="7F7F7F"/>
                <w:sz w:val="20"/>
                <w:szCs w:val="20"/>
              </w:rPr>
              <w:t>0.29%</w:t>
            </w:r>
          </w:p>
        </w:tc>
        <w:tc>
          <w:tcPr>
            <w:tcW w:w="1256" w:type="dxa"/>
            <w:tcBorders>
              <w:top w:val="single" w:sz="4" w:space="0" w:color="A29784"/>
              <w:left w:val="nil"/>
              <w:right w:val="nil"/>
            </w:tcBorders>
          </w:tcPr>
          <w:p w14:paraId="5A774858"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i/>
                <w:color w:val="7F7F7F"/>
                <w:sz w:val="20"/>
                <w:szCs w:val="20"/>
              </w:rPr>
            </w:pPr>
            <w:r w:rsidRPr="003C5FC7">
              <w:rPr>
                <w:rFonts w:ascii="Arial Narrow" w:hAnsi="Arial Narrow"/>
                <w:i/>
                <w:color w:val="7F7F7F"/>
                <w:sz w:val="20"/>
                <w:szCs w:val="20"/>
              </w:rPr>
              <w:t>0.43%</w:t>
            </w:r>
          </w:p>
        </w:tc>
        <w:tc>
          <w:tcPr>
            <w:tcW w:w="1256" w:type="dxa"/>
            <w:tcBorders>
              <w:left w:val="nil"/>
            </w:tcBorders>
          </w:tcPr>
          <w:p w14:paraId="2D1F2FC9"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i/>
                <w:color w:val="7F7F7F"/>
                <w:sz w:val="20"/>
                <w:szCs w:val="20"/>
              </w:rPr>
            </w:pPr>
            <w:r w:rsidRPr="003C5FC7">
              <w:rPr>
                <w:rFonts w:ascii="Arial Narrow" w:hAnsi="Arial Narrow"/>
                <w:i/>
                <w:color w:val="7F7F7F"/>
                <w:sz w:val="20"/>
                <w:szCs w:val="20"/>
              </w:rPr>
              <w:t>0.43%</w:t>
            </w:r>
          </w:p>
        </w:tc>
      </w:tr>
      <w:tr w:rsidR="00223B43" w:rsidRPr="0014550C" w14:paraId="09E2FDEB" w14:textId="77777777" w:rsidTr="00671715">
        <w:trPr>
          <w:trHeight w:val="315"/>
          <w:jc w:val="center"/>
        </w:trPr>
        <w:tc>
          <w:tcPr>
            <w:cnfStyle w:val="001000000000" w:firstRow="0" w:lastRow="0" w:firstColumn="1" w:lastColumn="0" w:oddVBand="0" w:evenVBand="0" w:oddHBand="0" w:evenHBand="0" w:firstRowFirstColumn="0" w:firstRowLastColumn="0" w:lastRowFirstColumn="0" w:lastRowLastColumn="0"/>
            <w:tcW w:w="2304" w:type="dxa"/>
            <w:tcBorders>
              <w:top w:val="single" w:sz="4" w:space="0" w:color="A29784"/>
              <w:right w:val="nil"/>
            </w:tcBorders>
            <w:noWrap/>
            <w:hideMark/>
          </w:tcPr>
          <w:p w14:paraId="5E1C505A" w14:textId="77777777" w:rsidR="00223B43" w:rsidRPr="003C5FC7" w:rsidRDefault="00223B43" w:rsidP="00671715">
            <w:pPr>
              <w:keepNext/>
              <w:keepLines/>
              <w:rPr>
                <w:rFonts w:ascii="Arial Narrow" w:eastAsia="Calibri" w:hAnsi="Arial Narrow"/>
                <w:sz w:val="20"/>
                <w:szCs w:val="20"/>
              </w:rPr>
            </w:pPr>
            <w:r w:rsidRPr="003C5FC7">
              <w:rPr>
                <w:rFonts w:ascii="Arial Narrow" w:hAnsi="Arial Narrow"/>
                <w:color w:val="000000"/>
                <w:sz w:val="20"/>
                <w:szCs w:val="20"/>
              </w:rPr>
              <w:t>Verified Net Savings, Prior to Uplift Adjustment, MWh</w:t>
            </w:r>
            <w:r w:rsidRPr="003C5FC7">
              <w:rPr>
                <w:rFonts w:ascii="Arial Narrow" w:hAnsi="Arial Narrow"/>
                <w:sz w:val="20"/>
                <w:szCs w:val="20"/>
              </w:rPr>
              <w:t>†</w:t>
            </w:r>
          </w:p>
        </w:tc>
        <w:tc>
          <w:tcPr>
            <w:tcW w:w="1255" w:type="dxa"/>
            <w:tcBorders>
              <w:top w:val="single" w:sz="4" w:space="0" w:color="A29784"/>
              <w:left w:val="nil"/>
              <w:right w:val="nil"/>
            </w:tcBorders>
            <w:noWrap/>
          </w:tcPr>
          <w:p w14:paraId="7F43772A"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8,710</w:t>
            </w:r>
          </w:p>
        </w:tc>
        <w:tc>
          <w:tcPr>
            <w:tcW w:w="1256" w:type="dxa"/>
            <w:tcBorders>
              <w:top w:val="single" w:sz="4" w:space="0" w:color="A29784"/>
              <w:left w:val="nil"/>
              <w:right w:val="nil"/>
            </w:tcBorders>
          </w:tcPr>
          <w:p w14:paraId="5A3F8ABB"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2,543</w:t>
            </w:r>
          </w:p>
        </w:tc>
        <w:tc>
          <w:tcPr>
            <w:tcW w:w="1256" w:type="dxa"/>
            <w:tcBorders>
              <w:top w:val="single" w:sz="4" w:space="0" w:color="A29784"/>
              <w:left w:val="nil"/>
              <w:right w:val="nil"/>
            </w:tcBorders>
          </w:tcPr>
          <w:p w14:paraId="52BA072B"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72,656</w:t>
            </w:r>
          </w:p>
        </w:tc>
        <w:tc>
          <w:tcPr>
            <w:tcW w:w="1256" w:type="dxa"/>
            <w:tcBorders>
              <w:top w:val="single" w:sz="4" w:space="0" w:color="A29784"/>
              <w:left w:val="nil"/>
              <w:right w:val="nil"/>
            </w:tcBorders>
          </w:tcPr>
          <w:p w14:paraId="45B1D14A"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3,848</w:t>
            </w:r>
          </w:p>
        </w:tc>
        <w:tc>
          <w:tcPr>
            <w:tcW w:w="1256" w:type="dxa"/>
            <w:tcBorders>
              <w:top w:val="single" w:sz="4" w:space="0" w:color="A29784"/>
              <w:left w:val="nil"/>
              <w:right w:val="nil"/>
            </w:tcBorders>
          </w:tcPr>
          <w:p w14:paraId="51B6E776"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2,995</w:t>
            </w:r>
          </w:p>
        </w:tc>
        <w:tc>
          <w:tcPr>
            <w:tcW w:w="1256" w:type="dxa"/>
            <w:tcBorders>
              <w:left w:val="nil"/>
            </w:tcBorders>
          </w:tcPr>
          <w:p w14:paraId="70DA8310"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2,319</w:t>
            </w:r>
          </w:p>
        </w:tc>
      </w:tr>
      <w:tr w:rsidR="00223B43" w:rsidRPr="0014550C" w14:paraId="0D15B671" w14:textId="77777777" w:rsidTr="00671715">
        <w:trPr>
          <w:trHeight w:val="315"/>
          <w:jc w:val="center"/>
        </w:trPr>
        <w:tc>
          <w:tcPr>
            <w:cnfStyle w:val="001000000000" w:firstRow="0" w:lastRow="0" w:firstColumn="1" w:lastColumn="0" w:oddVBand="0" w:evenVBand="0" w:oddHBand="0" w:evenHBand="0" w:firstRowFirstColumn="0" w:firstRowLastColumn="0" w:lastRowFirstColumn="0" w:lastRowLastColumn="0"/>
            <w:tcW w:w="2304" w:type="dxa"/>
            <w:tcBorders>
              <w:top w:val="single" w:sz="4" w:space="0" w:color="A29784"/>
              <w:right w:val="nil"/>
            </w:tcBorders>
            <w:noWrap/>
          </w:tcPr>
          <w:p w14:paraId="6433D2A5" w14:textId="77777777" w:rsidR="00223B43" w:rsidRPr="003C5FC7" w:rsidRDefault="00223B43" w:rsidP="00671715">
            <w:pPr>
              <w:keepNext/>
              <w:keepLines/>
              <w:jc w:val="right"/>
              <w:rPr>
                <w:rFonts w:ascii="Arial Narrow" w:hAnsi="Arial Narrow"/>
                <w:color w:val="000000"/>
                <w:sz w:val="20"/>
                <w:szCs w:val="20"/>
              </w:rPr>
            </w:pPr>
            <w:r w:rsidRPr="003C5FC7">
              <w:rPr>
                <w:rFonts w:ascii="Arial Narrow" w:hAnsi="Arial Narrow"/>
                <w:i/>
                <w:iCs/>
                <w:color w:val="7F7F7F"/>
                <w:sz w:val="20"/>
                <w:szCs w:val="20"/>
              </w:rPr>
              <w:t>Standard Error</w:t>
            </w:r>
          </w:p>
        </w:tc>
        <w:tc>
          <w:tcPr>
            <w:tcW w:w="1255" w:type="dxa"/>
            <w:tcBorders>
              <w:top w:val="single" w:sz="4" w:space="0" w:color="A29784"/>
              <w:left w:val="nil"/>
              <w:right w:val="nil"/>
            </w:tcBorders>
            <w:noWrap/>
          </w:tcPr>
          <w:p w14:paraId="3324FF93" w14:textId="77777777" w:rsidR="00223B43" w:rsidRPr="00EE383D"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i/>
                <w:color w:val="7F7F7F"/>
                <w:sz w:val="20"/>
                <w:szCs w:val="20"/>
              </w:rPr>
            </w:pPr>
            <w:r w:rsidRPr="00EE383D">
              <w:rPr>
                <w:rFonts w:ascii="Arial Narrow" w:hAnsi="Arial Narrow"/>
                <w:i/>
                <w:color w:val="7F7F7F"/>
                <w:sz w:val="20"/>
                <w:szCs w:val="20"/>
              </w:rPr>
              <w:t>830</w:t>
            </w:r>
          </w:p>
        </w:tc>
        <w:tc>
          <w:tcPr>
            <w:tcW w:w="1256" w:type="dxa"/>
            <w:tcBorders>
              <w:top w:val="single" w:sz="4" w:space="0" w:color="A29784"/>
              <w:left w:val="nil"/>
              <w:right w:val="nil"/>
            </w:tcBorders>
          </w:tcPr>
          <w:p w14:paraId="2D6D7901" w14:textId="77777777" w:rsidR="00223B43" w:rsidRPr="00EE383D"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i/>
                <w:color w:val="7F7F7F"/>
                <w:sz w:val="20"/>
                <w:szCs w:val="20"/>
              </w:rPr>
            </w:pPr>
            <w:r w:rsidRPr="00EE383D">
              <w:rPr>
                <w:rFonts w:ascii="Arial Narrow" w:hAnsi="Arial Narrow"/>
                <w:i/>
                <w:color w:val="7F7F7F"/>
                <w:sz w:val="20"/>
                <w:szCs w:val="20"/>
              </w:rPr>
              <w:t>391</w:t>
            </w:r>
          </w:p>
        </w:tc>
        <w:tc>
          <w:tcPr>
            <w:tcW w:w="1256" w:type="dxa"/>
            <w:tcBorders>
              <w:top w:val="single" w:sz="4" w:space="0" w:color="A29784"/>
              <w:left w:val="nil"/>
              <w:right w:val="nil"/>
            </w:tcBorders>
          </w:tcPr>
          <w:p w14:paraId="5BC7E398" w14:textId="77777777" w:rsidR="00223B43" w:rsidRPr="00EE383D"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i/>
                <w:color w:val="7F7F7F"/>
                <w:sz w:val="20"/>
                <w:szCs w:val="20"/>
              </w:rPr>
            </w:pPr>
            <w:r w:rsidRPr="00EE383D">
              <w:rPr>
                <w:rFonts w:ascii="Arial Narrow" w:hAnsi="Arial Narrow"/>
                <w:i/>
                <w:color w:val="7F7F7F"/>
                <w:sz w:val="20"/>
                <w:szCs w:val="20"/>
              </w:rPr>
              <w:t>4,018</w:t>
            </w:r>
          </w:p>
        </w:tc>
        <w:tc>
          <w:tcPr>
            <w:tcW w:w="1256" w:type="dxa"/>
            <w:tcBorders>
              <w:top w:val="single" w:sz="4" w:space="0" w:color="A29784"/>
              <w:left w:val="nil"/>
              <w:right w:val="nil"/>
            </w:tcBorders>
          </w:tcPr>
          <w:p w14:paraId="1E731BF5" w14:textId="77777777" w:rsidR="00223B43" w:rsidRPr="00EE383D"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i/>
                <w:color w:val="7F7F7F"/>
                <w:sz w:val="20"/>
                <w:szCs w:val="20"/>
              </w:rPr>
            </w:pPr>
            <w:r w:rsidRPr="00EE383D">
              <w:rPr>
                <w:rFonts w:ascii="Arial Narrow" w:hAnsi="Arial Narrow"/>
                <w:i/>
                <w:color w:val="7F7F7F"/>
                <w:sz w:val="20"/>
                <w:szCs w:val="20"/>
              </w:rPr>
              <w:t>451</w:t>
            </w:r>
          </w:p>
        </w:tc>
        <w:tc>
          <w:tcPr>
            <w:tcW w:w="1256" w:type="dxa"/>
            <w:tcBorders>
              <w:top w:val="single" w:sz="4" w:space="0" w:color="A29784"/>
              <w:left w:val="nil"/>
              <w:right w:val="nil"/>
            </w:tcBorders>
          </w:tcPr>
          <w:p w14:paraId="41044265" w14:textId="77777777" w:rsidR="00223B43" w:rsidRPr="00EE383D"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i/>
                <w:color w:val="7F7F7F"/>
                <w:sz w:val="20"/>
                <w:szCs w:val="20"/>
              </w:rPr>
            </w:pPr>
            <w:r w:rsidRPr="00EE383D">
              <w:rPr>
                <w:rFonts w:ascii="Arial Narrow" w:hAnsi="Arial Narrow"/>
                <w:i/>
                <w:color w:val="7F7F7F"/>
                <w:sz w:val="20"/>
                <w:szCs w:val="20"/>
              </w:rPr>
              <w:t>683</w:t>
            </w:r>
          </w:p>
        </w:tc>
        <w:tc>
          <w:tcPr>
            <w:tcW w:w="1256" w:type="dxa"/>
            <w:tcBorders>
              <w:left w:val="nil"/>
            </w:tcBorders>
          </w:tcPr>
          <w:p w14:paraId="5B7405F7" w14:textId="77777777" w:rsidR="00223B43" w:rsidRPr="00EE383D"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i/>
                <w:color w:val="7F7F7F"/>
                <w:sz w:val="20"/>
                <w:szCs w:val="20"/>
              </w:rPr>
            </w:pPr>
            <w:r w:rsidRPr="00EE383D">
              <w:rPr>
                <w:rFonts w:ascii="Arial Narrow" w:hAnsi="Arial Narrow"/>
                <w:i/>
                <w:color w:val="7F7F7F"/>
                <w:sz w:val="20"/>
                <w:szCs w:val="20"/>
              </w:rPr>
              <w:t>691</w:t>
            </w:r>
          </w:p>
        </w:tc>
      </w:tr>
      <w:tr w:rsidR="00223B43" w:rsidRPr="0014550C" w14:paraId="5775D662" w14:textId="77777777" w:rsidTr="00671715">
        <w:trPr>
          <w:trHeight w:val="315"/>
          <w:jc w:val="center"/>
        </w:trPr>
        <w:tc>
          <w:tcPr>
            <w:cnfStyle w:val="001000000000" w:firstRow="0" w:lastRow="0" w:firstColumn="1" w:lastColumn="0" w:oddVBand="0" w:evenVBand="0" w:oddHBand="0" w:evenHBand="0" w:firstRowFirstColumn="0" w:firstRowLastColumn="0" w:lastRowFirstColumn="0" w:lastRowLastColumn="0"/>
            <w:tcW w:w="2304" w:type="dxa"/>
            <w:tcBorders>
              <w:top w:val="single" w:sz="4" w:space="0" w:color="A29784"/>
              <w:right w:val="nil"/>
            </w:tcBorders>
            <w:noWrap/>
          </w:tcPr>
          <w:p w14:paraId="1504BB22" w14:textId="77777777" w:rsidR="00223B43" w:rsidRPr="003C5FC7" w:rsidRDefault="00223B43" w:rsidP="00671715">
            <w:pPr>
              <w:keepNext/>
              <w:keepLines/>
              <w:rPr>
                <w:rFonts w:ascii="Arial Narrow" w:hAnsi="Arial Narrow"/>
                <w:sz w:val="20"/>
                <w:szCs w:val="20"/>
              </w:rPr>
            </w:pPr>
            <w:r w:rsidRPr="003C5FC7">
              <w:rPr>
                <w:rFonts w:ascii="Arial Narrow" w:hAnsi="Arial Narrow"/>
                <w:color w:val="000000"/>
                <w:sz w:val="20"/>
                <w:szCs w:val="20"/>
              </w:rPr>
              <w:t xml:space="preserve">Savings Uplift in Other EE Programs in </w:t>
            </w:r>
            <w:r>
              <w:rPr>
                <w:rFonts w:ascii="Arial Narrow" w:hAnsi="Arial Narrow"/>
                <w:color w:val="000000"/>
                <w:sz w:val="20"/>
                <w:szCs w:val="20"/>
              </w:rPr>
              <w:t>Current Year</w:t>
            </w:r>
            <w:r w:rsidRPr="003C5FC7">
              <w:rPr>
                <w:rFonts w:ascii="Arial Narrow" w:hAnsi="Arial Narrow"/>
                <w:color w:val="000000"/>
                <w:sz w:val="20"/>
                <w:szCs w:val="20"/>
              </w:rPr>
              <w:t>, MWh</w:t>
            </w:r>
            <w:r w:rsidRPr="003C5FC7">
              <w:rPr>
                <w:rFonts w:ascii="Arial Narrow" w:hAnsi="Arial Narrow"/>
                <w:sz w:val="20"/>
                <w:szCs w:val="20"/>
              </w:rPr>
              <w:t>‡</w:t>
            </w:r>
          </w:p>
        </w:tc>
        <w:tc>
          <w:tcPr>
            <w:tcW w:w="1255" w:type="dxa"/>
            <w:tcBorders>
              <w:top w:val="single" w:sz="4" w:space="0" w:color="A29784"/>
              <w:left w:val="nil"/>
              <w:right w:val="nil"/>
            </w:tcBorders>
            <w:noWrap/>
          </w:tcPr>
          <w:p w14:paraId="718BD606"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17</w:t>
            </w:r>
          </w:p>
        </w:tc>
        <w:tc>
          <w:tcPr>
            <w:tcW w:w="1256" w:type="dxa"/>
            <w:tcBorders>
              <w:top w:val="single" w:sz="4" w:space="0" w:color="A29784"/>
              <w:left w:val="nil"/>
              <w:right w:val="nil"/>
            </w:tcBorders>
          </w:tcPr>
          <w:p w14:paraId="1C9E99BF"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1</w:t>
            </w:r>
          </w:p>
        </w:tc>
        <w:tc>
          <w:tcPr>
            <w:tcW w:w="1256" w:type="dxa"/>
            <w:tcBorders>
              <w:top w:val="single" w:sz="4" w:space="0" w:color="A29784"/>
              <w:left w:val="nil"/>
              <w:right w:val="nil"/>
            </w:tcBorders>
          </w:tcPr>
          <w:p w14:paraId="0B7CE7B7"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89</w:t>
            </w:r>
          </w:p>
        </w:tc>
        <w:tc>
          <w:tcPr>
            <w:tcW w:w="1256" w:type="dxa"/>
            <w:tcBorders>
              <w:top w:val="single" w:sz="4" w:space="0" w:color="A29784"/>
              <w:left w:val="nil"/>
              <w:right w:val="nil"/>
            </w:tcBorders>
          </w:tcPr>
          <w:p w14:paraId="51D21B37"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3</w:t>
            </w:r>
          </w:p>
        </w:tc>
        <w:tc>
          <w:tcPr>
            <w:tcW w:w="1256" w:type="dxa"/>
            <w:tcBorders>
              <w:top w:val="single" w:sz="4" w:space="0" w:color="A29784"/>
              <w:left w:val="nil"/>
              <w:right w:val="nil"/>
            </w:tcBorders>
          </w:tcPr>
          <w:p w14:paraId="046AEE9E"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16</w:t>
            </w:r>
          </w:p>
        </w:tc>
        <w:tc>
          <w:tcPr>
            <w:tcW w:w="1256" w:type="dxa"/>
            <w:tcBorders>
              <w:left w:val="nil"/>
            </w:tcBorders>
          </w:tcPr>
          <w:p w14:paraId="1550CA84"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-13</w:t>
            </w:r>
          </w:p>
        </w:tc>
      </w:tr>
      <w:tr w:rsidR="00223B43" w:rsidRPr="0014550C" w14:paraId="3D2175C2" w14:textId="77777777" w:rsidTr="00671715">
        <w:trPr>
          <w:trHeight w:val="315"/>
          <w:jc w:val="center"/>
        </w:trPr>
        <w:tc>
          <w:tcPr>
            <w:cnfStyle w:val="001000000000" w:firstRow="0" w:lastRow="0" w:firstColumn="1" w:lastColumn="0" w:oddVBand="0" w:evenVBand="0" w:oddHBand="0" w:evenHBand="0" w:firstRowFirstColumn="0" w:firstRowLastColumn="0" w:lastRowFirstColumn="0" w:lastRowLastColumn="0"/>
            <w:tcW w:w="2304" w:type="dxa"/>
            <w:tcBorders>
              <w:top w:val="single" w:sz="4" w:space="0" w:color="A29784"/>
              <w:right w:val="nil"/>
            </w:tcBorders>
            <w:noWrap/>
          </w:tcPr>
          <w:p w14:paraId="5EAE62CA" w14:textId="77777777" w:rsidR="00223B43" w:rsidRPr="003C5FC7" w:rsidRDefault="00223B43" w:rsidP="00671715">
            <w:pPr>
              <w:keepNext/>
              <w:keepLines/>
              <w:rPr>
                <w:rFonts w:ascii="Arial Narrow" w:hAnsi="Arial Narrow"/>
                <w:color w:val="000000"/>
                <w:sz w:val="20"/>
                <w:szCs w:val="20"/>
              </w:rPr>
            </w:pPr>
            <w:r w:rsidRPr="003C5FC7">
              <w:rPr>
                <w:rFonts w:ascii="Arial Narrow" w:hAnsi="Arial Narrow"/>
                <w:color w:val="000000"/>
                <w:sz w:val="20"/>
                <w:szCs w:val="20"/>
              </w:rPr>
              <w:t xml:space="preserve">Verified </w:t>
            </w:r>
            <w:r>
              <w:rPr>
                <w:rFonts w:ascii="Arial Narrow" w:hAnsi="Arial Narrow"/>
                <w:color w:val="000000"/>
                <w:sz w:val="20"/>
                <w:szCs w:val="20"/>
              </w:rPr>
              <w:t>Net</w:t>
            </w:r>
            <w:r w:rsidRPr="003C5FC7">
              <w:rPr>
                <w:rFonts w:ascii="Arial Narrow" w:hAnsi="Arial Narrow"/>
                <w:color w:val="000000"/>
                <w:sz w:val="20"/>
                <w:szCs w:val="20"/>
              </w:rPr>
              <w:t xml:space="preserve"> Savings, MWh†‡</w:t>
            </w:r>
          </w:p>
        </w:tc>
        <w:tc>
          <w:tcPr>
            <w:tcW w:w="1255" w:type="dxa"/>
            <w:tcBorders>
              <w:top w:val="single" w:sz="4" w:space="0" w:color="A29784"/>
              <w:left w:val="nil"/>
              <w:right w:val="nil"/>
            </w:tcBorders>
            <w:noWrap/>
          </w:tcPr>
          <w:p w14:paraId="6310BC84"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8,693</w:t>
            </w:r>
          </w:p>
        </w:tc>
        <w:tc>
          <w:tcPr>
            <w:tcW w:w="1256" w:type="dxa"/>
            <w:tcBorders>
              <w:top w:val="single" w:sz="4" w:space="0" w:color="A29784"/>
              <w:left w:val="nil"/>
              <w:right w:val="nil"/>
            </w:tcBorders>
          </w:tcPr>
          <w:p w14:paraId="141D0BB1"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2,542</w:t>
            </w:r>
          </w:p>
        </w:tc>
        <w:tc>
          <w:tcPr>
            <w:tcW w:w="1256" w:type="dxa"/>
            <w:tcBorders>
              <w:top w:val="single" w:sz="4" w:space="0" w:color="A29784"/>
              <w:left w:val="nil"/>
              <w:right w:val="nil"/>
            </w:tcBorders>
          </w:tcPr>
          <w:p w14:paraId="395642D1"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72,567</w:t>
            </w:r>
          </w:p>
        </w:tc>
        <w:tc>
          <w:tcPr>
            <w:tcW w:w="1256" w:type="dxa"/>
            <w:tcBorders>
              <w:top w:val="single" w:sz="4" w:space="0" w:color="A29784"/>
              <w:left w:val="nil"/>
              <w:right w:val="nil"/>
            </w:tcBorders>
          </w:tcPr>
          <w:p w14:paraId="3D4E2AA3"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3,845</w:t>
            </w:r>
          </w:p>
        </w:tc>
        <w:tc>
          <w:tcPr>
            <w:tcW w:w="1256" w:type="dxa"/>
            <w:tcBorders>
              <w:top w:val="single" w:sz="4" w:space="0" w:color="A29784"/>
              <w:left w:val="nil"/>
              <w:right w:val="nil"/>
            </w:tcBorders>
          </w:tcPr>
          <w:p w14:paraId="7AC67977"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2,979</w:t>
            </w:r>
          </w:p>
        </w:tc>
        <w:tc>
          <w:tcPr>
            <w:tcW w:w="1256" w:type="dxa"/>
            <w:tcBorders>
              <w:left w:val="nil"/>
            </w:tcBorders>
          </w:tcPr>
          <w:p w14:paraId="2B2ECAA9" w14:textId="77777777" w:rsidR="00223B43" w:rsidRPr="003C5FC7" w:rsidRDefault="00223B43" w:rsidP="00671715">
            <w:pPr>
              <w:keepNext/>
              <w:jc w:val="right"/>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2,332</w:t>
            </w:r>
          </w:p>
        </w:tc>
      </w:tr>
    </w:tbl>
    <w:p w14:paraId="021861F3" w14:textId="77777777" w:rsidR="00697FC4" w:rsidRDefault="00697FC4" w:rsidP="00697FC4">
      <w:pPr>
        <w:pStyle w:val="Source"/>
      </w:pPr>
      <w:r w:rsidRPr="00651E3A">
        <w:t xml:space="preserve">Source: </w:t>
      </w:r>
      <w:r>
        <w:t>Navigant analysis</w:t>
      </w:r>
    </w:p>
    <w:p w14:paraId="7C72591A" w14:textId="77777777" w:rsidR="00697FC4" w:rsidRDefault="00697FC4" w:rsidP="00697FC4">
      <w:pPr>
        <w:pStyle w:val="GraphFootnote"/>
        <w:keepNext/>
      </w:pPr>
      <w:r w:rsidRPr="00DF2E8A">
        <w:t>†</w:t>
      </w:r>
      <w:r>
        <w:t xml:space="preserve">Total savings are pro-rated for participants that closed their accounts during the analysis period. </w:t>
      </w:r>
    </w:p>
    <w:p w14:paraId="49D132A2" w14:textId="77777777" w:rsidR="00697FC4" w:rsidRDefault="00697FC4" w:rsidP="00697FC4">
      <w:pPr>
        <w:pStyle w:val="GraphFootnote"/>
        <w:keepNext/>
      </w:pPr>
      <w:r w:rsidRPr="00461E60">
        <w:t>‡</w:t>
      </w:r>
      <w:r>
        <w:t>Negative double counted savings indicate that the participation rate in the EE program is higher for the control group than the treatment group. This lowers the baseline and underestimates HER program savings.</w:t>
      </w:r>
    </w:p>
    <w:p w14:paraId="254B0371" w14:textId="2F5F48EB" w:rsidR="00697FC4" w:rsidRPr="004301F4" w:rsidRDefault="00697FC4" w:rsidP="004301F4">
      <w:pPr>
        <w:pStyle w:val="Source"/>
        <w:rPr>
          <w:rFonts w:ascii="Arial Narrow" w:hAnsi="Arial Narrow"/>
          <w:i w:val="0"/>
        </w:rPr>
      </w:pPr>
      <w:r w:rsidRPr="003C5FC7">
        <w:rPr>
          <w:rFonts w:ascii="Arial Narrow" w:hAnsi="Arial Narrow"/>
          <w:i w:val="0"/>
          <w:color w:val="000000"/>
        </w:rPr>
        <w:t>†‡</w:t>
      </w:r>
      <w:r w:rsidRPr="003C5FC7">
        <w:rPr>
          <w:rFonts w:ascii="Arial Narrow" w:hAnsi="Arial Narrow"/>
          <w:i w:val="0"/>
        </w:rPr>
        <w:t xml:space="preserve"> Gross savings adjusted for savings uplift are equal to gross savings less the uplift o</w:t>
      </w:r>
      <w:r w:rsidR="004301F4">
        <w:rPr>
          <w:rFonts w:ascii="Arial Narrow" w:hAnsi="Arial Narrow"/>
          <w:i w:val="0"/>
        </w:rPr>
        <w:t>f savings in other EE programs.</w:t>
      </w:r>
    </w:p>
    <w:p w14:paraId="5C429C59" w14:textId="77777777" w:rsidR="00A00EB0" w:rsidRPr="000144EC" w:rsidRDefault="00A00EB0" w:rsidP="00A00EB0">
      <w:pPr>
        <w:pStyle w:val="Heading2"/>
      </w:pPr>
      <w:bookmarkStart w:id="77" w:name="_Toc441751886"/>
      <w:r w:rsidRPr="000144EC">
        <w:t>PPR and LFER Model Parameter Estimates</w:t>
      </w:r>
      <w:bookmarkEnd w:id="71"/>
      <w:bookmarkEnd w:id="72"/>
      <w:bookmarkEnd w:id="73"/>
      <w:bookmarkEnd w:id="77"/>
    </w:p>
    <w:p w14:paraId="0274E6F7" w14:textId="5DA66080" w:rsidR="00A00EB0" w:rsidRDefault="00A00EB0" w:rsidP="004F2A1D">
      <w:pPr>
        <w:spacing w:after="120"/>
      </w:pPr>
      <w:r>
        <w:t>The PPR and LFER models generate</w:t>
      </w:r>
      <w:r w:rsidR="00697C40">
        <w:t>d</w:t>
      </w:r>
      <w:r>
        <w:t xml:space="preserve"> very similar results for program savings estimates</w:t>
      </w:r>
      <w:r w:rsidR="00697FC4">
        <w:t xml:space="preserve"> for each of the three waves included in this study</w:t>
      </w:r>
      <w:r w:rsidR="00697C40">
        <w:t>. Navigant used</w:t>
      </w:r>
      <w:r>
        <w:t xml:space="preserve"> the PPR results </w:t>
      </w:r>
      <w:r w:rsidR="00697C40">
        <w:t>to</w:t>
      </w:r>
      <w:r>
        <w:t xml:space="preserve"> </w:t>
      </w:r>
      <w:r w:rsidR="00697FC4">
        <w:t>estimate decay and measure life</w:t>
      </w:r>
      <w:r>
        <w:t>.</w:t>
      </w:r>
      <w:r>
        <w:rPr>
          <w:rStyle w:val="FootnoteReference"/>
        </w:rPr>
        <w:footnoteReference w:id="19"/>
      </w:r>
      <w:r>
        <w:t xml:space="preserve"> </w:t>
      </w:r>
      <w:r w:rsidR="004F2A1D">
        <w:t xml:space="preserve">Across the two models, the parameter estimates are not statistically different; that is, the estimates for </w:t>
      </w:r>
      <w:r w:rsidR="004F2A1D">
        <w:lastRenderedPageBreak/>
        <w:t xml:space="preserve">each model are within the 90 percent confidence bounds for the other model. </w:t>
      </w:r>
      <w:r w:rsidR="00AE39E3">
        <w:t xml:space="preserve">Section </w:t>
      </w:r>
      <w:r w:rsidR="00AE39E3">
        <w:fldChar w:fldCharType="begin"/>
      </w:r>
      <w:r w:rsidR="00AE39E3">
        <w:instrText xml:space="preserve"> REF _Ref339531113 \r \h </w:instrText>
      </w:r>
      <w:r w:rsidR="00AE39E3">
        <w:fldChar w:fldCharType="separate"/>
      </w:r>
      <w:r w:rsidR="00E4410B">
        <w:t>6.3</w:t>
      </w:r>
      <w:r w:rsidR="00AE39E3">
        <w:fldChar w:fldCharType="end"/>
      </w:r>
      <w:r w:rsidR="00AE39E3">
        <w:t xml:space="preserve"> includes detailed estimate information for each</w:t>
      </w:r>
      <w:r w:rsidR="00D87C39">
        <w:t xml:space="preserve"> </w:t>
      </w:r>
      <w:r w:rsidR="00697FC4">
        <w:t xml:space="preserve">relevant </w:t>
      </w:r>
      <w:r w:rsidR="00D87C39">
        <w:t>wave and</w:t>
      </w:r>
      <w:r w:rsidR="00AE39E3">
        <w:t xml:space="preserve"> model.</w:t>
      </w:r>
      <w:r>
        <w:t xml:space="preserve"> </w:t>
      </w:r>
    </w:p>
    <w:p w14:paraId="59CD4308" w14:textId="77777777" w:rsidR="00A00EB0" w:rsidRPr="000144EC" w:rsidRDefault="00A00EB0" w:rsidP="00A00EB0">
      <w:pPr>
        <w:pStyle w:val="Heading2"/>
      </w:pPr>
      <w:bookmarkStart w:id="78" w:name="_Toc378688193"/>
      <w:bookmarkStart w:id="79" w:name="_Toc403122803"/>
      <w:bookmarkStart w:id="80" w:name="_Ref405823075"/>
      <w:bookmarkStart w:id="81" w:name="_Toc408990873"/>
      <w:bookmarkStart w:id="82" w:name="_Ref432676896"/>
      <w:bookmarkStart w:id="83" w:name="_Ref441158015"/>
      <w:bookmarkStart w:id="84" w:name="_Toc441751887"/>
      <w:r w:rsidRPr="000144EC">
        <w:t xml:space="preserve">Uplift of Savings in Other EE </w:t>
      </w:r>
      <w:r>
        <w:t>P</w:t>
      </w:r>
      <w:r w:rsidRPr="000144EC">
        <w:t>rograms</w:t>
      </w:r>
      <w:bookmarkEnd w:id="78"/>
      <w:bookmarkEnd w:id="79"/>
      <w:bookmarkEnd w:id="80"/>
      <w:bookmarkEnd w:id="81"/>
      <w:bookmarkEnd w:id="82"/>
      <w:bookmarkEnd w:id="83"/>
      <w:bookmarkEnd w:id="84"/>
    </w:p>
    <w:p w14:paraId="1111DAD8" w14:textId="7368E2F8" w:rsidR="00162A17" w:rsidRDefault="00A00EB0" w:rsidP="00A00EB0">
      <w:r>
        <w:t>PPR program savings estimates include savings resulting from the uplift in participation in other EE programs caused by the HER program. To avoid double-counting savings, program savings due to this uplift must be counted towards either the HER program or the other EE programs, but not both programs</w:t>
      </w:r>
      <w:r w:rsidRPr="00142393">
        <w:t>. The uplift of savings in other EE programs was a very small proportion of the total savings:</w:t>
      </w:r>
      <w:r>
        <w:t xml:space="preserve"> </w:t>
      </w:r>
      <w:r w:rsidR="00697FC4">
        <w:t>113</w:t>
      </w:r>
      <w:r w:rsidRPr="000D3D8D">
        <w:t xml:space="preserve"> MWh</w:t>
      </w:r>
      <w:r>
        <w:t>,</w:t>
      </w:r>
      <w:r w:rsidRPr="000D3D8D">
        <w:t xml:space="preserve"> or </w:t>
      </w:r>
      <w:r w:rsidRPr="00793F70">
        <w:t>0.</w:t>
      </w:r>
      <w:r w:rsidR="00697FC4">
        <w:t>12</w:t>
      </w:r>
      <w:r>
        <w:t> percent</w:t>
      </w:r>
      <w:r w:rsidRPr="00142393">
        <w:t xml:space="preserve">. </w:t>
      </w:r>
      <w:r w:rsidR="00697FC4">
        <w:t>This estimate includes uplift in the analysis period but Navigant did not include legacy uplift in these results.</w:t>
      </w:r>
      <w:r w:rsidR="00697FC4">
        <w:rPr>
          <w:rStyle w:val="FootnoteReference"/>
        </w:rPr>
        <w:footnoteReference w:id="20"/>
      </w:r>
    </w:p>
    <w:p w14:paraId="67096134" w14:textId="77777777" w:rsidR="00162A17" w:rsidRDefault="00162A17" w:rsidP="00A00EB0"/>
    <w:p w14:paraId="1FBD600E" w14:textId="7CF1CC24" w:rsidR="00A00EB0" w:rsidRDefault="00697FC4" w:rsidP="00A00EB0">
      <w:r>
        <w:fldChar w:fldCharType="begin"/>
      </w:r>
      <w:r>
        <w:instrText xml:space="preserve"> REF _Ref441157797 \h </w:instrText>
      </w:r>
      <w:r>
        <w:fldChar w:fldCharType="separate"/>
      </w:r>
      <w:r w:rsidR="00E4410B">
        <w:t xml:space="preserve">Table </w:t>
      </w:r>
      <w:r w:rsidR="00E4410B">
        <w:rPr>
          <w:noProof/>
        </w:rPr>
        <w:t>3</w:t>
      </w:r>
      <w:r w:rsidR="00E4410B">
        <w:noBreakHyphen/>
      </w:r>
      <w:r w:rsidR="00E4410B">
        <w:rPr>
          <w:noProof/>
        </w:rPr>
        <w:t>1</w:t>
      </w:r>
      <w:r>
        <w:fldChar w:fldCharType="end"/>
      </w:r>
      <w:r>
        <w:t xml:space="preserve"> above includes a breakdown</w:t>
      </w:r>
      <w:r w:rsidR="00A93488">
        <w:t xml:space="preserve"> of the</w:t>
      </w:r>
      <w:r w:rsidR="00A00EB0" w:rsidRPr="000D3D8D">
        <w:t xml:space="preserve"> savings</w:t>
      </w:r>
      <w:r>
        <w:t xml:space="preserve"> from uplift for each wave and</w:t>
      </w:r>
      <w:r w:rsidR="00A00EB0" w:rsidRPr="000D3D8D">
        <w:t xml:space="preserve"> the verified </w:t>
      </w:r>
      <w:r>
        <w:t>net</w:t>
      </w:r>
      <w:r w:rsidR="00A00EB0" w:rsidRPr="000D3D8D">
        <w:t xml:space="preserve"> savings for the HER program obtained by removing these savings from the estimate of verified </w:t>
      </w:r>
      <w:r>
        <w:t>net</w:t>
      </w:r>
      <w:r w:rsidR="00A00EB0" w:rsidRPr="000D3D8D">
        <w:t xml:space="preserve"> program savings prior to uplift adjustment. </w:t>
      </w:r>
      <w:r w:rsidR="00721996">
        <w:t xml:space="preserve">Section </w:t>
      </w:r>
      <w:r w:rsidR="004301F4">
        <w:fldChar w:fldCharType="begin"/>
      </w:r>
      <w:r w:rsidR="004301F4">
        <w:instrText xml:space="preserve"> REF _Ref441563315 \r \h </w:instrText>
      </w:r>
      <w:r w:rsidR="004301F4">
        <w:fldChar w:fldCharType="separate"/>
      </w:r>
      <w:r w:rsidR="00E4410B">
        <w:t>6.4</w:t>
      </w:r>
      <w:r w:rsidR="004301F4">
        <w:fldChar w:fldCharType="end"/>
      </w:r>
      <w:r w:rsidR="00721996">
        <w:t xml:space="preserve"> in</w:t>
      </w:r>
      <w:r w:rsidR="00A00EB0" w:rsidRPr="000D3D8D">
        <w:t xml:space="preserve"> the appendix present</w:t>
      </w:r>
      <w:r w:rsidR="00721996">
        <w:t>s</w:t>
      </w:r>
      <w:r w:rsidR="00A00EB0" w:rsidRPr="000D3D8D">
        <w:t xml:space="preserve"> the details of the calculation of </w:t>
      </w:r>
      <w:r w:rsidR="006C11C2">
        <w:t>uplift</w:t>
      </w:r>
      <w:r w:rsidR="00A00EB0" w:rsidRPr="000D3D8D">
        <w:t xml:space="preserve"> </w:t>
      </w:r>
      <w:r>
        <w:t xml:space="preserve">in the analysis period </w:t>
      </w:r>
      <w:r w:rsidR="00A00EB0" w:rsidRPr="000D3D8D">
        <w:t>for ea</w:t>
      </w:r>
      <w:r w:rsidR="00A00EB0">
        <w:t>ch of the four</w:t>
      </w:r>
      <w:r w:rsidR="00A00EB0" w:rsidRPr="000D3D8D">
        <w:t xml:space="preserve"> ComEd </w:t>
      </w:r>
      <w:r w:rsidR="00A00EB0">
        <w:t>EE</w:t>
      </w:r>
      <w:r w:rsidR="00A00EB0" w:rsidRPr="000D3D8D">
        <w:t xml:space="preserve"> programs considered in the analysis</w:t>
      </w:r>
      <w:r w:rsidR="004301F4">
        <w:t>.</w:t>
      </w:r>
      <w:r w:rsidR="00721996">
        <w:t xml:space="preserve"> </w:t>
      </w:r>
      <w:r w:rsidR="00A00EB0">
        <w:t>As previously mentioned, t</w:t>
      </w:r>
      <w:r w:rsidR="00A00EB0" w:rsidRPr="000D3D8D">
        <w:t xml:space="preserve">he programs included in the uplift analysis were the FFR program, </w:t>
      </w:r>
      <w:r w:rsidR="00A00EB0">
        <w:t xml:space="preserve">the </w:t>
      </w:r>
      <w:r w:rsidR="00721996">
        <w:t>HEA</w:t>
      </w:r>
      <w:r w:rsidR="00A00EB0" w:rsidRPr="000D3D8D">
        <w:t xml:space="preserve"> program, </w:t>
      </w:r>
      <w:r w:rsidR="00721996">
        <w:t xml:space="preserve">the Rebate program and the </w:t>
      </w:r>
      <w:r w:rsidR="00A00EB0" w:rsidRPr="000D3D8D">
        <w:t>M</w:t>
      </w:r>
      <w:r w:rsidR="00E80133">
        <w:t>ES</w:t>
      </w:r>
      <w:r w:rsidR="00A00EB0">
        <w:t>P</w:t>
      </w:r>
      <w:r w:rsidR="00A00EB0" w:rsidRPr="000D3D8D">
        <w:t>.</w:t>
      </w:r>
      <w:r w:rsidR="00A00EB0" w:rsidRPr="000D3D8D">
        <w:rPr>
          <w:rStyle w:val="FootnoteReference"/>
        </w:rPr>
        <w:footnoteReference w:id="21"/>
      </w:r>
      <w:r w:rsidR="00A00EB0" w:rsidRPr="000D3D8D">
        <w:t xml:space="preserve"> Where possible</w:t>
      </w:r>
      <w:r w:rsidR="00A00EB0">
        <w:t>,</w:t>
      </w:r>
      <w:r w:rsidR="00A00EB0" w:rsidRPr="000D3D8D">
        <w:t xml:space="preserve"> Navigant used a DID statistic to estimate double-counted savings, and otherwise used a simple comparison of the rate of participation in EE programs by treatment and control households in </w:t>
      </w:r>
      <w:r>
        <w:t>the analysis period</w:t>
      </w:r>
      <w:r w:rsidR="00721996">
        <w:t xml:space="preserve"> </w:t>
      </w:r>
      <w:r w:rsidR="00A00EB0" w:rsidRPr="000D3D8D">
        <w:t>–</w:t>
      </w:r>
      <w:r w:rsidR="00721996">
        <w:t xml:space="preserve"> </w:t>
      </w:r>
      <w:r w:rsidR="00A00EB0" w:rsidRPr="000D3D8D">
        <w:t xml:space="preserve">the POD estimate of double-counted savings. </w:t>
      </w:r>
    </w:p>
    <w:p w14:paraId="3F1AB8B3" w14:textId="77777777" w:rsidR="00A00EB0" w:rsidRDefault="00A00EB0" w:rsidP="00A00EB0"/>
    <w:p w14:paraId="7F2C8D08" w14:textId="6779BDDC" w:rsidR="00A00EB0" w:rsidRDefault="00A00EB0" w:rsidP="00A00EB0">
      <w:r>
        <w:t xml:space="preserve">The estimate of double-counted savings is most likely an </w:t>
      </w:r>
      <w:r>
        <w:rPr>
          <w:i/>
        </w:rPr>
        <w:t>o</w:t>
      </w:r>
      <w:r w:rsidRPr="00142393">
        <w:rPr>
          <w:i/>
        </w:rPr>
        <w:t>verestimat</w:t>
      </w:r>
      <w:r>
        <w:rPr>
          <w:i/>
        </w:rPr>
        <w:t>e</w:t>
      </w:r>
      <w:r w:rsidRPr="00142393">
        <w:t xml:space="preserve"> because it presumes participation in the other EE programs occurs at the very start of </w:t>
      </w:r>
      <w:r w:rsidR="00697FC4">
        <w:t>the analysis period</w:t>
      </w:r>
      <w:r w:rsidRPr="00142393">
        <w:t xml:space="preserve">. Under the more reasonable assumption that participation occurs at a uniform rate throughout the year, the estimate of double-counted savings would be approximately </w:t>
      </w:r>
      <w:r w:rsidR="00697FC4">
        <w:t>56.5</w:t>
      </w:r>
      <w:r>
        <w:t xml:space="preserve"> MWh</w:t>
      </w:r>
      <w:r w:rsidRPr="00142393">
        <w:t xml:space="preserve">, half the estimated value of </w:t>
      </w:r>
      <w:r w:rsidR="00697FC4">
        <w:t>113</w:t>
      </w:r>
      <w:r>
        <w:t xml:space="preserve"> MWh</w:t>
      </w:r>
      <w:r w:rsidRPr="00142393">
        <w:t xml:space="preserve">. The upshot is that double counting of savings with other ComEd </w:t>
      </w:r>
      <w:r>
        <w:t>EE</w:t>
      </w:r>
      <w:r w:rsidRPr="00142393">
        <w:t xml:space="preserve"> programs </w:t>
      </w:r>
      <w:r w:rsidRPr="00142393">
        <w:rPr>
          <w:i/>
        </w:rPr>
        <w:t>is not a significant issue</w:t>
      </w:r>
      <w:r w:rsidRPr="00142393">
        <w:t xml:space="preserve"> for the HER program.</w:t>
      </w:r>
    </w:p>
    <w:p w14:paraId="6B2B5C39" w14:textId="323D6836" w:rsidR="00A00EB0" w:rsidRPr="000144EC" w:rsidRDefault="00223B43" w:rsidP="00A00EB0">
      <w:pPr>
        <w:pStyle w:val="Heading2"/>
      </w:pPr>
      <w:bookmarkStart w:id="85" w:name="_Toc441751888"/>
      <w:r>
        <w:t>Decay</w:t>
      </w:r>
      <w:r w:rsidR="00697C40">
        <w:t xml:space="preserve"> Estimates</w:t>
      </w:r>
      <w:bookmarkEnd w:id="85"/>
    </w:p>
    <w:p w14:paraId="6CDCFBF9" w14:textId="358D22A7" w:rsidR="00223B43" w:rsidRDefault="00223B43" w:rsidP="00223B43">
      <w:pPr>
        <w:pStyle w:val="FootnoteText"/>
        <w:rPr>
          <w:sz w:val="20"/>
        </w:rPr>
      </w:pPr>
      <w:r w:rsidRPr="00223B43">
        <w:rPr>
          <w:sz w:val="24"/>
        </w:rPr>
        <w:fldChar w:fldCharType="begin"/>
      </w:r>
      <w:r w:rsidRPr="00223B43">
        <w:rPr>
          <w:sz w:val="22"/>
        </w:rPr>
        <w:instrText xml:space="preserve"> REF _Ref441158632 \h </w:instrText>
      </w:r>
      <w:r>
        <w:rPr>
          <w:sz w:val="24"/>
        </w:rPr>
        <w:instrText xml:space="preserve"> \* MERGEFORMAT </w:instrText>
      </w:r>
      <w:r w:rsidRPr="00223B43">
        <w:rPr>
          <w:sz w:val="24"/>
        </w:rPr>
      </w:r>
      <w:r w:rsidRPr="00223B43">
        <w:rPr>
          <w:sz w:val="24"/>
        </w:rPr>
        <w:fldChar w:fldCharType="separate"/>
      </w:r>
      <w:r w:rsidR="00E4410B" w:rsidRPr="00E4410B">
        <w:rPr>
          <w:sz w:val="20"/>
        </w:rPr>
        <w:t xml:space="preserve">Table </w:t>
      </w:r>
      <w:r w:rsidR="00E4410B" w:rsidRPr="00E4410B">
        <w:rPr>
          <w:noProof/>
          <w:sz w:val="20"/>
        </w:rPr>
        <w:t>3</w:t>
      </w:r>
      <w:r w:rsidR="00E4410B" w:rsidRPr="00E4410B">
        <w:rPr>
          <w:noProof/>
          <w:sz w:val="20"/>
        </w:rPr>
        <w:noBreakHyphen/>
        <w:t>2</w:t>
      </w:r>
      <w:r w:rsidRPr="00223B43">
        <w:rPr>
          <w:sz w:val="24"/>
        </w:rPr>
        <w:fldChar w:fldCharType="end"/>
      </w:r>
      <w:r w:rsidRPr="00223B43">
        <w:rPr>
          <w:sz w:val="20"/>
        </w:rPr>
        <w:t xml:space="preserve"> </w:t>
      </w:r>
      <w:r>
        <w:rPr>
          <w:sz w:val="20"/>
        </w:rPr>
        <w:t>p</w:t>
      </w:r>
      <w:r w:rsidRPr="00DB2DC8">
        <w:rPr>
          <w:sz w:val="20"/>
        </w:rPr>
        <w:t xml:space="preserve">resents </w:t>
      </w:r>
      <w:r>
        <w:rPr>
          <w:sz w:val="20"/>
        </w:rPr>
        <w:t>the annual decay rate, the lifetime persistence savings, and the measure life for each of the three TR groups in the first year after reports were stopped, November 2013 to October 2014.</w:t>
      </w:r>
      <w:r>
        <w:rPr>
          <w:rStyle w:val="FootnoteReference"/>
          <w:sz w:val="20"/>
        </w:rPr>
        <w:footnoteReference w:id="22"/>
      </w:r>
      <w:r>
        <w:rPr>
          <w:sz w:val="20"/>
        </w:rPr>
        <w:t xml:space="preserve"> </w:t>
      </w:r>
      <w:r w:rsidR="00697C40">
        <w:rPr>
          <w:sz w:val="20"/>
        </w:rPr>
        <w:t>The estimates of savings after the uplift adjustment were used in these estimations.</w:t>
      </w:r>
    </w:p>
    <w:p w14:paraId="74BB7DC9" w14:textId="77777777" w:rsidR="00223B43" w:rsidRDefault="00223B43" w:rsidP="00223B43">
      <w:pPr>
        <w:pStyle w:val="FootnoteText"/>
        <w:rPr>
          <w:sz w:val="20"/>
        </w:rPr>
      </w:pPr>
    </w:p>
    <w:p w14:paraId="2F11A1F3" w14:textId="62FAFDEF" w:rsidR="00223B43" w:rsidRDefault="00223B43" w:rsidP="004301F4">
      <w:pPr>
        <w:pStyle w:val="Caption"/>
      </w:pPr>
      <w:bookmarkStart w:id="86" w:name="_Ref441158632"/>
      <w:bookmarkStart w:id="87" w:name="_Toc441751904"/>
      <w:r>
        <w:lastRenderedPageBreak/>
        <w:t xml:space="preserve">Table </w:t>
      </w:r>
      <w:fldSimple w:instr=" STYLEREF 1 \s ">
        <w:r w:rsidR="00E4410B">
          <w:rPr>
            <w:noProof/>
          </w:rPr>
          <w:t>3</w:t>
        </w:r>
      </w:fldSimple>
      <w:r w:rsidR="00F05E89">
        <w:noBreakHyphen/>
      </w:r>
      <w:fldSimple w:instr=" SEQ Table \* ARABIC \s 1 ">
        <w:r w:rsidR="00E4410B">
          <w:rPr>
            <w:noProof/>
          </w:rPr>
          <w:t>2</w:t>
        </w:r>
      </w:fldSimple>
      <w:bookmarkEnd w:id="86"/>
      <w:r>
        <w:t>. HER Persistence Summary</w:t>
      </w:r>
      <w:bookmarkEnd w:id="87"/>
    </w:p>
    <w:tbl>
      <w:tblPr>
        <w:tblStyle w:val="Style3"/>
        <w:tblW w:w="9360" w:type="dxa"/>
        <w:jc w:val="center"/>
        <w:tblLayout w:type="fixed"/>
        <w:tblLook w:val="04A0" w:firstRow="1" w:lastRow="0" w:firstColumn="1" w:lastColumn="0" w:noHBand="0" w:noVBand="1"/>
      </w:tblPr>
      <w:tblGrid>
        <w:gridCol w:w="1898"/>
        <w:gridCol w:w="1718"/>
        <w:gridCol w:w="1718"/>
        <w:gridCol w:w="2013"/>
        <w:gridCol w:w="2013"/>
      </w:tblGrid>
      <w:tr w:rsidR="00223B43" w:rsidRPr="00B71D78" w14:paraId="193EAD69" w14:textId="77777777" w:rsidTr="00671715">
        <w:trPr>
          <w:cnfStyle w:val="100000000000" w:firstRow="1" w:lastRow="0" w:firstColumn="0" w:lastColumn="0" w:oddVBand="0" w:evenVBand="0" w:oddHBand="0" w:evenHBand="0" w:firstRowFirstColumn="0" w:firstRowLastColumn="0" w:lastRowFirstColumn="0" w:lastRowLastColumn="0"/>
          <w:trHeight w:val="603"/>
          <w:jc w:val="center"/>
        </w:trPr>
        <w:tc>
          <w:tcPr>
            <w:cnfStyle w:val="001000000000" w:firstRow="0" w:lastRow="0" w:firstColumn="1" w:lastColumn="0" w:oddVBand="0" w:evenVBand="0" w:oddHBand="0" w:evenHBand="0" w:firstRowFirstColumn="0" w:firstRowLastColumn="0" w:lastRowFirstColumn="0" w:lastRowLastColumn="0"/>
            <w:tcW w:w="1898" w:type="dxa"/>
            <w:hideMark/>
          </w:tcPr>
          <w:p w14:paraId="3187F61E" w14:textId="77777777" w:rsidR="00223B43" w:rsidRPr="00353F95" w:rsidRDefault="00223B43" w:rsidP="00671715">
            <w:pPr>
              <w:keepNext/>
              <w:keepLines/>
              <w:jc w:val="left"/>
              <w:rPr>
                <w:rFonts w:ascii="Arial Narrow" w:eastAsia="Calibri" w:hAnsi="Arial Narrow"/>
                <w:sz w:val="20"/>
                <w:szCs w:val="20"/>
              </w:rPr>
            </w:pPr>
            <w:r w:rsidRPr="00353F95">
              <w:rPr>
                <w:rFonts w:ascii="Arial Narrow" w:hAnsi="Arial Narrow" w:cs="Calibri"/>
                <w:bCs/>
                <w:sz w:val="20"/>
                <w:szCs w:val="20"/>
              </w:rPr>
              <w:t>Type of Statistic</w:t>
            </w:r>
          </w:p>
        </w:tc>
        <w:tc>
          <w:tcPr>
            <w:tcW w:w="1718" w:type="dxa"/>
            <w:hideMark/>
          </w:tcPr>
          <w:p w14:paraId="47F9A07C" w14:textId="77777777" w:rsidR="00223B43" w:rsidRPr="00713149" w:rsidRDefault="00223B43" w:rsidP="00671715">
            <w:pPr>
              <w:keepNext/>
              <w:keepLines/>
              <w:cnfStyle w:val="100000000000" w:firstRow="1" w:lastRow="0" w:firstColumn="0" w:lastColumn="0" w:oddVBand="0" w:evenVBand="0" w:oddHBand="0" w:evenHBand="0" w:firstRowFirstColumn="0" w:firstRowLastColumn="0" w:lastRowFirstColumn="0" w:lastRowLastColumn="0"/>
              <w:rPr>
                <w:rFonts w:ascii="Arial Narrow" w:eastAsia="Calibri" w:hAnsi="Arial Narrow"/>
                <w:sz w:val="20"/>
                <w:szCs w:val="20"/>
              </w:rPr>
            </w:pPr>
            <w:r w:rsidRPr="00713149">
              <w:rPr>
                <w:rFonts w:ascii="Arial Narrow" w:eastAsia="Calibri" w:hAnsi="Arial Narrow"/>
                <w:sz w:val="20"/>
                <w:szCs w:val="20"/>
              </w:rPr>
              <w:t>Wave 1 TR</w:t>
            </w:r>
          </w:p>
        </w:tc>
        <w:tc>
          <w:tcPr>
            <w:tcW w:w="1718" w:type="dxa"/>
          </w:tcPr>
          <w:p w14:paraId="4E8E88BE" w14:textId="77777777" w:rsidR="00223B43" w:rsidRPr="00713149" w:rsidRDefault="00223B43" w:rsidP="00671715">
            <w:pPr>
              <w:keepNext/>
              <w:keepLines/>
              <w:cnfStyle w:val="100000000000" w:firstRow="1" w:lastRow="0" w:firstColumn="0" w:lastColumn="0" w:oddVBand="0" w:evenVBand="0" w:oddHBand="0" w:evenHBand="0" w:firstRowFirstColumn="0" w:firstRowLastColumn="0" w:lastRowFirstColumn="0" w:lastRowLastColumn="0"/>
              <w:rPr>
                <w:rFonts w:ascii="Arial Narrow" w:eastAsia="Calibri" w:hAnsi="Arial Narrow"/>
                <w:sz w:val="20"/>
                <w:szCs w:val="20"/>
              </w:rPr>
            </w:pPr>
            <w:r w:rsidRPr="00713149">
              <w:rPr>
                <w:rFonts w:ascii="Arial Narrow" w:eastAsia="Calibri" w:hAnsi="Arial Narrow"/>
                <w:sz w:val="20"/>
                <w:szCs w:val="20"/>
              </w:rPr>
              <w:t>Wave 3 TR</w:t>
            </w:r>
          </w:p>
        </w:tc>
        <w:tc>
          <w:tcPr>
            <w:tcW w:w="2013" w:type="dxa"/>
          </w:tcPr>
          <w:p w14:paraId="4D20B6BE" w14:textId="77777777" w:rsidR="00223B43" w:rsidRPr="00713149" w:rsidRDefault="00223B43" w:rsidP="00671715">
            <w:pPr>
              <w:keepNext/>
              <w:keepLines/>
              <w:cnfStyle w:val="100000000000" w:firstRow="1" w:lastRow="0" w:firstColumn="0" w:lastColumn="0" w:oddVBand="0" w:evenVBand="0" w:oddHBand="0" w:evenHBand="0" w:firstRowFirstColumn="0" w:firstRowLastColumn="0" w:lastRowFirstColumn="0" w:lastRowLastColumn="0"/>
              <w:rPr>
                <w:rFonts w:ascii="Arial Narrow" w:eastAsia="Calibri" w:hAnsi="Arial Narrow"/>
                <w:sz w:val="20"/>
                <w:szCs w:val="20"/>
              </w:rPr>
            </w:pPr>
            <w:r w:rsidRPr="00713149">
              <w:rPr>
                <w:rFonts w:ascii="Arial Narrow" w:eastAsia="Calibri" w:hAnsi="Arial Narrow"/>
                <w:sz w:val="20"/>
                <w:szCs w:val="20"/>
              </w:rPr>
              <w:t>Wave 5 Non-AMI TR</w:t>
            </w:r>
          </w:p>
        </w:tc>
        <w:tc>
          <w:tcPr>
            <w:tcW w:w="2013" w:type="dxa"/>
          </w:tcPr>
          <w:p w14:paraId="7B0F6911" w14:textId="77777777" w:rsidR="00223B43" w:rsidRPr="00713149" w:rsidRDefault="00223B43" w:rsidP="00671715">
            <w:pPr>
              <w:keepNext/>
              <w:keepLines/>
              <w:cnfStyle w:val="100000000000" w:firstRow="1" w:lastRow="0" w:firstColumn="0" w:lastColumn="0" w:oddVBand="0" w:evenVBand="0" w:oddHBand="0" w:evenHBand="0" w:firstRowFirstColumn="0" w:firstRowLastColumn="0" w:lastRowFirstColumn="0" w:lastRowLastColumn="0"/>
              <w:rPr>
                <w:rFonts w:ascii="Arial Narrow" w:eastAsia="Calibri" w:hAnsi="Arial Narrow"/>
                <w:szCs w:val="20"/>
              </w:rPr>
            </w:pPr>
            <w:r>
              <w:rPr>
                <w:rFonts w:ascii="Arial Narrow" w:eastAsia="Calibri" w:hAnsi="Arial Narrow"/>
                <w:szCs w:val="20"/>
              </w:rPr>
              <w:t>Average</w:t>
            </w:r>
          </w:p>
        </w:tc>
      </w:tr>
      <w:tr w:rsidR="00223B43" w:rsidRPr="0014550C" w14:paraId="1BF6E859" w14:textId="77777777" w:rsidTr="00671715">
        <w:trPr>
          <w:trHeight w:val="315"/>
          <w:jc w:val="center"/>
        </w:trPr>
        <w:tc>
          <w:tcPr>
            <w:cnfStyle w:val="001000000000" w:firstRow="0" w:lastRow="0" w:firstColumn="1" w:lastColumn="0" w:oddVBand="0" w:evenVBand="0" w:oddHBand="0" w:evenHBand="0" w:firstRowFirstColumn="0" w:firstRowLastColumn="0" w:lastRowFirstColumn="0" w:lastRowLastColumn="0"/>
            <w:tcW w:w="1898" w:type="dxa"/>
            <w:noWrap/>
            <w:hideMark/>
          </w:tcPr>
          <w:p w14:paraId="148F4EEB" w14:textId="77777777" w:rsidR="00223B43" w:rsidRPr="00713149" w:rsidRDefault="00223B43" w:rsidP="00671715">
            <w:pPr>
              <w:keepNext/>
              <w:keepLines/>
              <w:rPr>
                <w:rFonts w:ascii="Arial Narrow" w:eastAsia="Calibri" w:hAnsi="Arial Narrow"/>
                <w:sz w:val="20"/>
                <w:szCs w:val="20"/>
              </w:rPr>
            </w:pPr>
            <w:r w:rsidRPr="00713149">
              <w:rPr>
                <w:rFonts w:ascii="Arial Narrow" w:hAnsi="Arial Narrow" w:cs="Calibri"/>
                <w:color w:val="000000"/>
                <w:sz w:val="20"/>
                <w:szCs w:val="20"/>
              </w:rPr>
              <w:t>Annual Decay Rate</w:t>
            </w:r>
          </w:p>
        </w:tc>
        <w:tc>
          <w:tcPr>
            <w:tcW w:w="1718" w:type="dxa"/>
            <w:noWrap/>
          </w:tcPr>
          <w:p w14:paraId="58D34292" w14:textId="77777777" w:rsidR="00223B43" w:rsidRPr="00713149" w:rsidRDefault="00223B43" w:rsidP="00671715">
            <w:pP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sidRPr="00713149">
              <w:rPr>
                <w:rFonts w:ascii="Arial Narrow" w:hAnsi="Arial Narrow"/>
                <w:color w:val="000000"/>
                <w:sz w:val="20"/>
                <w:szCs w:val="20"/>
              </w:rPr>
              <w:t>4.39%</w:t>
            </w:r>
          </w:p>
        </w:tc>
        <w:tc>
          <w:tcPr>
            <w:tcW w:w="1718" w:type="dxa"/>
          </w:tcPr>
          <w:p w14:paraId="3BADB388" w14:textId="77777777" w:rsidR="00223B43" w:rsidRPr="00713149" w:rsidRDefault="00223B43" w:rsidP="00671715">
            <w:pP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20"/>
                <w:szCs w:val="20"/>
              </w:rPr>
            </w:pPr>
            <w:r w:rsidRPr="00713149">
              <w:rPr>
                <w:rFonts w:ascii="Arial Narrow" w:hAnsi="Arial Narrow" w:cs="Calibri"/>
                <w:color w:val="000000"/>
                <w:sz w:val="20"/>
                <w:szCs w:val="20"/>
              </w:rPr>
              <w:t>2.12%</w:t>
            </w:r>
          </w:p>
        </w:tc>
        <w:tc>
          <w:tcPr>
            <w:tcW w:w="2013" w:type="dxa"/>
          </w:tcPr>
          <w:p w14:paraId="11CD2FBE" w14:textId="77777777" w:rsidR="00223B43" w:rsidRPr="00713149" w:rsidRDefault="00223B43" w:rsidP="00671715">
            <w:pP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20"/>
                <w:szCs w:val="20"/>
              </w:rPr>
            </w:pPr>
            <w:r w:rsidRPr="00713149">
              <w:rPr>
                <w:rFonts w:ascii="Arial Narrow" w:hAnsi="Arial Narrow" w:cs="Calibri"/>
                <w:color w:val="000000"/>
                <w:sz w:val="20"/>
                <w:szCs w:val="20"/>
              </w:rPr>
              <w:t>22.43%</w:t>
            </w:r>
          </w:p>
        </w:tc>
        <w:tc>
          <w:tcPr>
            <w:tcW w:w="2013" w:type="dxa"/>
          </w:tcPr>
          <w:p w14:paraId="07AD3C81" w14:textId="77777777" w:rsidR="00223B43" w:rsidRPr="00713149" w:rsidRDefault="00223B43" w:rsidP="00671715">
            <w:pP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Calibri"/>
                <w:color w:val="000000"/>
                <w:szCs w:val="20"/>
              </w:rPr>
              <w:t>9.64%</w:t>
            </w:r>
          </w:p>
        </w:tc>
      </w:tr>
      <w:tr w:rsidR="00223B43" w:rsidRPr="0014550C" w14:paraId="774BDDFB" w14:textId="77777777" w:rsidTr="00671715">
        <w:trPr>
          <w:trHeight w:val="315"/>
          <w:jc w:val="center"/>
        </w:trPr>
        <w:tc>
          <w:tcPr>
            <w:cnfStyle w:val="001000000000" w:firstRow="0" w:lastRow="0" w:firstColumn="1" w:lastColumn="0" w:oddVBand="0" w:evenVBand="0" w:oddHBand="0" w:evenHBand="0" w:firstRowFirstColumn="0" w:firstRowLastColumn="0" w:lastRowFirstColumn="0" w:lastRowLastColumn="0"/>
            <w:tcW w:w="1898" w:type="dxa"/>
            <w:noWrap/>
          </w:tcPr>
          <w:p w14:paraId="6A3C5CBF" w14:textId="77777777" w:rsidR="00223B43" w:rsidRPr="00713149" w:rsidRDefault="00223B43" w:rsidP="00671715">
            <w:pPr>
              <w:keepNext/>
              <w:keepLines/>
              <w:rPr>
                <w:rFonts w:ascii="Arial Narrow" w:hAnsi="Arial Narrow"/>
                <w:sz w:val="20"/>
                <w:szCs w:val="20"/>
              </w:rPr>
            </w:pPr>
            <w:r w:rsidRPr="00713149">
              <w:rPr>
                <w:rFonts w:ascii="Arial Narrow" w:hAnsi="Arial Narrow" w:cs="Calibri"/>
                <w:color w:val="000000"/>
                <w:sz w:val="20"/>
                <w:szCs w:val="20"/>
              </w:rPr>
              <w:t>Lifetime Persistence Savings, MWh</w:t>
            </w:r>
          </w:p>
        </w:tc>
        <w:tc>
          <w:tcPr>
            <w:tcW w:w="1718" w:type="dxa"/>
            <w:noWrap/>
          </w:tcPr>
          <w:p w14:paraId="28BEF0FE" w14:textId="77777777" w:rsidR="00223B43" w:rsidRPr="00713149" w:rsidRDefault="00223B43" w:rsidP="00671715">
            <w:pP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sidRPr="00713149">
              <w:rPr>
                <w:rFonts w:ascii="Arial Narrow" w:hAnsi="Arial Narrow"/>
                <w:color w:val="000000"/>
                <w:sz w:val="20"/>
                <w:szCs w:val="20"/>
              </w:rPr>
              <w:t>85,866</w:t>
            </w:r>
          </w:p>
        </w:tc>
        <w:tc>
          <w:tcPr>
            <w:tcW w:w="1718" w:type="dxa"/>
          </w:tcPr>
          <w:p w14:paraId="402FFF70" w14:textId="77777777" w:rsidR="00223B43" w:rsidRPr="00713149" w:rsidRDefault="00223B43" w:rsidP="00671715">
            <w:pP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20"/>
                <w:szCs w:val="20"/>
              </w:rPr>
            </w:pPr>
            <w:r w:rsidRPr="00713149">
              <w:rPr>
                <w:rFonts w:ascii="Arial Narrow" w:hAnsi="Arial Narrow" w:cs="Calibri"/>
                <w:color w:val="000000"/>
                <w:sz w:val="20"/>
                <w:szCs w:val="20"/>
              </w:rPr>
              <w:t>908,385</w:t>
            </w:r>
          </w:p>
        </w:tc>
        <w:tc>
          <w:tcPr>
            <w:tcW w:w="2013" w:type="dxa"/>
          </w:tcPr>
          <w:p w14:paraId="0C674A40" w14:textId="77777777" w:rsidR="00223B43" w:rsidRPr="00713149" w:rsidRDefault="00223B43" w:rsidP="00671715">
            <w:pP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20"/>
                <w:szCs w:val="20"/>
              </w:rPr>
            </w:pPr>
            <w:r w:rsidRPr="00713149">
              <w:rPr>
                <w:rFonts w:ascii="Arial Narrow" w:hAnsi="Arial Narrow" w:cs="Calibri"/>
                <w:color w:val="000000"/>
                <w:sz w:val="20"/>
                <w:szCs w:val="20"/>
              </w:rPr>
              <w:t>11,002</w:t>
            </w:r>
          </w:p>
        </w:tc>
        <w:tc>
          <w:tcPr>
            <w:tcW w:w="2013" w:type="dxa"/>
          </w:tcPr>
          <w:p w14:paraId="71983591" w14:textId="77777777" w:rsidR="00223B43" w:rsidRPr="00713149" w:rsidRDefault="00223B43" w:rsidP="00671715">
            <w:pP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Calibri"/>
                <w:color w:val="000000"/>
                <w:szCs w:val="20"/>
              </w:rPr>
              <w:t>-</w:t>
            </w:r>
          </w:p>
        </w:tc>
      </w:tr>
      <w:tr w:rsidR="00223B43" w:rsidRPr="0014550C" w14:paraId="6813CAF5" w14:textId="77777777" w:rsidTr="00671715">
        <w:trPr>
          <w:trHeight w:val="315"/>
          <w:jc w:val="center"/>
        </w:trPr>
        <w:tc>
          <w:tcPr>
            <w:cnfStyle w:val="001000000000" w:firstRow="0" w:lastRow="0" w:firstColumn="1" w:lastColumn="0" w:oddVBand="0" w:evenVBand="0" w:oddHBand="0" w:evenHBand="0" w:firstRowFirstColumn="0" w:firstRowLastColumn="0" w:lastRowFirstColumn="0" w:lastRowLastColumn="0"/>
            <w:tcW w:w="1898" w:type="dxa"/>
            <w:noWrap/>
          </w:tcPr>
          <w:p w14:paraId="348FCC03" w14:textId="77777777" w:rsidR="00223B43" w:rsidRPr="00713149" w:rsidRDefault="00223B43" w:rsidP="00671715">
            <w:pPr>
              <w:keepNext/>
              <w:keepLines/>
              <w:rPr>
                <w:rFonts w:ascii="Arial Narrow" w:hAnsi="Arial Narrow"/>
                <w:sz w:val="20"/>
                <w:szCs w:val="20"/>
              </w:rPr>
            </w:pPr>
            <w:r w:rsidRPr="00713149">
              <w:rPr>
                <w:rFonts w:ascii="Arial Narrow" w:hAnsi="Arial Narrow" w:cs="Calibri"/>
                <w:color w:val="000000"/>
                <w:sz w:val="20"/>
                <w:szCs w:val="20"/>
              </w:rPr>
              <w:t>HER Measure Life, Years</w:t>
            </w:r>
          </w:p>
        </w:tc>
        <w:tc>
          <w:tcPr>
            <w:tcW w:w="1718" w:type="dxa"/>
            <w:noWrap/>
          </w:tcPr>
          <w:p w14:paraId="0B92633D" w14:textId="77777777" w:rsidR="00223B43" w:rsidRPr="00713149" w:rsidRDefault="00223B43" w:rsidP="00671715">
            <w:pP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sidRPr="00713149">
              <w:rPr>
                <w:rFonts w:ascii="Arial Narrow" w:hAnsi="Arial Narrow"/>
                <w:color w:val="000000"/>
                <w:sz w:val="20"/>
                <w:szCs w:val="20"/>
              </w:rPr>
              <w:t>11</w:t>
            </w:r>
          </w:p>
        </w:tc>
        <w:tc>
          <w:tcPr>
            <w:tcW w:w="1718" w:type="dxa"/>
          </w:tcPr>
          <w:p w14:paraId="09F5CDF7" w14:textId="77777777" w:rsidR="00223B43" w:rsidRPr="00713149" w:rsidRDefault="00223B43" w:rsidP="00671715">
            <w:pP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20"/>
                <w:szCs w:val="20"/>
              </w:rPr>
            </w:pPr>
            <w:r w:rsidRPr="00713149">
              <w:rPr>
                <w:rFonts w:ascii="Arial Narrow" w:hAnsi="Arial Narrow" w:cs="Calibri"/>
                <w:color w:val="000000"/>
                <w:sz w:val="20"/>
                <w:szCs w:val="20"/>
              </w:rPr>
              <w:t>14</w:t>
            </w:r>
          </w:p>
        </w:tc>
        <w:tc>
          <w:tcPr>
            <w:tcW w:w="2013" w:type="dxa"/>
          </w:tcPr>
          <w:p w14:paraId="35EB360D" w14:textId="77777777" w:rsidR="00223B43" w:rsidRPr="00713149" w:rsidRDefault="00223B43" w:rsidP="00671715">
            <w:pP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20"/>
                <w:szCs w:val="20"/>
              </w:rPr>
            </w:pPr>
            <w:r w:rsidRPr="00713149">
              <w:rPr>
                <w:rFonts w:ascii="Arial Narrow" w:hAnsi="Arial Narrow" w:cs="Calibri"/>
                <w:color w:val="000000"/>
                <w:sz w:val="20"/>
                <w:szCs w:val="20"/>
              </w:rPr>
              <w:t>5</w:t>
            </w:r>
          </w:p>
        </w:tc>
        <w:tc>
          <w:tcPr>
            <w:tcW w:w="2013" w:type="dxa"/>
          </w:tcPr>
          <w:p w14:paraId="1B8568D7" w14:textId="77777777" w:rsidR="00223B43" w:rsidRPr="00713149" w:rsidRDefault="00223B43" w:rsidP="00671715">
            <w:pP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Calibri"/>
                <w:color w:val="000000"/>
                <w:szCs w:val="20"/>
              </w:rPr>
              <w:t>10</w:t>
            </w:r>
          </w:p>
        </w:tc>
      </w:tr>
    </w:tbl>
    <w:p w14:paraId="5A5E0473" w14:textId="77777777" w:rsidR="00223B43" w:rsidRPr="00C750CB" w:rsidRDefault="00223B43" w:rsidP="00223B43">
      <w:pPr>
        <w:pStyle w:val="Source"/>
        <w:ind w:left="180"/>
      </w:pPr>
      <w:r w:rsidRPr="00651E3A">
        <w:t xml:space="preserve">Source: </w:t>
      </w:r>
      <w:r>
        <w:t>Navigant analysis</w:t>
      </w:r>
    </w:p>
    <w:p w14:paraId="63DD9BBF" w14:textId="77777777" w:rsidR="00223B43" w:rsidRDefault="00223B43" w:rsidP="00223B43"/>
    <w:p w14:paraId="33D275FC" w14:textId="77777777" w:rsidR="00697C40" w:rsidRPr="009330F5" w:rsidRDefault="00697C40" w:rsidP="00697C40">
      <w:r>
        <w:t xml:space="preserve">The decay rate was quite small for Wave 1 and 3 customers who had received reports for approximately four and two and a half years, respectively, before they were stopped. The decay rate was much larger for Wave 5 Non-AMI customers who had received reports for approximately one year before they were stopped. The rate of decay may be slower when customers have received reports for longer either because they have become more ingrained in new behavioral habits formed because of the reports or because they have had more time to purchase new, efficient equipment in response to the reports. It is also possible that these differences in decay are driven by differences in the participants in each wave, for example the average baseline usage for each wave was different. In PY7 baseline usage for Wave 1 TR was 39 kWh per day, Wave 3 TR was 49 kWh/day, and Wave 5 Non-AMI was 60 kWh per day. </w:t>
      </w:r>
    </w:p>
    <w:p w14:paraId="5CC1A278" w14:textId="77777777" w:rsidR="00697C40" w:rsidRDefault="00697C40" w:rsidP="00223B43"/>
    <w:p w14:paraId="3927CC52" w14:textId="039AB4F3" w:rsidR="00A84270" w:rsidRDefault="00223B43" w:rsidP="00A84270">
      <w:bookmarkStart w:id="88" w:name="_Ref369258737"/>
      <w:bookmarkStart w:id="89" w:name="_Toc378688204"/>
      <w:bookmarkStart w:id="90" w:name="_Toc403122760"/>
      <w:bookmarkStart w:id="91" w:name="_Toc408990884"/>
      <w:r>
        <w:t>These results show that the average annual decay rate for Wave 1 was 4 percent, meaning that the persistence factor</w:t>
      </w:r>
      <w:r>
        <w:rPr>
          <w:rStyle w:val="FootnoteReference"/>
        </w:rPr>
        <w:footnoteReference w:id="23"/>
      </w:r>
      <w:r>
        <w:t xml:space="preserve"> after one year was 96 percent. Based on this decay rate, the measure life for </w:t>
      </w:r>
      <w:r w:rsidR="00697C40">
        <w:t>W</w:t>
      </w:r>
      <w:r w:rsidR="00A84270">
        <w:t>ave</w:t>
      </w:r>
      <w:r w:rsidR="00697C40">
        <w:t xml:space="preserve"> 1 TR</w:t>
      </w:r>
      <w:r w:rsidR="00A84270">
        <w:t xml:space="preserve"> wa</w:t>
      </w:r>
      <w:r>
        <w:t xml:space="preserve">s </w:t>
      </w:r>
      <w:r w:rsidR="00A84270">
        <w:t xml:space="preserve">11 </w:t>
      </w:r>
      <w:r>
        <w:t>years</w:t>
      </w:r>
      <w:r w:rsidR="00A84270">
        <w:t xml:space="preserve">, </w:t>
      </w:r>
      <w:r>
        <w:t>mean</w:t>
      </w:r>
      <w:r w:rsidR="00A84270">
        <w:t>ing that</w:t>
      </w:r>
      <w:r>
        <w:t xml:space="preserve"> treatment customers </w:t>
      </w:r>
      <w:r w:rsidR="00697C40">
        <w:t xml:space="preserve">will </w:t>
      </w:r>
      <w:r>
        <w:t xml:space="preserve">continue to achieve savings for </w:t>
      </w:r>
      <w:r w:rsidR="00A84270">
        <w:t>10</w:t>
      </w:r>
      <w:r>
        <w:t xml:space="preserve"> more years after reports </w:t>
      </w:r>
      <w:r w:rsidR="00697C40">
        <w:t>stop</w:t>
      </w:r>
      <w:r>
        <w:t>.</w:t>
      </w:r>
      <w:r w:rsidR="00A84270" w:rsidRPr="00A84270">
        <w:t xml:space="preserve"> </w:t>
      </w:r>
    </w:p>
    <w:p w14:paraId="248792D6" w14:textId="77777777" w:rsidR="00A84270" w:rsidRDefault="00A84270" w:rsidP="00A84270"/>
    <w:p w14:paraId="76644A69" w14:textId="165394ED" w:rsidR="00A84270" w:rsidRDefault="00A84270" w:rsidP="00A84270">
      <w:r>
        <w:t>For Wave 3 the annual decay</w:t>
      </w:r>
      <w:r w:rsidR="00697C40">
        <w:t xml:space="preserve"> rate</w:t>
      </w:r>
      <w:r>
        <w:t xml:space="preserve"> was 2 percent, meaning that the persistence factor after one year was 98 percent. Based on this decay rate, the measure life for </w:t>
      </w:r>
      <w:r w:rsidR="00697C40">
        <w:t>W</w:t>
      </w:r>
      <w:r>
        <w:t>ave</w:t>
      </w:r>
      <w:r w:rsidR="00697C40">
        <w:t xml:space="preserve"> 3 TR</w:t>
      </w:r>
      <w:r>
        <w:t xml:space="preserve"> was 14 years, meaning that treatment customers </w:t>
      </w:r>
      <w:r w:rsidR="00697C40">
        <w:t xml:space="preserve">will </w:t>
      </w:r>
      <w:r>
        <w:t xml:space="preserve">continue to achieve savings for 13 more years after reports </w:t>
      </w:r>
      <w:r w:rsidR="00697C40">
        <w:t>stop</w:t>
      </w:r>
      <w:r>
        <w:t>.</w:t>
      </w:r>
      <w:r w:rsidRPr="00A84270">
        <w:t xml:space="preserve"> </w:t>
      </w:r>
    </w:p>
    <w:p w14:paraId="6E68075A" w14:textId="77777777" w:rsidR="00A84270" w:rsidRDefault="00A84270" w:rsidP="00A84270"/>
    <w:p w14:paraId="252F30D5" w14:textId="7C160C0C" w:rsidR="00A84270" w:rsidRPr="00075E3F" w:rsidRDefault="00A84270" w:rsidP="00A84270">
      <w:r>
        <w:t xml:space="preserve">For Wave 5 </w:t>
      </w:r>
      <w:r w:rsidR="00697C40">
        <w:t xml:space="preserve">Non-AMI </w:t>
      </w:r>
      <w:r>
        <w:t xml:space="preserve">the annual decay was 22 percent, meaning that the persistence factor after one year was 78 percent. Based on this decay rate, the measure life for </w:t>
      </w:r>
      <w:r w:rsidR="00697C40">
        <w:t>W</w:t>
      </w:r>
      <w:r>
        <w:t>ave</w:t>
      </w:r>
      <w:r w:rsidR="00697C40">
        <w:t xml:space="preserve"> 5 Non-AMI</w:t>
      </w:r>
      <w:r>
        <w:t xml:space="preserve"> was </w:t>
      </w:r>
      <w:r w:rsidR="00697C40">
        <w:t>five</w:t>
      </w:r>
      <w:r>
        <w:t xml:space="preserve"> years, meaning that treatment customers </w:t>
      </w:r>
      <w:r w:rsidR="00697C40">
        <w:t xml:space="preserve">will </w:t>
      </w:r>
      <w:r>
        <w:t>c</w:t>
      </w:r>
      <w:r w:rsidR="00697C40">
        <w:t>ontinue to achieve savings for four</w:t>
      </w:r>
      <w:r>
        <w:t xml:space="preserve"> more years after reports </w:t>
      </w:r>
      <w:r w:rsidR="00697C40">
        <w:t>stop</w:t>
      </w:r>
      <w:r>
        <w:t>.</w:t>
      </w:r>
    </w:p>
    <w:p w14:paraId="2FB64464" w14:textId="057CF0D1" w:rsidR="00A84270" w:rsidRPr="00A84270" w:rsidRDefault="00A84270" w:rsidP="00A84270">
      <w:pPr>
        <w:sectPr w:rsidR="00A84270" w:rsidRPr="00A84270" w:rsidSect="00951E3D">
          <w:footerReference w:type="default" r:id="rId17"/>
          <w:pgSz w:w="12240" w:h="15840" w:code="1"/>
          <w:pgMar w:top="1440" w:right="1440" w:bottom="1440" w:left="1440" w:header="720" w:footer="720" w:gutter="0"/>
          <w:cols w:space="720"/>
          <w:docGrid w:linePitch="360"/>
        </w:sectPr>
      </w:pPr>
    </w:p>
    <w:p w14:paraId="23E00B60" w14:textId="77777777" w:rsidR="00441D99" w:rsidRDefault="00441D99" w:rsidP="00013969">
      <w:pPr>
        <w:pStyle w:val="Heading1"/>
      </w:pPr>
      <w:bookmarkStart w:id="92" w:name="_Toc398546642"/>
      <w:bookmarkStart w:id="93" w:name="_Ref432676914"/>
      <w:bookmarkStart w:id="94" w:name="_Toc441751889"/>
      <w:bookmarkEnd w:id="88"/>
      <w:bookmarkEnd w:id="89"/>
      <w:bookmarkEnd w:id="90"/>
      <w:bookmarkEnd w:id="91"/>
      <w:r>
        <w:lastRenderedPageBreak/>
        <w:t>Net Impact Evaluation</w:t>
      </w:r>
      <w:bookmarkEnd w:id="92"/>
      <w:bookmarkEnd w:id="93"/>
      <w:bookmarkEnd w:id="94"/>
    </w:p>
    <w:p w14:paraId="6C70E4A1" w14:textId="4814D8C4" w:rsidR="00441D99" w:rsidRDefault="00A00EB0" w:rsidP="00441D99">
      <w:r>
        <w:t xml:space="preserve">A key feature of the RCT design of the HER program is that the analysis inherently estimates net savings because there are no participants who otherwise might have received the individualized reports in the absence of the program. While some customers receiving reports may have taken energy-conserving actions or purchased high-efficiency equipment anyway, the random selection of program participants (as opposed to voluntary participation) implies that the control group of customers </w:t>
      </w:r>
      <w:r>
        <w:rPr>
          <w:i/>
        </w:rPr>
        <w:t>not</w:t>
      </w:r>
      <w:r>
        <w:t xml:space="preserve"> receiving reports is expected to exhibit the same degree of energy-conserving behavior and purchases. Thus, there is no free ridership, and no “net-to-gross” (NTG) adjustment is necessary. </w:t>
      </w:r>
    </w:p>
    <w:p w14:paraId="78237519" w14:textId="77777777" w:rsidR="00441D99" w:rsidRDefault="00441D99" w:rsidP="00013969">
      <w:pPr>
        <w:pStyle w:val="Heading1"/>
      </w:pPr>
      <w:bookmarkStart w:id="95" w:name="_Toc398546646"/>
      <w:bookmarkStart w:id="96" w:name="_Toc441751890"/>
      <w:r>
        <w:lastRenderedPageBreak/>
        <w:t>Findings and Recommendations</w:t>
      </w:r>
      <w:bookmarkEnd w:id="95"/>
      <w:bookmarkEnd w:id="96"/>
    </w:p>
    <w:p w14:paraId="27863D05" w14:textId="77777777" w:rsidR="006D7C0A" w:rsidRDefault="006D7C0A" w:rsidP="006D7C0A">
      <w:r w:rsidRPr="00E8651B">
        <w:rPr>
          <w:szCs w:val="20"/>
        </w:rPr>
        <w:t xml:space="preserve">The following </w:t>
      </w:r>
      <w:r>
        <w:rPr>
          <w:szCs w:val="20"/>
        </w:rPr>
        <w:t>section includes</w:t>
      </w:r>
      <w:r w:rsidRPr="00E8651B">
        <w:rPr>
          <w:szCs w:val="20"/>
        </w:rPr>
        <w:t xml:space="preserve"> </w:t>
      </w:r>
      <w:r>
        <w:rPr>
          <w:szCs w:val="20"/>
        </w:rPr>
        <w:t xml:space="preserve">key </w:t>
      </w:r>
      <w:r w:rsidRPr="00E8651B">
        <w:rPr>
          <w:szCs w:val="20"/>
        </w:rPr>
        <w:t>findings and recommendations</w:t>
      </w:r>
      <w:r>
        <w:rPr>
          <w:szCs w:val="20"/>
        </w:rPr>
        <w:t>.</w:t>
      </w:r>
      <w:r>
        <w:rPr>
          <w:rStyle w:val="FootnoteReference"/>
          <w:szCs w:val="20"/>
        </w:rPr>
        <w:footnoteReference w:id="24"/>
      </w:r>
      <w:r>
        <w:rPr>
          <w:szCs w:val="20"/>
        </w:rPr>
        <w:t xml:space="preserve"> </w:t>
      </w:r>
    </w:p>
    <w:p w14:paraId="63DF9FE3" w14:textId="77777777" w:rsidR="006D7C0A" w:rsidRDefault="006D7C0A" w:rsidP="006D7C0A"/>
    <w:p w14:paraId="1505B4B7" w14:textId="77777777" w:rsidR="006D7C0A" w:rsidRDefault="006D7C0A" w:rsidP="006D7C0A">
      <w:pPr>
        <w:ind w:left="540"/>
      </w:pPr>
      <w:r w:rsidRPr="00C33AE0">
        <w:rPr>
          <w:b/>
        </w:rPr>
        <w:t xml:space="preserve">Finding </w:t>
      </w:r>
      <w:r>
        <w:rPr>
          <w:b/>
        </w:rPr>
        <w:t>1</w:t>
      </w:r>
      <w:r w:rsidRPr="00C33AE0">
        <w:rPr>
          <w:b/>
        </w:rPr>
        <w:t>.</w:t>
      </w:r>
      <w:r w:rsidRPr="00C33AE0">
        <w:t xml:space="preserve"> </w:t>
      </w:r>
      <w:r>
        <w:t>The Wave specific annual decay rates for the three ComEd HER TR groups were 4 percent for Wave 1, 2 percent for Wave 3, and 22 percent for Wave 5 Non-AMI. The associated persistence factors (the percentage of savings that persist after one year) were 96 percent, 98 percent, and 78 percent, respectively. These results suggest that the decay rate differs depending on the length of time customers had received reports before they were stopped.</w:t>
      </w:r>
    </w:p>
    <w:p w14:paraId="16F27D84" w14:textId="77777777" w:rsidR="006D7C0A" w:rsidRDefault="006D7C0A" w:rsidP="006D7C0A">
      <w:pPr>
        <w:ind w:left="540"/>
      </w:pPr>
    </w:p>
    <w:p w14:paraId="6FC5EACC" w14:textId="77777777" w:rsidR="006D7C0A" w:rsidRDefault="006D7C0A" w:rsidP="006D7C0A">
      <w:pPr>
        <w:ind w:left="540"/>
      </w:pPr>
      <w:r>
        <w:rPr>
          <w:b/>
        </w:rPr>
        <w:t xml:space="preserve">Finding 2. </w:t>
      </w:r>
      <w:r>
        <w:t>The Wave specific estimated measure life for the three ComEd HER TR groups were 11 years for Wave 1, 14 years for Wave 3, and 5 years for Wave 5 Non-AMI. This means that if reports were sent for 52 months, such as in Wave 1, treatment customers would continue to achieve savings for 10 more years after reports stopped; if reports were sent for 30 months, such as in Wave 2, savings continue for 13 more years; and if reports were sent for 16 months, such as in Wave 5 Non-AMI, savings continue for 4 more years.</w:t>
      </w:r>
    </w:p>
    <w:p w14:paraId="16CD76A5" w14:textId="77777777" w:rsidR="006D7C0A" w:rsidRDefault="006D7C0A" w:rsidP="006D7C0A">
      <w:pPr>
        <w:ind w:left="540"/>
      </w:pPr>
    </w:p>
    <w:p w14:paraId="709A2E7B" w14:textId="77777777" w:rsidR="00603203" w:rsidRDefault="00603203" w:rsidP="00603203">
      <w:pPr>
        <w:ind w:left="540"/>
      </w:pPr>
      <w:r w:rsidRPr="00422181">
        <w:rPr>
          <w:b/>
        </w:rPr>
        <w:t>Recommendation</w:t>
      </w:r>
      <w:r>
        <w:rPr>
          <w:b/>
        </w:rPr>
        <w:t xml:space="preserve"> 1</w:t>
      </w:r>
      <w:r w:rsidRPr="00422181">
        <w:rPr>
          <w:b/>
        </w:rPr>
        <w:t>.</w:t>
      </w:r>
      <w:r w:rsidRPr="00C33AE0">
        <w:t xml:space="preserve"> </w:t>
      </w:r>
      <w:r>
        <w:t>The results of this research should be considered in determining persistence factors and measure life for HER programs in the Illinois Technical Reference Manual (IL TRM). Current IL TRM planning includes a “reset” in PY10</w:t>
      </w:r>
      <w:r>
        <w:rPr>
          <w:rStyle w:val="FootnoteReference"/>
        </w:rPr>
        <w:footnoteReference w:id="25"/>
      </w:r>
      <w:r>
        <w:t xml:space="preserve"> where all pre-existing HER program waves will be considered to be in Year 1 at that time and adopt one set of persistence factors.</w:t>
      </w:r>
      <w:r>
        <w:rPr>
          <w:rStyle w:val="FootnoteReference"/>
        </w:rPr>
        <w:footnoteReference w:id="26"/>
      </w:r>
      <w:r>
        <w:t xml:space="preserve"> This IL TRM measure is planned to account for the fact that HER programs have a multi-year measure life. Of the decay rate and measure life analysis for the three waves presented in this research, Navigant recommends that the findings for Wave 5 Non-AMI (22 percent decay and a 5 year measure life), may be the most applicable values to consider for the IL TRM because Wave 5 Non-AMI was the wave in which customers had only received reports for approximately one year. However, this study represents only one data point in a broader literature and any values created for the IL TRM should also take the broader literature into account.</w:t>
      </w:r>
    </w:p>
    <w:p w14:paraId="268422DB" w14:textId="77777777" w:rsidR="006D7C0A" w:rsidRDefault="006D7C0A" w:rsidP="006D7C0A">
      <w:pPr>
        <w:ind w:left="540"/>
      </w:pPr>
    </w:p>
    <w:p w14:paraId="3639FAC2" w14:textId="77777777" w:rsidR="006D7C0A" w:rsidRPr="00871403" w:rsidRDefault="006D7C0A" w:rsidP="006D7C0A">
      <w:pPr>
        <w:ind w:left="540"/>
      </w:pPr>
      <w:r>
        <w:rPr>
          <w:b/>
        </w:rPr>
        <w:t xml:space="preserve">Recommendation 2. </w:t>
      </w:r>
      <w:r>
        <w:t>ComEd should continue this study and look at savings in the second year after reports are stopped, from November 2014 to October 2015. The continued study would estimate the decay rate in the second year after reports are stopped. This would add to research on whether decay rates remain constant, increase, or decrease in the second year and the results could be used to inform second year persistence factors in the IL TRM.</w:t>
      </w:r>
    </w:p>
    <w:p w14:paraId="08673125" w14:textId="77777777" w:rsidR="00845259" w:rsidRDefault="00845259" w:rsidP="00845259"/>
    <w:p w14:paraId="6D9F1498" w14:textId="77777777" w:rsidR="002321E1" w:rsidRDefault="002321E1" w:rsidP="00845259"/>
    <w:p w14:paraId="64EDEC23" w14:textId="77777777" w:rsidR="002321E1" w:rsidRDefault="002321E1" w:rsidP="00845259">
      <w:pPr>
        <w:sectPr w:rsidR="002321E1" w:rsidSect="00FC3155">
          <w:pgSz w:w="12240" w:h="15840" w:code="1"/>
          <w:pgMar w:top="1440" w:right="1440" w:bottom="1440" w:left="1440" w:header="720" w:footer="720" w:gutter="0"/>
          <w:cols w:space="720"/>
          <w:docGrid w:linePitch="360"/>
        </w:sectPr>
      </w:pPr>
    </w:p>
    <w:p w14:paraId="101429D6" w14:textId="0DF4E124" w:rsidR="00441D99" w:rsidRPr="00DF2E8A" w:rsidRDefault="00441D99" w:rsidP="00013969">
      <w:pPr>
        <w:pStyle w:val="Heading1"/>
      </w:pPr>
      <w:bookmarkStart w:id="97" w:name="_Toc398546647"/>
      <w:bookmarkStart w:id="98" w:name="_Toc441751891"/>
      <w:r w:rsidRPr="00DF2E8A">
        <w:lastRenderedPageBreak/>
        <w:t>Appendix</w:t>
      </w:r>
      <w:bookmarkEnd w:id="97"/>
      <w:bookmarkEnd w:id="98"/>
    </w:p>
    <w:p w14:paraId="0F2704BB" w14:textId="77777777" w:rsidR="00E4410B" w:rsidRDefault="001E0069" w:rsidP="00C80FAE">
      <w:pPr>
        <w:pStyle w:val="Heading2"/>
      </w:pPr>
      <w:bookmarkStart w:id="99" w:name="_Ref432774329"/>
      <w:bookmarkStart w:id="100" w:name="_Toc441751892"/>
      <w:bookmarkStart w:id="101" w:name="_Toc378688199"/>
      <w:bookmarkStart w:id="102" w:name="_Toc403122809"/>
      <w:bookmarkStart w:id="103" w:name="_Toc408990879"/>
      <w:r>
        <w:t>Detailed Data Cleaning</w:t>
      </w:r>
      <w:bookmarkEnd w:id="99"/>
      <w:bookmarkEnd w:id="100"/>
      <w:r w:rsidR="00B3766E">
        <w:t xml:space="preserve"> </w:t>
      </w:r>
      <w:r w:rsidR="0004797D">
        <w:fldChar w:fldCharType="begin"/>
      </w:r>
      <w:r w:rsidR="0004797D">
        <w:instrText xml:space="preserve"> REF _Ref432957208 \h </w:instrText>
      </w:r>
      <w:r w:rsidR="0004797D">
        <w:fldChar w:fldCharType="separate"/>
      </w:r>
    </w:p>
    <w:p w14:paraId="193135BF" w14:textId="4E54E56C" w:rsidR="004C6FFA" w:rsidRDefault="00E4410B" w:rsidP="00A430A7">
      <w:pPr>
        <w:keepNext/>
        <w:keepLines/>
        <w:spacing w:after="80"/>
      </w:pPr>
      <w:r>
        <w:t xml:space="preserve">Table </w:t>
      </w:r>
      <w:r>
        <w:rPr>
          <w:noProof/>
        </w:rPr>
        <w:t>6</w:t>
      </w:r>
      <w:r>
        <w:noBreakHyphen/>
      </w:r>
      <w:r>
        <w:rPr>
          <w:noProof/>
        </w:rPr>
        <w:t>1</w:t>
      </w:r>
      <w:r w:rsidR="0004797D">
        <w:fldChar w:fldCharType="end"/>
      </w:r>
      <w:r w:rsidR="0004797D">
        <w:t xml:space="preserve"> </w:t>
      </w:r>
      <w:r w:rsidR="00B3766E">
        <w:t xml:space="preserve">provides a detailed account of the data cleaning done </w:t>
      </w:r>
      <w:r w:rsidR="0004797D">
        <w:t>for this analysis</w:t>
      </w:r>
      <w:r w:rsidR="00B3766E">
        <w:t>. Navigant removed the following customers and data points from the analysis:</w:t>
      </w:r>
    </w:p>
    <w:p w14:paraId="7DA80BCF" w14:textId="3A55A996" w:rsidR="00B3766E" w:rsidRDefault="00B3766E" w:rsidP="004F21FD">
      <w:pPr>
        <w:pStyle w:val="ListParagraph"/>
        <w:numPr>
          <w:ilvl w:val="0"/>
          <w:numId w:val="16"/>
        </w:numPr>
      </w:pPr>
      <w:r>
        <w:t>Customers with an active account and less than 11 bills or any customer wi</w:t>
      </w:r>
      <w:r w:rsidR="008F6065">
        <w:t>th more than 13 bills during the analysis period</w:t>
      </w:r>
      <w:r w:rsidR="00064EA7">
        <w:t>;</w:t>
      </w:r>
    </w:p>
    <w:p w14:paraId="32D9ED53" w14:textId="7C852294" w:rsidR="00B3766E" w:rsidRDefault="00B3766E" w:rsidP="004F21FD">
      <w:pPr>
        <w:pStyle w:val="ListParagraph"/>
        <w:numPr>
          <w:ilvl w:val="0"/>
          <w:numId w:val="16"/>
        </w:numPr>
      </w:pPr>
      <w:r>
        <w:t>Customers with less than 11 or more than 13 bi</w:t>
      </w:r>
      <w:r w:rsidR="00064EA7">
        <w:t>lls during the pre-program year;</w:t>
      </w:r>
    </w:p>
    <w:p w14:paraId="11942CBE" w14:textId="0EF9D2F1" w:rsidR="00064EA7" w:rsidRDefault="00064EA7" w:rsidP="004F21FD">
      <w:pPr>
        <w:pStyle w:val="ListParagraph"/>
        <w:numPr>
          <w:ilvl w:val="0"/>
          <w:numId w:val="16"/>
        </w:numPr>
      </w:pPr>
      <w:r>
        <w:t>Observations with missing or negative usage;</w:t>
      </w:r>
    </w:p>
    <w:p w14:paraId="6D725CFF" w14:textId="211E1E1A" w:rsidR="00B3766E" w:rsidRDefault="00B3766E" w:rsidP="004F21FD">
      <w:pPr>
        <w:pStyle w:val="ListParagraph"/>
        <w:numPr>
          <w:ilvl w:val="0"/>
          <w:numId w:val="16"/>
        </w:numPr>
      </w:pPr>
      <w:r>
        <w:t>Observations with less than 20 or more than 40 days in the billing cycle</w:t>
      </w:r>
      <w:r w:rsidR="00064EA7">
        <w:t>;</w:t>
      </w:r>
    </w:p>
    <w:p w14:paraId="1C4E690D" w14:textId="41BA1EE2" w:rsidR="00E4410B" w:rsidRDefault="00B3766E" w:rsidP="00A430A7">
      <w:pPr>
        <w:pStyle w:val="ListParagraph"/>
        <w:numPr>
          <w:ilvl w:val="0"/>
          <w:numId w:val="16"/>
        </w:numPr>
      </w:pPr>
      <w:r>
        <w:t>Outliers, defined as observations with average daily usage more than one order of magnitude from the median usage</w:t>
      </w:r>
      <w:r w:rsidR="004C6FFA">
        <w:t>.</w:t>
      </w:r>
      <w:r w:rsidRPr="004F61EC">
        <w:rPr>
          <w:rStyle w:val="FootnoteReference"/>
        </w:rPr>
        <w:footnoteReference w:id="27"/>
      </w:r>
      <w:r w:rsidR="004C6FFA">
        <w:fldChar w:fldCharType="begin"/>
      </w:r>
      <w:r w:rsidR="004C6FFA">
        <w:instrText xml:space="preserve"> REF _Ref432957208 \h </w:instrText>
      </w:r>
      <w:r w:rsidR="004C6FFA">
        <w:fldChar w:fldCharType="separate"/>
      </w:r>
    </w:p>
    <w:p w14:paraId="0720CC8D" w14:textId="77777777" w:rsidR="00E4410B" w:rsidRDefault="00E4410B" w:rsidP="00A430A7"/>
    <w:p w14:paraId="7E86D646" w14:textId="0FF249EC" w:rsidR="00CF61BE" w:rsidRDefault="00E4410B" w:rsidP="00A430A7">
      <w:r>
        <w:t xml:space="preserve">Table </w:t>
      </w:r>
      <w:r>
        <w:rPr>
          <w:noProof/>
        </w:rPr>
        <w:t>6</w:t>
      </w:r>
      <w:r>
        <w:noBreakHyphen/>
      </w:r>
      <w:r>
        <w:rPr>
          <w:noProof/>
        </w:rPr>
        <w:t>1</w:t>
      </w:r>
      <w:r w:rsidR="004C6FFA">
        <w:fldChar w:fldCharType="end"/>
      </w:r>
      <w:r w:rsidR="004C6FFA">
        <w:t xml:space="preserve"> </w:t>
      </w:r>
      <w:r w:rsidR="00B3766E">
        <w:t xml:space="preserve">gives counts of customers removed for the first two steps and observations removed for the </w:t>
      </w:r>
      <w:r w:rsidR="00A430A7">
        <w:t xml:space="preserve">last three </w:t>
      </w:r>
      <w:r w:rsidR="00B3766E">
        <w:t>steps. The table also provides the percentage of customers or observations removed. It is evident from the table that the percentage of customer</w:t>
      </w:r>
      <w:r w:rsidR="004C6FFA">
        <w:t>s</w:t>
      </w:r>
      <w:r w:rsidR="00A430A7">
        <w:t xml:space="preserve"> or observations removed wa</w:t>
      </w:r>
      <w:r w:rsidR="00B3766E">
        <w:t>s very similar across the treatment and control groups for each wave.</w:t>
      </w:r>
      <w:r w:rsidR="004C6FFA">
        <w:t xml:space="preserve"> This suggest</w:t>
      </w:r>
      <w:r w:rsidR="00FF42DC">
        <w:t>s</w:t>
      </w:r>
      <w:r w:rsidR="004C6FFA">
        <w:t xml:space="preserve"> that non-random biases were not introduced into the data by our cleaning.</w:t>
      </w:r>
      <w:bookmarkStart w:id="104" w:name="_Ref432774428"/>
      <w:bookmarkStart w:id="105" w:name="_Ref432957208"/>
      <w:r w:rsidR="00603203">
        <w:t xml:space="preserve"> Across the three waves, the sample size used in our regression analysis represents approximately 76% of the original data received.</w:t>
      </w:r>
    </w:p>
    <w:p w14:paraId="0B78BA35" w14:textId="77777777" w:rsidR="00A430A7" w:rsidRDefault="00A430A7" w:rsidP="00A430A7"/>
    <w:p w14:paraId="47DDBA95" w14:textId="7B109FDA" w:rsidR="00B3766E" w:rsidRDefault="00B3766E" w:rsidP="004301F4">
      <w:pPr>
        <w:pStyle w:val="Caption"/>
      </w:pPr>
      <w:bookmarkStart w:id="106" w:name="_Toc441751905"/>
      <w:r>
        <w:t xml:space="preserve">Table </w:t>
      </w:r>
      <w:fldSimple w:instr=" STYLEREF 1 \s ">
        <w:r w:rsidR="00E4410B">
          <w:rPr>
            <w:noProof/>
          </w:rPr>
          <w:t>6</w:t>
        </w:r>
      </w:fldSimple>
      <w:r w:rsidR="00F05E89">
        <w:noBreakHyphen/>
      </w:r>
      <w:fldSimple w:instr=" SEQ Table \* ARABIC \s 1 ">
        <w:r w:rsidR="00E4410B">
          <w:rPr>
            <w:noProof/>
          </w:rPr>
          <w:t>1</w:t>
        </w:r>
      </w:fldSimple>
      <w:bookmarkEnd w:id="104"/>
      <w:bookmarkEnd w:id="105"/>
      <w:r>
        <w:t>. Customers/Observations Removed by Data Cleaning Step and Wave</w:t>
      </w:r>
      <w:bookmarkEnd w:id="106"/>
    </w:p>
    <w:tbl>
      <w:tblPr>
        <w:tblStyle w:val="ComEdTable"/>
        <w:tblW w:w="5394" w:type="pct"/>
        <w:tblCellMar>
          <w:left w:w="72" w:type="dxa"/>
          <w:right w:w="72" w:type="dxa"/>
        </w:tblCellMar>
        <w:tblLook w:val="04A0" w:firstRow="1" w:lastRow="0" w:firstColumn="1" w:lastColumn="0" w:noHBand="0" w:noVBand="1"/>
      </w:tblPr>
      <w:tblGrid>
        <w:gridCol w:w="2484"/>
        <w:gridCol w:w="1277"/>
        <w:gridCol w:w="1282"/>
        <w:gridCol w:w="1372"/>
        <w:gridCol w:w="1280"/>
        <w:gridCol w:w="1280"/>
        <w:gridCol w:w="1278"/>
      </w:tblGrid>
      <w:tr w:rsidR="00CF61BE" w:rsidRPr="00B6367B" w14:paraId="34D4C088" w14:textId="77777777" w:rsidTr="00A430A7">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1212" w:type="pct"/>
            <w:vMerge w:val="restart"/>
            <w:tcBorders>
              <w:top w:val="nil"/>
            </w:tcBorders>
          </w:tcPr>
          <w:p w14:paraId="1B119B93" w14:textId="240616A5" w:rsidR="007A0767" w:rsidRPr="00B6367B" w:rsidRDefault="007A0767" w:rsidP="007A0767">
            <w:pPr>
              <w:keepNext/>
              <w:keepLines/>
              <w:ind w:left="28"/>
              <w:jc w:val="left"/>
              <w:rPr>
                <w:rFonts w:ascii="Arial Narrow" w:hAnsi="Arial Narrow"/>
                <w:color w:val="FFFFFF"/>
                <w:szCs w:val="20"/>
              </w:rPr>
            </w:pPr>
            <w:r>
              <w:rPr>
                <w:rFonts w:ascii="Arial Narrow" w:hAnsi="Arial Narrow"/>
                <w:color w:val="FFFFFF"/>
                <w:szCs w:val="20"/>
              </w:rPr>
              <w:t>Data Cleaning Step</w:t>
            </w:r>
          </w:p>
        </w:tc>
        <w:tc>
          <w:tcPr>
            <w:tcW w:w="1248" w:type="pct"/>
            <w:gridSpan w:val="2"/>
            <w:tcBorders>
              <w:top w:val="nil"/>
            </w:tcBorders>
          </w:tcPr>
          <w:p w14:paraId="02DAD7BA" w14:textId="580E46D2" w:rsidR="007A0767" w:rsidRPr="00B6367B" w:rsidRDefault="007A0767" w:rsidP="00B6367B">
            <w:pPr>
              <w:keepNext/>
              <w:keepLines/>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FFFFFF"/>
                <w:szCs w:val="20"/>
              </w:rPr>
            </w:pPr>
            <w:r w:rsidRPr="00B6367B">
              <w:rPr>
                <w:rFonts w:ascii="Arial Narrow" w:hAnsi="Arial Narrow"/>
                <w:color w:val="FFFFFF"/>
                <w:szCs w:val="20"/>
              </w:rPr>
              <w:t>Wave 1</w:t>
            </w:r>
          </w:p>
        </w:tc>
        <w:tc>
          <w:tcPr>
            <w:tcW w:w="1293" w:type="pct"/>
            <w:gridSpan w:val="2"/>
            <w:tcBorders>
              <w:top w:val="nil"/>
            </w:tcBorders>
          </w:tcPr>
          <w:p w14:paraId="3493A666" w14:textId="45BD3BC9" w:rsidR="007A0767" w:rsidRPr="00B6367B" w:rsidRDefault="00A827CC" w:rsidP="00B6367B">
            <w:pPr>
              <w:keepNext/>
              <w:keepLines/>
              <w:ind w:left="12"/>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FFFFFF"/>
                <w:szCs w:val="20"/>
              </w:rPr>
            </w:pPr>
            <w:r w:rsidRPr="00B6367B">
              <w:rPr>
                <w:rFonts w:ascii="Arial Narrow" w:hAnsi="Arial Narrow"/>
                <w:color w:val="FFFFFF"/>
                <w:szCs w:val="20"/>
              </w:rPr>
              <w:t>Wave 3</w:t>
            </w:r>
          </w:p>
        </w:tc>
        <w:tc>
          <w:tcPr>
            <w:tcW w:w="1247" w:type="pct"/>
            <w:gridSpan w:val="2"/>
            <w:tcBorders>
              <w:top w:val="nil"/>
            </w:tcBorders>
          </w:tcPr>
          <w:p w14:paraId="4405FD57" w14:textId="5A5812C0" w:rsidR="007A0767" w:rsidRPr="00B6367B" w:rsidRDefault="00A827CC" w:rsidP="00B6367B">
            <w:pPr>
              <w:keepNext/>
              <w:keepLines/>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FFFFFF"/>
                <w:szCs w:val="20"/>
              </w:rPr>
            </w:pPr>
            <w:r w:rsidRPr="00ED2DAA">
              <w:rPr>
                <w:rFonts w:ascii="Arial Narrow" w:hAnsi="Arial Narrow"/>
                <w:szCs w:val="20"/>
              </w:rPr>
              <w:t>Wave 5 Non-AMI</w:t>
            </w:r>
          </w:p>
        </w:tc>
      </w:tr>
      <w:tr w:rsidR="00CF61BE" w:rsidRPr="00B6367B" w14:paraId="31A017BD" w14:textId="77777777" w:rsidTr="00A430A7">
        <w:trPr>
          <w:trHeight w:val="345"/>
        </w:trPr>
        <w:tc>
          <w:tcPr>
            <w:cnfStyle w:val="001000000000" w:firstRow="0" w:lastRow="0" w:firstColumn="1" w:lastColumn="0" w:oddVBand="0" w:evenVBand="0" w:oddHBand="0" w:evenHBand="0" w:firstRowFirstColumn="0" w:firstRowLastColumn="0" w:lastRowFirstColumn="0" w:lastRowLastColumn="0"/>
            <w:tcW w:w="1212" w:type="pct"/>
            <w:vMerge/>
            <w:tcBorders>
              <w:top w:val="nil"/>
              <w:bottom w:val="single" w:sz="4" w:space="0" w:color="DDD9C3"/>
            </w:tcBorders>
            <w:shd w:val="clear" w:color="auto" w:fill="92876D"/>
          </w:tcPr>
          <w:p w14:paraId="6000FE0E" w14:textId="77777777" w:rsidR="00A827CC" w:rsidRPr="00B6367B" w:rsidRDefault="00A827CC" w:rsidP="00A827CC">
            <w:pPr>
              <w:keepNext/>
              <w:keepLines/>
              <w:ind w:left="28"/>
              <w:rPr>
                <w:rFonts w:ascii="Arial Narrow" w:hAnsi="Arial Narrow"/>
                <w:color w:val="FFFFFF"/>
                <w:szCs w:val="20"/>
              </w:rPr>
            </w:pPr>
          </w:p>
        </w:tc>
        <w:tc>
          <w:tcPr>
            <w:tcW w:w="623" w:type="pct"/>
            <w:tcBorders>
              <w:top w:val="nil"/>
              <w:bottom w:val="single" w:sz="4" w:space="0" w:color="DDD9C3"/>
            </w:tcBorders>
            <w:shd w:val="clear" w:color="auto" w:fill="92876D"/>
          </w:tcPr>
          <w:p w14:paraId="2C66518F" w14:textId="71E5C365" w:rsidR="00A827CC" w:rsidRPr="00B6367B" w:rsidRDefault="00A827CC" w:rsidP="00A827CC">
            <w:pPr>
              <w:keepNext/>
              <w:keepLines/>
              <w:cnfStyle w:val="000000000000" w:firstRow="0" w:lastRow="0" w:firstColumn="0" w:lastColumn="0" w:oddVBand="0" w:evenVBand="0" w:oddHBand="0" w:evenHBand="0" w:firstRowFirstColumn="0" w:firstRowLastColumn="0" w:lastRowFirstColumn="0" w:lastRowLastColumn="0"/>
              <w:rPr>
                <w:rFonts w:ascii="Arial Narrow" w:hAnsi="Arial Narrow"/>
                <w:color w:val="FFFFFF"/>
                <w:szCs w:val="20"/>
              </w:rPr>
            </w:pPr>
            <w:r w:rsidRPr="00B6367B">
              <w:rPr>
                <w:rFonts w:ascii="Arial Narrow" w:hAnsi="Arial Narrow"/>
                <w:color w:val="FFFFFF"/>
                <w:szCs w:val="20"/>
              </w:rPr>
              <w:t>Treatment</w:t>
            </w:r>
          </w:p>
        </w:tc>
        <w:tc>
          <w:tcPr>
            <w:tcW w:w="624" w:type="pct"/>
            <w:tcBorders>
              <w:top w:val="nil"/>
              <w:bottom w:val="single" w:sz="4" w:space="0" w:color="DDD9C3"/>
            </w:tcBorders>
            <w:shd w:val="clear" w:color="auto" w:fill="92876D"/>
          </w:tcPr>
          <w:p w14:paraId="211F5061" w14:textId="1685DCD3" w:rsidR="00A827CC" w:rsidRPr="00B6367B" w:rsidRDefault="00A827CC" w:rsidP="00A827CC">
            <w:pPr>
              <w:keepNext/>
              <w:keepLines/>
              <w:cnfStyle w:val="000000000000" w:firstRow="0" w:lastRow="0" w:firstColumn="0" w:lastColumn="0" w:oddVBand="0" w:evenVBand="0" w:oddHBand="0" w:evenHBand="0" w:firstRowFirstColumn="0" w:firstRowLastColumn="0" w:lastRowFirstColumn="0" w:lastRowLastColumn="0"/>
              <w:rPr>
                <w:rFonts w:ascii="Arial Narrow" w:hAnsi="Arial Narrow"/>
                <w:color w:val="FFFFFF"/>
                <w:szCs w:val="20"/>
              </w:rPr>
            </w:pPr>
            <w:r w:rsidRPr="00B6367B">
              <w:rPr>
                <w:rFonts w:ascii="Arial Narrow" w:hAnsi="Arial Narrow"/>
                <w:color w:val="FFFFFF"/>
                <w:szCs w:val="20"/>
              </w:rPr>
              <w:t>Control</w:t>
            </w:r>
          </w:p>
        </w:tc>
        <w:tc>
          <w:tcPr>
            <w:tcW w:w="669" w:type="pct"/>
            <w:tcBorders>
              <w:top w:val="nil"/>
              <w:bottom w:val="single" w:sz="4" w:space="0" w:color="DDD9C3"/>
            </w:tcBorders>
            <w:shd w:val="clear" w:color="auto" w:fill="92876D"/>
          </w:tcPr>
          <w:p w14:paraId="30316468" w14:textId="1B6EAC94" w:rsidR="00A827CC" w:rsidRPr="00B6367B" w:rsidRDefault="00A827CC" w:rsidP="00A827CC">
            <w:pPr>
              <w:keepNext/>
              <w:keepLines/>
              <w:ind w:left="12"/>
              <w:cnfStyle w:val="000000000000" w:firstRow="0" w:lastRow="0" w:firstColumn="0" w:lastColumn="0" w:oddVBand="0" w:evenVBand="0" w:oddHBand="0" w:evenHBand="0" w:firstRowFirstColumn="0" w:firstRowLastColumn="0" w:lastRowFirstColumn="0" w:lastRowLastColumn="0"/>
              <w:rPr>
                <w:rFonts w:ascii="Arial Narrow" w:hAnsi="Arial Narrow"/>
                <w:color w:val="FFFFFF"/>
                <w:szCs w:val="20"/>
              </w:rPr>
            </w:pPr>
            <w:r w:rsidRPr="00B6367B">
              <w:rPr>
                <w:rFonts w:ascii="Arial Narrow" w:hAnsi="Arial Narrow"/>
                <w:color w:val="FFFFFF"/>
                <w:szCs w:val="20"/>
              </w:rPr>
              <w:t>Treatment</w:t>
            </w:r>
          </w:p>
        </w:tc>
        <w:tc>
          <w:tcPr>
            <w:tcW w:w="624" w:type="pct"/>
            <w:tcBorders>
              <w:top w:val="nil"/>
              <w:bottom w:val="single" w:sz="4" w:space="0" w:color="DDD9C3"/>
            </w:tcBorders>
            <w:shd w:val="clear" w:color="auto" w:fill="92876D"/>
          </w:tcPr>
          <w:p w14:paraId="495B654A" w14:textId="36A934F8" w:rsidR="00A827CC" w:rsidRPr="00B6367B" w:rsidRDefault="00A827CC" w:rsidP="00A827CC">
            <w:pPr>
              <w:keepNext/>
              <w:keepLines/>
              <w:ind w:left="12"/>
              <w:cnfStyle w:val="000000000000" w:firstRow="0" w:lastRow="0" w:firstColumn="0" w:lastColumn="0" w:oddVBand="0" w:evenVBand="0" w:oddHBand="0" w:evenHBand="0" w:firstRowFirstColumn="0" w:firstRowLastColumn="0" w:lastRowFirstColumn="0" w:lastRowLastColumn="0"/>
              <w:rPr>
                <w:rFonts w:ascii="Arial Narrow" w:hAnsi="Arial Narrow"/>
                <w:color w:val="FFFFFF"/>
                <w:szCs w:val="20"/>
              </w:rPr>
            </w:pPr>
            <w:r w:rsidRPr="00B6367B">
              <w:rPr>
                <w:rFonts w:ascii="Arial Narrow" w:hAnsi="Arial Narrow"/>
                <w:color w:val="FFFFFF"/>
                <w:szCs w:val="20"/>
              </w:rPr>
              <w:t>Control</w:t>
            </w:r>
          </w:p>
        </w:tc>
        <w:tc>
          <w:tcPr>
            <w:tcW w:w="624" w:type="pct"/>
            <w:tcBorders>
              <w:top w:val="nil"/>
              <w:bottom w:val="single" w:sz="4" w:space="0" w:color="DDD9C3"/>
            </w:tcBorders>
            <w:shd w:val="clear" w:color="auto" w:fill="92876D"/>
          </w:tcPr>
          <w:p w14:paraId="1B9403E3" w14:textId="1865D23D" w:rsidR="00A827CC" w:rsidRPr="00B6367B" w:rsidRDefault="00A827CC" w:rsidP="00A827CC">
            <w:pPr>
              <w:keepNext/>
              <w:keepLines/>
              <w:cnfStyle w:val="000000000000" w:firstRow="0" w:lastRow="0" w:firstColumn="0" w:lastColumn="0" w:oddVBand="0" w:evenVBand="0" w:oddHBand="0" w:evenHBand="0" w:firstRowFirstColumn="0" w:firstRowLastColumn="0" w:lastRowFirstColumn="0" w:lastRowLastColumn="0"/>
              <w:rPr>
                <w:rFonts w:ascii="Arial Narrow" w:hAnsi="Arial Narrow"/>
                <w:color w:val="FFFFFF"/>
                <w:szCs w:val="20"/>
              </w:rPr>
            </w:pPr>
            <w:r w:rsidRPr="00B6367B">
              <w:rPr>
                <w:rFonts w:ascii="Arial Narrow" w:hAnsi="Arial Narrow"/>
                <w:color w:val="FFFFFF"/>
                <w:szCs w:val="20"/>
              </w:rPr>
              <w:t>Treatment</w:t>
            </w:r>
          </w:p>
        </w:tc>
        <w:tc>
          <w:tcPr>
            <w:tcW w:w="622" w:type="pct"/>
            <w:tcBorders>
              <w:top w:val="nil"/>
              <w:bottom w:val="single" w:sz="4" w:space="0" w:color="DDD9C3"/>
            </w:tcBorders>
            <w:shd w:val="clear" w:color="auto" w:fill="92876D"/>
          </w:tcPr>
          <w:p w14:paraId="5249AFBC" w14:textId="153F3F89" w:rsidR="00A827CC" w:rsidRPr="00B6367B" w:rsidRDefault="00A827CC" w:rsidP="00A827CC">
            <w:pPr>
              <w:keepNext/>
              <w:keepLines/>
              <w:cnfStyle w:val="000000000000" w:firstRow="0" w:lastRow="0" w:firstColumn="0" w:lastColumn="0" w:oddVBand="0" w:evenVBand="0" w:oddHBand="0" w:evenHBand="0" w:firstRowFirstColumn="0" w:firstRowLastColumn="0" w:lastRowFirstColumn="0" w:lastRowLastColumn="0"/>
              <w:rPr>
                <w:rFonts w:ascii="Arial Narrow" w:hAnsi="Arial Narrow"/>
                <w:color w:val="FFFFFF"/>
                <w:szCs w:val="20"/>
              </w:rPr>
            </w:pPr>
            <w:r w:rsidRPr="00B6367B">
              <w:rPr>
                <w:rFonts w:ascii="Arial Narrow" w:hAnsi="Arial Narrow"/>
                <w:color w:val="FFFFFF"/>
                <w:szCs w:val="20"/>
              </w:rPr>
              <w:t>Control</w:t>
            </w:r>
          </w:p>
        </w:tc>
      </w:tr>
      <w:tr w:rsidR="00CF61BE" w:rsidRPr="00B6367B" w14:paraId="6B7D52B1" w14:textId="77777777" w:rsidTr="00A430A7">
        <w:tc>
          <w:tcPr>
            <w:cnfStyle w:val="001000000000" w:firstRow="0" w:lastRow="0" w:firstColumn="1" w:lastColumn="0" w:oddVBand="0" w:evenVBand="0" w:oddHBand="0" w:evenHBand="0" w:firstRowFirstColumn="0" w:firstRowLastColumn="0" w:lastRowFirstColumn="0" w:lastRowLastColumn="0"/>
            <w:tcW w:w="1212" w:type="pct"/>
            <w:tcBorders>
              <w:top w:val="single" w:sz="4" w:space="0" w:color="DDD9C3"/>
            </w:tcBorders>
            <w:vAlign w:val="bottom"/>
          </w:tcPr>
          <w:p w14:paraId="7D99679E" w14:textId="5F6F98E4" w:rsidR="00A827CC" w:rsidRPr="004F5021" w:rsidRDefault="00A827CC" w:rsidP="00A827CC">
            <w:pPr>
              <w:keepNext/>
              <w:keepLines/>
              <w:ind w:left="28"/>
              <w:jc w:val="left"/>
              <w:rPr>
                <w:rFonts w:ascii="Arial Narrow" w:hAnsi="Arial Narrow"/>
                <w:szCs w:val="20"/>
              </w:rPr>
            </w:pPr>
            <w:r w:rsidRPr="004F5021">
              <w:rPr>
                <w:rFonts w:ascii="Arial Narrow" w:hAnsi="Arial Narrow"/>
                <w:color w:val="000000"/>
                <w:szCs w:val="20"/>
              </w:rPr>
              <w:t xml:space="preserve">Customers with &lt; 11 or &gt; 13 bills during program year </w:t>
            </w:r>
          </w:p>
        </w:tc>
        <w:tc>
          <w:tcPr>
            <w:tcW w:w="623" w:type="pct"/>
            <w:tcBorders>
              <w:top w:val="single" w:sz="4" w:space="0" w:color="DDD9C3"/>
            </w:tcBorders>
          </w:tcPr>
          <w:p w14:paraId="7BE17862" w14:textId="2C5FDC25" w:rsidR="00A827CC" w:rsidRPr="00B6367B" w:rsidRDefault="00967AA6" w:rsidP="00A827CC">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color w:val="000000"/>
                <w:szCs w:val="20"/>
              </w:rPr>
              <w:t>47</w:t>
            </w:r>
            <w:r w:rsidR="00A827CC">
              <w:rPr>
                <w:rFonts w:ascii="Arial Narrow" w:hAnsi="Arial Narrow"/>
                <w:color w:val="000000"/>
                <w:szCs w:val="20"/>
              </w:rPr>
              <w:t xml:space="preserve"> / </w:t>
            </w:r>
            <w:r w:rsidR="00A827CC" w:rsidRPr="00B6367B">
              <w:rPr>
                <w:rFonts w:ascii="Arial Narrow" w:hAnsi="Arial Narrow"/>
                <w:color w:val="000000"/>
                <w:szCs w:val="20"/>
              </w:rPr>
              <w:t>0.1%</w:t>
            </w:r>
          </w:p>
        </w:tc>
        <w:tc>
          <w:tcPr>
            <w:tcW w:w="624" w:type="pct"/>
            <w:tcBorders>
              <w:top w:val="single" w:sz="4" w:space="0" w:color="DDD9C3"/>
            </w:tcBorders>
          </w:tcPr>
          <w:p w14:paraId="01290C9E" w14:textId="6B6E7498" w:rsidR="00A827CC" w:rsidRPr="00B6367B" w:rsidRDefault="00967AA6" w:rsidP="00A827CC">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color w:val="000000"/>
                <w:szCs w:val="20"/>
              </w:rPr>
              <w:t>45</w:t>
            </w:r>
            <w:r w:rsidR="00A827CC">
              <w:rPr>
                <w:rFonts w:ascii="Arial Narrow" w:hAnsi="Arial Narrow"/>
                <w:color w:val="000000"/>
                <w:szCs w:val="20"/>
              </w:rPr>
              <w:t xml:space="preserve"> / </w:t>
            </w:r>
            <w:r w:rsidR="00A827CC" w:rsidRPr="00B6367B">
              <w:rPr>
                <w:rFonts w:ascii="Arial Narrow" w:hAnsi="Arial Narrow"/>
                <w:color w:val="000000"/>
                <w:szCs w:val="20"/>
              </w:rPr>
              <w:t>0.1%</w:t>
            </w:r>
          </w:p>
        </w:tc>
        <w:tc>
          <w:tcPr>
            <w:tcW w:w="669" w:type="pct"/>
            <w:tcBorders>
              <w:top w:val="single" w:sz="4" w:space="0" w:color="DDD9C3"/>
            </w:tcBorders>
          </w:tcPr>
          <w:p w14:paraId="4ADF3267" w14:textId="2E75B962" w:rsidR="00A827CC" w:rsidRPr="00B6367B" w:rsidRDefault="00386271" w:rsidP="00A827CC">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color w:val="000000"/>
                <w:szCs w:val="20"/>
              </w:rPr>
              <w:t>349</w:t>
            </w:r>
            <w:r w:rsidR="00A827CC">
              <w:rPr>
                <w:rFonts w:ascii="Arial Narrow" w:hAnsi="Arial Narrow"/>
                <w:color w:val="000000"/>
                <w:szCs w:val="20"/>
              </w:rPr>
              <w:t xml:space="preserve"> / </w:t>
            </w:r>
            <w:r>
              <w:rPr>
                <w:rFonts w:ascii="Arial Narrow" w:hAnsi="Arial Narrow"/>
                <w:color w:val="000000"/>
                <w:szCs w:val="20"/>
              </w:rPr>
              <w:t>0.1</w:t>
            </w:r>
            <w:r w:rsidR="00A827CC" w:rsidRPr="00B6367B">
              <w:rPr>
                <w:rFonts w:ascii="Arial Narrow" w:hAnsi="Arial Narrow"/>
                <w:color w:val="000000"/>
                <w:szCs w:val="20"/>
              </w:rPr>
              <w:t>%</w:t>
            </w:r>
          </w:p>
        </w:tc>
        <w:tc>
          <w:tcPr>
            <w:tcW w:w="624" w:type="pct"/>
            <w:tcBorders>
              <w:top w:val="single" w:sz="4" w:space="0" w:color="DDD9C3"/>
            </w:tcBorders>
          </w:tcPr>
          <w:p w14:paraId="1ED5B263" w14:textId="7D327BC2" w:rsidR="00A827CC" w:rsidRPr="00B6367B" w:rsidRDefault="00386271" w:rsidP="00A827CC">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color w:val="000000"/>
                <w:szCs w:val="20"/>
              </w:rPr>
              <w:t>77</w:t>
            </w:r>
            <w:r w:rsidR="00A827CC">
              <w:rPr>
                <w:rFonts w:ascii="Arial Narrow" w:hAnsi="Arial Narrow"/>
                <w:color w:val="000000"/>
                <w:szCs w:val="20"/>
              </w:rPr>
              <w:t xml:space="preserve"> / </w:t>
            </w:r>
            <w:r>
              <w:rPr>
                <w:rFonts w:ascii="Arial Narrow" w:hAnsi="Arial Narrow"/>
                <w:color w:val="000000"/>
                <w:szCs w:val="20"/>
              </w:rPr>
              <w:t>0.1</w:t>
            </w:r>
            <w:r w:rsidR="00A827CC" w:rsidRPr="00B6367B">
              <w:rPr>
                <w:rFonts w:ascii="Arial Narrow" w:hAnsi="Arial Narrow"/>
                <w:color w:val="000000"/>
                <w:szCs w:val="20"/>
              </w:rPr>
              <w:t>%</w:t>
            </w:r>
          </w:p>
        </w:tc>
        <w:tc>
          <w:tcPr>
            <w:tcW w:w="624" w:type="pct"/>
            <w:tcBorders>
              <w:top w:val="single" w:sz="4" w:space="0" w:color="DDD9C3"/>
            </w:tcBorders>
          </w:tcPr>
          <w:p w14:paraId="1740D4A1" w14:textId="398D50FB" w:rsidR="00A827CC" w:rsidRPr="00B6367B" w:rsidRDefault="00671715" w:rsidP="00A430A7">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color w:val="000000"/>
                <w:szCs w:val="20"/>
              </w:rPr>
              <w:t>81</w:t>
            </w:r>
            <w:r w:rsidR="00A827CC">
              <w:rPr>
                <w:rFonts w:ascii="Arial Narrow" w:hAnsi="Arial Narrow"/>
                <w:color w:val="000000"/>
                <w:szCs w:val="20"/>
              </w:rPr>
              <w:t xml:space="preserve"> / </w:t>
            </w:r>
            <w:r w:rsidR="00A827CC" w:rsidRPr="00874B5F">
              <w:rPr>
                <w:rFonts w:ascii="Arial Narrow" w:hAnsi="Arial Narrow"/>
                <w:color w:val="000000"/>
                <w:szCs w:val="20"/>
              </w:rPr>
              <w:t>0.4%</w:t>
            </w:r>
          </w:p>
        </w:tc>
        <w:tc>
          <w:tcPr>
            <w:tcW w:w="622" w:type="pct"/>
            <w:tcBorders>
              <w:top w:val="single" w:sz="4" w:space="0" w:color="DDD9C3"/>
            </w:tcBorders>
          </w:tcPr>
          <w:p w14:paraId="07294128" w14:textId="684E276F" w:rsidR="00A827CC" w:rsidRPr="00B6367B" w:rsidRDefault="00A827CC" w:rsidP="00A430A7">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sidRPr="00874B5F">
              <w:rPr>
                <w:rFonts w:ascii="Arial Narrow" w:hAnsi="Arial Narrow"/>
                <w:color w:val="000000"/>
                <w:szCs w:val="20"/>
              </w:rPr>
              <w:t>58</w:t>
            </w:r>
            <w:r>
              <w:rPr>
                <w:rFonts w:ascii="Arial Narrow" w:hAnsi="Arial Narrow"/>
                <w:color w:val="000000"/>
                <w:szCs w:val="20"/>
              </w:rPr>
              <w:t xml:space="preserve"> / </w:t>
            </w:r>
            <w:r w:rsidRPr="00874B5F">
              <w:rPr>
                <w:rFonts w:ascii="Arial Narrow" w:hAnsi="Arial Narrow"/>
                <w:color w:val="000000"/>
                <w:szCs w:val="20"/>
              </w:rPr>
              <w:t>0.5%</w:t>
            </w:r>
          </w:p>
        </w:tc>
      </w:tr>
      <w:tr w:rsidR="00CF61BE" w:rsidRPr="00B6367B" w14:paraId="68968499" w14:textId="77777777" w:rsidTr="00A430A7">
        <w:tc>
          <w:tcPr>
            <w:cnfStyle w:val="001000000000" w:firstRow="0" w:lastRow="0" w:firstColumn="1" w:lastColumn="0" w:oddVBand="0" w:evenVBand="0" w:oddHBand="0" w:evenHBand="0" w:firstRowFirstColumn="0" w:firstRowLastColumn="0" w:lastRowFirstColumn="0" w:lastRowLastColumn="0"/>
            <w:tcW w:w="1212" w:type="pct"/>
            <w:vAlign w:val="bottom"/>
          </w:tcPr>
          <w:p w14:paraId="41DA3095" w14:textId="57494A01" w:rsidR="00A827CC" w:rsidRPr="004F5021" w:rsidRDefault="00A827CC" w:rsidP="00A827CC">
            <w:pPr>
              <w:keepNext/>
              <w:keepLines/>
              <w:ind w:left="28"/>
              <w:jc w:val="left"/>
              <w:rPr>
                <w:rFonts w:ascii="Arial Narrow" w:hAnsi="Arial Narrow"/>
                <w:szCs w:val="20"/>
              </w:rPr>
            </w:pPr>
            <w:r w:rsidRPr="004F5021">
              <w:rPr>
                <w:rFonts w:ascii="Arial Narrow" w:hAnsi="Arial Narrow"/>
                <w:color w:val="000000"/>
                <w:szCs w:val="20"/>
              </w:rPr>
              <w:t xml:space="preserve">Customers with &lt; 11 or &gt; 13 bills during pre-program year </w:t>
            </w:r>
          </w:p>
        </w:tc>
        <w:tc>
          <w:tcPr>
            <w:tcW w:w="623" w:type="pct"/>
          </w:tcPr>
          <w:p w14:paraId="5268CE3D" w14:textId="73A51CF7" w:rsidR="00A827CC" w:rsidRPr="00B6367B" w:rsidRDefault="00B55BAA" w:rsidP="00A827CC">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color w:val="000000"/>
                <w:szCs w:val="20"/>
              </w:rPr>
              <w:t>286</w:t>
            </w:r>
            <w:r w:rsidR="00A827CC">
              <w:rPr>
                <w:rFonts w:ascii="Arial Narrow" w:hAnsi="Arial Narrow"/>
                <w:color w:val="000000"/>
                <w:szCs w:val="20"/>
              </w:rPr>
              <w:t xml:space="preserve"> / </w:t>
            </w:r>
            <w:r>
              <w:rPr>
                <w:rFonts w:ascii="Arial Narrow" w:hAnsi="Arial Narrow"/>
                <w:color w:val="000000"/>
                <w:szCs w:val="20"/>
              </w:rPr>
              <w:t>0.1</w:t>
            </w:r>
            <w:r w:rsidR="00A827CC" w:rsidRPr="00B6367B">
              <w:rPr>
                <w:rFonts w:ascii="Arial Narrow" w:hAnsi="Arial Narrow"/>
                <w:color w:val="000000"/>
                <w:szCs w:val="20"/>
              </w:rPr>
              <w:t>%</w:t>
            </w:r>
          </w:p>
        </w:tc>
        <w:tc>
          <w:tcPr>
            <w:tcW w:w="624" w:type="pct"/>
          </w:tcPr>
          <w:p w14:paraId="6A86ADB3" w14:textId="7E64BDD8" w:rsidR="00A827CC" w:rsidRPr="00B6367B" w:rsidRDefault="00B55BAA" w:rsidP="00A827CC">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color w:val="000000"/>
                <w:szCs w:val="20"/>
              </w:rPr>
              <w:t>296</w:t>
            </w:r>
            <w:r w:rsidR="00A827CC">
              <w:rPr>
                <w:rFonts w:ascii="Arial Narrow" w:hAnsi="Arial Narrow"/>
                <w:color w:val="000000"/>
                <w:szCs w:val="20"/>
              </w:rPr>
              <w:t xml:space="preserve"> / </w:t>
            </w:r>
            <w:r>
              <w:rPr>
                <w:rFonts w:ascii="Arial Narrow" w:hAnsi="Arial Narrow"/>
                <w:color w:val="000000"/>
                <w:szCs w:val="20"/>
              </w:rPr>
              <w:t>0.1</w:t>
            </w:r>
            <w:r w:rsidR="00A827CC" w:rsidRPr="00B6367B">
              <w:rPr>
                <w:rFonts w:ascii="Arial Narrow" w:hAnsi="Arial Narrow"/>
                <w:color w:val="000000"/>
                <w:szCs w:val="20"/>
              </w:rPr>
              <w:t>%</w:t>
            </w:r>
          </w:p>
        </w:tc>
        <w:tc>
          <w:tcPr>
            <w:tcW w:w="669" w:type="pct"/>
          </w:tcPr>
          <w:p w14:paraId="50AC2AA3" w14:textId="2DC60729" w:rsidR="00A827CC" w:rsidRPr="00B6367B" w:rsidRDefault="00ED3CAA" w:rsidP="00A827CC">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color w:val="000000"/>
                <w:szCs w:val="20"/>
              </w:rPr>
              <w:t>4,054</w:t>
            </w:r>
            <w:r w:rsidR="00A827CC">
              <w:rPr>
                <w:rFonts w:ascii="Arial Narrow" w:hAnsi="Arial Narrow"/>
                <w:color w:val="000000"/>
                <w:szCs w:val="20"/>
              </w:rPr>
              <w:t xml:space="preserve"> / </w:t>
            </w:r>
            <w:r>
              <w:rPr>
                <w:rFonts w:ascii="Arial Narrow" w:hAnsi="Arial Narrow"/>
                <w:color w:val="000000"/>
                <w:szCs w:val="20"/>
              </w:rPr>
              <w:t>0.1</w:t>
            </w:r>
            <w:r w:rsidR="00A827CC" w:rsidRPr="00B6367B">
              <w:rPr>
                <w:rFonts w:ascii="Arial Narrow" w:hAnsi="Arial Narrow"/>
                <w:color w:val="000000"/>
                <w:szCs w:val="20"/>
              </w:rPr>
              <w:t>%</w:t>
            </w:r>
          </w:p>
        </w:tc>
        <w:tc>
          <w:tcPr>
            <w:tcW w:w="624" w:type="pct"/>
          </w:tcPr>
          <w:p w14:paraId="4BC2A99B" w14:textId="0C938EB5" w:rsidR="00A827CC" w:rsidRPr="00B6367B" w:rsidRDefault="00ED3CAA" w:rsidP="00A827CC">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color w:val="000000"/>
                <w:szCs w:val="20"/>
              </w:rPr>
              <w:t>994 / 0.1</w:t>
            </w:r>
            <w:r w:rsidR="00A827CC" w:rsidRPr="00B6367B">
              <w:rPr>
                <w:rFonts w:ascii="Arial Narrow" w:hAnsi="Arial Narrow"/>
                <w:color w:val="000000"/>
                <w:szCs w:val="20"/>
              </w:rPr>
              <w:t>%</w:t>
            </w:r>
          </w:p>
        </w:tc>
        <w:tc>
          <w:tcPr>
            <w:tcW w:w="624" w:type="pct"/>
          </w:tcPr>
          <w:p w14:paraId="3318A7AB" w14:textId="4D1A6071" w:rsidR="00A827CC" w:rsidRPr="00B6367B" w:rsidRDefault="00671715" w:rsidP="00A430A7">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color w:val="000000"/>
                <w:szCs w:val="20"/>
              </w:rPr>
              <w:t>4,748</w:t>
            </w:r>
            <w:r w:rsidR="00A827CC">
              <w:rPr>
                <w:rFonts w:ascii="Arial Narrow" w:hAnsi="Arial Narrow"/>
                <w:color w:val="000000"/>
                <w:szCs w:val="20"/>
              </w:rPr>
              <w:t xml:space="preserve"> / </w:t>
            </w:r>
            <w:r w:rsidR="00A827CC" w:rsidRPr="00874B5F">
              <w:rPr>
                <w:rFonts w:ascii="Arial Narrow" w:hAnsi="Arial Narrow"/>
                <w:color w:val="000000"/>
                <w:szCs w:val="20"/>
              </w:rPr>
              <w:t>24.1%</w:t>
            </w:r>
          </w:p>
        </w:tc>
        <w:tc>
          <w:tcPr>
            <w:tcW w:w="622" w:type="pct"/>
          </w:tcPr>
          <w:p w14:paraId="05F189A3" w14:textId="0A359B72" w:rsidR="00A827CC" w:rsidRPr="00B6367B" w:rsidRDefault="00A827CC" w:rsidP="00A430A7">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sidRPr="00874B5F">
              <w:rPr>
                <w:rFonts w:ascii="Arial Narrow" w:hAnsi="Arial Narrow"/>
                <w:color w:val="000000"/>
                <w:szCs w:val="20"/>
              </w:rPr>
              <w:t>3,069</w:t>
            </w:r>
            <w:r>
              <w:rPr>
                <w:rFonts w:ascii="Arial Narrow" w:hAnsi="Arial Narrow"/>
                <w:color w:val="000000"/>
                <w:szCs w:val="20"/>
              </w:rPr>
              <w:t xml:space="preserve"> / </w:t>
            </w:r>
            <w:r w:rsidRPr="00874B5F">
              <w:rPr>
                <w:rFonts w:ascii="Arial Narrow" w:hAnsi="Arial Narrow"/>
                <w:color w:val="000000"/>
                <w:szCs w:val="20"/>
              </w:rPr>
              <w:t>24.3%</w:t>
            </w:r>
          </w:p>
        </w:tc>
      </w:tr>
      <w:tr w:rsidR="00CF61BE" w:rsidRPr="00B6367B" w14:paraId="3D6886C4" w14:textId="77777777" w:rsidTr="00A430A7">
        <w:tc>
          <w:tcPr>
            <w:cnfStyle w:val="001000000000" w:firstRow="0" w:lastRow="0" w:firstColumn="1" w:lastColumn="0" w:oddVBand="0" w:evenVBand="0" w:oddHBand="0" w:evenHBand="0" w:firstRowFirstColumn="0" w:firstRowLastColumn="0" w:lastRowFirstColumn="0" w:lastRowLastColumn="0"/>
            <w:tcW w:w="1212" w:type="pct"/>
          </w:tcPr>
          <w:p w14:paraId="2D0BE8BA" w14:textId="6E06D428" w:rsidR="00A827CC" w:rsidRPr="004F5021" w:rsidRDefault="00A827CC" w:rsidP="00A827CC">
            <w:pPr>
              <w:keepNext/>
              <w:keepLines/>
              <w:ind w:left="28"/>
              <w:jc w:val="left"/>
              <w:rPr>
                <w:rFonts w:ascii="Arial Narrow" w:hAnsi="Arial Narrow"/>
                <w:color w:val="000000"/>
                <w:szCs w:val="20"/>
              </w:rPr>
            </w:pPr>
            <w:r w:rsidRPr="004F5021">
              <w:rPr>
                <w:rFonts w:ascii="Arial Narrow" w:hAnsi="Arial Narrow"/>
                <w:color w:val="000000"/>
                <w:szCs w:val="20"/>
              </w:rPr>
              <w:t>Remove observations with missing or negative usage</w:t>
            </w:r>
          </w:p>
        </w:tc>
        <w:tc>
          <w:tcPr>
            <w:tcW w:w="623" w:type="pct"/>
          </w:tcPr>
          <w:p w14:paraId="3CEBFBB7" w14:textId="54AEB769" w:rsidR="00A827CC" w:rsidRDefault="00A827CC" w:rsidP="00A827CC">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szCs w:val="20"/>
              </w:rPr>
              <w:t>0 / 0.0%</w:t>
            </w:r>
          </w:p>
        </w:tc>
        <w:tc>
          <w:tcPr>
            <w:tcW w:w="624" w:type="pct"/>
          </w:tcPr>
          <w:p w14:paraId="442474A5" w14:textId="4DBF10E8" w:rsidR="00A827CC" w:rsidRDefault="00A827CC" w:rsidP="00A827CC">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szCs w:val="20"/>
              </w:rPr>
              <w:t>0 / 0.0%</w:t>
            </w:r>
          </w:p>
        </w:tc>
        <w:tc>
          <w:tcPr>
            <w:tcW w:w="669" w:type="pct"/>
          </w:tcPr>
          <w:p w14:paraId="459BBDA0" w14:textId="1DE3CB2E" w:rsidR="00A827CC" w:rsidRPr="00B6367B" w:rsidRDefault="00ED3CAA" w:rsidP="00A827CC">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szCs w:val="20"/>
              </w:rPr>
              <w:t>10 / 0.1</w:t>
            </w:r>
            <w:r w:rsidR="00A827CC">
              <w:rPr>
                <w:rFonts w:ascii="Arial Narrow" w:hAnsi="Arial Narrow"/>
                <w:szCs w:val="20"/>
              </w:rPr>
              <w:t>%</w:t>
            </w:r>
          </w:p>
        </w:tc>
        <w:tc>
          <w:tcPr>
            <w:tcW w:w="624" w:type="pct"/>
          </w:tcPr>
          <w:p w14:paraId="02C67B3F" w14:textId="762D7F11" w:rsidR="00A827CC" w:rsidRPr="00B6367B" w:rsidRDefault="00ED3CAA" w:rsidP="00A827CC">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szCs w:val="20"/>
              </w:rPr>
              <w:t>1 / 0.1</w:t>
            </w:r>
            <w:r w:rsidR="00A827CC">
              <w:rPr>
                <w:rFonts w:ascii="Arial Narrow" w:hAnsi="Arial Narrow"/>
                <w:szCs w:val="20"/>
              </w:rPr>
              <w:t>%</w:t>
            </w:r>
          </w:p>
        </w:tc>
        <w:tc>
          <w:tcPr>
            <w:tcW w:w="624" w:type="pct"/>
          </w:tcPr>
          <w:p w14:paraId="1372C461" w14:textId="2E09541C" w:rsidR="00A827CC" w:rsidRPr="00B6367B" w:rsidRDefault="00A827CC" w:rsidP="00A430A7">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color w:val="000000"/>
                <w:szCs w:val="20"/>
              </w:rPr>
              <w:t>4 / 0.0%</w:t>
            </w:r>
          </w:p>
        </w:tc>
        <w:tc>
          <w:tcPr>
            <w:tcW w:w="622" w:type="pct"/>
          </w:tcPr>
          <w:p w14:paraId="34E48253" w14:textId="1D6A152D" w:rsidR="00A827CC" w:rsidRPr="00B6367B" w:rsidRDefault="00A827CC" w:rsidP="00A430A7">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color w:val="000000"/>
                <w:szCs w:val="20"/>
              </w:rPr>
              <w:t>0 / 0.0%</w:t>
            </w:r>
          </w:p>
        </w:tc>
      </w:tr>
      <w:tr w:rsidR="00CF61BE" w:rsidRPr="00B6367B" w14:paraId="503A3FAB" w14:textId="77777777" w:rsidTr="00A430A7">
        <w:tc>
          <w:tcPr>
            <w:cnfStyle w:val="001000000000" w:firstRow="0" w:lastRow="0" w:firstColumn="1" w:lastColumn="0" w:oddVBand="0" w:evenVBand="0" w:oddHBand="0" w:evenHBand="0" w:firstRowFirstColumn="0" w:firstRowLastColumn="0" w:lastRowFirstColumn="0" w:lastRowLastColumn="0"/>
            <w:tcW w:w="1212" w:type="pct"/>
            <w:vAlign w:val="bottom"/>
          </w:tcPr>
          <w:p w14:paraId="7169DEEF" w14:textId="31A8E6C6" w:rsidR="00A827CC" w:rsidRPr="004F5021" w:rsidRDefault="00A827CC" w:rsidP="00A827CC">
            <w:pPr>
              <w:keepNext/>
              <w:keepLines/>
              <w:ind w:left="28"/>
              <w:jc w:val="left"/>
              <w:rPr>
                <w:rFonts w:ascii="Arial Narrow" w:hAnsi="Arial Narrow"/>
                <w:szCs w:val="20"/>
              </w:rPr>
            </w:pPr>
            <w:r w:rsidRPr="004F5021">
              <w:rPr>
                <w:rFonts w:ascii="Arial Narrow" w:hAnsi="Arial Narrow"/>
                <w:color w:val="000000"/>
                <w:szCs w:val="20"/>
              </w:rPr>
              <w:t>Remove observations with &gt;40 or &lt;20 billing days</w:t>
            </w:r>
          </w:p>
        </w:tc>
        <w:tc>
          <w:tcPr>
            <w:tcW w:w="623" w:type="pct"/>
          </w:tcPr>
          <w:p w14:paraId="7A8ECAFA" w14:textId="5E5729E7" w:rsidR="00A827CC" w:rsidRPr="00B6367B" w:rsidRDefault="00B55BAA" w:rsidP="00B55BAA">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szCs w:val="20"/>
              </w:rPr>
              <w:t>22,359</w:t>
            </w:r>
            <w:r w:rsidR="00A827CC">
              <w:rPr>
                <w:rFonts w:ascii="Arial Narrow" w:hAnsi="Arial Narrow"/>
                <w:szCs w:val="20"/>
              </w:rPr>
              <w:t xml:space="preserve"> / 3.</w:t>
            </w:r>
            <w:r>
              <w:rPr>
                <w:rFonts w:ascii="Arial Narrow" w:hAnsi="Arial Narrow"/>
                <w:szCs w:val="20"/>
              </w:rPr>
              <w:t>1</w:t>
            </w:r>
            <w:r w:rsidR="00A827CC">
              <w:rPr>
                <w:rFonts w:ascii="Arial Narrow" w:hAnsi="Arial Narrow"/>
                <w:szCs w:val="20"/>
              </w:rPr>
              <w:t>%</w:t>
            </w:r>
          </w:p>
        </w:tc>
        <w:tc>
          <w:tcPr>
            <w:tcW w:w="624" w:type="pct"/>
          </w:tcPr>
          <w:p w14:paraId="059A729C" w14:textId="68091F7F" w:rsidR="00A827CC" w:rsidRPr="00B6367B" w:rsidRDefault="0041701F" w:rsidP="00A827CC">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szCs w:val="20"/>
              </w:rPr>
              <w:t>27,457 / 2.8</w:t>
            </w:r>
            <w:r w:rsidR="00A827CC">
              <w:rPr>
                <w:rFonts w:ascii="Arial Narrow" w:hAnsi="Arial Narrow"/>
                <w:szCs w:val="20"/>
              </w:rPr>
              <w:t>%</w:t>
            </w:r>
          </w:p>
        </w:tc>
        <w:tc>
          <w:tcPr>
            <w:tcW w:w="669" w:type="pct"/>
          </w:tcPr>
          <w:p w14:paraId="54B46B99" w14:textId="636F3D50" w:rsidR="00A827CC" w:rsidRPr="00B6367B" w:rsidRDefault="0041701F" w:rsidP="00A827CC">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szCs w:val="20"/>
              </w:rPr>
              <w:t>110,027 / 2.8</w:t>
            </w:r>
            <w:r w:rsidR="00A827CC">
              <w:rPr>
                <w:rFonts w:ascii="Arial Narrow" w:hAnsi="Arial Narrow"/>
                <w:szCs w:val="20"/>
              </w:rPr>
              <w:t>%</w:t>
            </w:r>
          </w:p>
        </w:tc>
        <w:tc>
          <w:tcPr>
            <w:tcW w:w="624" w:type="pct"/>
          </w:tcPr>
          <w:p w14:paraId="112B80D9" w14:textId="78E5F338" w:rsidR="00A827CC" w:rsidRPr="00B6367B" w:rsidRDefault="00A827CC" w:rsidP="00A827CC">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szCs w:val="20"/>
              </w:rPr>
              <w:t>30,305 / 3.0%</w:t>
            </w:r>
          </w:p>
        </w:tc>
        <w:tc>
          <w:tcPr>
            <w:tcW w:w="624" w:type="pct"/>
          </w:tcPr>
          <w:p w14:paraId="7757CF53" w14:textId="3A528590" w:rsidR="00A827CC" w:rsidRPr="00B6367B" w:rsidRDefault="00F20506" w:rsidP="00A430A7">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color w:val="000000"/>
                <w:szCs w:val="20"/>
              </w:rPr>
              <w:t>8,288 / 2.7</w:t>
            </w:r>
            <w:r w:rsidR="00A827CC">
              <w:rPr>
                <w:rFonts w:ascii="Arial Narrow" w:hAnsi="Arial Narrow"/>
                <w:color w:val="000000"/>
                <w:szCs w:val="20"/>
              </w:rPr>
              <w:t>%</w:t>
            </w:r>
          </w:p>
        </w:tc>
        <w:tc>
          <w:tcPr>
            <w:tcW w:w="622" w:type="pct"/>
          </w:tcPr>
          <w:p w14:paraId="4CFAC4D2" w14:textId="353F9D8A" w:rsidR="00A827CC" w:rsidRPr="00B6367B" w:rsidRDefault="00F20506" w:rsidP="00A430A7">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color w:val="000000"/>
                <w:szCs w:val="20"/>
              </w:rPr>
              <w:t>5,349 / 2.7</w:t>
            </w:r>
            <w:r w:rsidR="00A827CC">
              <w:rPr>
                <w:rFonts w:ascii="Arial Narrow" w:hAnsi="Arial Narrow"/>
                <w:color w:val="000000"/>
                <w:szCs w:val="20"/>
              </w:rPr>
              <w:t>%</w:t>
            </w:r>
          </w:p>
        </w:tc>
      </w:tr>
      <w:tr w:rsidR="00CF61BE" w:rsidRPr="00B6367B" w14:paraId="332C1F38" w14:textId="77777777" w:rsidTr="00A430A7">
        <w:tc>
          <w:tcPr>
            <w:cnfStyle w:val="001000000000" w:firstRow="0" w:lastRow="0" w:firstColumn="1" w:lastColumn="0" w:oddVBand="0" w:evenVBand="0" w:oddHBand="0" w:evenHBand="0" w:firstRowFirstColumn="0" w:firstRowLastColumn="0" w:lastRowFirstColumn="0" w:lastRowLastColumn="0"/>
            <w:tcW w:w="1212" w:type="pct"/>
            <w:tcBorders>
              <w:bottom w:val="single" w:sz="4" w:space="0" w:color="DDD9C3"/>
            </w:tcBorders>
            <w:vAlign w:val="bottom"/>
          </w:tcPr>
          <w:p w14:paraId="65A9517E" w14:textId="1201C709" w:rsidR="00A827CC" w:rsidRPr="004F5021" w:rsidRDefault="00A827CC" w:rsidP="00A827CC">
            <w:pPr>
              <w:keepNext/>
              <w:keepLines/>
              <w:ind w:left="28"/>
              <w:jc w:val="left"/>
              <w:rPr>
                <w:rFonts w:ascii="Arial Narrow" w:hAnsi="Arial Narrow"/>
                <w:szCs w:val="20"/>
              </w:rPr>
            </w:pPr>
            <w:r w:rsidRPr="004F5021">
              <w:rPr>
                <w:rFonts w:ascii="Arial Narrow" w:hAnsi="Arial Narrow"/>
                <w:color w:val="000000"/>
                <w:szCs w:val="20"/>
              </w:rPr>
              <w:t xml:space="preserve">Remove </w:t>
            </w:r>
            <w:r w:rsidRPr="004F5021">
              <w:rPr>
                <w:rFonts w:ascii="Arial Narrow" w:hAnsi="Arial Narrow"/>
                <w:szCs w:val="20"/>
              </w:rPr>
              <w:t>outliers</w:t>
            </w:r>
            <w:r w:rsidRPr="004F5021">
              <w:rPr>
                <w:rFonts w:ascii="Arial Narrow" w:hAnsi="Arial Narrow"/>
                <w:color w:val="000000"/>
                <w:szCs w:val="20"/>
              </w:rPr>
              <w:t xml:space="preserve"> (avg. daily use 10x above/below median)</w:t>
            </w:r>
          </w:p>
        </w:tc>
        <w:tc>
          <w:tcPr>
            <w:tcW w:w="623" w:type="pct"/>
            <w:tcBorders>
              <w:bottom w:val="single" w:sz="4" w:space="0" w:color="DDD9C3"/>
            </w:tcBorders>
          </w:tcPr>
          <w:p w14:paraId="7E31F0B7" w14:textId="4613EE3D" w:rsidR="00A827CC" w:rsidRPr="00B6367B" w:rsidRDefault="00B55BAA" w:rsidP="00A827CC">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szCs w:val="20"/>
              </w:rPr>
              <w:t>2,439</w:t>
            </w:r>
            <w:r w:rsidR="00A827CC">
              <w:rPr>
                <w:rFonts w:ascii="Arial Narrow" w:hAnsi="Arial Narrow"/>
                <w:szCs w:val="20"/>
              </w:rPr>
              <w:t xml:space="preserve"> / 0.3%</w:t>
            </w:r>
          </w:p>
        </w:tc>
        <w:tc>
          <w:tcPr>
            <w:tcW w:w="624" w:type="pct"/>
            <w:tcBorders>
              <w:bottom w:val="single" w:sz="4" w:space="0" w:color="DDD9C3"/>
            </w:tcBorders>
          </w:tcPr>
          <w:p w14:paraId="2BA84ED4" w14:textId="6ED69528" w:rsidR="00A827CC" w:rsidRPr="00B6367B" w:rsidRDefault="0041701F" w:rsidP="00A827CC">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szCs w:val="20"/>
              </w:rPr>
              <w:t>3,785 / 0.4</w:t>
            </w:r>
            <w:r w:rsidR="00A827CC">
              <w:rPr>
                <w:rFonts w:ascii="Arial Narrow" w:hAnsi="Arial Narrow"/>
                <w:szCs w:val="20"/>
              </w:rPr>
              <w:t>%</w:t>
            </w:r>
          </w:p>
        </w:tc>
        <w:tc>
          <w:tcPr>
            <w:tcW w:w="669" w:type="pct"/>
            <w:tcBorders>
              <w:bottom w:val="single" w:sz="4" w:space="0" w:color="DDD9C3"/>
            </w:tcBorders>
          </w:tcPr>
          <w:p w14:paraId="3008B446" w14:textId="5D28C488" w:rsidR="00A827CC" w:rsidRPr="00B6367B" w:rsidRDefault="0041701F" w:rsidP="00A827CC">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szCs w:val="20"/>
              </w:rPr>
              <w:t>16,238</w:t>
            </w:r>
            <w:r w:rsidR="00A827CC">
              <w:rPr>
                <w:rFonts w:ascii="Arial Narrow" w:hAnsi="Arial Narrow"/>
                <w:szCs w:val="20"/>
              </w:rPr>
              <w:t xml:space="preserve"> / 0.4%</w:t>
            </w:r>
          </w:p>
        </w:tc>
        <w:tc>
          <w:tcPr>
            <w:tcW w:w="624" w:type="pct"/>
            <w:tcBorders>
              <w:bottom w:val="single" w:sz="4" w:space="0" w:color="DDD9C3"/>
            </w:tcBorders>
          </w:tcPr>
          <w:p w14:paraId="72E4DEBF" w14:textId="18C9989D" w:rsidR="00A827CC" w:rsidRPr="00B6367B" w:rsidRDefault="00A827CC" w:rsidP="00A827CC">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szCs w:val="20"/>
              </w:rPr>
              <w:t>3,752 / 0.4%</w:t>
            </w:r>
          </w:p>
        </w:tc>
        <w:tc>
          <w:tcPr>
            <w:tcW w:w="624" w:type="pct"/>
            <w:tcBorders>
              <w:bottom w:val="single" w:sz="4" w:space="0" w:color="DDD9C3"/>
            </w:tcBorders>
          </w:tcPr>
          <w:p w14:paraId="64069345" w14:textId="6DD1D04B" w:rsidR="00A827CC" w:rsidRPr="00B6367B" w:rsidRDefault="00F20506" w:rsidP="00A430A7">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color w:val="000000"/>
                <w:szCs w:val="20"/>
              </w:rPr>
              <w:t>2,147</w:t>
            </w:r>
            <w:r w:rsidR="00A827CC">
              <w:rPr>
                <w:rFonts w:ascii="Arial Narrow" w:hAnsi="Arial Narrow"/>
                <w:color w:val="000000"/>
                <w:szCs w:val="20"/>
              </w:rPr>
              <w:t xml:space="preserve"> / 0.7%</w:t>
            </w:r>
          </w:p>
        </w:tc>
        <w:tc>
          <w:tcPr>
            <w:tcW w:w="622" w:type="pct"/>
            <w:tcBorders>
              <w:bottom w:val="single" w:sz="4" w:space="0" w:color="DDD9C3"/>
            </w:tcBorders>
          </w:tcPr>
          <w:p w14:paraId="51424D61" w14:textId="562935F3" w:rsidR="00A827CC" w:rsidRPr="00B6367B" w:rsidRDefault="00F20506" w:rsidP="00A430A7">
            <w:pPr>
              <w:keepNext/>
              <w:keepLines/>
              <w:ind w:left="28"/>
              <w:cnfStyle w:val="000000000000" w:firstRow="0" w:lastRow="0" w:firstColumn="0" w:lastColumn="0" w:oddVBand="0" w:evenVBand="0" w:oddHBand="0" w:evenHBand="0" w:firstRowFirstColumn="0" w:firstRowLastColumn="0" w:lastRowFirstColumn="0" w:lastRowLastColumn="0"/>
              <w:rPr>
                <w:rFonts w:ascii="Arial Narrow" w:hAnsi="Arial Narrow"/>
                <w:szCs w:val="20"/>
              </w:rPr>
            </w:pPr>
            <w:r>
              <w:rPr>
                <w:rFonts w:ascii="Arial Narrow" w:hAnsi="Arial Narrow"/>
                <w:color w:val="000000"/>
                <w:szCs w:val="20"/>
              </w:rPr>
              <w:t>1,156</w:t>
            </w:r>
            <w:r w:rsidR="00A827CC">
              <w:rPr>
                <w:rFonts w:ascii="Arial Narrow" w:hAnsi="Arial Narrow"/>
                <w:color w:val="000000"/>
                <w:szCs w:val="20"/>
              </w:rPr>
              <w:t xml:space="preserve"> / 0.6%</w:t>
            </w:r>
          </w:p>
        </w:tc>
      </w:tr>
    </w:tbl>
    <w:p w14:paraId="16C3461B" w14:textId="77777777" w:rsidR="00B3766E" w:rsidRPr="00D919A7" w:rsidRDefault="00B3766E" w:rsidP="00E136C4">
      <w:pPr>
        <w:pStyle w:val="Source"/>
        <w:ind w:firstLine="360"/>
      </w:pPr>
      <w:r>
        <w:t>Source: Navigant analysis</w:t>
      </w:r>
    </w:p>
    <w:p w14:paraId="732BA5CD" w14:textId="77777777" w:rsidR="00D3597E" w:rsidRPr="00D3597E" w:rsidRDefault="00D3597E" w:rsidP="00A32EE4">
      <w:pPr>
        <w:rPr>
          <w:b/>
          <w:bCs/>
          <w:i/>
          <w:iCs/>
        </w:rPr>
        <w:sectPr w:rsidR="00D3597E" w:rsidRPr="00D3597E" w:rsidSect="00CF61BE">
          <w:pgSz w:w="12240" w:h="15840" w:code="1"/>
          <w:pgMar w:top="1440" w:right="1440" w:bottom="1440" w:left="1440" w:header="720" w:footer="720" w:gutter="0"/>
          <w:cols w:space="720"/>
          <w:docGrid w:linePitch="360"/>
        </w:sectPr>
      </w:pPr>
    </w:p>
    <w:p w14:paraId="3338190B" w14:textId="77777777" w:rsidR="001E0069" w:rsidRPr="000144EC" w:rsidRDefault="001E0069" w:rsidP="001E0069">
      <w:pPr>
        <w:pStyle w:val="Heading2"/>
        <w:numPr>
          <w:ilvl w:val="1"/>
          <w:numId w:val="1"/>
        </w:numPr>
      </w:pPr>
      <w:bookmarkStart w:id="107" w:name="_Ref432751975"/>
      <w:bookmarkStart w:id="108" w:name="_Toc441751893"/>
      <w:r w:rsidRPr="000144EC">
        <w:lastRenderedPageBreak/>
        <w:t xml:space="preserve">Detailed </w:t>
      </w:r>
      <w:r>
        <w:t>I</w:t>
      </w:r>
      <w:r w:rsidRPr="000144EC">
        <w:t xml:space="preserve">mpact </w:t>
      </w:r>
      <w:r>
        <w:t>M</w:t>
      </w:r>
      <w:r w:rsidRPr="000144EC">
        <w:t>ethodology</w:t>
      </w:r>
      <w:bookmarkEnd w:id="101"/>
      <w:bookmarkEnd w:id="102"/>
      <w:bookmarkEnd w:id="103"/>
      <w:bookmarkEnd w:id="107"/>
      <w:bookmarkEnd w:id="108"/>
    </w:p>
    <w:p w14:paraId="0A259583" w14:textId="77777777" w:rsidR="001E0069" w:rsidRDefault="001E0069" w:rsidP="001E0069">
      <w:r>
        <w:t>Navigant used two regression models to estimate impacts, a PPR model and an LFER model. The following sections present each model.</w:t>
      </w:r>
    </w:p>
    <w:p w14:paraId="5EE58640" w14:textId="3E6DB3F0" w:rsidR="001E0069" w:rsidRPr="000144EC" w:rsidRDefault="001E0069" w:rsidP="001E0069">
      <w:pPr>
        <w:pStyle w:val="Heading3"/>
        <w:numPr>
          <w:ilvl w:val="2"/>
          <w:numId w:val="1"/>
        </w:numPr>
      </w:pPr>
      <w:bookmarkStart w:id="109" w:name="_Toc378688201"/>
      <w:bookmarkStart w:id="110" w:name="_Toc403122810"/>
      <w:bookmarkStart w:id="111" w:name="_Ref403687042"/>
      <w:bookmarkStart w:id="112" w:name="_Toc408990880"/>
      <w:bookmarkStart w:id="113" w:name="_Toc441751894"/>
      <w:r w:rsidRPr="000144EC">
        <w:t>P</w:t>
      </w:r>
      <w:r w:rsidR="001E74DA">
        <w:t xml:space="preserve">ost </w:t>
      </w:r>
      <w:r w:rsidRPr="000144EC">
        <w:t>P</w:t>
      </w:r>
      <w:r w:rsidR="001E74DA">
        <w:t xml:space="preserve">rogram </w:t>
      </w:r>
      <w:r w:rsidRPr="000144EC">
        <w:t>R</w:t>
      </w:r>
      <w:r w:rsidR="001E74DA">
        <w:t>egression</w:t>
      </w:r>
      <w:r w:rsidRPr="000144EC">
        <w:t xml:space="preserve"> Model</w:t>
      </w:r>
      <w:bookmarkEnd w:id="109"/>
      <w:bookmarkEnd w:id="110"/>
      <w:bookmarkEnd w:id="111"/>
      <w:bookmarkEnd w:id="112"/>
      <w:bookmarkEnd w:id="113"/>
    </w:p>
    <w:p w14:paraId="3AC7F032" w14:textId="0FE883DA" w:rsidR="001E74DA" w:rsidRDefault="001E0069" w:rsidP="00751510">
      <w:pPr>
        <w:keepNext/>
        <w:keepLines/>
      </w:pPr>
      <w:r>
        <w:t xml:space="preserve">The PPR model controls for non-treatment differences in energy use between treatment and control customers using lagged energy use as an explanatory variable. In particular, the model frames energy use in calendar month </w:t>
      </w:r>
      <w:r>
        <w:rPr>
          <w:i/>
        </w:rPr>
        <w:t xml:space="preserve">t </w:t>
      </w:r>
      <w:r>
        <w:t>of the post-program period as a function of both the treatment variable and energy use in the same calendar month of the pre-program period. The underlying logic is that systematic differences between control and treatment customers will be reflected in differences in their past energy use, which is highly correlated with their current energy use. Formally, the model is</w:t>
      </w:r>
      <w:r w:rsidR="001E74DA">
        <w:t xml:space="preserve"> shown in </w:t>
      </w:r>
      <w:r w:rsidR="001E74DA">
        <w:fldChar w:fldCharType="begin"/>
      </w:r>
      <w:r w:rsidR="001E74DA">
        <w:instrText xml:space="preserve"> REF _Ref433271619 \h </w:instrText>
      </w:r>
      <w:r w:rsidR="001E74DA">
        <w:fldChar w:fldCharType="separate"/>
      </w:r>
      <w:r w:rsidR="00E4410B">
        <w:t xml:space="preserve">Equation </w:t>
      </w:r>
      <w:r w:rsidR="00E4410B">
        <w:rPr>
          <w:noProof/>
        </w:rPr>
        <w:t>6</w:t>
      </w:r>
      <w:r w:rsidR="00E4410B">
        <w:noBreakHyphen/>
      </w:r>
      <w:r w:rsidR="00E4410B">
        <w:rPr>
          <w:noProof/>
        </w:rPr>
        <w:t>1</w:t>
      </w:r>
      <w:r w:rsidR="001E74DA">
        <w:fldChar w:fldCharType="end"/>
      </w:r>
      <w:r w:rsidR="001E74DA">
        <w:t>.</w:t>
      </w:r>
    </w:p>
    <w:p w14:paraId="0E1523A4" w14:textId="35F89AEB" w:rsidR="001E74DA" w:rsidRDefault="001E74DA" w:rsidP="004301F4">
      <w:pPr>
        <w:pStyle w:val="Caption"/>
      </w:pPr>
      <w:bookmarkStart w:id="114" w:name="_Ref433271619"/>
      <w:r>
        <w:t xml:space="preserve">Equation </w:t>
      </w:r>
      <w:fldSimple w:instr=" STYLEREF 1 \s ">
        <w:r w:rsidR="00E4410B">
          <w:rPr>
            <w:noProof/>
          </w:rPr>
          <w:t>6</w:t>
        </w:r>
      </w:fldSimple>
      <w:r w:rsidR="00751510">
        <w:noBreakHyphen/>
      </w:r>
      <w:fldSimple w:instr=" SEQ Equation \* ARABIC \s 1 ">
        <w:r w:rsidR="00E4410B">
          <w:rPr>
            <w:noProof/>
          </w:rPr>
          <w:t>1</w:t>
        </w:r>
      </w:fldSimple>
      <w:bookmarkEnd w:id="114"/>
      <w:r>
        <w:t>. Post Program Regression Model</w:t>
      </w:r>
    </w:p>
    <w:p w14:paraId="04B2C811" w14:textId="4C8C81EB" w:rsidR="001E74DA" w:rsidRDefault="004F44C4" w:rsidP="001E74DA">
      <w:pPr>
        <w:keepNext/>
        <w:keepLines/>
      </w:pPr>
      <m:oMathPara>
        <m:oMath>
          <m:sSub>
            <m:sSubPr>
              <m:ctrlPr>
                <w:rPr>
                  <w:rFonts w:ascii="Cambria Math" w:hAnsi="Cambria Math"/>
                  <w:i/>
                </w:rPr>
              </m:ctrlPr>
            </m:sSubPr>
            <m:e>
              <m:r>
                <w:rPr>
                  <w:rFonts w:ascii="Cambria Math" w:hAnsi="Cambria Math"/>
                </w:rPr>
                <m:t>ADU</m:t>
              </m:r>
            </m:e>
            <m:sub>
              <m:r>
                <w:rPr>
                  <w:rFonts w:ascii="Cambria Math" w:hAnsi="Cambria Math"/>
                </w:rPr>
                <m:t>kt</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1</m:t>
              </m:r>
            </m:sub>
          </m:sSub>
          <m:sSub>
            <m:sSubPr>
              <m:ctrlPr>
                <w:rPr>
                  <w:rFonts w:ascii="Cambria Math" w:hAnsi="Cambria Math"/>
                  <w:i/>
                </w:rPr>
              </m:ctrlPr>
            </m:sSubPr>
            <m:e>
              <m:r>
                <w:rPr>
                  <w:rFonts w:ascii="Cambria Math" w:hAnsi="Cambria Math"/>
                </w:rPr>
                <m:t>Treatment</m:t>
              </m:r>
            </m:e>
            <m:sub>
              <m:r>
                <w:rPr>
                  <w:rFonts w:ascii="Cambria Math" w:hAnsi="Cambria Math"/>
                </w:rPr>
                <m:t>k</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J</m:t>
              </m:r>
            </m:sub>
            <m:sup/>
            <m:e>
              <m:sSub>
                <m:sSubPr>
                  <m:ctrlPr>
                    <w:rPr>
                      <w:rFonts w:ascii="Cambria Math" w:hAnsi="Cambria Math"/>
                      <w:i/>
                    </w:rPr>
                  </m:ctrlPr>
                </m:sSubPr>
                <m:e>
                  <m:r>
                    <w:rPr>
                      <w:rFonts w:ascii="Cambria Math" w:hAnsi="Cambria Math"/>
                    </w:rPr>
                    <m:t>β</m:t>
                  </m:r>
                </m:e>
                <m:sub>
                  <m:r>
                    <w:rPr>
                      <w:rFonts w:ascii="Cambria Math" w:hAnsi="Cambria Math"/>
                    </w:rPr>
                    <m:t>2j</m:t>
                  </m:r>
                </m:sub>
              </m:sSub>
              <m:sSub>
                <m:sSubPr>
                  <m:ctrlPr>
                    <w:rPr>
                      <w:rFonts w:ascii="Cambria Math" w:hAnsi="Cambria Math"/>
                      <w:i/>
                    </w:rPr>
                  </m:ctrlPr>
                </m:sSubPr>
                <m:e>
                  <m:r>
                    <w:rPr>
                      <w:rFonts w:ascii="Cambria Math" w:hAnsi="Cambria Math"/>
                    </w:rPr>
                    <m:t>Month</m:t>
                  </m:r>
                </m:e>
                <m:sub>
                  <m:r>
                    <w:rPr>
                      <w:rFonts w:ascii="Cambria Math" w:hAnsi="Cambria Math"/>
                    </w:rPr>
                    <m:t>jt</m:t>
                  </m:r>
                </m:sub>
              </m:sSub>
            </m:e>
          </m:nary>
          <m:r>
            <w:rPr>
              <w:rFonts w:ascii="Cambria Math" w:hAnsi="Cambria Math"/>
            </w:rPr>
            <m:t>+</m:t>
          </m:r>
          <m:nary>
            <m:naryPr>
              <m:chr m:val="∑"/>
              <m:limLoc m:val="undOvr"/>
              <m:supHide m:val="1"/>
              <m:ctrlPr>
                <w:rPr>
                  <w:rFonts w:ascii="Cambria Math" w:hAnsi="Cambria Math"/>
                  <w:i/>
                </w:rPr>
              </m:ctrlPr>
            </m:naryPr>
            <m:sub>
              <m:r>
                <w:rPr>
                  <w:rFonts w:ascii="Cambria Math" w:hAnsi="Cambria Math"/>
                </w:rPr>
                <m:t>J</m:t>
              </m:r>
            </m:sub>
            <m:sup/>
            <m:e>
              <m:sSub>
                <m:sSubPr>
                  <m:ctrlPr>
                    <w:rPr>
                      <w:rFonts w:ascii="Cambria Math" w:hAnsi="Cambria Math"/>
                      <w:i/>
                    </w:rPr>
                  </m:ctrlPr>
                </m:sSubPr>
                <m:e>
                  <m:r>
                    <w:rPr>
                      <w:rFonts w:ascii="Cambria Math" w:hAnsi="Cambria Math"/>
                    </w:rPr>
                    <m:t>β</m:t>
                  </m:r>
                </m:e>
                <m:sub>
                  <m:r>
                    <w:rPr>
                      <w:rFonts w:ascii="Cambria Math" w:hAnsi="Cambria Math"/>
                    </w:rPr>
                    <m:t>4j</m:t>
                  </m:r>
                </m:sub>
              </m:sSub>
              <m:sSub>
                <m:sSubPr>
                  <m:ctrlPr>
                    <w:rPr>
                      <w:rFonts w:ascii="Cambria Math" w:hAnsi="Cambria Math"/>
                      <w:i/>
                    </w:rPr>
                  </m:ctrlPr>
                </m:sSubPr>
                <m:e>
                  <m:r>
                    <w:rPr>
                      <w:rFonts w:ascii="Cambria Math" w:hAnsi="Cambria Math"/>
                    </w:rPr>
                    <m:t>Month</m:t>
                  </m:r>
                </m:e>
                <m:sub>
                  <m:r>
                    <w:rPr>
                      <w:rFonts w:ascii="Cambria Math" w:hAnsi="Cambria Math"/>
                    </w:rPr>
                    <m:t>jt</m:t>
                  </m:r>
                </m:sub>
              </m:sSub>
              <m:r>
                <w:rPr>
                  <w:rFonts w:ascii="Cambria Math" w:hAnsi="Cambria Math"/>
                </w:rPr>
                <m:t>∙</m:t>
              </m:r>
              <m:sSub>
                <m:sSubPr>
                  <m:ctrlPr>
                    <w:rPr>
                      <w:rFonts w:ascii="Cambria Math" w:hAnsi="Cambria Math"/>
                      <w:i/>
                    </w:rPr>
                  </m:ctrlPr>
                </m:sSubPr>
                <m:e>
                  <m:r>
                    <w:rPr>
                      <w:rFonts w:ascii="Cambria Math" w:hAnsi="Cambria Math"/>
                    </w:rPr>
                    <m:t>ADUlag</m:t>
                  </m:r>
                </m:e>
                <m:sub>
                  <m:r>
                    <w:rPr>
                      <w:rFonts w:ascii="Cambria Math" w:hAnsi="Cambria Math"/>
                    </w:rPr>
                    <m:t>kt</m:t>
                  </m:r>
                </m:sub>
              </m:sSub>
            </m:e>
          </m:nary>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kt</m:t>
              </m:r>
            </m:sub>
          </m:sSub>
        </m:oMath>
      </m:oMathPara>
    </w:p>
    <w:p w14:paraId="19423DBB" w14:textId="56F33D89" w:rsidR="001E74DA" w:rsidRDefault="001E74DA" w:rsidP="00751510">
      <w:pPr>
        <w:keepNext/>
        <w:keepLines/>
      </w:pPr>
    </w:p>
    <w:p w14:paraId="61553288" w14:textId="6C931590" w:rsidR="001E0069" w:rsidRDefault="001E0069" w:rsidP="00A921D4">
      <w:pPr>
        <w:keepNext/>
        <w:keepLines/>
      </w:pPr>
      <w:r>
        <w:t xml:space="preserve"> </w:t>
      </w:r>
      <w:r w:rsidR="001E74DA">
        <w:t>W</w:t>
      </w:r>
      <w:r>
        <w:t>here</w:t>
      </w:r>
    </w:p>
    <w:p w14:paraId="1C808145" w14:textId="1B82048C" w:rsidR="001E0069" w:rsidRDefault="001E0069" w:rsidP="00A921D4">
      <w:pPr>
        <w:keepNext/>
        <w:keepLines/>
        <w:ind w:firstLine="720"/>
        <w:rPr>
          <w:i/>
        </w:rPr>
      </w:pPr>
      <w:r w:rsidRPr="001348D1">
        <w:rPr>
          <w:position w:val="-12"/>
        </w:rPr>
        <w:object w:dxaOrig="639" w:dyaOrig="360" w14:anchorId="4BA39C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24pt" o:ole="">
            <v:imagedata r:id="rId18" o:title=""/>
          </v:shape>
          <o:OLEObject Type="Embed" ProgID="Equation.DSMT4" ShapeID="_x0000_i1025" DrawAspect="Content" ObjectID="_1516706883" r:id="rId19"/>
        </w:object>
      </w:r>
      <w:r w:rsidR="00A921D4">
        <w:tab/>
      </w:r>
      <w:r w:rsidR="00A921D4">
        <w:tab/>
        <w:t>i</w:t>
      </w:r>
      <w:r>
        <w:t xml:space="preserve">s average daily consumption of kWh by household </w:t>
      </w:r>
      <w:r>
        <w:rPr>
          <w:i/>
        </w:rPr>
        <w:t>k</w:t>
      </w:r>
      <w:r>
        <w:t xml:space="preserve"> in bill period </w:t>
      </w:r>
      <w:r>
        <w:rPr>
          <w:i/>
        </w:rPr>
        <w:t>t</w:t>
      </w:r>
    </w:p>
    <w:p w14:paraId="58E6195B" w14:textId="77777777" w:rsidR="00A921D4" w:rsidRDefault="001E0069" w:rsidP="00A921D4">
      <w:pPr>
        <w:keepNext/>
        <w:keepLines/>
        <w:ind w:left="2160" w:hanging="1440"/>
      </w:pPr>
      <w:r w:rsidRPr="001348D1">
        <w:rPr>
          <w:position w:val="-12"/>
        </w:rPr>
        <w:object w:dxaOrig="1040" w:dyaOrig="360" w14:anchorId="5EBE22F6">
          <v:shape id="_x0000_i1026" type="#_x0000_t75" style="width:54pt;height:24pt" o:ole="">
            <v:imagedata r:id="rId20" o:title=""/>
          </v:shape>
          <o:OLEObject Type="Embed" ProgID="Equation.DSMT4" ShapeID="_x0000_i1026" DrawAspect="Content" ObjectID="_1516706884" r:id="rId21"/>
        </w:object>
      </w:r>
      <w:r w:rsidR="00A921D4">
        <w:tab/>
      </w:r>
      <w:r>
        <w:t>is a binary variable taking a value of 0 if household k is assigned to the control group, and 1 if assigned to the treatment group</w:t>
      </w:r>
    </w:p>
    <w:p w14:paraId="61434172" w14:textId="0E67A7A1" w:rsidR="001E0069" w:rsidRPr="00A921D4" w:rsidRDefault="001E0069" w:rsidP="00A921D4">
      <w:pPr>
        <w:keepNext/>
        <w:keepLines/>
        <w:ind w:left="2160" w:hanging="1440"/>
      </w:pPr>
      <w:r w:rsidRPr="001348D1">
        <w:rPr>
          <w:position w:val="-12"/>
        </w:rPr>
        <w:object w:dxaOrig="880" w:dyaOrig="360" w14:anchorId="3F502536">
          <v:shape id="_x0000_i1027" type="#_x0000_t75" style="width:42pt;height:24pt" o:ole="">
            <v:imagedata r:id="rId22" o:title=""/>
          </v:shape>
          <o:OLEObject Type="Embed" ProgID="Equation.DSMT4" ShapeID="_x0000_i1027" DrawAspect="Content" ObjectID="_1516706885" r:id="rId23"/>
        </w:object>
      </w:r>
      <w:r w:rsidR="00A921D4">
        <w:tab/>
      </w:r>
      <w:r>
        <w:t xml:space="preserve">is household </w:t>
      </w:r>
      <w:r>
        <w:rPr>
          <w:i/>
        </w:rPr>
        <w:t>k</w:t>
      </w:r>
      <w:r>
        <w:t xml:space="preserve">’s energy use in the same calendar month of the pre-program year as the calendar month of month </w:t>
      </w:r>
      <w:r>
        <w:rPr>
          <w:i/>
        </w:rPr>
        <w:t>t</w:t>
      </w:r>
    </w:p>
    <w:p w14:paraId="6C3299AA" w14:textId="399690B9" w:rsidR="001E0069" w:rsidRDefault="00A921D4" w:rsidP="00A921D4">
      <w:pPr>
        <w:keepNext/>
        <w:keepLines/>
        <w:tabs>
          <w:tab w:val="left" w:pos="810"/>
        </w:tabs>
      </w:pPr>
      <w:r>
        <w:tab/>
      </w:r>
      <w:r w:rsidR="001E0069" w:rsidRPr="00F716D7">
        <w:rPr>
          <w:position w:val="-14"/>
        </w:rPr>
        <w:object w:dxaOrig="720" w:dyaOrig="380" w14:anchorId="00B06D66">
          <v:shape id="_x0000_i1028" type="#_x0000_t75" style="width:36pt;height:24pt" o:ole="">
            <v:imagedata r:id="rId24" o:title=""/>
          </v:shape>
          <o:OLEObject Type="Embed" ProgID="Equation.DSMT4" ShapeID="_x0000_i1028" DrawAspect="Content" ObjectID="_1516706886" r:id="rId25"/>
        </w:object>
      </w:r>
      <w:r>
        <w:tab/>
      </w:r>
      <w:r w:rsidR="001E0069">
        <w:t>is a binary variable taking a value of 1 when j = t and 0 otherwise</w:t>
      </w:r>
      <w:r w:rsidR="001E0069">
        <w:rPr>
          <w:rStyle w:val="FootnoteReference"/>
        </w:rPr>
        <w:footnoteReference w:id="28"/>
      </w:r>
    </w:p>
    <w:p w14:paraId="6C3DF422" w14:textId="5089EE7B" w:rsidR="001E0069" w:rsidRPr="00F716D7" w:rsidRDefault="00A921D4" w:rsidP="00A921D4">
      <w:pPr>
        <w:keepNext/>
        <w:keepLines/>
        <w:tabs>
          <w:tab w:val="left" w:pos="810"/>
        </w:tabs>
        <w:ind w:left="2160" w:hanging="2160"/>
      </w:pPr>
      <w:r>
        <w:tab/>
      </w:r>
      <w:r w:rsidR="001E0069" w:rsidRPr="00F716D7">
        <w:rPr>
          <w:position w:val="-12"/>
        </w:rPr>
        <w:object w:dxaOrig="260" w:dyaOrig="360" w14:anchorId="0B61A14C">
          <v:shape id="_x0000_i1029" type="#_x0000_t75" style="width:12pt;height:24pt" o:ole="">
            <v:imagedata r:id="rId26" o:title=""/>
          </v:shape>
          <o:OLEObject Type="Embed" ProgID="Equation.DSMT4" ShapeID="_x0000_i1029" DrawAspect="Content" ObjectID="_1516706887" r:id="rId27"/>
        </w:object>
      </w:r>
      <w:r w:rsidR="001E0069" w:rsidRPr="00E13199">
        <w:rPr>
          <w:rFonts w:ascii="Verdana" w:eastAsiaTheme="minorHAnsi" w:hAnsi="Verdana" w:cstheme="minorBidi"/>
          <w:szCs w:val="20"/>
        </w:rPr>
        <w:t xml:space="preserve"> </w:t>
      </w:r>
      <w:r>
        <w:rPr>
          <w:rFonts w:ascii="Verdana" w:eastAsiaTheme="minorHAnsi" w:hAnsi="Verdana" w:cstheme="minorBidi"/>
          <w:szCs w:val="20"/>
        </w:rPr>
        <w:tab/>
      </w:r>
      <w:r w:rsidR="001E0069" w:rsidRPr="00F716D7">
        <w:rPr>
          <w:rFonts w:eastAsiaTheme="minorHAnsi" w:cstheme="minorBidi"/>
          <w:szCs w:val="20"/>
        </w:rPr>
        <w:t>is t</w:t>
      </w:r>
      <w:r w:rsidR="001E0069" w:rsidRPr="00F716D7">
        <w:t xml:space="preserve">he cluster-robust error term for </w:t>
      </w:r>
      <w:r w:rsidR="001E0069">
        <w:t xml:space="preserve">household </w:t>
      </w:r>
      <w:r w:rsidR="001E0069" w:rsidRPr="00F716D7">
        <w:rPr>
          <w:i/>
        </w:rPr>
        <w:t>k</w:t>
      </w:r>
      <w:r w:rsidR="001E0069" w:rsidRPr="00F716D7">
        <w:t xml:space="preserve"> during billing cycle </w:t>
      </w:r>
      <w:r w:rsidR="001E0069" w:rsidRPr="00F716D7">
        <w:rPr>
          <w:i/>
        </w:rPr>
        <w:t>t</w:t>
      </w:r>
      <w:r w:rsidR="001E0069">
        <w:rPr>
          <w:i/>
        </w:rPr>
        <w:t xml:space="preserve">; </w:t>
      </w:r>
      <w:r w:rsidR="001E0069">
        <w:t>c</w:t>
      </w:r>
      <w:r w:rsidR="001E0069" w:rsidRPr="00F716D7">
        <w:t xml:space="preserve">luster-robust errors account for heteroskedasticity and autocorrelation at the </w:t>
      </w:r>
      <w:r w:rsidR="001E0069">
        <w:t>household</w:t>
      </w:r>
      <w:r w:rsidR="001E0069" w:rsidRPr="00F716D7">
        <w:t xml:space="preserve"> level</w:t>
      </w:r>
      <w:r w:rsidR="001E0069">
        <w:t>.</w:t>
      </w:r>
      <w:r w:rsidR="001E0069" w:rsidRPr="00F716D7">
        <w:rPr>
          <w:vertAlign w:val="superscript"/>
        </w:rPr>
        <w:footnoteReference w:id="29"/>
      </w:r>
    </w:p>
    <w:p w14:paraId="1FCBB36A" w14:textId="77777777" w:rsidR="001E0069" w:rsidRPr="00F716D7" w:rsidRDefault="001E0069" w:rsidP="001E0069">
      <w:pPr>
        <w:tabs>
          <w:tab w:val="left" w:pos="810"/>
        </w:tabs>
      </w:pPr>
      <w:r>
        <w:t>The coefficient</w:t>
      </w:r>
      <w:r w:rsidRPr="00F716D7">
        <w:rPr>
          <w:position w:val="-12"/>
        </w:rPr>
        <w:object w:dxaOrig="240" w:dyaOrig="360" w14:anchorId="3B759FC7">
          <v:shape id="_x0000_i1030" type="#_x0000_t75" style="width:12pt;height:24pt" o:ole="">
            <v:imagedata r:id="rId28" o:title=""/>
          </v:shape>
          <o:OLEObject Type="Embed" ProgID="Equation.DSMT4" ShapeID="_x0000_i1030" DrawAspect="Content" ObjectID="_1516706888" r:id="rId29"/>
        </w:object>
      </w:r>
      <w:r w:rsidRPr="00F716D7">
        <w:t>is the estimate of average daily kWh energy savings due to the program in PY6</w:t>
      </w:r>
      <w:r>
        <w:t>.</w:t>
      </w:r>
    </w:p>
    <w:p w14:paraId="64AEB51C" w14:textId="67BF151B" w:rsidR="001E0069" w:rsidRPr="000144EC" w:rsidRDefault="001E0069" w:rsidP="00472FE0">
      <w:pPr>
        <w:pStyle w:val="Heading3"/>
        <w:numPr>
          <w:ilvl w:val="2"/>
          <w:numId w:val="1"/>
        </w:numPr>
      </w:pPr>
      <w:bookmarkStart w:id="115" w:name="_Toc378688200"/>
      <w:bookmarkStart w:id="116" w:name="_Toc403122811"/>
      <w:bookmarkStart w:id="117" w:name="_Toc408990881"/>
      <w:bookmarkStart w:id="118" w:name="_Toc441751895"/>
      <w:r w:rsidRPr="000144EC">
        <w:lastRenderedPageBreak/>
        <w:t>L</w:t>
      </w:r>
      <w:r w:rsidR="001E74DA">
        <w:t xml:space="preserve">inear </w:t>
      </w:r>
      <w:r w:rsidRPr="000144EC">
        <w:t>F</w:t>
      </w:r>
      <w:r w:rsidR="001E74DA">
        <w:t xml:space="preserve">ixed </w:t>
      </w:r>
      <w:r w:rsidRPr="000144EC">
        <w:t>E</w:t>
      </w:r>
      <w:r w:rsidR="001E74DA">
        <w:t xml:space="preserve">ffects </w:t>
      </w:r>
      <w:r w:rsidRPr="000144EC">
        <w:t>R</w:t>
      </w:r>
      <w:r w:rsidR="001E74DA">
        <w:t>egression</w:t>
      </w:r>
      <w:r w:rsidRPr="000144EC">
        <w:t xml:space="preserve"> </w:t>
      </w:r>
      <w:r>
        <w:t>M</w:t>
      </w:r>
      <w:r w:rsidRPr="000144EC">
        <w:t>odel</w:t>
      </w:r>
      <w:bookmarkEnd w:id="115"/>
      <w:bookmarkEnd w:id="116"/>
      <w:bookmarkEnd w:id="117"/>
      <w:bookmarkEnd w:id="118"/>
    </w:p>
    <w:p w14:paraId="1D66D794" w14:textId="6EB8C524" w:rsidR="001E0069" w:rsidRDefault="001E0069" w:rsidP="00472FE0">
      <w:pPr>
        <w:keepNext/>
      </w:pPr>
      <w:r>
        <w:t xml:space="preserve">The simplest version of an LFER model convenient for exposition is one in which average daily consumption of kWh by household </w:t>
      </w:r>
      <w:r>
        <w:rPr>
          <w:i/>
        </w:rPr>
        <w:t xml:space="preserve">k </w:t>
      </w:r>
      <w:r>
        <w:t xml:space="preserve">in bill period </w:t>
      </w:r>
      <w:r w:rsidRPr="00FF0806">
        <w:rPr>
          <w:i/>
        </w:rPr>
        <w:t>t</w:t>
      </w:r>
      <w:r>
        <w:t>, denoted by</w:t>
      </w:r>
      <w:r w:rsidR="00751510">
        <w:t xml:space="preserve"> </w:t>
      </w:r>
      <w:r w:rsidR="00751510">
        <w:rPr>
          <w:i/>
        </w:rPr>
        <w:t>ADU</w:t>
      </w:r>
      <w:r w:rsidR="00751510">
        <w:rPr>
          <w:i/>
          <w:vertAlign w:val="subscript"/>
        </w:rPr>
        <w:t>kt</w:t>
      </w:r>
      <w:r>
        <w:t>, is a function of the following three terms:</w:t>
      </w:r>
    </w:p>
    <w:p w14:paraId="0D690B88" w14:textId="77777777" w:rsidR="001E0069" w:rsidRDefault="001E0069" w:rsidP="004F21FD">
      <w:pPr>
        <w:pStyle w:val="ListParagraph"/>
        <w:keepNext/>
        <w:numPr>
          <w:ilvl w:val="0"/>
          <w:numId w:val="13"/>
        </w:numPr>
      </w:pPr>
      <w:r>
        <w:t xml:space="preserve">The binary variable </w:t>
      </w:r>
      <w:r w:rsidRPr="00033B10">
        <w:rPr>
          <w:i/>
        </w:rPr>
        <w:t>Treatment</w:t>
      </w:r>
      <w:r w:rsidRPr="00033B10">
        <w:rPr>
          <w:i/>
          <w:vertAlign w:val="subscript"/>
        </w:rPr>
        <w:t>k</w:t>
      </w:r>
    </w:p>
    <w:p w14:paraId="11EC0DD1" w14:textId="77777777" w:rsidR="001E0069" w:rsidRDefault="001E0069" w:rsidP="004F21FD">
      <w:pPr>
        <w:pStyle w:val="ListParagraph"/>
        <w:numPr>
          <w:ilvl w:val="0"/>
          <w:numId w:val="13"/>
        </w:numPr>
      </w:pPr>
      <w:r>
        <w:t xml:space="preserve">The binary variable </w:t>
      </w:r>
      <w:r w:rsidRPr="00033B10">
        <w:rPr>
          <w:i/>
        </w:rPr>
        <w:t>Post</w:t>
      </w:r>
      <w:r w:rsidRPr="00033B10">
        <w:rPr>
          <w:i/>
          <w:vertAlign w:val="subscript"/>
        </w:rPr>
        <w:t>t</w:t>
      </w:r>
      <w:r>
        <w:t xml:space="preserve">, taking a value of 0 if month </w:t>
      </w:r>
      <w:r w:rsidRPr="00033B10">
        <w:rPr>
          <w:i/>
        </w:rPr>
        <w:t xml:space="preserve">t </w:t>
      </w:r>
      <w:r>
        <w:t>is in the pre-treatment period, and 1 if in the post-treatment period</w:t>
      </w:r>
    </w:p>
    <w:p w14:paraId="27DAC140" w14:textId="77777777" w:rsidR="001E0069" w:rsidRDefault="001E0069" w:rsidP="004F21FD">
      <w:pPr>
        <w:pStyle w:val="ListParagraph"/>
        <w:numPr>
          <w:ilvl w:val="0"/>
          <w:numId w:val="13"/>
        </w:numPr>
      </w:pPr>
      <w:r>
        <w:t xml:space="preserve">The interaction between these variables, </w:t>
      </w:r>
      <w:r w:rsidRPr="00033B10">
        <w:rPr>
          <w:i/>
        </w:rPr>
        <w:t>Treatment</w:t>
      </w:r>
      <w:r w:rsidRPr="00033B10">
        <w:rPr>
          <w:i/>
          <w:vertAlign w:val="subscript"/>
        </w:rPr>
        <w:t>k</w:t>
      </w:r>
      <w:r>
        <w:t xml:space="preserve"> ·</w:t>
      </w:r>
      <w:r w:rsidRPr="00033B10">
        <w:rPr>
          <w:i/>
        </w:rPr>
        <w:t xml:space="preserve"> Post</w:t>
      </w:r>
      <w:r w:rsidRPr="00033B10">
        <w:rPr>
          <w:i/>
          <w:vertAlign w:val="subscript"/>
        </w:rPr>
        <w:t>t</w:t>
      </w:r>
    </w:p>
    <w:p w14:paraId="0E34822E" w14:textId="77777777" w:rsidR="001E0069" w:rsidRDefault="001E0069" w:rsidP="001E0069"/>
    <w:p w14:paraId="0F72CE98" w14:textId="0E6CCBDE" w:rsidR="001E0069" w:rsidRDefault="001E0069" w:rsidP="001E0069">
      <w:r>
        <w:t xml:space="preserve">Formally, </w:t>
      </w:r>
      <w:r w:rsidR="00751510">
        <w:t xml:space="preserve">the LFER model is showing in </w:t>
      </w:r>
      <w:r>
        <w:t xml:space="preserve">as shown in </w:t>
      </w:r>
      <w:r w:rsidR="00751510">
        <w:fldChar w:fldCharType="begin"/>
      </w:r>
      <w:r w:rsidR="00751510">
        <w:instrText xml:space="preserve"> REF _Ref433271762 \h </w:instrText>
      </w:r>
      <w:r w:rsidR="00751510">
        <w:fldChar w:fldCharType="separate"/>
      </w:r>
      <w:r w:rsidR="00E4410B">
        <w:t xml:space="preserve">Equation </w:t>
      </w:r>
      <w:r w:rsidR="00E4410B">
        <w:rPr>
          <w:noProof/>
        </w:rPr>
        <w:t>6</w:t>
      </w:r>
      <w:r w:rsidR="00E4410B">
        <w:noBreakHyphen/>
      </w:r>
      <w:r w:rsidR="00E4410B">
        <w:rPr>
          <w:noProof/>
        </w:rPr>
        <w:t>2</w:t>
      </w:r>
      <w:r w:rsidR="00751510">
        <w:fldChar w:fldCharType="end"/>
      </w:r>
      <w:r w:rsidR="00751510">
        <w:t>.</w:t>
      </w:r>
    </w:p>
    <w:p w14:paraId="426C5351" w14:textId="77777777" w:rsidR="001E0069" w:rsidRDefault="001E0069" w:rsidP="001E0069"/>
    <w:p w14:paraId="39CB87E5" w14:textId="64E18D84" w:rsidR="00751510" w:rsidRDefault="00751510" w:rsidP="004301F4">
      <w:pPr>
        <w:pStyle w:val="Caption"/>
      </w:pPr>
      <w:bookmarkStart w:id="119" w:name="_Ref433271762"/>
      <w:r>
        <w:t xml:space="preserve">Equation </w:t>
      </w:r>
      <w:fldSimple w:instr=" STYLEREF 1 \s ">
        <w:r w:rsidR="00E4410B">
          <w:rPr>
            <w:noProof/>
          </w:rPr>
          <w:t>6</w:t>
        </w:r>
      </w:fldSimple>
      <w:r>
        <w:noBreakHyphen/>
      </w:r>
      <w:fldSimple w:instr=" SEQ Equation \* ARABIC \s 1 ">
        <w:r w:rsidR="00E4410B">
          <w:rPr>
            <w:noProof/>
          </w:rPr>
          <w:t>2</w:t>
        </w:r>
      </w:fldSimple>
      <w:bookmarkEnd w:id="119"/>
      <w:r>
        <w:t>. Linear Fixed Effects Regression Model</w:t>
      </w:r>
    </w:p>
    <w:p w14:paraId="36E1CCCE" w14:textId="30907873" w:rsidR="001E0069" w:rsidRPr="00A921D4" w:rsidRDefault="004F44C4" w:rsidP="001E0069">
      <m:oMathPara>
        <m:oMath>
          <m:sSub>
            <m:sSubPr>
              <m:ctrlPr>
                <w:rPr>
                  <w:rFonts w:ascii="Cambria Math" w:hAnsi="Cambria Math"/>
                  <w:i/>
                </w:rPr>
              </m:ctrlPr>
            </m:sSubPr>
            <m:e>
              <m:r>
                <w:rPr>
                  <w:rFonts w:ascii="Cambria Math" w:hAnsi="Cambria Math"/>
                </w:rPr>
                <m:t>ADU</m:t>
              </m:r>
            </m:e>
            <m:sub>
              <m:r>
                <w:rPr>
                  <w:rFonts w:ascii="Cambria Math" w:hAnsi="Cambria Math"/>
                </w:rPr>
                <m:t>kt</m:t>
              </m:r>
            </m:sub>
          </m:sSub>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0k</m:t>
              </m:r>
            </m:sub>
          </m:sSub>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1</m:t>
              </m:r>
            </m:sub>
          </m:sSub>
          <m:sSub>
            <m:sSubPr>
              <m:ctrlPr>
                <w:rPr>
                  <w:rFonts w:ascii="Cambria Math" w:hAnsi="Cambria Math"/>
                  <w:i/>
                </w:rPr>
              </m:ctrlPr>
            </m:sSubPr>
            <m:e>
              <m:r>
                <w:rPr>
                  <w:rFonts w:ascii="Cambria Math" w:hAnsi="Cambria Math"/>
                </w:rPr>
                <m:t>Post</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2</m:t>
              </m:r>
            </m:sub>
          </m:sSub>
          <m:sSub>
            <m:sSubPr>
              <m:ctrlPr>
                <w:rPr>
                  <w:rFonts w:ascii="Cambria Math" w:hAnsi="Cambria Math"/>
                  <w:i/>
                </w:rPr>
              </m:ctrlPr>
            </m:sSubPr>
            <m:e>
              <m:r>
                <w:rPr>
                  <w:rFonts w:ascii="Cambria Math" w:hAnsi="Cambria Math"/>
                </w:rPr>
                <m:t>Treatment</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Post</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kt</m:t>
              </m:r>
            </m:sub>
          </m:sSub>
        </m:oMath>
      </m:oMathPara>
    </w:p>
    <w:p w14:paraId="31699C62" w14:textId="77777777" w:rsidR="00A921D4" w:rsidRDefault="00A921D4" w:rsidP="001E0069"/>
    <w:p w14:paraId="0F7AD62D" w14:textId="24C75CB3" w:rsidR="001E0069" w:rsidRDefault="001E0069" w:rsidP="001E0069">
      <w:r>
        <w:t xml:space="preserve">Three observations about this specification deserve comment. First, the coefficient </w:t>
      </w:r>
      <w:r w:rsidR="00751510">
        <w:t>α</w:t>
      </w:r>
      <w:r w:rsidR="00751510">
        <w:rPr>
          <w:vertAlign w:val="subscript"/>
        </w:rPr>
        <w:t>0k</w:t>
      </w:r>
      <w:r w:rsidRPr="00C86A2D">
        <w:t xml:space="preserve"> </w:t>
      </w:r>
      <w:r>
        <w:t xml:space="preserve">captures </w:t>
      </w:r>
      <w:r w:rsidRPr="00C86A2D">
        <w:t>all</w:t>
      </w:r>
      <w:r>
        <w:t xml:space="preserve"> household-specific effects on energy use that do not change over time, including those that are unobservable. Second, </w:t>
      </w:r>
      <w:r w:rsidR="00751510">
        <w:t>α</w:t>
      </w:r>
      <w:r w:rsidR="00751510">
        <w:rPr>
          <w:vertAlign w:val="subscript"/>
        </w:rPr>
        <w:t>1</w:t>
      </w:r>
      <w:r w:rsidR="00751510">
        <w:t xml:space="preserve"> </w:t>
      </w:r>
      <w:r>
        <w:t xml:space="preserve">captures the average effect </w:t>
      </w:r>
      <w:r>
        <w:rPr>
          <w:i/>
        </w:rPr>
        <w:t>across all households</w:t>
      </w:r>
      <w:r>
        <w:t xml:space="preserve"> of being in the post-treatment period. </w:t>
      </w:r>
      <w:r w:rsidRPr="00485CDC">
        <w:t>Third, the effect of being both in the treatment group and in the post period</w:t>
      </w:r>
      <w:r>
        <w:t>—</w:t>
      </w:r>
      <w:r w:rsidRPr="00485CDC">
        <w:t>the effect directly attributable to the program—is captured by the coefficient</w:t>
      </w:r>
      <w:r w:rsidR="00751510">
        <w:t xml:space="preserve"> α</w:t>
      </w:r>
      <w:r w:rsidR="00751510">
        <w:rPr>
          <w:vertAlign w:val="subscript"/>
        </w:rPr>
        <w:t>2</w:t>
      </w:r>
      <w:r w:rsidRPr="00485CDC">
        <w:t xml:space="preserve">. </w:t>
      </w:r>
      <w:r>
        <w:t xml:space="preserve">In other words, whereas the coefficient </w:t>
      </w:r>
      <w:r w:rsidR="00751510">
        <w:t>α</w:t>
      </w:r>
      <w:r w:rsidR="00751510">
        <w:rPr>
          <w:vertAlign w:val="subscript"/>
        </w:rPr>
        <w:t>1</w:t>
      </w:r>
      <w:r w:rsidR="00751510">
        <w:t xml:space="preserve"> </w:t>
      </w:r>
      <w:r>
        <w:t xml:space="preserve">captures the change in average daily kWh use across the pre- and post-treatment for the </w:t>
      </w:r>
      <w:r w:rsidRPr="00ED30F5">
        <w:rPr>
          <w:i/>
        </w:rPr>
        <w:t xml:space="preserve">control </w:t>
      </w:r>
      <w:r>
        <w:t xml:space="preserve">group, the sum </w:t>
      </w:r>
      <w:r w:rsidR="00751510">
        <w:t>α</w:t>
      </w:r>
      <w:r w:rsidR="00751510">
        <w:rPr>
          <w:vertAlign w:val="subscript"/>
        </w:rPr>
        <w:t>1</w:t>
      </w:r>
      <w:r w:rsidR="00751510">
        <w:t xml:space="preserve"> +α</w:t>
      </w:r>
      <w:r w:rsidR="00751510">
        <w:rPr>
          <w:vertAlign w:val="subscript"/>
        </w:rPr>
        <w:t>2</w:t>
      </w:r>
      <w:r>
        <w:t xml:space="preserve"> captures this change for the treatment group, and so </w:t>
      </w:r>
      <w:r w:rsidR="00751510">
        <w:t>α</w:t>
      </w:r>
      <w:r w:rsidR="00751510">
        <w:rPr>
          <w:vertAlign w:val="subscript"/>
        </w:rPr>
        <w:t>2</w:t>
      </w:r>
      <w:r>
        <w:t xml:space="preserve"> is the estimate of average daily kWh energy savings due to the program in PY</w:t>
      </w:r>
      <w:r w:rsidR="00751510">
        <w:t>7</w:t>
      </w:r>
      <w:r>
        <w:t>.</w:t>
      </w:r>
    </w:p>
    <w:p w14:paraId="76773FEE" w14:textId="77777777" w:rsidR="001E0069" w:rsidRPr="000144EC" w:rsidRDefault="001E0069" w:rsidP="001E0069">
      <w:pPr>
        <w:pStyle w:val="Heading2"/>
      </w:pPr>
      <w:bookmarkStart w:id="120" w:name="_Ref339531113"/>
      <w:bookmarkStart w:id="121" w:name="_Toc350199038"/>
      <w:bookmarkStart w:id="122" w:name="_Toc378688202"/>
      <w:bookmarkStart w:id="123" w:name="_Toc403122812"/>
      <w:bookmarkStart w:id="124" w:name="_Toc408990882"/>
      <w:bookmarkStart w:id="125" w:name="_Toc441751896"/>
      <w:r w:rsidRPr="000144EC">
        <w:t xml:space="preserve">Detailed </w:t>
      </w:r>
      <w:r>
        <w:t>I</w:t>
      </w:r>
      <w:r w:rsidRPr="000144EC">
        <w:t xml:space="preserve">mpact </w:t>
      </w:r>
      <w:r>
        <w:t>R</w:t>
      </w:r>
      <w:r w:rsidRPr="000144EC">
        <w:t xml:space="preserve">esults: </w:t>
      </w:r>
      <w:r>
        <w:t>P</w:t>
      </w:r>
      <w:r w:rsidRPr="000144EC">
        <w:t xml:space="preserve">arameter </w:t>
      </w:r>
      <w:r>
        <w:t>E</w:t>
      </w:r>
      <w:r w:rsidRPr="000144EC">
        <w:t>stimates</w:t>
      </w:r>
      <w:bookmarkEnd w:id="120"/>
      <w:bookmarkEnd w:id="121"/>
      <w:bookmarkEnd w:id="122"/>
      <w:bookmarkEnd w:id="123"/>
      <w:bookmarkEnd w:id="124"/>
      <w:bookmarkEnd w:id="125"/>
    </w:p>
    <w:p w14:paraId="57E13E30" w14:textId="0749A778" w:rsidR="001E0069" w:rsidRDefault="00523D14" w:rsidP="00754472">
      <w:r>
        <w:fldChar w:fldCharType="begin"/>
      </w:r>
      <w:r>
        <w:instrText xml:space="preserve"> REF _Ref441492995 \h </w:instrText>
      </w:r>
      <w:r>
        <w:fldChar w:fldCharType="separate"/>
      </w:r>
      <w:r w:rsidR="00E4410B">
        <w:t xml:space="preserve">Table </w:t>
      </w:r>
      <w:r w:rsidR="00E4410B">
        <w:rPr>
          <w:noProof/>
        </w:rPr>
        <w:t>6</w:t>
      </w:r>
      <w:r w:rsidR="00E4410B">
        <w:noBreakHyphen/>
      </w:r>
      <w:r w:rsidR="00E4410B">
        <w:rPr>
          <w:noProof/>
        </w:rPr>
        <w:t>2</w:t>
      </w:r>
      <w:r>
        <w:fldChar w:fldCharType="end"/>
      </w:r>
      <w:r>
        <w:t xml:space="preserve"> through </w:t>
      </w:r>
      <w:r>
        <w:fldChar w:fldCharType="begin"/>
      </w:r>
      <w:r>
        <w:instrText xml:space="preserve"> REF _Ref441493005 \h </w:instrText>
      </w:r>
      <w:r>
        <w:fldChar w:fldCharType="separate"/>
      </w:r>
      <w:r w:rsidR="00E4410B">
        <w:t xml:space="preserve">Table </w:t>
      </w:r>
      <w:r w:rsidR="00E4410B">
        <w:rPr>
          <w:noProof/>
        </w:rPr>
        <w:t>6</w:t>
      </w:r>
      <w:r w:rsidR="00E4410B">
        <w:noBreakHyphen/>
      </w:r>
      <w:r w:rsidR="00E4410B">
        <w:rPr>
          <w:noProof/>
        </w:rPr>
        <w:t>7</w:t>
      </w:r>
      <w:r>
        <w:fldChar w:fldCharType="end"/>
      </w:r>
      <w:r>
        <w:t xml:space="preserve"> sh</w:t>
      </w:r>
      <w:r w:rsidR="00191DE5">
        <w:t>ow</w:t>
      </w:r>
      <w:r w:rsidR="00405A36">
        <w:t xml:space="preserve"> the results of the PPR and LFER model</w:t>
      </w:r>
      <w:r w:rsidR="000F779C">
        <w:t>s</w:t>
      </w:r>
      <w:r w:rsidR="00405A36">
        <w:t xml:space="preserve"> for each wave. </w:t>
      </w:r>
      <w:r w:rsidR="00780661">
        <w:t>Across the two models, the parameter estimates are not statistically different; that is, the estimates for each model are within the 90 percent confidence bounds for the other model. Furthermore, the pattern across the different program waves between the two models is very similar.</w:t>
      </w:r>
    </w:p>
    <w:p w14:paraId="63BB1581" w14:textId="03F65558" w:rsidR="00381B64" w:rsidRDefault="00381B64" w:rsidP="004301F4">
      <w:pPr>
        <w:pStyle w:val="Caption"/>
      </w:pPr>
      <w:bookmarkStart w:id="126" w:name="_Ref441492995"/>
      <w:bookmarkStart w:id="127" w:name="_Toc441751906"/>
      <w:bookmarkStart w:id="128" w:name="_Toc378688203"/>
      <w:bookmarkStart w:id="129" w:name="_Toc403122813"/>
      <w:bookmarkStart w:id="130" w:name="_Toc408990883"/>
      <w:bookmarkStart w:id="131" w:name="_Ref432770797"/>
      <w:r>
        <w:lastRenderedPageBreak/>
        <w:t xml:space="preserve">Table </w:t>
      </w:r>
      <w:fldSimple w:instr=" STYLEREF 1 \s ">
        <w:r w:rsidR="00E4410B">
          <w:rPr>
            <w:noProof/>
          </w:rPr>
          <w:t>6</w:t>
        </w:r>
      </w:fldSimple>
      <w:r w:rsidR="00F05E89">
        <w:noBreakHyphen/>
      </w:r>
      <w:fldSimple w:instr=" SEQ Table \* ARABIC \s 1 ">
        <w:r w:rsidR="00E4410B">
          <w:rPr>
            <w:noProof/>
          </w:rPr>
          <w:t>2</w:t>
        </w:r>
      </w:fldSimple>
      <w:bookmarkEnd w:id="126"/>
      <w:r>
        <w:t xml:space="preserve">. PPR Model Estimates, Wave </w:t>
      </w:r>
      <w:r w:rsidR="005D64E5">
        <w:t>1</w:t>
      </w:r>
      <w:bookmarkEnd w:id="127"/>
    </w:p>
    <w:tbl>
      <w:tblPr>
        <w:tblStyle w:val="ComEdTable"/>
        <w:tblW w:w="9270" w:type="dxa"/>
        <w:tblLayout w:type="fixed"/>
        <w:tblLook w:val="04A0" w:firstRow="1" w:lastRow="0" w:firstColumn="1" w:lastColumn="0" w:noHBand="0" w:noVBand="1"/>
      </w:tblPr>
      <w:tblGrid>
        <w:gridCol w:w="4031"/>
        <w:gridCol w:w="1279"/>
        <w:gridCol w:w="1161"/>
        <w:gridCol w:w="1270"/>
        <w:gridCol w:w="1529"/>
      </w:tblGrid>
      <w:tr w:rsidR="00381B64" w:rsidRPr="001B7768" w14:paraId="17EB24A1" w14:textId="77777777" w:rsidTr="002A230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031" w:type="dxa"/>
            <w:vAlign w:val="top"/>
          </w:tcPr>
          <w:p w14:paraId="1B34EC8D" w14:textId="77777777" w:rsidR="00381B64" w:rsidRPr="00CD7F1D" w:rsidRDefault="00381B64" w:rsidP="00A31871">
            <w:pPr>
              <w:keepNext/>
              <w:keepLines/>
              <w:spacing w:before="40" w:after="40"/>
              <w:jc w:val="left"/>
              <w:rPr>
                <w:rFonts w:ascii="Arial Narrow" w:hAnsi="Arial Narrow" w:cs="Calibri"/>
                <w:b w:val="0"/>
                <w:bCs/>
                <w:szCs w:val="20"/>
              </w:rPr>
            </w:pPr>
          </w:p>
        </w:tc>
        <w:tc>
          <w:tcPr>
            <w:tcW w:w="1279" w:type="dxa"/>
          </w:tcPr>
          <w:p w14:paraId="5863AC45" w14:textId="77777777" w:rsidR="00381B64" w:rsidRPr="00523D14" w:rsidRDefault="00381B64" w:rsidP="00A31871">
            <w:pPr>
              <w:keepNext/>
              <w:keepLines/>
              <w:spacing w:before="40" w:after="40"/>
              <w:cnfStyle w:val="100000000000" w:firstRow="1" w:lastRow="0" w:firstColumn="0" w:lastColumn="0" w:oddVBand="0" w:evenVBand="0" w:oddHBand="0" w:evenHBand="0" w:firstRowFirstColumn="0" w:firstRowLastColumn="0" w:lastRowFirstColumn="0" w:lastRowLastColumn="0"/>
              <w:rPr>
                <w:rFonts w:ascii="Arial Narrow" w:hAnsi="Arial Narrow" w:cs="Calibri"/>
                <w:bCs/>
                <w:szCs w:val="20"/>
              </w:rPr>
            </w:pPr>
            <w:r w:rsidRPr="00523D14">
              <w:rPr>
                <w:rFonts w:ascii="Arial Narrow" w:hAnsi="Arial Narrow" w:cs="Arial Narrow"/>
                <w:szCs w:val="20"/>
              </w:rPr>
              <w:t>Estimate</w:t>
            </w:r>
          </w:p>
        </w:tc>
        <w:tc>
          <w:tcPr>
            <w:tcW w:w="1161" w:type="dxa"/>
          </w:tcPr>
          <w:p w14:paraId="02D4C51C" w14:textId="77777777" w:rsidR="00381B64" w:rsidRPr="00523D14" w:rsidRDefault="00381B64" w:rsidP="00A31871">
            <w:pPr>
              <w:keepNext/>
              <w:keepLines/>
              <w:spacing w:before="40" w:after="40"/>
              <w:cnfStyle w:val="100000000000" w:firstRow="1" w:lastRow="0" w:firstColumn="0" w:lastColumn="0" w:oddVBand="0" w:evenVBand="0" w:oddHBand="0" w:evenHBand="0" w:firstRowFirstColumn="0" w:firstRowLastColumn="0" w:lastRowFirstColumn="0" w:lastRowLastColumn="0"/>
              <w:rPr>
                <w:rFonts w:ascii="Arial Narrow" w:hAnsi="Arial Narrow" w:cs="Calibri"/>
                <w:bCs/>
                <w:szCs w:val="20"/>
              </w:rPr>
            </w:pPr>
            <w:r w:rsidRPr="00523D14">
              <w:rPr>
                <w:rFonts w:ascii="Arial Narrow" w:hAnsi="Arial Narrow" w:cs="Arial Narrow"/>
                <w:szCs w:val="20"/>
              </w:rPr>
              <w:t>Std. Error</w:t>
            </w:r>
          </w:p>
        </w:tc>
        <w:tc>
          <w:tcPr>
            <w:tcW w:w="1270" w:type="dxa"/>
          </w:tcPr>
          <w:p w14:paraId="379A882F" w14:textId="77777777" w:rsidR="00381B64" w:rsidRPr="00523D14" w:rsidRDefault="00381B64" w:rsidP="00A31871">
            <w:pPr>
              <w:keepNext/>
              <w:keepLines/>
              <w:spacing w:before="40" w:after="40"/>
              <w:cnfStyle w:val="100000000000" w:firstRow="1" w:lastRow="0" w:firstColumn="0" w:lastColumn="0" w:oddVBand="0" w:evenVBand="0" w:oddHBand="0" w:evenHBand="0" w:firstRowFirstColumn="0" w:firstRowLastColumn="0" w:lastRowFirstColumn="0" w:lastRowLastColumn="0"/>
              <w:rPr>
                <w:rFonts w:ascii="Arial Narrow" w:hAnsi="Arial Narrow" w:cs="Calibri"/>
                <w:bCs/>
                <w:szCs w:val="20"/>
              </w:rPr>
            </w:pPr>
            <w:r w:rsidRPr="00523D14">
              <w:rPr>
                <w:rFonts w:ascii="Arial Narrow" w:hAnsi="Arial Narrow" w:cs="Arial Narrow"/>
                <w:szCs w:val="20"/>
              </w:rPr>
              <w:t>t value</w:t>
            </w:r>
          </w:p>
        </w:tc>
        <w:tc>
          <w:tcPr>
            <w:tcW w:w="1529" w:type="dxa"/>
          </w:tcPr>
          <w:p w14:paraId="3E6731B8" w14:textId="77777777" w:rsidR="00381B64" w:rsidRPr="00523D14" w:rsidRDefault="00381B64" w:rsidP="00A31871">
            <w:pPr>
              <w:keepNext/>
              <w:keepLines/>
              <w:spacing w:before="40" w:after="40"/>
              <w:cnfStyle w:val="100000000000" w:firstRow="1" w:lastRow="0" w:firstColumn="0" w:lastColumn="0" w:oddVBand="0" w:evenVBand="0" w:oddHBand="0" w:evenHBand="0" w:firstRowFirstColumn="0" w:firstRowLastColumn="0" w:lastRowFirstColumn="0" w:lastRowLastColumn="0"/>
              <w:rPr>
                <w:rFonts w:ascii="Arial Narrow" w:hAnsi="Arial Narrow" w:cs="Calibri"/>
                <w:bCs/>
                <w:szCs w:val="20"/>
              </w:rPr>
            </w:pPr>
            <w:r w:rsidRPr="00523D14">
              <w:rPr>
                <w:rFonts w:ascii="Arial Narrow" w:hAnsi="Arial Narrow" w:cs="Arial Narrow"/>
                <w:szCs w:val="20"/>
              </w:rPr>
              <w:t>Pr(&gt;|t|)</w:t>
            </w:r>
          </w:p>
        </w:tc>
      </w:tr>
      <w:tr w:rsidR="00ED2DAA" w:rsidRPr="001B7768" w14:paraId="72CDEF01"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32E90496" w14:textId="4C2FBDDF"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yrmo201311</w:t>
            </w:r>
          </w:p>
        </w:tc>
        <w:tc>
          <w:tcPr>
            <w:tcW w:w="1279" w:type="dxa"/>
            <w:vAlign w:val="bottom"/>
          </w:tcPr>
          <w:p w14:paraId="3061CF00" w14:textId="6F20B2F2"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5.8685</w:t>
            </w:r>
          </w:p>
        </w:tc>
        <w:tc>
          <w:tcPr>
            <w:tcW w:w="1161" w:type="dxa"/>
            <w:tcBorders>
              <w:top w:val="nil"/>
            </w:tcBorders>
            <w:vAlign w:val="bottom"/>
          </w:tcPr>
          <w:p w14:paraId="334F0B0B" w14:textId="7E0DC7AD"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0.25616</w:t>
            </w:r>
          </w:p>
        </w:tc>
        <w:tc>
          <w:tcPr>
            <w:tcW w:w="1270" w:type="dxa"/>
            <w:tcBorders>
              <w:top w:val="nil"/>
            </w:tcBorders>
            <w:vAlign w:val="bottom"/>
          </w:tcPr>
          <w:p w14:paraId="7A6768E1" w14:textId="5D483A9A"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22.9</w:t>
            </w:r>
          </w:p>
        </w:tc>
        <w:tc>
          <w:tcPr>
            <w:tcW w:w="1529" w:type="dxa"/>
            <w:tcBorders>
              <w:top w:val="nil"/>
            </w:tcBorders>
            <w:vAlign w:val="top"/>
          </w:tcPr>
          <w:p w14:paraId="6C2F6F4E" w14:textId="465307C5" w:rsidR="00ED2DAA" w:rsidRPr="00CD7F1D"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CD7F1D">
              <w:rPr>
                <w:rFonts w:ascii="Arial Narrow" w:hAnsi="Arial Narrow" w:cs="Arial Narrow"/>
                <w:color w:val="000000"/>
                <w:szCs w:val="20"/>
              </w:rPr>
              <w:t>0.000</w:t>
            </w:r>
          </w:p>
        </w:tc>
      </w:tr>
      <w:tr w:rsidR="00ED2DAA" w:rsidRPr="001B7768" w14:paraId="2654F0AE"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6156FA50" w14:textId="2731E28D"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yrmo201312</w:t>
            </w:r>
          </w:p>
        </w:tc>
        <w:tc>
          <w:tcPr>
            <w:tcW w:w="1279" w:type="dxa"/>
            <w:vAlign w:val="bottom"/>
          </w:tcPr>
          <w:p w14:paraId="60CDC021" w14:textId="34E54F94"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5.76062</w:t>
            </w:r>
          </w:p>
        </w:tc>
        <w:tc>
          <w:tcPr>
            <w:tcW w:w="1161" w:type="dxa"/>
            <w:vAlign w:val="bottom"/>
          </w:tcPr>
          <w:p w14:paraId="50508F80" w14:textId="6CD5AE88"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0.26821</w:t>
            </w:r>
          </w:p>
        </w:tc>
        <w:tc>
          <w:tcPr>
            <w:tcW w:w="1270" w:type="dxa"/>
            <w:vAlign w:val="bottom"/>
          </w:tcPr>
          <w:p w14:paraId="3D9DEF5A" w14:textId="7064DEBF"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21.5</w:t>
            </w:r>
          </w:p>
        </w:tc>
        <w:tc>
          <w:tcPr>
            <w:tcW w:w="1529" w:type="dxa"/>
            <w:vAlign w:val="top"/>
          </w:tcPr>
          <w:p w14:paraId="6EF41EF8" w14:textId="2BF53FCE" w:rsidR="00ED2DAA" w:rsidRPr="00CD7F1D"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CD7F1D">
              <w:rPr>
                <w:rFonts w:ascii="Arial Narrow" w:hAnsi="Arial Narrow" w:cs="Arial Narrow"/>
                <w:color w:val="000000"/>
                <w:szCs w:val="20"/>
              </w:rPr>
              <w:t>0.000</w:t>
            </w:r>
          </w:p>
        </w:tc>
      </w:tr>
      <w:tr w:rsidR="00ED2DAA" w:rsidRPr="001B7768" w14:paraId="730CE164"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23A1FBEF" w14:textId="7D73805D"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yrmo201401</w:t>
            </w:r>
          </w:p>
        </w:tc>
        <w:tc>
          <w:tcPr>
            <w:tcW w:w="1279" w:type="dxa"/>
            <w:vAlign w:val="bottom"/>
          </w:tcPr>
          <w:p w14:paraId="184AC68F" w14:textId="3851B27C"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6.05747</w:t>
            </w:r>
          </w:p>
        </w:tc>
        <w:tc>
          <w:tcPr>
            <w:tcW w:w="1161" w:type="dxa"/>
            <w:vAlign w:val="bottom"/>
          </w:tcPr>
          <w:p w14:paraId="07B02169" w14:textId="736BD171"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0.27981</w:t>
            </w:r>
          </w:p>
        </w:tc>
        <w:tc>
          <w:tcPr>
            <w:tcW w:w="1270" w:type="dxa"/>
            <w:vAlign w:val="bottom"/>
          </w:tcPr>
          <w:p w14:paraId="0AFE7B3C" w14:textId="0A7388AF"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21.6</w:t>
            </w:r>
          </w:p>
        </w:tc>
        <w:tc>
          <w:tcPr>
            <w:tcW w:w="1529" w:type="dxa"/>
            <w:vAlign w:val="top"/>
          </w:tcPr>
          <w:p w14:paraId="5FCA6837" w14:textId="773F67DF" w:rsidR="00ED2DAA" w:rsidRPr="00CD7F1D"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CD7F1D">
              <w:rPr>
                <w:rFonts w:ascii="Arial Narrow" w:hAnsi="Arial Narrow" w:cs="Arial Narrow"/>
                <w:color w:val="000000"/>
                <w:szCs w:val="20"/>
              </w:rPr>
              <w:t>0.000</w:t>
            </w:r>
          </w:p>
        </w:tc>
      </w:tr>
      <w:tr w:rsidR="00ED2DAA" w:rsidRPr="001B7768" w14:paraId="1D5E1E5E"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502FAA3F" w14:textId="35BB59B3"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yrmo201402</w:t>
            </w:r>
          </w:p>
        </w:tc>
        <w:tc>
          <w:tcPr>
            <w:tcW w:w="1279" w:type="dxa"/>
            <w:vAlign w:val="bottom"/>
          </w:tcPr>
          <w:p w14:paraId="4FA30289" w14:textId="4315DD05"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6.94798</w:t>
            </w:r>
          </w:p>
        </w:tc>
        <w:tc>
          <w:tcPr>
            <w:tcW w:w="1161" w:type="dxa"/>
            <w:vAlign w:val="bottom"/>
          </w:tcPr>
          <w:p w14:paraId="3BA51ED5" w14:textId="2765159A"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0.31707</w:t>
            </w:r>
          </w:p>
        </w:tc>
        <w:tc>
          <w:tcPr>
            <w:tcW w:w="1270" w:type="dxa"/>
            <w:vAlign w:val="bottom"/>
          </w:tcPr>
          <w:p w14:paraId="489C9BC8" w14:textId="02E06DC0"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21.9</w:t>
            </w:r>
          </w:p>
        </w:tc>
        <w:tc>
          <w:tcPr>
            <w:tcW w:w="1529" w:type="dxa"/>
            <w:vAlign w:val="top"/>
          </w:tcPr>
          <w:p w14:paraId="3B112FA8" w14:textId="7E2B073E" w:rsidR="00ED2DAA" w:rsidRPr="00CD7F1D"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CD7F1D">
              <w:rPr>
                <w:rFonts w:ascii="Arial Narrow" w:hAnsi="Arial Narrow" w:cs="Arial Narrow"/>
                <w:color w:val="000000"/>
                <w:szCs w:val="20"/>
              </w:rPr>
              <w:t>0.000</w:t>
            </w:r>
          </w:p>
        </w:tc>
      </w:tr>
      <w:tr w:rsidR="00ED2DAA" w:rsidRPr="001B7768" w14:paraId="7CC3A828"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3EBFC9ED" w14:textId="6943704A"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yrmo201403</w:t>
            </w:r>
          </w:p>
        </w:tc>
        <w:tc>
          <w:tcPr>
            <w:tcW w:w="1279" w:type="dxa"/>
            <w:vAlign w:val="bottom"/>
          </w:tcPr>
          <w:p w14:paraId="5EB25167" w14:textId="059E2B83"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4.89228</w:t>
            </w:r>
          </w:p>
        </w:tc>
        <w:tc>
          <w:tcPr>
            <w:tcW w:w="1161" w:type="dxa"/>
            <w:vAlign w:val="bottom"/>
          </w:tcPr>
          <w:p w14:paraId="79E9C11E" w14:textId="08606A93"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0.35602</w:t>
            </w:r>
          </w:p>
        </w:tc>
        <w:tc>
          <w:tcPr>
            <w:tcW w:w="1270" w:type="dxa"/>
            <w:vAlign w:val="bottom"/>
          </w:tcPr>
          <w:p w14:paraId="17A2A0E6" w14:textId="745DAC6D"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13.7</w:t>
            </w:r>
          </w:p>
        </w:tc>
        <w:tc>
          <w:tcPr>
            <w:tcW w:w="1529" w:type="dxa"/>
            <w:vAlign w:val="top"/>
          </w:tcPr>
          <w:p w14:paraId="55035AEA" w14:textId="36F43832" w:rsidR="00ED2DAA" w:rsidRPr="00CD7F1D"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CD7F1D">
              <w:rPr>
                <w:rFonts w:ascii="Arial Narrow" w:hAnsi="Arial Narrow" w:cs="Arial Narrow"/>
                <w:color w:val="000000"/>
                <w:szCs w:val="20"/>
              </w:rPr>
              <w:t>0.000</w:t>
            </w:r>
          </w:p>
        </w:tc>
      </w:tr>
      <w:tr w:rsidR="00ED2DAA" w:rsidRPr="001B7768" w14:paraId="56452855"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79170EF9" w14:textId="299A6FFB"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yrmo201404</w:t>
            </w:r>
          </w:p>
        </w:tc>
        <w:tc>
          <w:tcPr>
            <w:tcW w:w="1279" w:type="dxa"/>
            <w:vAlign w:val="bottom"/>
          </w:tcPr>
          <w:p w14:paraId="04A65DD2" w14:textId="746471D9"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5.27448</w:t>
            </w:r>
          </w:p>
        </w:tc>
        <w:tc>
          <w:tcPr>
            <w:tcW w:w="1161" w:type="dxa"/>
            <w:vAlign w:val="bottom"/>
          </w:tcPr>
          <w:p w14:paraId="7D6A0266" w14:textId="12C235EC"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0.31081</w:t>
            </w:r>
          </w:p>
        </w:tc>
        <w:tc>
          <w:tcPr>
            <w:tcW w:w="1270" w:type="dxa"/>
            <w:vAlign w:val="bottom"/>
          </w:tcPr>
          <w:p w14:paraId="66EAFD56" w14:textId="46DE3A12"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17</w:t>
            </w:r>
          </w:p>
        </w:tc>
        <w:tc>
          <w:tcPr>
            <w:tcW w:w="1529" w:type="dxa"/>
            <w:vAlign w:val="top"/>
          </w:tcPr>
          <w:p w14:paraId="6005B6DD" w14:textId="7F78D1CD" w:rsidR="00ED2DAA" w:rsidRPr="00CD7F1D"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CD7F1D">
              <w:rPr>
                <w:rFonts w:ascii="Arial Narrow" w:hAnsi="Arial Narrow" w:cs="Arial Narrow"/>
                <w:color w:val="000000"/>
                <w:szCs w:val="20"/>
              </w:rPr>
              <w:t>0.000</w:t>
            </w:r>
          </w:p>
        </w:tc>
      </w:tr>
      <w:tr w:rsidR="00ED2DAA" w:rsidRPr="001B7768" w14:paraId="0DDE96FB"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36291BDF" w14:textId="3A131E32"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yrmo201405</w:t>
            </w:r>
          </w:p>
        </w:tc>
        <w:tc>
          <w:tcPr>
            <w:tcW w:w="1279" w:type="dxa"/>
            <w:vAlign w:val="bottom"/>
          </w:tcPr>
          <w:p w14:paraId="621F0F6E" w14:textId="0D1FAFC2"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6.10624</w:t>
            </w:r>
          </w:p>
        </w:tc>
        <w:tc>
          <w:tcPr>
            <w:tcW w:w="1161" w:type="dxa"/>
            <w:vAlign w:val="bottom"/>
          </w:tcPr>
          <w:p w14:paraId="5C9FCB7F" w14:textId="6DFD4DD7"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0.27277</w:t>
            </w:r>
          </w:p>
        </w:tc>
        <w:tc>
          <w:tcPr>
            <w:tcW w:w="1270" w:type="dxa"/>
            <w:vAlign w:val="bottom"/>
          </w:tcPr>
          <w:p w14:paraId="794EAD7C" w14:textId="7D0449E5"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22.4</w:t>
            </w:r>
          </w:p>
        </w:tc>
        <w:tc>
          <w:tcPr>
            <w:tcW w:w="1529" w:type="dxa"/>
            <w:vAlign w:val="top"/>
          </w:tcPr>
          <w:p w14:paraId="5A6272E5" w14:textId="184AC0A9" w:rsidR="00ED2DAA" w:rsidRPr="00CD7F1D"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CD7F1D">
              <w:rPr>
                <w:rFonts w:ascii="Arial Narrow" w:hAnsi="Arial Narrow" w:cs="Arial Narrow"/>
                <w:color w:val="000000"/>
                <w:szCs w:val="20"/>
              </w:rPr>
              <w:t>0.000</w:t>
            </w:r>
          </w:p>
        </w:tc>
      </w:tr>
      <w:tr w:rsidR="00ED2DAA" w:rsidRPr="001B7768" w14:paraId="2CE99A0B"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2F52E238" w14:textId="49C2DBF4"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yrmo201406</w:t>
            </w:r>
          </w:p>
        </w:tc>
        <w:tc>
          <w:tcPr>
            <w:tcW w:w="1279" w:type="dxa"/>
            <w:vAlign w:val="bottom"/>
          </w:tcPr>
          <w:p w14:paraId="19BD3951" w14:textId="7D98488C"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8.52355</w:t>
            </w:r>
          </w:p>
        </w:tc>
        <w:tc>
          <w:tcPr>
            <w:tcW w:w="1161" w:type="dxa"/>
            <w:vAlign w:val="bottom"/>
          </w:tcPr>
          <w:p w14:paraId="0B4C8A08" w14:textId="456A3714"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0.24598</w:t>
            </w:r>
          </w:p>
        </w:tc>
        <w:tc>
          <w:tcPr>
            <w:tcW w:w="1270" w:type="dxa"/>
            <w:vAlign w:val="bottom"/>
          </w:tcPr>
          <w:p w14:paraId="125811D3" w14:textId="3B6B1F9D"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34.6</w:t>
            </w:r>
          </w:p>
        </w:tc>
        <w:tc>
          <w:tcPr>
            <w:tcW w:w="1529" w:type="dxa"/>
            <w:vAlign w:val="top"/>
          </w:tcPr>
          <w:p w14:paraId="57B098FA" w14:textId="7EFDFE40" w:rsidR="00ED2DAA" w:rsidRPr="00CD7F1D"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CD7F1D">
              <w:rPr>
                <w:rFonts w:ascii="Arial Narrow" w:hAnsi="Arial Narrow" w:cs="Arial Narrow"/>
                <w:color w:val="000000"/>
                <w:szCs w:val="20"/>
              </w:rPr>
              <w:t>0.000</w:t>
            </w:r>
          </w:p>
        </w:tc>
      </w:tr>
      <w:tr w:rsidR="00ED2DAA" w:rsidRPr="001B7768" w14:paraId="0445D496"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18C76F11" w14:textId="3BBD78E2"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yrmo201407</w:t>
            </w:r>
          </w:p>
        </w:tc>
        <w:tc>
          <w:tcPr>
            <w:tcW w:w="1279" w:type="dxa"/>
            <w:vAlign w:val="bottom"/>
          </w:tcPr>
          <w:p w14:paraId="35FC9533" w14:textId="3BCE40CD"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7.8359</w:t>
            </w:r>
          </w:p>
        </w:tc>
        <w:tc>
          <w:tcPr>
            <w:tcW w:w="1161" w:type="dxa"/>
            <w:vAlign w:val="bottom"/>
          </w:tcPr>
          <w:p w14:paraId="35F49DF2" w14:textId="6AAF6568"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0.26474</w:t>
            </w:r>
          </w:p>
        </w:tc>
        <w:tc>
          <w:tcPr>
            <w:tcW w:w="1270" w:type="dxa"/>
            <w:vAlign w:val="bottom"/>
          </w:tcPr>
          <w:p w14:paraId="045C0D48" w14:textId="4C31234B"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29.6</w:t>
            </w:r>
          </w:p>
        </w:tc>
        <w:tc>
          <w:tcPr>
            <w:tcW w:w="1529" w:type="dxa"/>
            <w:vAlign w:val="top"/>
          </w:tcPr>
          <w:p w14:paraId="5A7637C1" w14:textId="0EE1C90A" w:rsidR="00ED2DAA" w:rsidRPr="00CD7F1D"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CD7F1D">
              <w:rPr>
                <w:rFonts w:ascii="Arial Narrow" w:hAnsi="Arial Narrow" w:cs="Arial Narrow"/>
                <w:color w:val="000000"/>
                <w:szCs w:val="20"/>
              </w:rPr>
              <w:t>0.000</w:t>
            </w:r>
          </w:p>
        </w:tc>
      </w:tr>
      <w:tr w:rsidR="00ED2DAA" w:rsidRPr="001B7768" w14:paraId="6969C88A"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05F9406F" w14:textId="3A83CC3D"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yrmo201408</w:t>
            </w:r>
          </w:p>
        </w:tc>
        <w:tc>
          <w:tcPr>
            <w:tcW w:w="1279" w:type="dxa"/>
            <w:vAlign w:val="bottom"/>
          </w:tcPr>
          <w:p w14:paraId="46298FCE" w14:textId="255FEB82"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5.0928</w:t>
            </w:r>
          </w:p>
        </w:tc>
        <w:tc>
          <w:tcPr>
            <w:tcW w:w="1161" w:type="dxa"/>
            <w:vAlign w:val="bottom"/>
          </w:tcPr>
          <w:p w14:paraId="437EB57E" w14:textId="3AEDFEE4"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0.26043</w:t>
            </w:r>
          </w:p>
        </w:tc>
        <w:tc>
          <w:tcPr>
            <w:tcW w:w="1270" w:type="dxa"/>
            <w:vAlign w:val="bottom"/>
          </w:tcPr>
          <w:p w14:paraId="6F056C93" w14:textId="6F74E7F7"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19.6</w:t>
            </w:r>
          </w:p>
        </w:tc>
        <w:tc>
          <w:tcPr>
            <w:tcW w:w="1529" w:type="dxa"/>
            <w:vAlign w:val="top"/>
          </w:tcPr>
          <w:p w14:paraId="3E234062" w14:textId="46493EB3" w:rsidR="00ED2DAA" w:rsidRPr="00CD7F1D"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CD7F1D">
              <w:rPr>
                <w:rFonts w:ascii="Arial Narrow" w:hAnsi="Arial Narrow" w:cs="Arial Narrow"/>
                <w:color w:val="000000"/>
                <w:szCs w:val="20"/>
              </w:rPr>
              <w:t>0.000</w:t>
            </w:r>
          </w:p>
        </w:tc>
      </w:tr>
      <w:tr w:rsidR="00ED2DAA" w:rsidRPr="001B7768" w14:paraId="598F8293"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1A3F4747" w14:textId="11AC6963"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yrmo201409</w:t>
            </w:r>
          </w:p>
        </w:tc>
        <w:tc>
          <w:tcPr>
            <w:tcW w:w="1279" w:type="dxa"/>
            <w:vAlign w:val="bottom"/>
          </w:tcPr>
          <w:p w14:paraId="089E2CEA" w14:textId="0C212DAC"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8.40742</w:t>
            </w:r>
          </w:p>
        </w:tc>
        <w:tc>
          <w:tcPr>
            <w:tcW w:w="1161" w:type="dxa"/>
            <w:vAlign w:val="bottom"/>
          </w:tcPr>
          <w:p w14:paraId="372DB060" w14:textId="4818DA00"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0.25999</w:t>
            </w:r>
          </w:p>
        </w:tc>
        <w:tc>
          <w:tcPr>
            <w:tcW w:w="1270" w:type="dxa"/>
            <w:vAlign w:val="bottom"/>
          </w:tcPr>
          <w:p w14:paraId="6ED42285" w14:textId="72B97ACF"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32.3</w:t>
            </w:r>
          </w:p>
        </w:tc>
        <w:tc>
          <w:tcPr>
            <w:tcW w:w="1529" w:type="dxa"/>
            <w:vAlign w:val="top"/>
          </w:tcPr>
          <w:p w14:paraId="5B3D4BBD" w14:textId="272F1843" w:rsidR="00ED2DAA" w:rsidRPr="00CD7F1D"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CD7F1D">
              <w:rPr>
                <w:rFonts w:ascii="Arial Narrow" w:hAnsi="Arial Narrow" w:cs="Arial Narrow"/>
                <w:color w:val="000000"/>
                <w:szCs w:val="20"/>
              </w:rPr>
              <w:t>0.000</w:t>
            </w:r>
          </w:p>
        </w:tc>
      </w:tr>
      <w:tr w:rsidR="00ED2DAA" w:rsidRPr="001B7768" w14:paraId="52367169"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71913756" w14:textId="080A0485"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yrmo201410</w:t>
            </w:r>
          </w:p>
        </w:tc>
        <w:tc>
          <w:tcPr>
            <w:tcW w:w="1279" w:type="dxa"/>
            <w:vAlign w:val="bottom"/>
          </w:tcPr>
          <w:p w14:paraId="6B04DAB2" w14:textId="7CEE133C"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5.97789</w:t>
            </w:r>
          </w:p>
        </w:tc>
        <w:tc>
          <w:tcPr>
            <w:tcW w:w="1161" w:type="dxa"/>
            <w:vAlign w:val="bottom"/>
          </w:tcPr>
          <w:p w14:paraId="3446D3A1" w14:textId="3F52CFEC"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0.25913</w:t>
            </w:r>
          </w:p>
        </w:tc>
        <w:tc>
          <w:tcPr>
            <w:tcW w:w="1270" w:type="dxa"/>
            <w:vAlign w:val="bottom"/>
          </w:tcPr>
          <w:p w14:paraId="1C318FCC" w14:textId="6C472200"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23.1</w:t>
            </w:r>
          </w:p>
        </w:tc>
        <w:tc>
          <w:tcPr>
            <w:tcW w:w="1529" w:type="dxa"/>
            <w:vAlign w:val="top"/>
          </w:tcPr>
          <w:p w14:paraId="34664373" w14:textId="7910D5B3" w:rsidR="00ED2DAA" w:rsidRPr="00CD7F1D"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CD7F1D">
              <w:rPr>
                <w:rFonts w:ascii="Arial Narrow" w:hAnsi="Arial Narrow" w:cs="Arial Narrow"/>
                <w:color w:val="000000"/>
                <w:szCs w:val="20"/>
              </w:rPr>
              <w:t>0.000</w:t>
            </w:r>
          </w:p>
        </w:tc>
      </w:tr>
      <w:tr w:rsidR="00ED2DAA" w:rsidRPr="001B7768" w14:paraId="06AA0DB7"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0DA9B2CC" w14:textId="3EDBDB70"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treatment:TR0</w:t>
            </w:r>
          </w:p>
        </w:tc>
        <w:tc>
          <w:tcPr>
            <w:tcW w:w="1279" w:type="dxa"/>
            <w:vAlign w:val="bottom"/>
          </w:tcPr>
          <w:p w14:paraId="423CF3EE" w14:textId="6CC5C820"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-1.07291</w:t>
            </w:r>
          </w:p>
        </w:tc>
        <w:tc>
          <w:tcPr>
            <w:tcW w:w="1161" w:type="dxa"/>
            <w:vAlign w:val="bottom"/>
          </w:tcPr>
          <w:p w14:paraId="3766D7AA" w14:textId="352546E4"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0.10228</w:t>
            </w:r>
          </w:p>
        </w:tc>
        <w:tc>
          <w:tcPr>
            <w:tcW w:w="1270" w:type="dxa"/>
            <w:vAlign w:val="bottom"/>
          </w:tcPr>
          <w:p w14:paraId="7F6C654D" w14:textId="6AEDC805"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-10.5</w:t>
            </w:r>
          </w:p>
        </w:tc>
        <w:tc>
          <w:tcPr>
            <w:tcW w:w="1529" w:type="dxa"/>
            <w:vAlign w:val="top"/>
          </w:tcPr>
          <w:p w14:paraId="7C774549" w14:textId="7AA6F52E" w:rsidR="00ED2DAA" w:rsidRPr="00CD7F1D"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CD7F1D">
              <w:rPr>
                <w:rFonts w:ascii="Arial Narrow" w:hAnsi="Arial Narrow" w:cs="Arial Narrow"/>
                <w:color w:val="000000"/>
                <w:szCs w:val="20"/>
              </w:rPr>
              <w:t>0.000</w:t>
            </w:r>
          </w:p>
        </w:tc>
      </w:tr>
      <w:tr w:rsidR="00ED2DAA" w:rsidRPr="001B7768" w14:paraId="7A4EDEEE"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44DCD343" w14:textId="3153EBAC"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treatment:TR1</w:t>
            </w:r>
          </w:p>
        </w:tc>
        <w:tc>
          <w:tcPr>
            <w:tcW w:w="1279" w:type="dxa"/>
            <w:vAlign w:val="bottom"/>
          </w:tcPr>
          <w:p w14:paraId="66A18A81" w14:textId="33B7B934"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-1.02464</w:t>
            </w:r>
          </w:p>
        </w:tc>
        <w:tc>
          <w:tcPr>
            <w:tcW w:w="1161" w:type="dxa"/>
            <w:vAlign w:val="bottom"/>
          </w:tcPr>
          <w:p w14:paraId="5E4B568C" w14:textId="44F00DF9"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0.15766</w:t>
            </w:r>
          </w:p>
        </w:tc>
        <w:tc>
          <w:tcPr>
            <w:tcW w:w="1270" w:type="dxa"/>
            <w:vAlign w:val="bottom"/>
          </w:tcPr>
          <w:p w14:paraId="0B4410FB" w14:textId="79EBBFEF"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-6.5</w:t>
            </w:r>
          </w:p>
        </w:tc>
        <w:tc>
          <w:tcPr>
            <w:tcW w:w="1529" w:type="dxa"/>
            <w:vAlign w:val="top"/>
          </w:tcPr>
          <w:p w14:paraId="4D4C11AC" w14:textId="2800E7CC" w:rsidR="00ED2DAA" w:rsidRPr="00CD7F1D"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0.000</w:t>
            </w:r>
          </w:p>
        </w:tc>
      </w:tr>
      <w:tr w:rsidR="00ED2DAA" w:rsidRPr="001B7768" w14:paraId="7727A0E3"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3ECB3C6F" w14:textId="03BD6D58"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yrmo201311:pre.use</w:t>
            </w:r>
          </w:p>
        </w:tc>
        <w:tc>
          <w:tcPr>
            <w:tcW w:w="1279" w:type="dxa"/>
            <w:vAlign w:val="bottom"/>
          </w:tcPr>
          <w:p w14:paraId="15DA3E6D" w14:textId="6614E279"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0.77529</w:t>
            </w:r>
          </w:p>
        </w:tc>
        <w:tc>
          <w:tcPr>
            <w:tcW w:w="1161" w:type="dxa"/>
            <w:vAlign w:val="bottom"/>
          </w:tcPr>
          <w:p w14:paraId="709995BD" w14:textId="425D71B3"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0.00762</w:t>
            </w:r>
          </w:p>
        </w:tc>
        <w:tc>
          <w:tcPr>
            <w:tcW w:w="1270" w:type="dxa"/>
            <w:vAlign w:val="bottom"/>
          </w:tcPr>
          <w:p w14:paraId="4F127210" w14:textId="405DC8AD"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101.7</w:t>
            </w:r>
          </w:p>
        </w:tc>
        <w:tc>
          <w:tcPr>
            <w:tcW w:w="1529" w:type="dxa"/>
            <w:vAlign w:val="top"/>
          </w:tcPr>
          <w:p w14:paraId="11AEBA24" w14:textId="55074D52" w:rsidR="00ED2DAA" w:rsidRPr="00CD7F1D"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0.000</w:t>
            </w:r>
          </w:p>
        </w:tc>
      </w:tr>
      <w:tr w:rsidR="00ED2DAA" w:rsidRPr="001B7768" w14:paraId="4E38138E"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46540BF1" w14:textId="3A102EE9"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yrmo201312:pre.use</w:t>
            </w:r>
          </w:p>
        </w:tc>
        <w:tc>
          <w:tcPr>
            <w:tcW w:w="1279" w:type="dxa"/>
            <w:vAlign w:val="bottom"/>
          </w:tcPr>
          <w:p w14:paraId="215AF08C" w14:textId="6A30BBC4"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0.79342</w:t>
            </w:r>
          </w:p>
        </w:tc>
        <w:tc>
          <w:tcPr>
            <w:tcW w:w="1161" w:type="dxa"/>
            <w:vAlign w:val="bottom"/>
          </w:tcPr>
          <w:p w14:paraId="38CAF617" w14:textId="1DBF9913"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0.0065</w:t>
            </w:r>
          </w:p>
        </w:tc>
        <w:tc>
          <w:tcPr>
            <w:tcW w:w="1270" w:type="dxa"/>
            <w:vAlign w:val="bottom"/>
          </w:tcPr>
          <w:p w14:paraId="5D4F91EB" w14:textId="37DB9628"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122.1</w:t>
            </w:r>
          </w:p>
        </w:tc>
        <w:tc>
          <w:tcPr>
            <w:tcW w:w="1529" w:type="dxa"/>
            <w:vAlign w:val="top"/>
          </w:tcPr>
          <w:p w14:paraId="509DBBBD" w14:textId="06AC2B8B" w:rsidR="00ED2DAA" w:rsidRPr="00CD7F1D"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CD7F1D">
              <w:rPr>
                <w:rFonts w:ascii="Arial Narrow" w:hAnsi="Arial Narrow" w:cs="Arial Narrow"/>
                <w:color w:val="000000"/>
                <w:szCs w:val="20"/>
              </w:rPr>
              <w:t>0.000</w:t>
            </w:r>
          </w:p>
        </w:tc>
      </w:tr>
      <w:tr w:rsidR="00ED2DAA" w:rsidRPr="001B7768" w14:paraId="3891073F"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58531CE1" w14:textId="1FE26F6B"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yrmo201401:pre.use</w:t>
            </w:r>
          </w:p>
        </w:tc>
        <w:tc>
          <w:tcPr>
            <w:tcW w:w="1279" w:type="dxa"/>
            <w:vAlign w:val="bottom"/>
          </w:tcPr>
          <w:p w14:paraId="0787CBF8" w14:textId="42112E42"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0.79484</w:t>
            </w:r>
          </w:p>
        </w:tc>
        <w:tc>
          <w:tcPr>
            <w:tcW w:w="1161" w:type="dxa"/>
            <w:vAlign w:val="bottom"/>
          </w:tcPr>
          <w:p w14:paraId="7FA88F9A" w14:textId="31E7767F"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0.00605</w:t>
            </w:r>
          </w:p>
        </w:tc>
        <w:tc>
          <w:tcPr>
            <w:tcW w:w="1270" w:type="dxa"/>
            <w:vAlign w:val="bottom"/>
          </w:tcPr>
          <w:p w14:paraId="009A1517" w14:textId="4B48F407"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131.4</w:t>
            </w:r>
          </w:p>
        </w:tc>
        <w:tc>
          <w:tcPr>
            <w:tcW w:w="1529" w:type="dxa"/>
            <w:vAlign w:val="top"/>
          </w:tcPr>
          <w:p w14:paraId="3227B67F" w14:textId="70BC156D" w:rsidR="00ED2DAA" w:rsidRPr="00CD7F1D"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CD7F1D">
              <w:rPr>
                <w:rFonts w:ascii="Arial Narrow" w:hAnsi="Arial Narrow" w:cs="Arial Narrow"/>
                <w:color w:val="000000"/>
                <w:szCs w:val="20"/>
              </w:rPr>
              <w:t>0.000</w:t>
            </w:r>
          </w:p>
        </w:tc>
      </w:tr>
      <w:tr w:rsidR="00ED2DAA" w:rsidRPr="001B7768" w14:paraId="349DEA5B"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2ECFCA73" w14:textId="042A9E1B"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yrmo201402:pre.use</w:t>
            </w:r>
          </w:p>
        </w:tc>
        <w:tc>
          <w:tcPr>
            <w:tcW w:w="1279" w:type="dxa"/>
            <w:vAlign w:val="bottom"/>
          </w:tcPr>
          <w:p w14:paraId="749675BE" w14:textId="08DD07A1"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0.87691</w:t>
            </w:r>
          </w:p>
        </w:tc>
        <w:tc>
          <w:tcPr>
            <w:tcW w:w="1161" w:type="dxa"/>
            <w:vAlign w:val="bottom"/>
          </w:tcPr>
          <w:p w14:paraId="4B2FDD4E" w14:textId="4B607DFD"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0.00777</w:t>
            </w:r>
          </w:p>
        </w:tc>
        <w:tc>
          <w:tcPr>
            <w:tcW w:w="1270" w:type="dxa"/>
            <w:vAlign w:val="bottom"/>
          </w:tcPr>
          <w:p w14:paraId="0649C6BE" w14:textId="3460CA5F"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112.8</w:t>
            </w:r>
          </w:p>
        </w:tc>
        <w:tc>
          <w:tcPr>
            <w:tcW w:w="1529" w:type="dxa"/>
            <w:vAlign w:val="top"/>
          </w:tcPr>
          <w:p w14:paraId="575A0C7D" w14:textId="4EBA4C9B" w:rsidR="00ED2DAA" w:rsidRPr="00CD7F1D"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CD7F1D">
              <w:rPr>
                <w:rFonts w:ascii="Arial Narrow" w:hAnsi="Arial Narrow" w:cs="Arial Narrow"/>
                <w:color w:val="000000"/>
                <w:szCs w:val="20"/>
              </w:rPr>
              <w:t>0.000</w:t>
            </w:r>
          </w:p>
        </w:tc>
      </w:tr>
      <w:tr w:rsidR="00ED2DAA" w:rsidRPr="001B7768" w14:paraId="3E0E8949"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293481D2" w14:textId="4148098B"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yrmo201403:pre.use</w:t>
            </w:r>
          </w:p>
        </w:tc>
        <w:tc>
          <w:tcPr>
            <w:tcW w:w="1279" w:type="dxa"/>
            <w:vAlign w:val="bottom"/>
          </w:tcPr>
          <w:p w14:paraId="5E652A2E" w14:textId="1E8EBC98"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0.91484</w:t>
            </w:r>
          </w:p>
        </w:tc>
        <w:tc>
          <w:tcPr>
            <w:tcW w:w="1161" w:type="dxa"/>
            <w:vAlign w:val="bottom"/>
          </w:tcPr>
          <w:p w14:paraId="6A101F32" w14:textId="60C1CCC7"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0.00967</w:t>
            </w:r>
          </w:p>
        </w:tc>
        <w:tc>
          <w:tcPr>
            <w:tcW w:w="1270" w:type="dxa"/>
            <w:vAlign w:val="bottom"/>
          </w:tcPr>
          <w:p w14:paraId="07899E01" w14:textId="13579E8E"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94.6</w:t>
            </w:r>
          </w:p>
        </w:tc>
        <w:tc>
          <w:tcPr>
            <w:tcW w:w="1529" w:type="dxa"/>
            <w:vAlign w:val="top"/>
          </w:tcPr>
          <w:p w14:paraId="457F41DD" w14:textId="2DF80A31" w:rsidR="00ED2DAA" w:rsidRPr="00CD7F1D"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CD7F1D">
              <w:rPr>
                <w:rFonts w:ascii="Arial Narrow" w:hAnsi="Arial Narrow" w:cs="Arial Narrow"/>
                <w:color w:val="000000"/>
                <w:szCs w:val="20"/>
              </w:rPr>
              <w:t>0.000</w:t>
            </w:r>
          </w:p>
        </w:tc>
      </w:tr>
      <w:tr w:rsidR="00ED2DAA" w:rsidRPr="001B7768" w14:paraId="173AFFF8"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4EB592BB" w14:textId="447364F7"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yrmo201404:pre.use</w:t>
            </w:r>
          </w:p>
        </w:tc>
        <w:tc>
          <w:tcPr>
            <w:tcW w:w="1279" w:type="dxa"/>
            <w:vAlign w:val="bottom"/>
          </w:tcPr>
          <w:p w14:paraId="26CAE847" w14:textId="6F0B393E"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0.81802</w:t>
            </w:r>
          </w:p>
        </w:tc>
        <w:tc>
          <w:tcPr>
            <w:tcW w:w="1161" w:type="dxa"/>
            <w:vAlign w:val="bottom"/>
          </w:tcPr>
          <w:p w14:paraId="513DA530" w14:textId="3EEEEDAA"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0.00932</w:t>
            </w:r>
          </w:p>
        </w:tc>
        <w:tc>
          <w:tcPr>
            <w:tcW w:w="1270" w:type="dxa"/>
            <w:vAlign w:val="bottom"/>
          </w:tcPr>
          <w:p w14:paraId="44F70186" w14:textId="4B3D8C62"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87.8</w:t>
            </w:r>
          </w:p>
        </w:tc>
        <w:tc>
          <w:tcPr>
            <w:tcW w:w="1529" w:type="dxa"/>
            <w:vAlign w:val="top"/>
          </w:tcPr>
          <w:p w14:paraId="53023869" w14:textId="292E593F" w:rsidR="00ED2DAA" w:rsidRPr="00CD7F1D"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CD7F1D">
              <w:rPr>
                <w:rFonts w:ascii="Arial Narrow" w:hAnsi="Arial Narrow" w:cs="Arial Narrow"/>
                <w:color w:val="000000"/>
                <w:szCs w:val="20"/>
              </w:rPr>
              <w:t>0.000</w:t>
            </w:r>
          </w:p>
        </w:tc>
      </w:tr>
      <w:tr w:rsidR="00ED2DAA" w:rsidRPr="001B7768" w14:paraId="29512AED"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4D7A8F2E" w14:textId="000CC9C8"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yrmo201405:pre.use</w:t>
            </w:r>
          </w:p>
        </w:tc>
        <w:tc>
          <w:tcPr>
            <w:tcW w:w="1279" w:type="dxa"/>
            <w:vAlign w:val="bottom"/>
          </w:tcPr>
          <w:p w14:paraId="71D3B97D" w14:textId="405B3918"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0.77363</w:t>
            </w:r>
          </w:p>
        </w:tc>
        <w:tc>
          <w:tcPr>
            <w:tcW w:w="1161" w:type="dxa"/>
            <w:vAlign w:val="bottom"/>
          </w:tcPr>
          <w:p w14:paraId="627FF22F" w14:textId="49191E6E"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0.00893</w:t>
            </w:r>
          </w:p>
        </w:tc>
        <w:tc>
          <w:tcPr>
            <w:tcW w:w="1270" w:type="dxa"/>
            <w:vAlign w:val="bottom"/>
          </w:tcPr>
          <w:p w14:paraId="617AE5FD" w14:textId="24103976"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86.7</w:t>
            </w:r>
          </w:p>
        </w:tc>
        <w:tc>
          <w:tcPr>
            <w:tcW w:w="1529" w:type="dxa"/>
            <w:vAlign w:val="top"/>
          </w:tcPr>
          <w:p w14:paraId="42D610D9" w14:textId="5FA27DB4" w:rsidR="00ED2DAA" w:rsidRPr="00CD7F1D"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CD7F1D">
              <w:rPr>
                <w:rFonts w:ascii="Arial Narrow" w:hAnsi="Arial Narrow" w:cs="Arial Narrow"/>
                <w:color w:val="000000"/>
                <w:szCs w:val="20"/>
              </w:rPr>
              <w:t>0.000</w:t>
            </w:r>
          </w:p>
        </w:tc>
      </w:tr>
      <w:tr w:rsidR="00ED2DAA" w:rsidRPr="001B7768" w14:paraId="6FFDAF30"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29E894A0" w14:textId="4D5B5048"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yrmo201406:pre.use</w:t>
            </w:r>
          </w:p>
        </w:tc>
        <w:tc>
          <w:tcPr>
            <w:tcW w:w="1279" w:type="dxa"/>
            <w:vAlign w:val="bottom"/>
          </w:tcPr>
          <w:p w14:paraId="5A9A7F63" w14:textId="4C8EE5DE"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0.86852</w:t>
            </w:r>
          </w:p>
        </w:tc>
        <w:tc>
          <w:tcPr>
            <w:tcW w:w="1161" w:type="dxa"/>
            <w:vAlign w:val="bottom"/>
          </w:tcPr>
          <w:p w14:paraId="7415DAD1" w14:textId="4A6ED662"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0.00761</w:t>
            </w:r>
          </w:p>
        </w:tc>
        <w:tc>
          <w:tcPr>
            <w:tcW w:w="1270" w:type="dxa"/>
            <w:vAlign w:val="bottom"/>
          </w:tcPr>
          <w:p w14:paraId="05788CAC" w14:textId="7913F03F"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114.2</w:t>
            </w:r>
          </w:p>
        </w:tc>
        <w:tc>
          <w:tcPr>
            <w:tcW w:w="1529" w:type="dxa"/>
            <w:vAlign w:val="top"/>
          </w:tcPr>
          <w:p w14:paraId="7CB968FD" w14:textId="3DDDF084" w:rsidR="00ED2DAA" w:rsidRPr="00CD7F1D"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CD7F1D">
              <w:rPr>
                <w:rFonts w:ascii="Arial Narrow" w:hAnsi="Arial Narrow" w:cs="Arial Narrow"/>
                <w:color w:val="000000"/>
                <w:szCs w:val="20"/>
              </w:rPr>
              <w:t>0.000</w:t>
            </w:r>
          </w:p>
        </w:tc>
      </w:tr>
      <w:tr w:rsidR="00ED2DAA" w:rsidRPr="001B7768" w14:paraId="2B25DEA1"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7236B93F" w14:textId="1E61F1DD"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yrmo201407:pre.use</w:t>
            </w:r>
          </w:p>
        </w:tc>
        <w:tc>
          <w:tcPr>
            <w:tcW w:w="1279" w:type="dxa"/>
            <w:vAlign w:val="bottom"/>
          </w:tcPr>
          <w:p w14:paraId="386DACFC" w14:textId="41DBC2AD"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0.76165</w:t>
            </w:r>
          </w:p>
        </w:tc>
        <w:tc>
          <w:tcPr>
            <w:tcW w:w="1161" w:type="dxa"/>
            <w:vAlign w:val="bottom"/>
          </w:tcPr>
          <w:p w14:paraId="62920634" w14:textId="687DF31A"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0.00539</w:t>
            </w:r>
          </w:p>
        </w:tc>
        <w:tc>
          <w:tcPr>
            <w:tcW w:w="1270" w:type="dxa"/>
            <w:vAlign w:val="bottom"/>
          </w:tcPr>
          <w:p w14:paraId="1704DDBF" w14:textId="457ADA85"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141.4</w:t>
            </w:r>
          </w:p>
        </w:tc>
        <w:tc>
          <w:tcPr>
            <w:tcW w:w="1529" w:type="dxa"/>
            <w:vAlign w:val="top"/>
          </w:tcPr>
          <w:p w14:paraId="30BBAE99" w14:textId="3A43825B" w:rsidR="00ED2DAA" w:rsidRPr="00CD7F1D"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CD7F1D">
              <w:rPr>
                <w:rFonts w:ascii="Arial Narrow" w:hAnsi="Arial Narrow" w:cs="Arial Narrow"/>
                <w:color w:val="000000"/>
                <w:szCs w:val="20"/>
              </w:rPr>
              <w:t>0.000</w:t>
            </w:r>
          </w:p>
        </w:tc>
      </w:tr>
      <w:tr w:rsidR="00ED2DAA" w:rsidRPr="001B7768" w14:paraId="5F3C16AF"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66DA7F0F" w14:textId="3C6B672D"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yrmo201408:pre.use</w:t>
            </w:r>
          </w:p>
        </w:tc>
        <w:tc>
          <w:tcPr>
            <w:tcW w:w="1279" w:type="dxa"/>
            <w:vAlign w:val="bottom"/>
          </w:tcPr>
          <w:p w14:paraId="6749419B" w14:textId="6B77D8C2"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0.70105</w:t>
            </w:r>
          </w:p>
        </w:tc>
        <w:tc>
          <w:tcPr>
            <w:tcW w:w="1161" w:type="dxa"/>
            <w:vAlign w:val="bottom"/>
          </w:tcPr>
          <w:p w14:paraId="0066CB60" w14:textId="38816B6E"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0.0048</w:t>
            </w:r>
          </w:p>
        </w:tc>
        <w:tc>
          <w:tcPr>
            <w:tcW w:w="1270" w:type="dxa"/>
            <w:vAlign w:val="bottom"/>
          </w:tcPr>
          <w:p w14:paraId="0294E337" w14:textId="0AF9D195"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145.9</w:t>
            </w:r>
          </w:p>
        </w:tc>
        <w:tc>
          <w:tcPr>
            <w:tcW w:w="1529" w:type="dxa"/>
            <w:vAlign w:val="top"/>
          </w:tcPr>
          <w:p w14:paraId="24DD7772" w14:textId="783E26BF" w:rsidR="00ED2DAA" w:rsidRPr="00CD7F1D"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CD7F1D">
              <w:rPr>
                <w:rFonts w:ascii="Arial Narrow" w:hAnsi="Arial Narrow" w:cs="Arial Narrow"/>
                <w:color w:val="000000"/>
                <w:szCs w:val="20"/>
              </w:rPr>
              <w:t>0.000</w:t>
            </w:r>
          </w:p>
        </w:tc>
      </w:tr>
      <w:tr w:rsidR="00ED2DAA" w:rsidRPr="001B7768" w14:paraId="28FD7008"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1F3F2010" w14:textId="28C6940C"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yrmo201409:pre.use</w:t>
            </w:r>
          </w:p>
        </w:tc>
        <w:tc>
          <w:tcPr>
            <w:tcW w:w="1279" w:type="dxa"/>
            <w:vAlign w:val="bottom"/>
          </w:tcPr>
          <w:p w14:paraId="53BDD7EF" w14:textId="25FCC66D"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0.79553</w:t>
            </w:r>
          </w:p>
        </w:tc>
        <w:tc>
          <w:tcPr>
            <w:tcW w:w="1161" w:type="dxa"/>
            <w:vAlign w:val="bottom"/>
          </w:tcPr>
          <w:p w14:paraId="3511C8A9" w14:textId="7437B04A"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0.00586</w:t>
            </w:r>
          </w:p>
        </w:tc>
        <w:tc>
          <w:tcPr>
            <w:tcW w:w="1270" w:type="dxa"/>
            <w:vAlign w:val="bottom"/>
          </w:tcPr>
          <w:p w14:paraId="064BD743" w14:textId="315CBA54"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135.7</w:t>
            </w:r>
          </w:p>
        </w:tc>
        <w:tc>
          <w:tcPr>
            <w:tcW w:w="1529" w:type="dxa"/>
            <w:vAlign w:val="top"/>
          </w:tcPr>
          <w:p w14:paraId="268DCCFB" w14:textId="6F4CD330" w:rsidR="00ED2DAA" w:rsidRPr="00CD7F1D"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CD7F1D">
              <w:rPr>
                <w:rFonts w:ascii="Arial Narrow" w:hAnsi="Arial Narrow" w:cs="Arial Narrow"/>
                <w:color w:val="000000"/>
                <w:szCs w:val="20"/>
              </w:rPr>
              <w:t>0.000</w:t>
            </w:r>
          </w:p>
        </w:tc>
      </w:tr>
      <w:tr w:rsidR="00ED2DAA" w:rsidRPr="001B7768" w14:paraId="574EBBC6"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1DBFBB40" w14:textId="35D35D58"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yrmo201410:pre.use</w:t>
            </w:r>
          </w:p>
        </w:tc>
        <w:tc>
          <w:tcPr>
            <w:tcW w:w="1279" w:type="dxa"/>
            <w:vAlign w:val="bottom"/>
          </w:tcPr>
          <w:p w14:paraId="5F7F3FA5" w14:textId="034EF878"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0.67693</w:t>
            </w:r>
          </w:p>
        </w:tc>
        <w:tc>
          <w:tcPr>
            <w:tcW w:w="1161" w:type="dxa"/>
            <w:vAlign w:val="bottom"/>
          </w:tcPr>
          <w:p w14:paraId="2FB97C07" w14:textId="71506ED3"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0.00767</w:t>
            </w:r>
          </w:p>
        </w:tc>
        <w:tc>
          <w:tcPr>
            <w:tcW w:w="1270" w:type="dxa"/>
            <w:vAlign w:val="bottom"/>
          </w:tcPr>
          <w:p w14:paraId="79D7DF46" w14:textId="00FA3BED"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88.3</w:t>
            </w:r>
          </w:p>
        </w:tc>
        <w:tc>
          <w:tcPr>
            <w:tcW w:w="1529" w:type="dxa"/>
            <w:vAlign w:val="top"/>
          </w:tcPr>
          <w:p w14:paraId="699D6C40" w14:textId="06CF633E" w:rsidR="00ED2DAA" w:rsidRPr="00CD7F1D"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CD7F1D">
              <w:rPr>
                <w:rFonts w:ascii="Arial Narrow" w:hAnsi="Arial Narrow" w:cs="Arial Narrow"/>
                <w:color w:val="000000"/>
                <w:szCs w:val="20"/>
              </w:rPr>
              <w:t>0.000</w:t>
            </w:r>
          </w:p>
        </w:tc>
      </w:tr>
      <w:tr w:rsidR="00381B64" w:rsidRPr="001B7768" w14:paraId="2BBFE9B2" w14:textId="77777777" w:rsidTr="002A2309">
        <w:trPr>
          <w:trHeight w:val="288"/>
        </w:trPr>
        <w:tc>
          <w:tcPr>
            <w:cnfStyle w:val="001000000000" w:firstRow="0" w:lastRow="0" w:firstColumn="1" w:lastColumn="0" w:oddVBand="0" w:evenVBand="0" w:oddHBand="0" w:evenHBand="0" w:firstRowFirstColumn="0" w:firstRowLastColumn="0" w:lastRowFirstColumn="0" w:lastRowLastColumn="0"/>
            <w:tcW w:w="9270" w:type="dxa"/>
            <w:gridSpan w:val="5"/>
            <w:vAlign w:val="top"/>
          </w:tcPr>
          <w:p w14:paraId="75251C69" w14:textId="543EC78E" w:rsidR="00381B64" w:rsidRPr="004F5021" w:rsidRDefault="00ED2DAA" w:rsidP="00ED2DAA">
            <w:pPr>
              <w:pStyle w:val="HTMLPreformatted"/>
              <w:shd w:val="clear" w:color="auto" w:fill="FFFFFF"/>
              <w:wordWrap w:val="0"/>
              <w:spacing w:line="225" w:lineRule="atLeast"/>
              <w:jc w:val="left"/>
              <w:rPr>
                <w:rFonts w:ascii="Arial Narrow" w:hAnsi="Arial Narrow"/>
                <w:color w:val="000000"/>
              </w:rPr>
            </w:pPr>
            <w:r w:rsidRPr="004F5021">
              <w:rPr>
                <w:rFonts w:ascii="Arial Narrow" w:hAnsi="Arial Narrow"/>
                <w:color w:val="000000"/>
              </w:rPr>
              <w:t>Residual standard error: 16.7 on 601202 degrees of freedom</w:t>
            </w:r>
          </w:p>
        </w:tc>
      </w:tr>
      <w:tr w:rsidR="00381B64" w:rsidRPr="001B7768" w14:paraId="366901A8" w14:textId="77777777" w:rsidTr="002A2309">
        <w:trPr>
          <w:trHeight w:val="288"/>
        </w:trPr>
        <w:tc>
          <w:tcPr>
            <w:cnfStyle w:val="001000000000" w:firstRow="0" w:lastRow="0" w:firstColumn="1" w:lastColumn="0" w:oddVBand="0" w:evenVBand="0" w:oddHBand="0" w:evenHBand="0" w:firstRowFirstColumn="0" w:firstRowLastColumn="0" w:lastRowFirstColumn="0" w:lastRowLastColumn="0"/>
            <w:tcW w:w="9270" w:type="dxa"/>
            <w:gridSpan w:val="5"/>
            <w:vAlign w:val="top"/>
          </w:tcPr>
          <w:p w14:paraId="7C752DBF" w14:textId="6F91AC71" w:rsidR="00381B64" w:rsidRPr="004F5021" w:rsidRDefault="00ED2DAA" w:rsidP="00ED2DAA">
            <w:pPr>
              <w:pStyle w:val="HTMLPreformatted"/>
              <w:shd w:val="clear" w:color="auto" w:fill="FFFFFF"/>
              <w:wordWrap w:val="0"/>
              <w:spacing w:line="225" w:lineRule="atLeast"/>
              <w:jc w:val="left"/>
              <w:rPr>
                <w:rFonts w:ascii="Arial Narrow" w:hAnsi="Arial Narrow"/>
                <w:color w:val="000000"/>
              </w:rPr>
            </w:pPr>
            <w:r w:rsidRPr="004F5021">
              <w:rPr>
                <w:rFonts w:ascii="Arial Narrow" w:hAnsi="Arial Narrow"/>
                <w:color w:val="000000"/>
              </w:rPr>
              <w:t xml:space="preserve">Multiple R-squared:  0.884, Adjusted R-squared:  0.884 </w:t>
            </w:r>
          </w:p>
        </w:tc>
      </w:tr>
      <w:tr w:rsidR="00381B64" w:rsidRPr="001B7768" w14:paraId="18B84335" w14:textId="77777777" w:rsidTr="002A2309">
        <w:trPr>
          <w:trHeight w:val="288"/>
        </w:trPr>
        <w:tc>
          <w:tcPr>
            <w:cnfStyle w:val="001000000000" w:firstRow="0" w:lastRow="0" w:firstColumn="1" w:lastColumn="0" w:oddVBand="0" w:evenVBand="0" w:oddHBand="0" w:evenHBand="0" w:firstRowFirstColumn="0" w:firstRowLastColumn="0" w:lastRowFirstColumn="0" w:lastRowLastColumn="0"/>
            <w:tcW w:w="9270" w:type="dxa"/>
            <w:gridSpan w:val="5"/>
            <w:vAlign w:val="top"/>
          </w:tcPr>
          <w:p w14:paraId="75715AE0" w14:textId="575E1BC3" w:rsidR="00381B64" w:rsidRPr="004F5021" w:rsidRDefault="00ED2DAA" w:rsidP="00ED2DAA">
            <w:pPr>
              <w:pStyle w:val="HTMLPreformatted"/>
              <w:shd w:val="clear" w:color="auto" w:fill="FFFFFF"/>
              <w:wordWrap w:val="0"/>
              <w:spacing w:line="225" w:lineRule="atLeast"/>
              <w:jc w:val="left"/>
              <w:rPr>
                <w:rFonts w:ascii="Arial Narrow" w:hAnsi="Arial Narrow"/>
                <w:color w:val="000000"/>
              </w:rPr>
            </w:pPr>
            <w:r w:rsidRPr="004F5021">
              <w:rPr>
                <w:rFonts w:ascii="Arial Narrow" w:hAnsi="Arial Narrow"/>
                <w:color w:val="000000"/>
              </w:rPr>
              <w:t>F-statistic: 1.76e+05 on 26 and 601202 DF,  p-value: &lt;0.0000000000000002</w:t>
            </w:r>
          </w:p>
        </w:tc>
      </w:tr>
    </w:tbl>
    <w:p w14:paraId="6FF6F73B" w14:textId="77777777" w:rsidR="00381B64" w:rsidRDefault="00381B64" w:rsidP="002A2309">
      <w:pPr>
        <w:pStyle w:val="Source"/>
        <w:ind w:left="1260" w:hanging="1260"/>
      </w:pPr>
      <w:r>
        <w:t>Source: Navigant analysis</w:t>
      </w:r>
    </w:p>
    <w:p w14:paraId="70778E5D" w14:textId="438DD2E0" w:rsidR="00381B64" w:rsidRDefault="00381B64" w:rsidP="004301F4">
      <w:pPr>
        <w:pStyle w:val="Caption"/>
      </w:pPr>
      <w:bookmarkStart w:id="132" w:name="_Toc441751907"/>
      <w:r>
        <w:lastRenderedPageBreak/>
        <w:t xml:space="preserve">Table </w:t>
      </w:r>
      <w:fldSimple w:instr=" STYLEREF 1 \s ">
        <w:r w:rsidR="00E4410B">
          <w:rPr>
            <w:noProof/>
          </w:rPr>
          <w:t>6</w:t>
        </w:r>
      </w:fldSimple>
      <w:r w:rsidR="00F05E89">
        <w:noBreakHyphen/>
      </w:r>
      <w:fldSimple w:instr=" SEQ Table \* ARABIC \s 1 ">
        <w:r w:rsidR="00E4410B">
          <w:rPr>
            <w:noProof/>
          </w:rPr>
          <w:t>3</w:t>
        </w:r>
      </w:fldSimple>
      <w:r>
        <w:t xml:space="preserve">. LFER Model Estimates, Wave </w:t>
      </w:r>
      <w:r w:rsidR="005D64E5">
        <w:t>1</w:t>
      </w:r>
      <w:bookmarkEnd w:id="132"/>
    </w:p>
    <w:tbl>
      <w:tblPr>
        <w:tblStyle w:val="ComEdTable"/>
        <w:tblW w:w="8820" w:type="dxa"/>
        <w:tblLayout w:type="fixed"/>
        <w:tblLook w:val="04A0" w:firstRow="1" w:lastRow="0" w:firstColumn="1" w:lastColumn="0" w:noHBand="0" w:noVBand="1"/>
      </w:tblPr>
      <w:tblGrid>
        <w:gridCol w:w="3581"/>
        <w:gridCol w:w="1279"/>
        <w:gridCol w:w="1161"/>
        <w:gridCol w:w="1270"/>
        <w:gridCol w:w="1529"/>
      </w:tblGrid>
      <w:tr w:rsidR="00381B64" w:rsidRPr="001B7768" w14:paraId="6DAF3278" w14:textId="77777777" w:rsidTr="002A230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3581" w:type="dxa"/>
            <w:vAlign w:val="top"/>
          </w:tcPr>
          <w:p w14:paraId="359D7069" w14:textId="77777777" w:rsidR="00381B64" w:rsidRPr="00CD7F1D" w:rsidRDefault="00381B64" w:rsidP="00A31871">
            <w:pPr>
              <w:keepNext/>
              <w:keepLines/>
              <w:spacing w:before="40" w:after="40"/>
              <w:jc w:val="left"/>
              <w:rPr>
                <w:rFonts w:ascii="Arial Narrow" w:hAnsi="Arial Narrow" w:cs="Calibri"/>
                <w:b w:val="0"/>
                <w:bCs/>
                <w:szCs w:val="20"/>
              </w:rPr>
            </w:pPr>
          </w:p>
        </w:tc>
        <w:tc>
          <w:tcPr>
            <w:tcW w:w="1279" w:type="dxa"/>
            <w:vAlign w:val="top"/>
          </w:tcPr>
          <w:p w14:paraId="73EE31E6" w14:textId="77777777" w:rsidR="00381B64" w:rsidRPr="00523D14" w:rsidRDefault="00381B64" w:rsidP="00A31871">
            <w:pPr>
              <w:keepNext/>
              <w:keepLines/>
              <w:spacing w:before="40" w:after="40"/>
              <w:cnfStyle w:val="100000000000" w:firstRow="1" w:lastRow="0" w:firstColumn="0" w:lastColumn="0" w:oddVBand="0" w:evenVBand="0" w:oddHBand="0" w:evenHBand="0" w:firstRowFirstColumn="0" w:firstRowLastColumn="0" w:lastRowFirstColumn="0" w:lastRowLastColumn="0"/>
              <w:rPr>
                <w:rFonts w:ascii="Arial Narrow" w:hAnsi="Arial Narrow" w:cs="Calibri"/>
                <w:bCs/>
                <w:szCs w:val="20"/>
              </w:rPr>
            </w:pPr>
            <w:r w:rsidRPr="00523D14">
              <w:rPr>
                <w:rFonts w:ascii="Arial Narrow" w:hAnsi="Arial Narrow" w:cs="Arial Narrow"/>
                <w:szCs w:val="20"/>
              </w:rPr>
              <w:t>Estimate</w:t>
            </w:r>
          </w:p>
        </w:tc>
        <w:tc>
          <w:tcPr>
            <w:tcW w:w="1161" w:type="dxa"/>
            <w:vAlign w:val="top"/>
          </w:tcPr>
          <w:p w14:paraId="13FD48E2" w14:textId="77777777" w:rsidR="00381B64" w:rsidRPr="00523D14" w:rsidRDefault="00381B64" w:rsidP="00A31871">
            <w:pPr>
              <w:keepNext/>
              <w:keepLines/>
              <w:spacing w:before="40" w:after="40"/>
              <w:cnfStyle w:val="100000000000" w:firstRow="1" w:lastRow="0" w:firstColumn="0" w:lastColumn="0" w:oddVBand="0" w:evenVBand="0" w:oddHBand="0" w:evenHBand="0" w:firstRowFirstColumn="0" w:firstRowLastColumn="0" w:lastRowFirstColumn="0" w:lastRowLastColumn="0"/>
              <w:rPr>
                <w:rFonts w:ascii="Arial Narrow" w:hAnsi="Arial Narrow" w:cs="Calibri"/>
                <w:bCs/>
                <w:szCs w:val="20"/>
              </w:rPr>
            </w:pPr>
            <w:r w:rsidRPr="00523D14">
              <w:rPr>
                <w:rFonts w:ascii="Arial Narrow" w:hAnsi="Arial Narrow" w:cs="Arial Narrow"/>
                <w:szCs w:val="20"/>
              </w:rPr>
              <w:t>Std. Error</w:t>
            </w:r>
          </w:p>
        </w:tc>
        <w:tc>
          <w:tcPr>
            <w:tcW w:w="1270" w:type="dxa"/>
            <w:vAlign w:val="top"/>
          </w:tcPr>
          <w:p w14:paraId="76E1B12F" w14:textId="77777777" w:rsidR="00381B64" w:rsidRPr="00523D14" w:rsidRDefault="00381B64" w:rsidP="00A31871">
            <w:pPr>
              <w:keepNext/>
              <w:keepLines/>
              <w:spacing w:before="40" w:after="40"/>
              <w:cnfStyle w:val="100000000000" w:firstRow="1" w:lastRow="0" w:firstColumn="0" w:lastColumn="0" w:oddVBand="0" w:evenVBand="0" w:oddHBand="0" w:evenHBand="0" w:firstRowFirstColumn="0" w:firstRowLastColumn="0" w:lastRowFirstColumn="0" w:lastRowLastColumn="0"/>
              <w:rPr>
                <w:rFonts w:ascii="Arial Narrow" w:hAnsi="Arial Narrow" w:cs="Calibri"/>
                <w:bCs/>
                <w:szCs w:val="20"/>
              </w:rPr>
            </w:pPr>
            <w:r w:rsidRPr="00523D14">
              <w:rPr>
                <w:rFonts w:ascii="Arial Narrow" w:hAnsi="Arial Narrow" w:cs="Arial Narrow"/>
                <w:szCs w:val="20"/>
              </w:rPr>
              <w:t>t value</w:t>
            </w:r>
          </w:p>
        </w:tc>
        <w:tc>
          <w:tcPr>
            <w:tcW w:w="1529" w:type="dxa"/>
            <w:vAlign w:val="top"/>
          </w:tcPr>
          <w:p w14:paraId="4B5742EC" w14:textId="77777777" w:rsidR="00381B64" w:rsidRPr="00523D14" w:rsidRDefault="00381B64" w:rsidP="00A31871">
            <w:pPr>
              <w:keepNext/>
              <w:keepLines/>
              <w:spacing w:before="40" w:after="40"/>
              <w:cnfStyle w:val="100000000000" w:firstRow="1" w:lastRow="0" w:firstColumn="0" w:lastColumn="0" w:oddVBand="0" w:evenVBand="0" w:oddHBand="0" w:evenHBand="0" w:firstRowFirstColumn="0" w:firstRowLastColumn="0" w:lastRowFirstColumn="0" w:lastRowLastColumn="0"/>
              <w:rPr>
                <w:rFonts w:ascii="Arial Narrow" w:hAnsi="Arial Narrow" w:cs="Calibri"/>
                <w:bCs/>
                <w:szCs w:val="20"/>
              </w:rPr>
            </w:pPr>
            <w:r w:rsidRPr="00523D14">
              <w:rPr>
                <w:rFonts w:ascii="Arial Narrow" w:hAnsi="Arial Narrow" w:cs="Arial Narrow"/>
                <w:szCs w:val="20"/>
              </w:rPr>
              <w:t>Pr(&gt;|t|)</w:t>
            </w:r>
          </w:p>
        </w:tc>
      </w:tr>
      <w:tr w:rsidR="00ED2DAA" w:rsidRPr="001B7768" w14:paraId="751C5064"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581" w:type="dxa"/>
            <w:vAlign w:val="bottom"/>
          </w:tcPr>
          <w:p w14:paraId="75302485" w14:textId="6194C797"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post</w:t>
            </w:r>
          </w:p>
        </w:tc>
        <w:tc>
          <w:tcPr>
            <w:tcW w:w="1279" w:type="dxa"/>
            <w:vAlign w:val="bottom"/>
          </w:tcPr>
          <w:p w14:paraId="52F5F721" w14:textId="2BB66EBF"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-2.6874</w:t>
            </w:r>
          </w:p>
        </w:tc>
        <w:tc>
          <w:tcPr>
            <w:tcW w:w="1161" w:type="dxa"/>
            <w:tcBorders>
              <w:top w:val="nil"/>
            </w:tcBorders>
            <w:vAlign w:val="bottom"/>
          </w:tcPr>
          <w:p w14:paraId="41168DB9" w14:textId="34161B2D"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0.0709</w:t>
            </w:r>
          </w:p>
        </w:tc>
        <w:tc>
          <w:tcPr>
            <w:tcW w:w="1270" w:type="dxa"/>
            <w:tcBorders>
              <w:top w:val="nil"/>
            </w:tcBorders>
            <w:vAlign w:val="bottom"/>
          </w:tcPr>
          <w:p w14:paraId="1947B8CB" w14:textId="332C8F38"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-37.92</w:t>
            </w:r>
          </w:p>
        </w:tc>
        <w:tc>
          <w:tcPr>
            <w:tcW w:w="1529" w:type="dxa"/>
            <w:tcBorders>
              <w:top w:val="nil"/>
            </w:tcBorders>
            <w:vAlign w:val="top"/>
          </w:tcPr>
          <w:p w14:paraId="6F88FB44" w14:textId="51B21692"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s="Arial Narrow"/>
                <w:color w:val="000000"/>
                <w:szCs w:val="20"/>
              </w:rPr>
              <w:t>0.000</w:t>
            </w:r>
          </w:p>
        </w:tc>
      </w:tr>
      <w:tr w:rsidR="00ED2DAA" w:rsidRPr="001B7768" w14:paraId="5DE65D4C"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581" w:type="dxa"/>
            <w:vAlign w:val="bottom"/>
          </w:tcPr>
          <w:p w14:paraId="5A4513B9" w14:textId="5A9D8BA1"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post.trt:TR0</w:t>
            </w:r>
          </w:p>
        </w:tc>
        <w:tc>
          <w:tcPr>
            <w:tcW w:w="1279" w:type="dxa"/>
            <w:vAlign w:val="bottom"/>
          </w:tcPr>
          <w:p w14:paraId="271282BD" w14:textId="1FB8D465"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-1.0012</w:t>
            </w:r>
          </w:p>
        </w:tc>
        <w:tc>
          <w:tcPr>
            <w:tcW w:w="1161" w:type="dxa"/>
            <w:vAlign w:val="bottom"/>
          </w:tcPr>
          <w:p w14:paraId="0C2E6108" w14:textId="22848808"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0.1047</w:t>
            </w:r>
          </w:p>
        </w:tc>
        <w:tc>
          <w:tcPr>
            <w:tcW w:w="1270" w:type="dxa"/>
            <w:vAlign w:val="bottom"/>
          </w:tcPr>
          <w:p w14:paraId="6A4D379C" w14:textId="6C01BD68"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-9.56</w:t>
            </w:r>
          </w:p>
        </w:tc>
        <w:tc>
          <w:tcPr>
            <w:tcW w:w="1529" w:type="dxa"/>
            <w:vAlign w:val="top"/>
          </w:tcPr>
          <w:p w14:paraId="2F5B555B" w14:textId="2F6158AC"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s="Arial Narrow"/>
                <w:color w:val="000000"/>
                <w:szCs w:val="20"/>
              </w:rPr>
              <w:t>0.000</w:t>
            </w:r>
          </w:p>
        </w:tc>
      </w:tr>
      <w:tr w:rsidR="00ED2DAA" w:rsidRPr="001B7768" w14:paraId="3B751279"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581" w:type="dxa"/>
            <w:vAlign w:val="bottom"/>
          </w:tcPr>
          <w:p w14:paraId="69961342" w14:textId="48BEFC24" w:rsidR="00ED2DAA" w:rsidRPr="00ED2DAA" w:rsidRDefault="00ED2DAA" w:rsidP="00ED2DAA">
            <w:pPr>
              <w:keepNext/>
              <w:keepLines/>
              <w:spacing w:before="40" w:after="40"/>
              <w:jc w:val="left"/>
              <w:rPr>
                <w:rFonts w:ascii="Arial Narrow" w:hAnsi="Arial Narrow" w:cs="Calibri"/>
                <w:color w:val="000000"/>
                <w:szCs w:val="20"/>
              </w:rPr>
            </w:pPr>
            <w:r w:rsidRPr="00ED2DAA">
              <w:rPr>
                <w:rFonts w:ascii="Arial Narrow" w:hAnsi="Arial Narrow"/>
                <w:color w:val="000000"/>
                <w:szCs w:val="20"/>
              </w:rPr>
              <w:t>post.trt:TR1</w:t>
            </w:r>
          </w:p>
        </w:tc>
        <w:tc>
          <w:tcPr>
            <w:tcW w:w="1279" w:type="dxa"/>
            <w:vAlign w:val="bottom"/>
          </w:tcPr>
          <w:p w14:paraId="3D6DC556" w14:textId="4AA22CE9"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-0.9614</w:t>
            </w:r>
          </w:p>
        </w:tc>
        <w:tc>
          <w:tcPr>
            <w:tcW w:w="1161" w:type="dxa"/>
            <w:vAlign w:val="bottom"/>
          </w:tcPr>
          <w:p w14:paraId="37383F79" w14:textId="3A25C96F"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olor w:val="000000"/>
                <w:szCs w:val="20"/>
              </w:rPr>
              <w:t>0.1609</w:t>
            </w:r>
          </w:p>
        </w:tc>
        <w:tc>
          <w:tcPr>
            <w:tcW w:w="1270" w:type="dxa"/>
            <w:vAlign w:val="bottom"/>
          </w:tcPr>
          <w:p w14:paraId="03E7C686" w14:textId="5AA849C3"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ED2DAA">
              <w:rPr>
                <w:rFonts w:ascii="Arial Narrow" w:hAnsi="Arial Narrow"/>
                <w:color w:val="000000"/>
                <w:szCs w:val="20"/>
              </w:rPr>
              <w:t>-5.98</w:t>
            </w:r>
          </w:p>
        </w:tc>
        <w:tc>
          <w:tcPr>
            <w:tcW w:w="1529" w:type="dxa"/>
            <w:vAlign w:val="top"/>
          </w:tcPr>
          <w:p w14:paraId="6DB7B3AE" w14:textId="1E5ABAC5" w:rsidR="00ED2DAA" w:rsidRPr="00ED2DAA" w:rsidRDefault="00ED2DAA" w:rsidP="00ED2DAA">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D2DAA">
              <w:rPr>
                <w:rFonts w:ascii="Arial Narrow" w:hAnsi="Arial Narrow" w:cs="Arial Narrow"/>
                <w:color w:val="000000"/>
                <w:szCs w:val="20"/>
              </w:rPr>
              <w:t>0.000</w:t>
            </w:r>
          </w:p>
        </w:tc>
      </w:tr>
      <w:tr w:rsidR="00DC7AD5" w:rsidRPr="001B7768" w14:paraId="48B2C155" w14:textId="77777777" w:rsidTr="002A2309">
        <w:trPr>
          <w:trHeight w:val="315"/>
        </w:trPr>
        <w:tc>
          <w:tcPr>
            <w:cnfStyle w:val="001000000000" w:firstRow="0" w:lastRow="0" w:firstColumn="1" w:lastColumn="0" w:oddVBand="0" w:evenVBand="0" w:oddHBand="0" w:evenHBand="0" w:firstRowFirstColumn="0" w:firstRowLastColumn="0" w:lastRowFirstColumn="0" w:lastRowLastColumn="0"/>
            <w:tcW w:w="8820" w:type="dxa"/>
            <w:gridSpan w:val="5"/>
            <w:vAlign w:val="top"/>
          </w:tcPr>
          <w:p w14:paraId="734C1446" w14:textId="0D81001B" w:rsidR="00DC7AD5" w:rsidRPr="004F5021" w:rsidRDefault="00DC7AD5" w:rsidP="008473DF">
            <w:pPr>
              <w:keepNext/>
              <w:keepLines/>
              <w:spacing w:before="40" w:after="40"/>
              <w:jc w:val="left"/>
              <w:rPr>
                <w:rFonts w:ascii="Arial Narrow" w:hAnsi="Arial Narrow" w:cs="Calibri"/>
                <w:color w:val="000000"/>
                <w:szCs w:val="20"/>
              </w:rPr>
            </w:pPr>
            <w:r w:rsidRPr="004F5021">
              <w:rPr>
                <w:rFonts w:ascii="Arial Narrow" w:hAnsi="Arial Narrow" w:cs="Arial Narrow"/>
                <w:color w:val="000000"/>
                <w:szCs w:val="20"/>
              </w:rPr>
              <w:t>Total Sum of Squares</w:t>
            </w:r>
            <w:r w:rsidR="008473DF" w:rsidRPr="004F5021">
              <w:rPr>
                <w:rFonts w:ascii="Arial Narrow" w:hAnsi="Arial Narrow" w:cs="Arial Narrow"/>
                <w:color w:val="000000"/>
                <w:szCs w:val="20"/>
              </w:rPr>
              <w:t>:</w:t>
            </w:r>
            <w:r w:rsidRPr="004F5021">
              <w:rPr>
                <w:rFonts w:ascii="Arial Narrow" w:hAnsi="Arial Narrow" w:cs="Arial Narrow"/>
                <w:color w:val="000000"/>
                <w:szCs w:val="20"/>
              </w:rPr>
              <w:t xml:space="preserve"> </w:t>
            </w:r>
            <w:r w:rsidR="005D64E5" w:rsidRPr="004F5021">
              <w:rPr>
                <w:rFonts w:ascii="Arial Narrow" w:hAnsi="Arial Narrow"/>
                <w:color w:val="000000"/>
                <w:szCs w:val="20"/>
              </w:rPr>
              <w:t>444000000</w:t>
            </w:r>
            <w:r w:rsidR="00A430A7">
              <w:rPr>
                <w:rFonts w:ascii="Arial Narrow" w:hAnsi="Arial Narrow"/>
                <w:color w:val="000000"/>
                <w:szCs w:val="20"/>
              </w:rPr>
              <w:t xml:space="preserve">; </w:t>
            </w:r>
            <w:r w:rsidR="00A430A7" w:rsidRPr="004F5021">
              <w:rPr>
                <w:rFonts w:ascii="Arial Narrow" w:hAnsi="Arial Narrow" w:cs="Arial Narrow"/>
                <w:color w:val="000000"/>
                <w:szCs w:val="20"/>
              </w:rPr>
              <w:t xml:space="preserve">Residual Sum of Squares: </w:t>
            </w:r>
            <w:r w:rsidR="00A430A7" w:rsidRPr="004F5021">
              <w:rPr>
                <w:rFonts w:ascii="Arial Narrow" w:hAnsi="Arial Narrow"/>
                <w:color w:val="000000"/>
                <w:szCs w:val="20"/>
              </w:rPr>
              <w:t>441000000</w:t>
            </w:r>
          </w:p>
        </w:tc>
      </w:tr>
      <w:tr w:rsidR="00DC7AD5" w:rsidRPr="001B7768" w14:paraId="043584B0" w14:textId="77777777" w:rsidTr="002A2309">
        <w:trPr>
          <w:trHeight w:val="315"/>
        </w:trPr>
        <w:tc>
          <w:tcPr>
            <w:cnfStyle w:val="001000000000" w:firstRow="0" w:lastRow="0" w:firstColumn="1" w:lastColumn="0" w:oddVBand="0" w:evenVBand="0" w:oddHBand="0" w:evenHBand="0" w:firstRowFirstColumn="0" w:firstRowLastColumn="0" w:lastRowFirstColumn="0" w:lastRowLastColumn="0"/>
            <w:tcW w:w="8820" w:type="dxa"/>
            <w:gridSpan w:val="5"/>
            <w:vAlign w:val="top"/>
          </w:tcPr>
          <w:p w14:paraId="7A8CBCD7" w14:textId="3BF21AEC" w:rsidR="00DC7AD5" w:rsidRPr="004F5021" w:rsidRDefault="00DC7AD5" w:rsidP="00DC7AD5">
            <w:pPr>
              <w:keepNext/>
              <w:keepLines/>
              <w:spacing w:before="40" w:after="40"/>
              <w:jc w:val="left"/>
              <w:rPr>
                <w:rFonts w:ascii="Arial Narrow" w:hAnsi="Arial Narrow" w:cs="Calibri"/>
                <w:color w:val="000000"/>
                <w:szCs w:val="20"/>
              </w:rPr>
            </w:pPr>
            <w:r w:rsidRPr="004F5021">
              <w:rPr>
                <w:rFonts w:ascii="Arial Narrow" w:hAnsi="Arial Narrow" w:cs="Arial Narrow"/>
                <w:color w:val="000000"/>
                <w:szCs w:val="20"/>
              </w:rPr>
              <w:t>R-Squared</w:t>
            </w:r>
            <w:r w:rsidR="008473DF" w:rsidRPr="004F5021">
              <w:rPr>
                <w:rFonts w:ascii="Arial Narrow" w:hAnsi="Arial Narrow" w:cs="Arial Narrow"/>
                <w:color w:val="000000"/>
                <w:szCs w:val="20"/>
              </w:rPr>
              <w:t xml:space="preserve">: </w:t>
            </w:r>
            <w:r w:rsidR="005D64E5" w:rsidRPr="004F5021">
              <w:rPr>
                <w:rFonts w:ascii="Arial Narrow" w:hAnsi="Arial Narrow"/>
                <w:color w:val="000000"/>
                <w:szCs w:val="20"/>
              </w:rPr>
              <w:t>0.00744</w:t>
            </w:r>
            <w:r w:rsidR="00A430A7">
              <w:rPr>
                <w:rFonts w:ascii="Arial Narrow" w:hAnsi="Arial Narrow"/>
                <w:color w:val="000000"/>
                <w:szCs w:val="20"/>
              </w:rPr>
              <w:t xml:space="preserve">, </w:t>
            </w:r>
            <w:r w:rsidR="00A430A7" w:rsidRPr="004F5021">
              <w:rPr>
                <w:rFonts w:ascii="Arial Narrow" w:hAnsi="Arial Narrow" w:cs="Arial Narrow"/>
                <w:color w:val="000000"/>
                <w:szCs w:val="20"/>
              </w:rPr>
              <w:t xml:space="preserve">Adj. R-Squared : </w:t>
            </w:r>
            <w:r w:rsidR="00A430A7" w:rsidRPr="004F5021">
              <w:rPr>
                <w:rFonts w:ascii="Arial Narrow" w:hAnsi="Arial Narrow"/>
                <w:color w:val="000000"/>
                <w:szCs w:val="20"/>
              </w:rPr>
              <w:t>0.00707</w:t>
            </w:r>
          </w:p>
        </w:tc>
      </w:tr>
      <w:tr w:rsidR="00DC7AD5" w:rsidRPr="001B7768" w14:paraId="52C5510A" w14:textId="77777777" w:rsidTr="002A2309">
        <w:trPr>
          <w:trHeight w:val="315"/>
        </w:trPr>
        <w:tc>
          <w:tcPr>
            <w:cnfStyle w:val="001000000000" w:firstRow="0" w:lastRow="0" w:firstColumn="1" w:lastColumn="0" w:oddVBand="0" w:evenVBand="0" w:oddHBand="0" w:evenHBand="0" w:firstRowFirstColumn="0" w:firstRowLastColumn="0" w:lastRowFirstColumn="0" w:lastRowLastColumn="0"/>
            <w:tcW w:w="8820" w:type="dxa"/>
            <w:gridSpan w:val="5"/>
            <w:vAlign w:val="top"/>
          </w:tcPr>
          <w:p w14:paraId="0C311A29" w14:textId="535A2301" w:rsidR="00DC7AD5" w:rsidRPr="004F5021" w:rsidRDefault="005D64E5" w:rsidP="00DC7AD5">
            <w:pPr>
              <w:keepNext/>
              <w:keepLines/>
              <w:spacing w:before="40" w:after="40"/>
              <w:jc w:val="left"/>
              <w:rPr>
                <w:rFonts w:ascii="Arial Narrow" w:hAnsi="Arial Narrow" w:cs="Calibri"/>
                <w:color w:val="000000"/>
                <w:szCs w:val="20"/>
              </w:rPr>
            </w:pPr>
            <w:r w:rsidRPr="004F5021">
              <w:rPr>
                <w:rFonts w:ascii="Arial Narrow" w:hAnsi="Arial Narrow"/>
                <w:color w:val="000000"/>
                <w:szCs w:val="20"/>
              </w:rPr>
              <w:t>F-statistic: 3437.3 on 3 and 1375273 DF, p-value: &lt;0.0000000000000002</w:t>
            </w:r>
          </w:p>
        </w:tc>
      </w:tr>
    </w:tbl>
    <w:p w14:paraId="76C2C4AC" w14:textId="77777777" w:rsidR="00381B64" w:rsidRDefault="00381B64" w:rsidP="002A2309">
      <w:pPr>
        <w:pStyle w:val="Source"/>
        <w:ind w:left="1260" w:hanging="990"/>
      </w:pPr>
      <w:r>
        <w:t>Source: Navigant analysis</w:t>
      </w:r>
    </w:p>
    <w:p w14:paraId="711FAC3D" w14:textId="282891E0" w:rsidR="005D64E5" w:rsidRDefault="005D64E5">
      <w:pPr>
        <w:rPr>
          <w:i/>
          <w:sz w:val="18"/>
          <w:szCs w:val="20"/>
        </w:rPr>
      </w:pPr>
      <w:r>
        <w:br w:type="page"/>
      </w:r>
    </w:p>
    <w:p w14:paraId="510E5527" w14:textId="7A1CC08E" w:rsidR="005D64E5" w:rsidRDefault="005D64E5" w:rsidP="004301F4">
      <w:pPr>
        <w:pStyle w:val="Caption"/>
      </w:pPr>
      <w:bookmarkStart w:id="133" w:name="_Ref433058715"/>
      <w:bookmarkStart w:id="134" w:name="_Ref433058714"/>
      <w:bookmarkStart w:id="135" w:name="_Toc441751908"/>
      <w:r>
        <w:lastRenderedPageBreak/>
        <w:t xml:space="preserve">Table </w:t>
      </w:r>
      <w:fldSimple w:instr=" STYLEREF 1 \s ">
        <w:r w:rsidR="00E4410B">
          <w:rPr>
            <w:noProof/>
          </w:rPr>
          <w:t>6</w:t>
        </w:r>
      </w:fldSimple>
      <w:r w:rsidR="00F05E89">
        <w:noBreakHyphen/>
      </w:r>
      <w:fldSimple w:instr=" SEQ Table \* ARABIC \s 1 ">
        <w:r w:rsidR="00E4410B">
          <w:rPr>
            <w:noProof/>
          </w:rPr>
          <w:t>4</w:t>
        </w:r>
      </w:fldSimple>
      <w:bookmarkEnd w:id="133"/>
      <w:r>
        <w:t xml:space="preserve">. PPR Model Estimates, Wave </w:t>
      </w:r>
      <w:bookmarkEnd w:id="134"/>
      <w:r>
        <w:t>3</w:t>
      </w:r>
      <w:bookmarkEnd w:id="135"/>
    </w:p>
    <w:tbl>
      <w:tblPr>
        <w:tblStyle w:val="ComEdTable"/>
        <w:tblW w:w="8370" w:type="dxa"/>
        <w:tblLayout w:type="fixed"/>
        <w:tblLook w:val="04A0" w:firstRow="1" w:lastRow="0" w:firstColumn="1" w:lastColumn="0" w:noHBand="0" w:noVBand="1"/>
      </w:tblPr>
      <w:tblGrid>
        <w:gridCol w:w="3131"/>
        <w:gridCol w:w="1279"/>
        <w:gridCol w:w="1161"/>
        <w:gridCol w:w="1270"/>
        <w:gridCol w:w="1529"/>
      </w:tblGrid>
      <w:tr w:rsidR="005D64E5" w:rsidRPr="008134A8" w14:paraId="19BC2863" w14:textId="77777777" w:rsidTr="00E67EDC">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3131" w:type="dxa"/>
            <w:vAlign w:val="top"/>
          </w:tcPr>
          <w:p w14:paraId="2DE59DCC" w14:textId="77777777" w:rsidR="005D64E5" w:rsidRPr="00ED2DAA" w:rsidRDefault="005D64E5" w:rsidP="00E67EDC">
            <w:pPr>
              <w:keepNext/>
              <w:keepLines/>
              <w:spacing w:before="40" w:after="40"/>
              <w:jc w:val="left"/>
              <w:rPr>
                <w:rFonts w:ascii="Arial Narrow" w:hAnsi="Arial Narrow" w:cs="Calibri"/>
                <w:bCs/>
                <w:szCs w:val="20"/>
              </w:rPr>
            </w:pPr>
          </w:p>
        </w:tc>
        <w:tc>
          <w:tcPr>
            <w:tcW w:w="1279" w:type="dxa"/>
          </w:tcPr>
          <w:p w14:paraId="5CE372C6" w14:textId="77777777" w:rsidR="005D64E5" w:rsidRPr="00523D14" w:rsidRDefault="005D64E5" w:rsidP="00E67EDC">
            <w:pPr>
              <w:keepNext/>
              <w:keepLines/>
              <w:spacing w:before="40" w:after="40"/>
              <w:cnfStyle w:val="100000000000" w:firstRow="1" w:lastRow="0" w:firstColumn="0" w:lastColumn="0" w:oddVBand="0" w:evenVBand="0" w:oddHBand="0" w:evenHBand="0" w:firstRowFirstColumn="0" w:firstRowLastColumn="0" w:lastRowFirstColumn="0" w:lastRowLastColumn="0"/>
              <w:rPr>
                <w:rFonts w:ascii="Arial Narrow" w:hAnsi="Arial Narrow" w:cs="Calibri"/>
                <w:bCs/>
                <w:szCs w:val="20"/>
              </w:rPr>
            </w:pPr>
            <w:r w:rsidRPr="00523D14">
              <w:rPr>
                <w:rFonts w:ascii="Arial Narrow" w:hAnsi="Arial Narrow" w:cs="Arial Narrow"/>
                <w:szCs w:val="20"/>
              </w:rPr>
              <w:t>Estimate</w:t>
            </w:r>
          </w:p>
        </w:tc>
        <w:tc>
          <w:tcPr>
            <w:tcW w:w="1161" w:type="dxa"/>
          </w:tcPr>
          <w:p w14:paraId="1CB703B4" w14:textId="77777777" w:rsidR="005D64E5" w:rsidRPr="00523D14" w:rsidRDefault="005D64E5" w:rsidP="00E67EDC">
            <w:pPr>
              <w:keepNext/>
              <w:keepLines/>
              <w:spacing w:before="40" w:after="40"/>
              <w:cnfStyle w:val="100000000000" w:firstRow="1" w:lastRow="0" w:firstColumn="0" w:lastColumn="0" w:oddVBand="0" w:evenVBand="0" w:oddHBand="0" w:evenHBand="0" w:firstRowFirstColumn="0" w:firstRowLastColumn="0" w:lastRowFirstColumn="0" w:lastRowLastColumn="0"/>
              <w:rPr>
                <w:rFonts w:ascii="Arial Narrow" w:hAnsi="Arial Narrow" w:cs="Calibri"/>
                <w:b w:val="0"/>
                <w:bCs/>
                <w:szCs w:val="20"/>
              </w:rPr>
            </w:pPr>
            <w:r w:rsidRPr="00523D14">
              <w:rPr>
                <w:rFonts w:ascii="Arial Narrow" w:hAnsi="Arial Narrow" w:cs="Arial Narrow"/>
                <w:szCs w:val="20"/>
              </w:rPr>
              <w:t>Std. Error</w:t>
            </w:r>
          </w:p>
        </w:tc>
        <w:tc>
          <w:tcPr>
            <w:tcW w:w="1270" w:type="dxa"/>
          </w:tcPr>
          <w:p w14:paraId="3415C7D7" w14:textId="77777777" w:rsidR="005D64E5" w:rsidRPr="00523D14" w:rsidRDefault="005D64E5" w:rsidP="00E67EDC">
            <w:pPr>
              <w:keepNext/>
              <w:keepLines/>
              <w:spacing w:before="40" w:after="40"/>
              <w:cnfStyle w:val="100000000000" w:firstRow="1" w:lastRow="0" w:firstColumn="0" w:lastColumn="0" w:oddVBand="0" w:evenVBand="0" w:oddHBand="0" w:evenHBand="0" w:firstRowFirstColumn="0" w:firstRowLastColumn="0" w:lastRowFirstColumn="0" w:lastRowLastColumn="0"/>
              <w:rPr>
                <w:rFonts w:ascii="Arial Narrow" w:hAnsi="Arial Narrow" w:cs="Calibri"/>
                <w:bCs/>
                <w:szCs w:val="20"/>
              </w:rPr>
            </w:pPr>
            <w:r w:rsidRPr="00523D14">
              <w:rPr>
                <w:rFonts w:ascii="Arial Narrow" w:hAnsi="Arial Narrow" w:cs="Arial Narrow"/>
                <w:szCs w:val="20"/>
              </w:rPr>
              <w:t>t value</w:t>
            </w:r>
          </w:p>
        </w:tc>
        <w:tc>
          <w:tcPr>
            <w:tcW w:w="1529" w:type="dxa"/>
          </w:tcPr>
          <w:p w14:paraId="42A04677" w14:textId="77777777" w:rsidR="005D64E5" w:rsidRPr="00523D14" w:rsidRDefault="005D64E5" w:rsidP="00E67EDC">
            <w:pPr>
              <w:keepNext/>
              <w:keepLines/>
              <w:spacing w:before="40" w:after="40"/>
              <w:cnfStyle w:val="100000000000" w:firstRow="1" w:lastRow="0" w:firstColumn="0" w:lastColumn="0" w:oddVBand="0" w:evenVBand="0" w:oddHBand="0" w:evenHBand="0" w:firstRowFirstColumn="0" w:firstRowLastColumn="0" w:lastRowFirstColumn="0" w:lastRowLastColumn="0"/>
              <w:rPr>
                <w:rFonts w:ascii="Arial Narrow" w:hAnsi="Arial Narrow" w:cs="Calibri"/>
                <w:b w:val="0"/>
                <w:bCs/>
                <w:szCs w:val="20"/>
              </w:rPr>
            </w:pPr>
            <w:r w:rsidRPr="00523D14">
              <w:rPr>
                <w:rFonts w:ascii="Arial Narrow" w:hAnsi="Arial Narrow" w:cs="Arial Narrow"/>
                <w:szCs w:val="20"/>
              </w:rPr>
              <w:t>Pr(&gt;|t|)</w:t>
            </w:r>
          </w:p>
        </w:tc>
      </w:tr>
      <w:tr w:rsidR="005D64E5" w:rsidRPr="008134A8" w14:paraId="15DA4EA0"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131" w:type="dxa"/>
            <w:vAlign w:val="bottom"/>
          </w:tcPr>
          <w:p w14:paraId="626619AE" w14:textId="77777777" w:rsidR="005D64E5" w:rsidRPr="004F5021" w:rsidRDefault="005D64E5" w:rsidP="00E67EDC">
            <w:pPr>
              <w:keepNext/>
              <w:keepLines/>
              <w:spacing w:before="40" w:after="40"/>
              <w:jc w:val="left"/>
              <w:rPr>
                <w:rFonts w:ascii="Arial Narrow" w:hAnsi="Arial Narrow" w:cs="Calibri"/>
                <w:szCs w:val="20"/>
              </w:rPr>
            </w:pPr>
            <w:r w:rsidRPr="004F5021">
              <w:rPr>
                <w:rFonts w:ascii="Arial Narrow" w:hAnsi="Arial Narrow"/>
                <w:szCs w:val="20"/>
              </w:rPr>
              <w:t>yrmo201311</w:t>
            </w:r>
          </w:p>
        </w:tc>
        <w:tc>
          <w:tcPr>
            <w:tcW w:w="1279" w:type="dxa"/>
            <w:vAlign w:val="bottom"/>
          </w:tcPr>
          <w:p w14:paraId="01F41F80"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16.67</w:t>
            </w:r>
          </w:p>
        </w:tc>
        <w:tc>
          <w:tcPr>
            <w:tcW w:w="1161" w:type="dxa"/>
            <w:tcBorders>
              <w:top w:val="nil"/>
            </w:tcBorders>
            <w:vAlign w:val="bottom"/>
          </w:tcPr>
          <w:p w14:paraId="0D692B93"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0.24</w:t>
            </w:r>
          </w:p>
        </w:tc>
        <w:tc>
          <w:tcPr>
            <w:tcW w:w="1270" w:type="dxa"/>
            <w:tcBorders>
              <w:top w:val="nil"/>
            </w:tcBorders>
            <w:vAlign w:val="bottom"/>
          </w:tcPr>
          <w:p w14:paraId="16B9511E"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4F5021">
              <w:rPr>
                <w:rFonts w:ascii="Arial Narrow" w:hAnsi="Arial Narrow"/>
                <w:color w:val="000000"/>
                <w:szCs w:val="20"/>
              </w:rPr>
              <w:t>70.24</w:t>
            </w:r>
          </w:p>
        </w:tc>
        <w:tc>
          <w:tcPr>
            <w:tcW w:w="1529" w:type="dxa"/>
            <w:tcBorders>
              <w:top w:val="nil"/>
            </w:tcBorders>
          </w:tcPr>
          <w:p w14:paraId="5E69A48B" w14:textId="77777777"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8134A8">
              <w:rPr>
                <w:rFonts w:ascii="Arial Narrow" w:hAnsi="Arial Narrow" w:cs="Arial Narrow"/>
                <w:color w:val="000000"/>
                <w:szCs w:val="20"/>
              </w:rPr>
              <w:t>0.00</w:t>
            </w:r>
          </w:p>
        </w:tc>
      </w:tr>
      <w:tr w:rsidR="005D64E5" w:rsidRPr="008134A8" w14:paraId="6D953611"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131" w:type="dxa"/>
            <w:vAlign w:val="bottom"/>
          </w:tcPr>
          <w:p w14:paraId="730719B4" w14:textId="77777777" w:rsidR="005D64E5" w:rsidRPr="004F5021" w:rsidRDefault="005D64E5" w:rsidP="00E67EDC">
            <w:pPr>
              <w:keepNext/>
              <w:keepLines/>
              <w:spacing w:before="40" w:after="40"/>
              <w:jc w:val="left"/>
              <w:rPr>
                <w:rFonts w:ascii="Arial Narrow" w:hAnsi="Arial Narrow" w:cs="Calibri"/>
                <w:szCs w:val="20"/>
              </w:rPr>
            </w:pPr>
            <w:r w:rsidRPr="004F5021">
              <w:rPr>
                <w:rFonts w:ascii="Arial Narrow" w:hAnsi="Arial Narrow"/>
                <w:szCs w:val="20"/>
              </w:rPr>
              <w:t>yrmo201312</w:t>
            </w:r>
          </w:p>
        </w:tc>
        <w:tc>
          <w:tcPr>
            <w:tcW w:w="1279" w:type="dxa"/>
            <w:vAlign w:val="bottom"/>
          </w:tcPr>
          <w:p w14:paraId="7271F677"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11.43</w:t>
            </w:r>
          </w:p>
        </w:tc>
        <w:tc>
          <w:tcPr>
            <w:tcW w:w="1161" w:type="dxa"/>
            <w:vAlign w:val="bottom"/>
          </w:tcPr>
          <w:p w14:paraId="1909189C"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0.19</w:t>
            </w:r>
          </w:p>
        </w:tc>
        <w:tc>
          <w:tcPr>
            <w:tcW w:w="1270" w:type="dxa"/>
            <w:vAlign w:val="bottom"/>
          </w:tcPr>
          <w:p w14:paraId="0D01E960"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4F5021">
              <w:rPr>
                <w:rFonts w:ascii="Arial Narrow" w:hAnsi="Arial Narrow"/>
                <w:color w:val="000000"/>
                <w:szCs w:val="20"/>
              </w:rPr>
              <w:t>58.87</w:t>
            </w:r>
          </w:p>
        </w:tc>
        <w:tc>
          <w:tcPr>
            <w:tcW w:w="1529" w:type="dxa"/>
          </w:tcPr>
          <w:p w14:paraId="1D62AD0B" w14:textId="77777777"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8134A8">
              <w:rPr>
                <w:rFonts w:ascii="Arial Narrow" w:hAnsi="Arial Narrow" w:cs="Arial Narrow"/>
                <w:color w:val="000000"/>
                <w:szCs w:val="20"/>
              </w:rPr>
              <w:t>0.00</w:t>
            </w:r>
          </w:p>
        </w:tc>
      </w:tr>
      <w:tr w:rsidR="005D64E5" w:rsidRPr="008134A8" w14:paraId="5E6CDC15"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131" w:type="dxa"/>
            <w:vAlign w:val="bottom"/>
          </w:tcPr>
          <w:p w14:paraId="1048176D" w14:textId="77777777" w:rsidR="005D64E5" w:rsidRPr="004F5021" w:rsidRDefault="005D64E5" w:rsidP="00E67EDC">
            <w:pPr>
              <w:keepNext/>
              <w:keepLines/>
              <w:spacing w:before="40" w:after="40"/>
              <w:jc w:val="left"/>
              <w:rPr>
                <w:rFonts w:ascii="Arial Narrow" w:hAnsi="Arial Narrow" w:cs="Calibri"/>
                <w:szCs w:val="20"/>
              </w:rPr>
            </w:pPr>
            <w:r w:rsidRPr="004F5021">
              <w:rPr>
                <w:rFonts w:ascii="Arial Narrow" w:hAnsi="Arial Narrow"/>
                <w:szCs w:val="20"/>
              </w:rPr>
              <w:t>yrmo201401</w:t>
            </w:r>
          </w:p>
        </w:tc>
        <w:tc>
          <w:tcPr>
            <w:tcW w:w="1279" w:type="dxa"/>
            <w:vAlign w:val="bottom"/>
          </w:tcPr>
          <w:p w14:paraId="38B75DC8"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10.91</w:t>
            </w:r>
          </w:p>
        </w:tc>
        <w:tc>
          <w:tcPr>
            <w:tcW w:w="1161" w:type="dxa"/>
            <w:vAlign w:val="bottom"/>
          </w:tcPr>
          <w:p w14:paraId="6D95896F"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0.20</w:t>
            </w:r>
          </w:p>
        </w:tc>
        <w:tc>
          <w:tcPr>
            <w:tcW w:w="1270" w:type="dxa"/>
            <w:vAlign w:val="bottom"/>
          </w:tcPr>
          <w:p w14:paraId="1CC667FB"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4F5021">
              <w:rPr>
                <w:rFonts w:ascii="Arial Narrow" w:hAnsi="Arial Narrow"/>
                <w:color w:val="000000"/>
                <w:szCs w:val="20"/>
              </w:rPr>
              <w:t>55.68</w:t>
            </w:r>
          </w:p>
        </w:tc>
        <w:tc>
          <w:tcPr>
            <w:tcW w:w="1529" w:type="dxa"/>
          </w:tcPr>
          <w:p w14:paraId="028FB705" w14:textId="77777777"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8134A8">
              <w:rPr>
                <w:rFonts w:ascii="Arial Narrow" w:hAnsi="Arial Narrow" w:cs="Arial Narrow"/>
                <w:color w:val="000000"/>
                <w:szCs w:val="20"/>
              </w:rPr>
              <w:t>0.00</w:t>
            </w:r>
          </w:p>
        </w:tc>
      </w:tr>
      <w:tr w:rsidR="005D64E5" w:rsidRPr="008134A8" w14:paraId="153A1E79"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131" w:type="dxa"/>
            <w:vAlign w:val="bottom"/>
          </w:tcPr>
          <w:p w14:paraId="1144045A" w14:textId="77777777" w:rsidR="005D64E5" w:rsidRPr="004F5021" w:rsidRDefault="005D64E5" w:rsidP="00E67EDC">
            <w:pPr>
              <w:keepNext/>
              <w:keepLines/>
              <w:spacing w:before="40" w:after="40"/>
              <w:jc w:val="left"/>
              <w:rPr>
                <w:rFonts w:ascii="Arial Narrow" w:hAnsi="Arial Narrow" w:cs="Calibri"/>
                <w:szCs w:val="20"/>
              </w:rPr>
            </w:pPr>
            <w:r w:rsidRPr="004F5021">
              <w:rPr>
                <w:rFonts w:ascii="Arial Narrow" w:hAnsi="Arial Narrow"/>
                <w:szCs w:val="20"/>
              </w:rPr>
              <w:t>yrmo201402</w:t>
            </w:r>
          </w:p>
        </w:tc>
        <w:tc>
          <w:tcPr>
            <w:tcW w:w="1279" w:type="dxa"/>
            <w:vAlign w:val="bottom"/>
          </w:tcPr>
          <w:p w14:paraId="79679854"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8.20</w:t>
            </w:r>
          </w:p>
        </w:tc>
        <w:tc>
          <w:tcPr>
            <w:tcW w:w="1161" w:type="dxa"/>
            <w:vAlign w:val="bottom"/>
          </w:tcPr>
          <w:p w14:paraId="164BD218"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0.24</w:t>
            </w:r>
          </w:p>
        </w:tc>
        <w:tc>
          <w:tcPr>
            <w:tcW w:w="1270" w:type="dxa"/>
            <w:vAlign w:val="bottom"/>
          </w:tcPr>
          <w:p w14:paraId="75C794B1"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4F5021">
              <w:rPr>
                <w:rFonts w:ascii="Arial Narrow" w:hAnsi="Arial Narrow"/>
                <w:color w:val="000000"/>
                <w:szCs w:val="20"/>
              </w:rPr>
              <w:t>33.76</w:t>
            </w:r>
          </w:p>
        </w:tc>
        <w:tc>
          <w:tcPr>
            <w:tcW w:w="1529" w:type="dxa"/>
          </w:tcPr>
          <w:p w14:paraId="04A0506D" w14:textId="77777777"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8134A8">
              <w:rPr>
                <w:rFonts w:ascii="Arial Narrow" w:hAnsi="Arial Narrow" w:cs="Arial Narrow"/>
                <w:color w:val="000000"/>
                <w:szCs w:val="20"/>
              </w:rPr>
              <w:t>0.00</w:t>
            </w:r>
          </w:p>
        </w:tc>
      </w:tr>
      <w:tr w:rsidR="005D64E5" w:rsidRPr="008134A8" w14:paraId="2D26B051"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131" w:type="dxa"/>
            <w:vAlign w:val="bottom"/>
          </w:tcPr>
          <w:p w14:paraId="71AFB643" w14:textId="77777777" w:rsidR="005D64E5" w:rsidRPr="004F5021" w:rsidRDefault="005D64E5" w:rsidP="00E67EDC">
            <w:pPr>
              <w:keepNext/>
              <w:keepLines/>
              <w:spacing w:before="40" w:after="40"/>
              <w:jc w:val="left"/>
              <w:rPr>
                <w:rFonts w:ascii="Arial Narrow" w:hAnsi="Arial Narrow" w:cs="Calibri"/>
                <w:szCs w:val="20"/>
              </w:rPr>
            </w:pPr>
            <w:r w:rsidRPr="004F5021">
              <w:rPr>
                <w:rFonts w:ascii="Arial Narrow" w:hAnsi="Arial Narrow"/>
                <w:szCs w:val="20"/>
              </w:rPr>
              <w:t>yrmo201403</w:t>
            </w:r>
          </w:p>
        </w:tc>
        <w:tc>
          <w:tcPr>
            <w:tcW w:w="1279" w:type="dxa"/>
            <w:vAlign w:val="bottom"/>
          </w:tcPr>
          <w:p w14:paraId="7CF00BEB"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10.63</w:t>
            </w:r>
          </w:p>
        </w:tc>
        <w:tc>
          <w:tcPr>
            <w:tcW w:w="1161" w:type="dxa"/>
            <w:vAlign w:val="bottom"/>
          </w:tcPr>
          <w:p w14:paraId="20061FA6"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0.27</w:t>
            </w:r>
          </w:p>
        </w:tc>
        <w:tc>
          <w:tcPr>
            <w:tcW w:w="1270" w:type="dxa"/>
            <w:vAlign w:val="bottom"/>
          </w:tcPr>
          <w:p w14:paraId="25F8DEBA"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4F5021">
              <w:rPr>
                <w:rFonts w:ascii="Arial Narrow" w:hAnsi="Arial Narrow"/>
                <w:color w:val="000000"/>
                <w:szCs w:val="20"/>
              </w:rPr>
              <w:t>39.61</w:t>
            </w:r>
          </w:p>
        </w:tc>
        <w:tc>
          <w:tcPr>
            <w:tcW w:w="1529" w:type="dxa"/>
          </w:tcPr>
          <w:p w14:paraId="57853A9E" w14:textId="77777777"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8134A8">
              <w:rPr>
                <w:rFonts w:ascii="Arial Narrow" w:hAnsi="Arial Narrow" w:cs="Arial Narrow"/>
                <w:color w:val="000000"/>
                <w:szCs w:val="20"/>
              </w:rPr>
              <w:t>0.00</w:t>
            </w:r>
          </w:p>
        </w:tc>
      </w:tr>
      <w:tr w:rsidR="005D64E5" w:rsidRPr="008134A8" w14:paraId="3EC1CA51"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131" w:type="dxa"/>
            <w:vAlign w:val="bottom"/>
          </w:tcPr>
          <w:p w14:paraId="4046E300" w14:textId="77777777" w:rsidR="005D64E5" w:rsidRPr="004F5021" w:rsidRDefault="005D64E5" w:rsidP="00E67EDC">
            <w:pPr>
              <w:keepNext/>
              <w:keepLines/>
              <w:spacing w:before="40" w:after="40"/>
              <w:jc w:val="left"/>
              <w:rPr>
                <w:rFonts w:ascii="Arial Narrow" w:hAnsi="Arial Narrow" w:cs="Calibri"/>
                <w:szCs w:val="20"/>
              </w:rPr>
            </w:pPr>
            <w:r w:rsidRPr="004F5021">
              <w:rPr>
                <w:rFonts w:ascii="Arial Narrow" w:hAnsi="Arial Narrow"/>
                <w:szCs w:val="20"/>
              </w:rPr>
              <w:t>yrmo201404</w:t>
            </w:r>
          </w:p>
        </w:tc>
        <w:tc>
          <w:tcPr>
            <w:tcW w:w="1279" w:type="dxa"/>
            <w:vAlign w:val="bottom"/>
          </w:tcPr>
          <w:p w14:paraId="7A7F4D17"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7.35</w:t>
            </w:r>
          </w:p>
        </w:tc>
        <w:tc>
          <w:tcPr>
            <w:tcW w:w="1161" w:type="dxa"/>
            <w:vAlign w:val="bottom"/>
          </w:tcPr>
          <w:p w14:paraId="00BD603F"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0.23</w:t>
            </w:r>
          </w:p>
        </w:tc>
        <w:tc>
          <w:tcPr>
            <w:tcW w:w="1270" w:type="dxa"/>
            <w:vAlign w:val="bottom"/>
          </w:tcPr>
          <w:p w14:paraId="7C221225"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4F5021">
              <w:rPr>
                <w:rFonts w:ascii="Arial Narrow" w:hAnsi="Arial Narrow"/>
                <w:color w:val="000000"/>
                <w:szCs w:val="20"/>
              </w:rPr>
              <w:t>31.29</w:t>
            </w:r>
          </w:p>
        </w:tc>
        <w:tc>
          <w:tcPr>
            <w:tcW w:w="1529" w:type="dxa"/>
          </w:tcPr>
          <w:p w14:paraId="421F1DAA" w14:textId="77777777"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8134A8">
              <w:rPr>
                <w:rFonts w:ascii="Arial Narrow" w:hAnsi="Arial Narrow" w:cs="Arial Narrow"/>
                <w:color w:val="000000"/>
                <w:szCs w:val="20"/>
              </w:rPr>
              <w:t>0.00</w:t>
            </w:r>
          </w:p>
        </w:tc>
      </w:tr>
      <w:tr w:rsidR="005D64E5" w:rsidRPr="008134A8" w14:paraId="07B3BD81"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131" w:type="dxa"/>
            <w:vAlign w:val="bottom"/>
          </w:tcPr>
          <w:p w14:paraId="2B7B4AD0" w14:textId="77777777" w:rsidR="005D64E5" w:rsidRPr="004F5021" w:rsidRDefault="005D64E5" w:rsidP="00E67EDC">
            <w:pPr>
              <w:keepNext/>
              <w:keepLines/>
              <w:spacing w:before="40" w:after="40"/>
              <w:jc w:val="left"/>
              <w:rPr>
                <w:rFonts w:ascii="Arial Narrow" w:hAnsi="Arial Narrow" w:cs="Calibri"/>
                <w:szCs w:val="20"/>
              </w:rPr>
            </w:pPr>
            <w:r w:rsidRPr="004F5021">
              <w:rPr>
                <w:rFonts w:ascii="Arial Narrow" w:hAnsi="Arial Narrow"/>
                <w:szCs w:val="20"/>
              </w:rPr>
              <w:t>yrmo201405</w:t>
            </w:r>
          </w:p>
        </w:tc>
        <w:tc>
          <w:tcPr>
            <w:tcW w:w="1279" w:type="dxa"/>
            <w:vAlign w:val="bottom"/>
          </w:tcPr>
          <w:p w14:paraId="33F1C8AF"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16.80</w:t>
            </w:r>
          </w:p>
        </w:tc>
        <w:tc>
          <w:tcPr>
            <w:tcW w:w="1161" w:type="dxa"/>
            <w:vAlign w:val="bottom"/>
          </w:tcPr>
          <w:p w14:paraId="5DACA11D"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0.21</w:t>
            </w:r>
          </w:p>
        </w:tc>
        <w:tc>
          <w:tcPr>
            <w:tcW w:w="1270" w:type="dxa"/>
            <w:vAlign w:val="bottom"/>
          </w:tcPr>
          <w:p w14:paraId="42ADB093"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4F5021">
              <w:rPr>
                <w:rFonts w:ascii="Arial Narrow" w:hAnsi="Arial Narrow"/>
                <w:color w:val="000000"/>
                <w:szCs w:val="20"/>
              </w:rPr>
              <w:t>79.89</w:t>
            </w:r>
          </w:p>
        </w:tc>
        <w:tc>
          <w:tcPr>
            <w:tcW w:w="1529" w:type="dxa"/>
          </w:tcPr>
          <w:p w14:paraId="1C5BC57B" w14:textId="77777777"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8134A8">
              <w:rPr>
                <w:rFonts w:ascii="Arial Narrow" w:hAnsi="Arial Narrow" w:cs="Arial Narrow"/>
                <w:color w:val="000000"/>
                <w:szCs w:val="20"/>
              </w:rPr>
              <w:t>0.00</w:t>
            </w:r>
          </w:p>
        </w:tc>
      </w:tr>
      <w:tr w:rsidR="005D64E5" w:rsidRPr="008134A8" w14:paraId="63FA4058"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131" w:type="dxa"/>
            <w:vAlign w:val="bottom"/>
          </w:tcPr>
          <w:p w14:paraId="1579ABB9" w14:textId="77777777" w:rsidR="005D64E5" w:rsidRPr="004F5021" w:rsidRDefault="005D64E5" w:rsidP="00E67EDC">
            <w:pPr>
              <w:keepNext/>
              <w:keepLines/>
              <w:spacing w:before="40" w:after="40"/>
              <w:jc w:val="left"/>
              <w:rPr>
                <w:rFonts w:ascii="Arial Narrow" w:hAnsi="Arial Narrow" w:cs="Calibri"/>
                <w:szCs w:val="20"/>
              </w:rPr>
            </w:pPr>
            <w:r w:rsidRPr="004F5021">
              <w:rPr>
                <w:rFonts w:ascii="Arial Narrow" w:hAnsi="Arial Narrow"/>
                <w:szCs w:val="20"/>
              </w:rPr>
              <w:t>yrmo201406</w:t>
            </w:r>
          </w:p>
        </w:tc>
        <w:tc>
          <w:tcPr>
            <w:tcW w:w="1279" w:type="dxa"/>
            <w:vAlign w:val="bottom"/>
          </w:tcPr>
          <w:p w14:paraId="77BD91F9"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14.35</w:t>
            </w:r>
          </w:p>
        </w:tc>
        <w:tc>
          <w:tcPr>
            <w:tcW w:w="1161" w:type="dxa"/>
            <w:vAlign w:val="bottom"/>
          </w:tcPr>
          <w:p w14:paraId="3E95FF62"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0.19</w:t>
            </w:r>
          </w:p>
        </w:tc>
        <w:tc>
          <w:tcPr>
            <w:tcW w:w="1270" w:type="dxa"/>
            <w:vAlign w:val="bottom"/>
          </w:tcPr>
          <w:p w14:paraId="1B732B3F"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4F5021">
              <w:rPr>
                <w:rFonts w:ascii="Arial Narrow" w:hAnsi="Arial Narrow"/>
                <w:color w:val="000000"/>
                <w:szCs w:val="20"/>
              </w:rPr>
              <w:t>76.33</w:t>
            </w:r>
          </w:p>
        </w:tc>
        <w:tc>
          <w:tcPr>
            <w:tcW w:w="1529" w:type="dxa"/>
          </w:tcPr>
          <w:p w14:paraId="2C4EBECB" w14:textId="77777777"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8134A8">
              <w:rPr>
                <w:rFonts w:ascii="Arial Narrow" w:hAnsi="Arial Narrow" w:cs="Arial Narrow"/>
                <w:color w:val="000000"/>
                <w:szCs w:val="20"/>
              </w:rPr>
              <w:t>0.00</w:t>
            </w:r>
          </w:p>
        </w:tc>
      </w:tr>
      <w:tr w:rsidR="005D64E5" w:rsidRPr="008134A8" w14:paraId="7B73B2B9"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131" w:type="dxa"/>
            <w:vAlign w:val="bottom"/>
          </w:tcPr>
          <w:p w14:paraId="12835E91" w14:textId="77777777" w:rsidR="005D64E5" w:rsidRPr="004F5021" w:rsidRDefault="005D64E5" w:rsidP="00E67EDC">
            <w:pPr>
              <w:keepNext/>
              <w:keepLines/>
              <w:spacing w:before="40" w:after="40"/>
              <w:jc w:val="left"/>
              <w:rPr>
                <w:rFonts w:ascii="Arial Narrow" w:hAnsi="Arial Narrow" w:cs="Calibri"/>
                <w:szCs w:val="20"/>
              </w:rPr>
            </w:pPr>
            <w:r w:rsidRPr="004F5021">
              <w:rPr>
                <w:rFonts w:ascii="Arial Narrow" w:hAnsi="Arial Narrow"/>
                <w:szCs w:val="20"/>
              </w:rPr>
              <w:t>yrmo201407</w:t>
            </w:r>
          </w:p>
        </w:tc>
        <w:tc>
          <w:tcPr>
            <w:tcW w:w="1279" w:type="dxa"/>
            <w:vAlign w:val="bottom"/>
          </w:tcPr>
          <w:p w14:paraId="54CF980C"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17.23</w:t>
            </w:r>
          </w:p>
        </w:tc>
        <w:tc>
          <w:tcPr>
            <w:tcW w:w="1161" w:type="dxa"/>
            <w:vAlign w:val="bottom"/>
          </w:tcPr>
          <w:p w14:paraId="3B08E71E"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0.19</w:t>
            </w:r>
          </w:p>
        </w:tc>
        <w:tc>
          <w:tcPr>
            <w:tcW w:w="1270" w:type="dxa"/>
            <w:vAlign w:val="bottom"/>
          </w:tcPr>
          <w:p w14:paraId="5F972CCF"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4F5021">
              <w:rPr>
                <w:rFonts w:ascii="Arial Narrow" w:hAnsi="Arial Narrow"/>
                <w:color w:val="000000"/>
                <w:szCs w:val="20"/>
              </w:rPr>
              <w:t>90.61</w:t>
            </w:r>
          </w:p>
        </w:tc>
        <w:tc>
          <w:tcPr>
            <w:tcW w:w="1529" w:type="dxa"/>
          </w:tcPr>
          <w:p w14:paraId="459EE2E8" w14:textId="77777777"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8134A8">
              <w:rPr>
                <w:rFonts w:ascii="Arial Narrow" w:hAnsi="Arial Narrow" w:cs="Arial Narrow"/>
                <w:color w:val="000000"/>
                <w:szCs w:val="20"/>
              </w:rPr>
              <w:t>0.00</w:t>
            </w:r>
          </w:p>
        </w:tc>
      </w:tr>
      <w:tr w:rsidR="005D64E5" w:rsidRPr="008134A8" w14:paraId="0B42B6D7"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131" w:type="dxa"/>
            <w:vAlign w:val="bottom"/>
          </w:tcPr>
          <w:p w14:paraId="209C583F" w14:textId="77777777" w:rsidR="005D64E5" w:rsidRPr="004F5021" w:rsidRDefault="005D64E5" w:rsidP="00E67EDC">
            <w:pPr>
              <w:keepNext/>
              <w:keepLines/>
              <w:spacing w:before="40" w:after="40"/>
              <w:jc w:val="left"/>
              <w:rPr>
                <w:rFonts w:ascii="Arial Narrow" w:hAnsi="Arial Narrow" w:cs="Calibri"/>
                <w:szCs w:val="20"/>
              </w:rPr>
            </w:pPr>
            <w:r w:rsidRPr="004F5021">
              <w:rPr>
                <w:rFonts w:ascii="Arial Narrow" w:hAnsi="Arial Narrow"/>
                <w:szCs w:val="20"/>
              </w:rPr>
              <w:t>yrmo201408</w:t>
            </w:r>
          </w:p>
        </w:tc>
        <w:tc>
          <w:tcPr>
            <w:tcW w:w="1279" w:type="dxa"/>
            <w:vAlign w:val="bottom"/>
          </w:tcPr>
          <w:p w14:paraId="28F2383D"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17.80</w:t>
            </w:r>
          </w:p>
        </w:tc>
        <w:tc>
          <w:tcPr>
            <w:tcW w:w="1161" w:type="dxa"/>
            <w:vAlign w:val="bottom"/>
          </w:tcPr>
          <w:p w14:paraId="6F643D58"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0.20</w:t>
            </w:r>
          </w:p>
        </w:tc>
        <w:tc>
          <w:tcPr>
            <w:tcW w:w="1270" w:type="dxa"/>
            <w:vAlign w:val="bottom"/>
          </w:tcPr>
          <w:p w14:paraId="73925A38"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4F5021">
              <w:rPr>
                <w:rFonts w:ascii="Arial Narrow" w:hAnsi="Arial Narrow"/>
                <w:color w:val="000000"/>
                <w:szCs w:val="20"/>
              </w:rPr>
              <w:t>87.47</w:t>
            </w:r>
          </w:p>
        </w:tc>
        <w:tc>
          <w:tcPr>
            <w:tcW w:w="1529" w:type="dxa"/>
          </w:tcPr>
          <w:p w14:paraId="509BFCEB" w14:textId="77777777"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8134A8">
              <w:rPr>
                <w:rFonts w:ascii="Arial Narrow" w:hAnsi="Arial Narrow" w:cs="Arial Narrow"/>
                <w:color w:val="000000"/>
                <w:szCs w:val="20"/>
              </w:rPr>
              <w:t>0.00</w:t>
            </w:r>
          </w:p>
        </w:tc>
      </w:tr>
      <w:tr w:rsidR="005D64E5" w:rsidRPr="008134A8" w14:paraId="07D6F759"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131" w:type="dxa"/>
            <w:vAlign w:val="bottom"/>
          </w:tcPr>
          <w:p w14:paraId="196D0610" w14:textId="77777777" w:rsidR="005D64E5" w:rsidRPr="004F5021" w:rsidRDefault="005D64E5" w:rsidP="00E67EDC">
            <w:pPr>
              <w:keepNext/>
              <w:keepLines/>
              <w:spacing w:before="40" w:after="40"/>
              <w:jc w:val="left"/>
              <w:rPr>
                <w:rFonts w:ascii="Arial Narrow" w:hAnsi="Arial Narrow" w:cs="Calibri"/>
                <w:szCs w:val="20"/>
              </w:rPr>
            </w:pPr>
            <w:r w:rsidRPr="004F5021">
              <w:rPr>
                <w:rFonts w:ascii="Arial Narrow" w:hAnsi="Arial Narrow"/>
                <w:szCs w:val="20"/>
              </w:rPr>
              <w:t>yrmo201409</w:t>
            </w:r>
          </w:p>
        </w:tc>
        <w:tc>
          <w:tcPr>
            <w:tcW w:w="1279" w:type="dxa"/>
            <w:vAlign w:val="bottom"/>
          </w:tcPr>
          <w:p w14:paraId="068E50E2"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22.04</w:t>
            </w:r>
          </w:p>
        </w:tc>
        <w:tc>
          <w:tcPr>
            <w:tcW w:w="1161" w:type="dxa"/>
            <w:vAlign w:val="bottom"/>
          </w:tcPr>
          <w:p w14:paraId="1CC1A301"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0.20</w:t>
            </w:r>
          </w:p>
        </w:tc>
        <w:tc>
          <w:tcPr>
            <w:tcW w:w="1270" w:type="dxa"/>
            <w:vAlign w:val="bottom"/>
          </w:tcPr>
          <w:p w14:paraId="4B9719FB"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4F5021">
              <w:rPr>
                <w:rFonts w:ascii="Arial Narrow" w:hAnsi="Arial Narrow"/>
                <w:color w:val="000000"/>
                <w:szCs w:val="20"/>
              </w:rPr>
              <w:t>108.37</w:t>
            </w:r>
          </w:p>
        </w:tc>
        <w:tc>
          <w:tcPr>
            <w:tcW w:w="1529" w:type="dxa"/>
          </w:tcPr>
          <w:p w14:paraId="7ECC89FF" w14:textId="77777777"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8134A8">
              <w:rPr>
                <w:rFonts w:ascii="Arial Narrow" w:hAnsi="Arial Narrow" w:cs="Arial Narrow"/>
                <w:color w:val="000000"/>
                <w:szCs w:val="20"/>
              </w:rPr>
              <w:t>0.00</w:t>
            </w:r>
          </w:p>
        </w:tc>
      </w:tr>
      <w:tr w:rsidR="005D64E5" w:rsidRPr="008134A8" w14:paraId="24F2F3C6"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131" w:type="dxa"/>
            <w:vAlign w:val="bottom"/>
          </w:tcPr>
          <w:p w14:paraId="5CDBC09C" w14:textId="77777777" w:rsidR="005D64E5" w:rsidRPr="004F5021" w:rsidRDefault="005D64E5" w:rsidP="00E67EDC">
            <w:pPr>
              <w:keepNext/>
              <w:keepLines/>
              <w:spacing w:before="40" w:after="40"/>
              <w:jc w:val="left"/>
              <w:rPr>
                <w:rFonts w:ascii="Arial Narrow" w:hAnsi="Arial Narrow" w:cs="Calibri"/>
                <w:szCs w:val="20"/>
              </w:rPr>
            </w:pPr>
            <w:r w:rsidRPr="004F5021">
              <w:rPr>
                <w:rFonts w:ascii="Arial Narrow" w:hAnsi="Arial Narrow"/>
                <w:szCs w:val="20"/>
              </w:rPr>
              <w:t>yrmo201410</w:t>
            </w:r>
          </w:p>
        </w:tc>
        <w:tc>
          <w:tcPr>
            <w:tcW w:w="1279" w:type="dxa"/>
            <w:vAlign w:val="bottom"/>
          </w:tcPr>
          <w:p w14:paraId="7579121C"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18.24</w:t>
            </w:r>
          </w:p>
        </w:tc>
        <w:tc>
          <w:tcPr>
            <w:tcW w:w="1161" w:type="dxa"/>
            <w:vAlign w:val="bottom"/>
          </w:tcPr>
          <w:p w14:paraId="40B8BC86"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0.25</w:t>
            </w:r>
          </w:p>
        </w:tc>
        <w:tc>
          <w:tcPr>
            <w:tcW w:w="1270" w:type="dxa"/>
            <w:vAlign w:val="bottom"/>
          </w:tcPr>
          <w:p w14:paraId="0A25405E"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4F5021">
              <w:rPr>
                <w:rFonts w:ascii="Arial Narrow" w:hAnsi="Arial Narrow"/>
                <w:color w:val="000000"/>
                <w:szCs w:val="20"/>
              </w:rPr>
              <w:t>74.02</w:t>
            </w:r>
          </w:p>
        </w:tc>
        <w:tc>
          <w:tcPr>
            <w:tcW w:w="1529" w:type="dxa"/>
          </w:tcPr>
          <w:p w14:paraId="522307E6" w14:textId="77777777"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8134A8">
              <w:rPr>
                <w:rFonts w:ascii="Arial Narrow" w:hAnsi="Arial Narrow" w:cs="Arial Narrow"/>
                <w:color w:val="000000"/>
                <w:szCs w:val="20"/>
              </w:rPr>
              <w:t>0.00</w:t>
            </w:r>
          </w:p>
        </w:tc>
      </w:tr>
      <w:tr w:rsidR="005D64E5" w:rsidRPr="008134A8" w14:paraId="185FCE4D"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131" w:type="dxa"/>
            <w:vAlign w:val="bottom"/>
          </w:tcPr>
          <w:p w14:paraId="177EB804" w14:textId="77777777" w:rsidR="005D64E5" w:rsidRPr="004F5021" w:rsidRDefault="005D64E5" w:rsidP="00E67EDC">
            <w:pPr>
              <w:keepNext/>
              <w:keepLines/>
              <w:spacing w:before="40" w:after="40"/>
              <w:jc w:val="left"/>
              <w:rPr>
                <w:rFonts w:ascii="Arial Narrow" w:hAnsi="Arial Narrow" w:cs="Calibri"/>
                <w:szCs w:val="20"/>
              </w:rPr>
            </w:pPr>
            <w:r w:rsidRPr="004F5021">
              <w:rPr>
                <w:rFonts w:ascii="Arial Narrow" w:hAnsi="Arial Narrow"/>
                <w:szCs w:val="20"/>
              </w:rPr>
              <w:t>treatment:TR0</w:t>
            </w:r>
          </w:p>
        </w:tc>
        <w:tc>
          <w:tcPr>
            <w:tcW w:w="1279" w:type="dxa"/>
            <w:vAlign w:val="bottom"/>
          </w:tcPr>
          <w:p w14:paraId="7366370F"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-1.32</w:t>
            </w:r>
          </w:p>
        </w:tc>
        <w:tc>
          <w:tcPr>
            <w:tcW w:w="1161" w:type="dxa"/>
            <w:vAlign w:val="bottom"/>
          </w:tcPr>
          <w:p w14:paraId="335B30D6"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0.07</w:t>
            </w:r>
          </w:p>
        </w:tc>
        <w:tc>
          <w:tcPr>
            <w:tcW w:w="1270" w:type="dxa"/>
            <w:vAlign w:val="bottom"/>
          </w:tcPr>
          <w:p w14:paraId="4C6D5B48"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4F5021">
              <w:rPr>
                <w:rFonts w:ascii="Arial Narrow" w:hAnsi="Arial Narrow"/>
                <w:color w:val="000000"/>
                <w:szCs w:val="20"/>
              </w:rPr>
              <w:t>-18.08</w:t>
            </w:r>
          </w:p>
        </w:tc>
        <w:tc>
          <w:tcPr>
            <w:tcW w:w="1529" w:type="dxa"/>
          </w:tcPr>
          <w:p w14:paraId="1A53B552" w14:textId="77777777"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8134A8">
              <w:rPr>
                <w:rFonts w:ascii="Arial Narrow" w:hAnsi="Arial Narrow" w:cs="Arial Narrow"/>
                <w:color w:val="000000"/>
                <w:szCs w:val="20"/>
              </w:rPr>
              <w:t>0.00</w:t>
            </w:r>
          </w:p>
        </w:tc>
      </w:tr>
      <w:tr w:rsidR="005D64E5" w:rsidRPr="008134A8" w14:paraId="44707DF1"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131" w:type="dxa"/>
            <w:vAlign w:val="bottom"/>
          </w:tcPr>
          <w:p w14:paraId="2E7A2CB3" w14:textId="77777777" w:rsidR="005D64E5" w:rsidRPr="004F5021" w:rsidRDefault="005D64E5" w:rsidP="00E67EDC">
            <w:pPr>
              <w:keepNext/>
              <w:keepLines/>
              <w:spacing w:before="40" w:after="40"/>
              <w:jc w:val="left"/>
              <w:rPr>
                <w:rFonts w:ascii="Arial Narrow" w:hAnsi="Arial Narrow" w:cs="Calibri"/>
                <w:szCs w:val="20"/>
              </w:rPr>
            </w:pPr>
            <w:r w:rsidRPr="004F5021">
              <w:rPr>
                <w:rFonts w:ascii="Arial Narrow" w:hAnsi="Arial Narrow"/>
                <w:szCs w:val="20"/>
              </w:rPr>
              <w:t>treatment:TR1</w:t>
            </w:r>
          </w:p>
        </w:tc>
        <w:tc>
          <w:tcPr>
            <w:tcW w:w="1279" w:type="dxa"/>
            <w:vAlign w:val="bottom"/>
          </w:tcPr>
          <w:p w14:paraId="2011A8DE"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-1.29</w:t>
            </w:r>
          </w:p>
        </w:tc>
        <w:tc>
          <w:tcPr>
            <w:tcW w:w="1161" w:type="dxa"/>
            <w:vAlign w:val="bottom"/>
          </w:tcPr>
          <w:p w14:paraId="60881E52"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0.15</w:t>
            </w:r>
          </w:p>
        </w:tc>
        <w:tc>
          <w:tcPr>
            <w:tcW w:w="1270" w:type="dxa"/>
            <w:vAlign w:val="bottom"/>
          </w:tcPr>
          <w:p w14:paraId="6100092D"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4F5021">
              <w:rPr>
                <w:rFonts w:ascii="Arial Narrow" w:hAnsi="Arial Narrow"/>
                <w:color w:val="000000"/>
                <w:szCs w:val="20"/>
              </w:rPr>
              <w:t>-8.54</w:t>
            </w:r>
          </w:p>
        </w:tc>
        <w:tc>
          <w:tcPr>
            <w:tcW w:w="1529" w:type="dxa"/>
          </w:tcPr>
          <w:p w14:paraId="596CF7EF" w14:textId="2EE8FE4C"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w:t>
            </w:r>
          </w:p>
        </w:tc>
      </w:tr>
      <w:tr w:rsidR="005D64E5" w:rsidRPr="008134A8" w14:paraId="3CFF27C3"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131" w:type="dxa"/>
            <w:vAlign w:val="bottom"/>
          </w:tcPr>
          <w:p w14:paraId="2A9C5288" w14:textId="77777777" w:rsidR="005D64E5" w:rsidRPr="004F5021" w:rsidRDefault="005D64E5" w:rsidP="00E67EDC">
            <w:pPr>
              <w:keepNext/>
              <w:keepLines/>
              <w:spacing w:before="40" w:after="40"/>
              <w:jc w:val="left"/>
              <w:rPr>
                <w:rFonts w:ascii="Arial Narrow" w:hAnsi="Arial Narrow" w:cs="Calibri"/>
                <w:szCs w:val="20"/>
              </w:rPr>
            </w:pPr>
            <w:r w:rsidRPr="004F5021">
              <w:rPr>
                <w:rFonts w:ascii="Arial Narrow" w:hAnsi="Arial Narrow"/>
                <w:szCs w:val="20"/>
              </w:rPr>
              <w:t>yrmo201311:pre.use</w:t>
            </w:r>
          </w:p>
        </w:tc>
        <w:tc>
          <w:tcPr>
            <w:tcW w:w="1279" w:type="dxa"/>
            <w:vAlign w:val="bottom"/>
          </w:tcPr>
          <w:p w14:paraId="4A16E5ED"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0.64</w:t>
            </w:r>
          </w:p>
        </w:tc>
        <w:tc>
          <w:tcPr>
            <w:tcW w:w="1161" w:type="dxa"/>
            <w:vAlign w:val="bottom"/>
          </w:tcPr>
          <w:p w14:paraId="6B7F899D"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0.01</w:t>
            </w:r>
          </w:p>
        </w:tc>
        <w:tc>
          <w:tcPr>
            <w:tcW w:w="1270" w:type="dxa"/>
            <w:vAlign w:val="bottom"/>
          </w:tcPr>
          <w:p w14:paraId="16CF480B"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4F5021">
              <w:rPr>
                <w:rFonts w:ascii="Arial Narrow" w:hAnsi="Arial Narrow"/>
                <w:color w:val="000000"/>
                <w:szCs w:val="20"/>
              </w:rPr>
              <w:t>111.61</w:t>
            </w:r>
          </w:p>
        </w:tc>
        <w:tc>
          <w:tcPr>
            <w:tcW w:w="1529" w:type="dxa"/>
          </w:tcPr>
          <w:p w14:paraId="290B9927" w14:textId="618A5CD5"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w:t>
            </w:r>
          </w:p>
        </w:tc>
      </w:tr>
      <w:tr w:rsidR="005D64E5" w:rsidRPr="008134A8" w14:paraId="09AF9709"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131" w:type="dxa"/>
            <w:vAlign w:val="bottom"/>
          </w:tcPr>
          <w:p w14:paraId="23A53F54" w14:textId="77777777" w:rsidR="005D64E5" w:rsidRPr="004F5021" w:rsidRDefault="005D64E5" w:rsidP="00E67EDC">
            <w:pPr>
              <w:keepNext/>
              <w:keepLines/>
              <w:spacing w:before="40" w:after="40"/>
              <w:jc w:val="left"/>
              <w:rPr>
                <w:rFonts w:ascii="Arial Narrow" w:hAnsi="Arial Narrow" w:cs="Calibri"/>
                <w:szCs w:val="20"/>
              </w:rPr>
            </w:pPr>
            <w:r w:rsidRPr="004F5021">
              <w:rPr>
                <w:rFonts w:ascii="Arial Narrow" w:hAnsi="Arial Narrow"/>
                <w:szCs w:val="20"/>
              </w:rPr>
              <w:t>yrmo201312:pre.use</w:t>
            </w:r>
          </w:p>
        </w:tc>
        <w:tc>
          <w:tcPr>
            <w:tcW w:w="1279" w:type="dxa"/>
            <w:vAlign w:val="bottom"/>
          </w:tcPr>
          <w:p w14:paraId="157B4B0A"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0.76</w:t>
            </w:r>
          </w:p>
        </w:tc>
        <w:tc>
          <w:tcPr>
            <w:tcW w:w="1161" w:type="dxa"/>
            <w:vAlign w:val="bottom"/>
          </w:tcPr>
          <w:p w14:paraId="35FA8A16"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0.00</w:t>
            </w:r>
          </w:p>
        </w:tc>
        <w:tc>
          <w:tcPr>
            <w:tcW w:w="1270" w:type="dxa"/>
            <w:vAlign w:val="bottom"/>
          </w:tcPr>
          <w:p w14:paraId="67904475"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4F5021">
              <w:rPr>
                <w:rFonts w:ascii="Arial Narrow" w:hAnsi="Arial Narrow"/>
                <w:color w:val="000000"/>
                <w:szCs w:val="20"/>
              </w:rPr>
              <w:t>218.13</w:t>
            </w:r>
          </w:p>
        </w:tc>
        <w:tc>
          <w:tcPr>
            <w:tcW w:w="1529" w:type="dxa"/>
          </w:tcPr>
          <w:p w14:paraId="249F2DDF" w14:textId="77777777"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8134A8">
              <w:rPr>
                <w:rFonts w:ascii="Arial Narrow" w:hAnsi="Arial Narrow" w:cs="Arial Narrow"/>
                <w:color w:val="000000"/>
                <w:szCs w:val="20"/>
              </w:rPr>
              <w:t>0.00</w:t>
            </w:r>
          </w:p>
        </w:tc>
      </w:tr>
      <w:tr w:rsidR="005D64E5" w:rsidRPr="008134A8" w14:paraId="3662AE5F"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131" w:type="dxa"/>
            <w:vAlign w:val="bottom"/>
          </w:tcPr>
          <w:p w14:paraId="3041F1A3" w14:textId="77777777" w:rsidR="005D64E5" w:rsidRPr="004F5021" w:rsidRDefault="005D64E5" w:rsidP="00E67EDC">
            <w:pPr>
              <w:keepNext/>
              <w:keepLines/>
              <w:spacing w:before="40" w:after="40"/>
              <w:jc w:val="left"/>
              <w:rPr>
                <w:rFonts w:ascii="Arial Narrow" w:hAnsi="Arial Narrow" w:cs="Calibri"/>
                <w:szCs w:val="20"/>
              </w:rPr>
            </w:pPr>
            <w:r w:rsidRPr="004F5021">
              <w:rPr>
                <w:rFonts w:ascii="Arial Narrow" w:hAnsi="Arial Narrow"/>
                <w:szCs w:val="20"/>
              </w:rPr>
              <w:t>yrmo201401:pre.use</w:t>
            </w:r>
          </w:p>
        </w:tc>
        <w:tc>
          <w:tcPr>
            <w:tcW w:w="1279" w:type="dxa"/>
            <w:vAlign w:val="bottom"/>
          </w:tcPr>
          <w:p w14:paraId="6CDFCAFC"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0.77</w:t>
            </w:r>
          </w:p>
        </w:tc>
        <w:tc>
          <w:tcPr>
            <w:tcW w:w="1161" w:type="dxa"/>
            <w:vAlign w:val="bottom"/>
          </w:tcPr>
          <w:p w14:paraId="607B1E68"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0.00</w:t>
            </w:r>
          </w:p>
        </w:tc>
        <w:tc>
          <w:tcPr>
            <w:tcW w:w="1270" w:type="dxa"/>
            <w:vAlign w:val="bottom"/>
          </w:tcPr>
          <w:p w14:paraId="6E4A552B"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4F5021">
              <w:rPr>
                <w:rFonts w:ascii="Arial Narrow" w:hAnsi="Arial Narrow"/>
                <w:color w:val="000000"/>
                <w:szCs w:val="20"/>
              </w:rPr>
              <w:t>246.94</w:t>
            </w:r>
          </w:p>
        </w:tc>
        <w:tc>
          <w:tcPr>
            <w:tcW w:w="1529" w:type="dxa"/>
          </w:tcPr>
          <w:p w14:paraId="34B24736" w14:textId="77777777"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8134A8">
              <w:rPr>
                <w:rFonts w:ascii="Arial Narrow" w:hAnsi="Arial Narrow" w:cs="Arial Narrow"/>
                <w:color w:val="000000"/>
                <w:szCs w:val="20"/>
              </w:rPr>
              <w:t>0.00</w:t>
            </w:r>
          </w:p>
        </w:tc>
      </w:tr>
      <w:tr w:rsidR="005D64E5" w:rsidRPr="008134A8" w14:paraId="34991ECF"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131" w:type="dxa"/>
            <w:vAlign w:val="bottom"/>
          </w:tcPr>
          <w:p w14:paraId="02C83E7E" w14:textId="77777777" w:rsidR="005D64E5" w:rsidRPr="004F5021" w:rsidRDefault="005D64E5" w:rsidP="00E67EDC">
            <w:pPr>
              <w:keepNext/>
              <w:keepLines/>
              <w:spacing w:before="40" w:after="40"/>
              <w:jc w:val="left"/>
              <w:rPr>
                <w:rFonts w:ascii="Arial Narrow" w:hAnsi="Arial Narrow" w:cs="Calibri"/>
                <w:szCs w:val="20"/>
              </w:rPr>
            </w:pPr>
            <w:r w:rsidRPr="004F5021">
              <w:rPr>
                <w:rFonts w:ascii="Arial Narrow" w:hAnsi="Arial Narrow"/>
                <w:szCs w:val="20"/>
              </w:rPr>
              <w:t>yrmo201402:pre.use</w:t>
            </w:r>
          </w:p>
        </w:tc>
        <w:tc>
          <w:tcPr>
            <w:tcW w:w="1279" w:type="dxa"/>
            <w:vAlign w:val="bottom"/>
          </w:tcPr>
          <w:p w14:paraId="5712224B"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0.92</w:t>
            </w:r>
          </w:p>
        </w:tc>
        <w:tc>
          <w:tcPr>
            <w:tcW w:w="1161" w:type="dxa"/>
            <w:vAlign w:val="bottom"/>
          </w:tcPr>
          <w:p w14:paraId="6DBA6BC4"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0.00</w:t>
            </w:r>
          </w:p>
        </w:tc>
        <w:tc>
          <w:tcPr>
            <w:tcW w:w="1270" w:type="dxa"/>
            <w:vAlign w:val="bottom"/>
          </w:tcPr>
          <w:p w14:paraId="23C52ADA"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4F5021">
              <w:rPr>
                <w:rFonts w:ascii="Arial Narrow" w:hAnsi="Arial Narrow"/>
                <w:color w:val="000000"/>
                <w:szCs w:val="20"/>
              </w:rPr>
              <w:t>214.87</w:t>
            </w:r>
          </w:p>
        </w:tc>
        <w:tc>
          <w:tcPr>
            <w:tcW w:w="1529" w:type="dxa"/>
          </w:tcPr>
          <w:p w14:paraId="5E09AF5B" w14:textId="77777777"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8134A8">
              <w:rPr>
                <w:rFonts w:ascii="Arial Narrow" w:hAnsi="Arial Narrow" w:cs="Arial Narrow"/>
                <w:color w:val="000000"/>
                <w:szCs w:val="20"/>
              </w:rPr>
              <w:t>0.00</w:t>
            </w:r>
          </w:p>
        </w:tc>
      </w:tr>
      <w:tr w:rsidR="005D64E5" w:rsidRPr="008134A8" w14:paraId="634FD471"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131" w:type="dxa"/>
            <w:vAlign w:val="bottom"/>
          </w:tcPr>
          <w:p w14:paraId="713FC27D" w14:textId="77777777" w:rsidR="005D64E5" w:rsidRPr="004F5021" w:rsidRDefault="005D64E5" w:rsidP="00E67EDC">
            <w:pPr>
              <w:keepNext/>
              <w:keepLines/>
              <w:spacing w:before="40" w:after="40"/>
              <w:jc w:val="left"/>
              <w:rPr>
                <w:rFonts w:ascii="Arial Narrow" w:hAnsi="Arial Narrow" w:cs="Calibri"/>
                <w:szCs w:val="20"/>
              </w:rPr>
            </w:pPr>
            <w:r w:rsidRPr="004F5021">
              <w:rPr>
                <w:rFonts w:ascii="Arial Narrow" w:hAnsi="Arial Narrow"/>
                <w:szCs w:val="20"/>
              </w:rPr>
              <w:t>yrmo201403:pre.use</w:t>
            </w:r>
          </w:p>
        </w:tc>
        <w:tc>
          <w:tcPr>
            <w:tcW w:w="1279" w:type="dxa"/>
            <w:vAlign w:val="bottom"/>
          </w:tcPr>
          <w:p w14:paraId="361526B4"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0.91</w:t>
            </w:r>
          </w:p>
        </w:tc>
        <w:tc>
          <w:tcPr>
            <w:tcW w:w="1161" w:type="dxa"/>
            <w:vAlign w:val="bottom"/>
          </w:tcPr>
          <w:p w14:paraId="647A9371"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0.01</w:t>
            </w:r>
          </w:p>
        </w:tc>
        <w:tc>
          <w:tcPr>
            <w:tcW w:w="1270" w:type="dxa"/>
            <w:vAlign w:val="bottom"/>
          </w:tcPr>
          <w:p w14:paraId="4D773DE7"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4F5021">
              <w:rPr>
                <w:rFonts w:ascii="Arial Narrow" w:hAnsi="Arial Narrow"/>
                <w:color w:val="000000"/>
                <w:szCs w:val="20"/>
              </w:rPr>
              <w:t>161.42</w:t>
            </w:r>
          </w:p>
        </w:tc>
        <w:tc>
          <w:tcPr>
            <w:tcW w:w="1529" w:type="dxa"/>
          </w:tcPr>
          <w:p w14:paraId="728E9750" w14:textId="77777777"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8134A8">
              <w:rPr>
                <w:rFonts w:ascii="Arial Narrow" w:hAnsi="Arial Narrow" w:cs="Arial Narrow"/>
                <w:color w:val="000000"/>
                <w:szCs w:val="20"/>
              </w:rPr>
              <w:t>0.00</w:t>
            </w:r>
          </w:p>
        </w:tc>
      </w:tr>
      <w:tr w:rsidR="005D64E5" w:rsidRPr="008134A8" w14:paraId="32D168C5"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131" w:type="dxa"/>
            <w:vAlign w:val="bottom"/>
          </w:tcPr>
          <w:p w14:paraId="0895E0F9" w14:textId="77777777" w:rsidR="005D64E5" w:rsidRPr="004F5021" w:rsidRDefault="005D64E5" w:rsidP="00E67EDC">
            <w:pPr>
              <w:keepNext/>
              <w:keepLines/>
              <w:spacing w:before="40" w:after="40"/>
              <w:jc w:val="left"/>
              <w:rPr>
                <w:rFonts w:ascii="Arial Narrow" w:hAnsi="Arial Narrow" w:cs="Calibri"/>
                <w:szCs w:val="20"/>
              </w:rPr>
            </w:pPr>
            <w:r w:rsidRPr="004F5021">
              <w:rPr>
                <w:rFonts w:ascii="Arial Narrow" w:hAnsi="Arial Narrow"/>
                <w:szCs w:val="20"/>
              </w:rPr>
              <w:t>yrmo201404:pre.use</w:t>
            </w:r>
          </w:p>
        </w:tc>
        <w:tc>
          <w:tcPr>
            <w:tcW w:w="1279" w:type="dxa"/>
            <w:vAlign w:val="bottom"/>
          </w:tcPr>
          <w:p w14:paraId="78E475D6"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0.82</w:t>
            </w:r>
          </w:p>
        </w:tc>
        <w:tc>
          <w:tcPr>
            <w:tcW w:w="1161" w:type="dxa"/>
            <w:vAlign w:val="bottom"/>
          </w:tcPr>
          <w:p w14:paraId="6F899A96"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0.01</w:t>
            </w:r>
          </w:p>
        </w:tc>
        <w:tc>
          <w:tcPr>
            <w:tcW w:w="1270" w:type="dxa"/>
            <w:vAlign w:val="bottom"/>
          </w:tcPr>
          <w:p w14:paraId="0CFC5279"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4F5021">
              <w:rPr>
                <w:rFonts w:ascii="Arial Narrow" w:hAnsi="Arial Narrow"/>
                <w:color w:val="000000"/>
                <w:szCs w:val="20"/>
              </w:rPr>
              <w:t>153.72</w:t>
            </w:r>
          </w:p>
        </w:tc>
        <w:tc>
          <w:tcPr>
            <w:tcW w:w="1529" w:type="dxa"/>
          </w:tcPr>
          <w:p w14:paraId="46F4A7AD" w14:textId="77777777"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8134A8">
              <w:rPr>
                <w:rFonts w:ascii="Arial Narrow" w:hAnsi="Arial Narrow" w:cs="Arial Narrow"/>
                <w:color w:val="000000"/>
                <w:szCs w:val="20"/>
              </w:rPr>
              <w:t>0.00</w:t>
            </w:r>
          </w:p>
        </w:tc>
      </w:tr>
      <w:tr w:rsidR="005D64E5" w:rsidRPr="008134A8" w14:paraId="6870D00D"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131" w:type="dxa"/>
            <w:vAlign w:val="bottom"/>
          </w:tcPr>
          <w:p w14:paraId="26AD2E00" w14:textId="77777777" w:rsidR="005D64E5" w:rsidRPr="004F5021" w:rsidRDefault="005D64E5" w:rsidP="00E67EDC">
            <w:pPr>
              <w:keepNext/>
              <w:keepLines/>
              <w:spacing w:before="40" w:after="40"/>
              <w:jc w:val="left"/>
              <w:rPr>
                <w:rFonts w:ascii="Arial Narrow" w:hAnsi="Arial Narrow" w:cs="Calibri"/>
                <w:szCs w:val="20"/>
              </w:rPr>
            </w:pPr>
            <w:r w:rsidRPr="004F5021">
              <w:rPr>
                <w:rFonts w:ascii="Arial Narrow" w:hAnsi="Arial Narrow"/>
                <w:szCs w:val="20"/>
              </w:rPr>
              <w:t>yrmo201405:pre.use</w:t>
            </w:r>
          </w:p>
        </w:tc>
        <w:tc>
          <w:tcPr>
            <w:tcW w:w="1279" w:type="dxa"/>
            <w:vAlign w:val="bottom"/>
          </w:tcPr>
          <w:p w14:paraId="5CCA8712"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0.55</w:t>
            </w:r>
          </w:p>
        </w:tc>
        <w:tc>
          <w:tcPr>
            <w:tcW w:w="1161" w:type="dxa"/>
            <w:vAlign w:val="bottom"/>
          </w:tcPr>
          <w:p w14:paraId="60ACABE8"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0.01</w:t>
            </w:r>
          </w:p>
        </w:tc>
        <w:tc>
          <w:tcPr>
            <w:tcW w:w="1270" w:type="dxa"/>
            <w:vAlign w:val="bottom"/>
          </w:tcPr>
          <w:p w14:paraId="5B4BD279"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4F5021">
              <w:rPr>
                <w:rFonts w:ascii="Arial Narrow" w:hAnsi="Arial Narrow"/>
                <w:color w:val="000000"/>
                <w:szCs w:val="20"/>
              </w:rPr>
              <w:t>109.21</w:t>
            </w:r>
          </w:p>
        </w:tc>
        <w:tc>
          <w:tcPr>
            <w:tcW w:w="1529" w:type="dxa"/>
          </w:tcPr>
          <w:p w14:paraId="06D65B14" w14:textId="77777777"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8134A8">
              <w:rPr>
                <w:rFonts w:ascii="Arial Narrow" w:hAnsi="Arial Narrow" w:cs="Arial Narrow"/>
                <w:color w:val="000000"/>
                <w:szCs w:val="20"/>
              </w:rPr>
              <w:t>0.00</w:t>
            </w:r>
          </w:p>
        </w:tc>
      </w:tr>
      <w:tr w:rsidR="005D64E5" w:rsidRPr="008134A8" w14:paraId="6071B14D"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131" w:type="dxa"/>
            <w:vAlign w:val="bottom"/>
          </w:tcPr>
          <w:p w14:paraId="4AEA6EFE" w14:textId="77777777" w:rsidR="005D64E5" w:rsidRPr="004F5021" w:rsidRDefault="005D64E5" w:rsidP="00E67EDC">
            <w:pPr>
              <w:keepNext/>
              <w:keepLines/>
              <w:spacing w:before="40" w:after="40"/>
              <w:jc w:val="left"/>
              <w:rPr>
                <w:rFonts w:ascii="Arial Narrow" w:hAnsi="Arial Narrow" w:cs="Calibri"/>
                <w:szCs w:val="20"/>
              </w:rPr>
            </w:pPr>
            <w:r w:rsidRPr="004F5021">
              <w:rPr>
                <w:rFonts w:ascii="Arial Narrow" w:hAnsi="Arial Narrow"/>
                <w:szCs w:val="20"/>
              </w:rPr>
              <w:t>yrmo201406:pre.use</w:t>
            </w:r>
          </w:p>
        </w:tc>
        <w:tc>
          <w:tcPr>
            <w:tcW w:w="1279" w:type="dxa"/>
            <w:vAlign w:val="bottom"/>
          </w:tcPr>
          <w:p w14:paraId="1EB0F22C"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0.61</w:t>
            </w:r>
          </w:p>
        </w:tc>
        <w:tc>
          <w:tcPr>
            <w:tcW w:w="1161" w:type="dxa"/>
            <w:vAlign w:val="bottom"/>
          </w:tcPr>
          <w:p w14:paraId="05474B0B"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0.00</w:t>
            </w:r>
          </w:p>
        </w:tc>
        <w:tc>
          <w:tcPr>
            <w:tcW w:w="1270" w:type="dxa"/>
            <w:vAlign w:val="bottom"/>
          </w:tcPr>
          <w:p w14:paraId="1B169C4C"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4F5021">
              <w:rPr>
                <w:rFonts w:ascii="Arial Narrow" w:hAnsi="Arial Narrow"/>
                <w:color w:val="000000"/>
                <w:szCs w:val="20"/>
              </w:rPr>
              <w:t>184.50</w:t>
            </w:r>
          </w:p>
        </w:tc>
        <w:tc>
          <w:tcPr>
            <w:tcW w:w="1529" w:type="dxa"/>
          </w:tcPr>
          <w:p w14:paraId="4D76C508" w14:textId="77777777"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8134A8">
              <w:rPr>
                <w:rFonts w:ascii="Arial Narrow" w:hAnsi="Arial Narrow" w:cs="Arial Narrow"/>
                <w:color w:val="000000"/>
                <w:szCs w:val="20"/>
              </w:rPr>
              <w:t>0.00</w:t>
            </w:r>
          </w:p>
        </w:tc>
      </w:tr>
      <w:tr w:rsidR="005D64E5" w:rsidRPr="008134A8" w14:paraId="0B798837"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131" w:type="dxa"/>
            <w:vAlign w:val="bottom"/>
          </w:tcPr>
          <w:p w14:paraId="04ABB84F" w14:textId="77777777" w:rsidR="005D64E5" w:rsidRPr="004F5021" w:rsidRDefault="005D64E5" w:rsidP="00E67EDC">
            <w:pPr>
              <w:keepNext/>
              <w:keepLines/>
              <w:spacing w:before="40" w:after="40"/>
              <w:jc w:val="left"/>
              <w:rPr>
                <w:rFonts w:ascii="Arial Narrow" w:hAnsi="Arial Narrow" w:cs="Calibri"/>
                <w:szCs w:val="20"/>
              </w:rPr>
            </w:pPr>
            <w:r w:rsidRPr="004F5021">
              <w:rPr>
                <w:rFonts w:ascii="Arial Narrow" w:hAnsi="Arial Narrow"/>
                <w:szCs w:val="20"/>
              </w:rPr>
              <w:t>yrmo201407:pre.use</w:t>
            </w:r>
          </w:p>
        </w:tc>
        <w:tc>
          <w:tcPr>
            <w:tcW w:w="1279" w:type="dxa"/>
            <w:vAlign w:val="bottom"/>
          </w:tcPr>
          <w:p w14:paraId="4ACA604D"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0.53</w:t>
            </w:r>
          </w:p>
        </w:tc>
        <w:tc>
          <w:tcPr>
            <w:tcW w:w="1161" w:type="dxa"/>
            <w:vAlign w:val="bottom"/>
          </w:tcPr>
          <w:p w14:paraId="50DD4D40"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0.00</w:t>
            </w:r>
          </w:p>
        </w:tc>
        <w:tc>
          <w:tcPr>
            <w:tcW w:w="1270" w:type="dxa"/>
            <w:vAlign w:val="bottom"/>
          </w:tcPr>
          <w:p w14:paraId="54E983F0"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4F5021">
              <w:rPr>
                <w:rFonts w:ascii="Arial Narrow" w:hAnsi="Arial Narrow"/>
                <w:color w:val="000000"/>
                <w:szCs w:val="20"/>
              </w:rPr>
              <w:t>211.22</w:t>
            </w:r>
          </w:p>
        </w:tc>
        <w:tc>
          <w:tcPr>
            <w:tcW w:w="1529" w:type="dxa"/>
          </w:tcPr>
          <w:p w14:paraId="1D77796A" w14:textId="77777777"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8134A8">
              <w:rPr>
                <w:rFonts w:ascii="Arial Narrow" w:hAnsi="Arial Narrow" w:cs="Arial Narrow"/>
                <w:color w:val="000000"/>
                <w:szCs w:val="20"/>
              </w:rPr>
              <w:t>0.00</w:t>
            </w:r>
          </w:p>
        </w:tc>
      </w:tr>
      <w:tr w:rsidR="005D64E5" w:rsidRPr="008134A8" w14:paraId="468A9537"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131" w:type="dxa"/>
            <w:vAlign w:val="bottom"/>
          </w:tcPr>
          <w:p w14:paraId="506B5C01" w14:textId="77777777" w:rsidR="005D64E5" w:rsidRPr="004F5021" w:rsidRDefault="005D64E5" w:rsidP="00E67EDC">
            <w:pPr>
              <w:keepNext/>
              <w:keepLines/>
              <w:spacing w:before="40" w:after="40"/>
              <w:jc w:val="left"/>
              <w:rPr>
                <w:rFonts w:ascii="Arial Narrow" w:hAnsi="Arial Narrow" w:cs="Calibri"/>
                <w:szCs w:val="20"/>
              </w:rPr>
            </w:pPr>
            <w:r w:rsidRPr="004F5021">
              <w:rPr>
                <w:rFonts w:ascii="Arial Narrow" w:hAnsi="Arial Narrow"/>
                <w:szCs w:val="20"/>
              </w:rPr>
              <w:t>yrmo201408:pre.use</w:t>
            </w:r>
          </w:p>
        </w:tc>
        <w:tc>
          <w:tcPr>
            <w:tcW w:w="1279" w:type="dxa"/>
            <w:vAlign w:val="bottom"/>
          </w:tcPr>
          <w:p w14:paraId="41B56AC7"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0.48</w:t>
            </w:r>
          </w:p>
        </w:tc>
        <w:tc>
          <w:tcPr>
            <w:tcW w:w="1161" w:type="dxa"/>
            <w:vAlign w:val="bottom"/>
          </w:tcPr>
          <w:p w14:paraId="67CE3B04"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0.00</w:t>
            </w:r>
          </w:p>
        </w:tc>
        <w:tc>
          <w:tcPr>
            <w:tcW w:w="1270" w:type="dxa"/>
            <w:vAlign w:val="bottom"/>
          </w:tcPr>
          <w:p w14:paraId="6DBB09C7"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4F5021">
              <w:rPr>
                <w:rFonts w:ascii="Arial Narrow" w:hAnsi="Arial Narrow"/>
                <w:color w:val="000000"/>
                <w:szCs w:val="20"/>
              </w:rPr>
              <w:t>185.74</w:t>
            </w:r>
          </w:p>
        </w:tc>
        <w:tc>
          <w:tcPr>
            <w:tcW w:w="1529" w:type="dxa"/>
          </w:tcPr>
          <w:p w14:paraId="3B7304C4" w14:textId="77777777"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8134A8">
              <w:rPr>
                <w:rFonts w:ascii="Arial Narrow" w:hAnsi="Arial Narrow" w:cs="Arial Narrow"/>
                <w:color w:val="000000"/>
                <w:szCs w:val="20"/>
              </w:rPr>
              <w:t>0.00</w:t>
            </w:r>
          </w:p>
        </w:tc>
      </w:tr>
      <w:tr w:rsidR="005D64E5" w:rsidRPr="008134A8" w14:paraId="5F740122"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131" w:type="dxa"/>
            <w:vAlign w:val="bottom"/>
          </w:tcPr>
          <w:p w14:paraId="4D8B39CB" w14:textId="77777777" w:rsidR="005D64E5" w:rsidRPr="004F5021" w:rsidRDefault="005D64E5" w:rsidP="00E67EDC">
            <w:pPr>
              <w:keepNext/>
              <w:keepLines/>
              <w:spacing w:before="40" w:after="40"/>
              <w:jc w:val="left"/>
              <w:rPr>
                <w:rFonts w:ascii="Arial Narrow" w:hAnsi="Arial Narrow" w:cs="Calibri"/>
                <w:szCs w:val="20"/>
              </w:rPr>
            </w:pPr>
            <w:r w:rsidRPr="004F5021">
              <w:rPr>
                <w:rFonts w:ascii="Arial Narrow" w:hAnsi="Arial Narrow"/>
                <w:szCs w:val="20"/>
              </w:rPr>
              <w:t>yrmo201409:pre.use</w:t>
            </w:r>
          </w:p>
        </w:tc>
        <w:tc>
          <w:tcPr>
            <w:tcW w:w="1279" w:type="dxa"/>
            <w:vAlign w:val="bottom"/>
          </w:tcPr>
          <w:p w14:paraId="71350047"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0.56</w:t>
            </w:r>
          </w:p>
        </w:tc>
        <w:tc>
          <w:tcPr>
            <w:tcW w:w="1161" w:type="dxa"/>
            <w:vAlign w:val="bottom"/>
          </w:tcPr>
          <w:p w14:paraId="19589457"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0.00</w:t>
            </w:r>
          </w:p>
        </w:tc>
        <w:tc>
          <w:tcPr>
            <w:tcW w:w="1270" w:type="dxa"/>
            <w:vAlign w:val="bottom"/>
          </w:tcPr>
          <w:p w14:paraId="763F7A7C"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4F5021">
              <w:rPr>
                <w:rFonts w:ascii="Arial Narrow" w:hAnsi="Arial Narrow"/>
                <w:color w:val="000000"/>
                <w:szCs w:val="20"/>
              </w:rPr>
              <w:t>164.11</w:t>
            </w:r>
          </w:p>
        </w:tc>
        <w:tc>
          <w:tcPr>
            <w:tcW w:w="1529" w:type="dxa"/>
          </w:tcPr>
          <w:p w14:paraId="7C4ADFAE" w14:textId="77777777"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8134A8">
              <w:rPr>
                <w:rFonts w:ascii="Arial Narrow" w:hAnsi="Arial Narrow" w:cs="Arial Narrow"/>
                <w:color w:val="000000"/>
                <w:szCs w:val="20"/>
              </w:rPr>
              <w:t>0.00</w:t>
            </w:r>
          </w:p>
        </w:tc>
      </w:tr>
      <w:tr w:rsidR="005D64E5" w:rsidRPr="008134A8" w14:paraId="4DE84489"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3131" w:type="dxa"/>
            <w:vAlign w:val="bottom"/>
          </w:tcPr>
          <w:p w14:paraId="005C56FD" w14:textId="77777777" w:rsidR="005D64E5" w:rsidRPr="004F5021" w:rsidRDefault="005D64E5" w:rsidP="00E67EDC">
            <w:pPr>
              <w:keepNext/>
              <w:keepLines/>
              <w:spacing w:before="40" w:after="40"/>
              <w:jc w:val="left"/>
              <w:rPr>
                <w:rFonts w:ascii="Arial Narrow" w:hAnsi="Arial Narrow" w:cs="Calibri"/>
                <w:szCs w:val="20"/>
              </w:rPr>
            </w:pPr>
            <w:r w:rsidRPr="004F5021">
              <w:rPr>
                <w:rFonts w:ascii="Arial Narrow" w:hAnsi="Arial Narrow"/>
                <w:szCs w:val="20"/>
              </w:rPr>
              <w:t>yrmo201410:pre.use</w:t>
            </w:r>
          </w:p>
        </w:tc>
        <w:tc>
          <w:tcPr>
            <w:tcW w:w="1279" w:type="dxa"/>
            <w:vAlign w:val="bottom"/>
          </w:tcPr>
          <w:p w14:paraId="7181CF05"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0.51</w:t>
            </w:r>
          </w:p>
        </w:tc>
        <w:tc>
          <w:tcPr>
            <w:tcW w:w="1161" w:type="dxa"/>
            <w:vAlign w:val="bottom"/>
          </w:tcPr>
          <w:p w14:paraId="1BEFEBFB"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0.01</w:t>
            </w:r>
          </w:p>
        </w:tc>
        <w:tc>
          <w:tcPr>
            <w:tcW w:w="1270" w:type="dxa"/>
            <w:vAlign w:val="bottom"/>
          </w:tcPr>
          <w:p w14:paraId="5E3CB31B"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4F5021">
              <w:rPr>
                <w:rFonts w:ascii="Arial Narrow" w:hAnsi="Arial Narrow"/>
                <w:color w:val="000000"/>
                <w:szCs w:val="20"/>
              </w:rPr>
              <w:t>83.49</w:t>
            </w:r>
          </w:p>
        </w:tc>
        <w:tc>
          <w:tcPr>
            <w:tcW w:w="1529" w:type="dxa"/>
          </w:tcPr>
          <w:p w14:paraId="59AFF21E" w14:textId="77777777"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8134A8">
              <w:rPr>
                <w:rFonts w:ascii="Arial Narrow" w:hAnsi="Arial Narrow" w:cs="Arial Narrow"/>
                <w:color w:val="000000"/>
                <w:szCs w:val="20"/>
              </w:rPr>
              <w:t>0.00</w:t>
            </w:r>
          </w:p>
        </w:tc>
      </w:tr>
      <w:tr w:rsidR="005D64E5" w:rsidRPr="008134A8" w14:paraId="4D1369A5" w14:textId="77777777" w:rsidTr="00E67EDC">
        <w:trPr>
          <w:trHeight w:val="288"/>
        </w:trPr>
        <w:tc>
          <w:tcPr>
            <w:cnfStyle w:val="001000000000" w:firstRow="0" w:lastRow="0" w:firstColumn="1" w:lastColumn="0" w:oddVBand="0" w:evenVBand="0" w:oddHBand="0" w:evenHBand="0" w:firstRowFirstColumn="0" w:firstRowLastColumn="0" w:lastRowFirstColumn="0" w:lastRowLastColumn="0"/>
            <w:tcW w:w="8370" w:type="dxa"/>
            <w:gridSpan w:val="5"/>
            <w:vAlign w:val="bottom"/>
          </w:tcPr>
          <w:p w14:paraId="629A1B3A" w14:textId="77777777" w:rsidR="005D64E5" w:rsidRPr="004F5021" w:rsidRDefault="005D64E5" w:rsidP="00A43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40" w:after="40"/>
              <w:jc w:val="left"/>
              <w:rPr>
                <w:rFonts w:ascii="Arial Narrow" w:hAnsi="Arial Narrow" w:cs="Courier New"/>
                <w:color w:val="000000"/>
                <w:szCs w:val="20"/>
              </w:rPr>
            </w:pPr>
            <w:r w:rsidRPr="004F5021">
              <w:rPr>
                <w:rFonts w:ascii="Arial Narrow" w:hAnsi="Arial Narrow" w:cs="Courier New"/>
                <w:color w:val="000000"/>
                <w:szCs w:val="20"/>
              </w:rPr>
              <w:t>Residual standard error: 21 on 2105033 degrees of freedom</w:t>
            </w:r>
          </w:p>
        </w:tc>
      </w:tr>
      <w:tr w:rsidR="005D64E5" w:rsidRPr="008134A8" w14:paraId="3B0106DB" w14:textId="77777777" w:rsidTr="00E67EDC">
        <w:trPr>
          <w:trHeight w:val="288"/>
        </w:trPr>
        <w:tc>
          <w:tcPr>
            <w:cnfStyle w:val="001000000000" w:firstRow="0" w:lastRow="0" w:firstColumn="1" w:lastColumn="0" w:oddVBand="0" w:evenVBand="0" w:oddHBand="0" w:evenHBand="0" w:firstRowFirstColumn="0" w:firstRowLastColumn="0" w:lastRowFirstColumn="0" w:lastRowLastColumn="0"/>
            <w:tcW w:w="8370" w:type="dxa"/>
            <w:gridSpan w:val="5"/>
            <w:vAlign w:val="bottom"/>
          </w:tcPr>
          <w:p w14:paraId="7CC8B628" w14:textId="06FF7878" w:rsidR="005D64E5" w:rsidRPr="004F5021" w:rsidRDefault="00A430A7" w:rsidP="00A43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40" w:after="40"/>
              <w:jc w:val="left"/>
              <w:rPr>
                <w:rFonts w:ascii="Arial Narrow" w:hAnsi="Arial Narrow" w:cs="Courier New"/>
                <w:color w:val="000000"/>
                <w:szCs w:val="20"/>
              </w:rPr>
            </w:pPr>
            <w:r>
              <w:rPr>
                <w:rFonts w:ascii="Arial Narrow" w:hAnsi="Arial Narrow" w:cs="Courier New"/>
                <w:color w:val="000000"/>
                <w:szCs w:val="20"/>
              </w:rPr>
              <w:t xml:space="preserve">Multiple R-squared:  0.876, </w:t>
            </w:r>
            <w:r w:rsidR="005D64E5" w:rsidRPr="004F5021">
              <w:rPr>
                <w:rFonts w:ascii="Arial Narrow" w:hAnsi="Arial Narrow" w:cs="Courier New"/>
                <w:color w:val="000000"/>
                <w:szCs w:val="20"/>
              </w:rPr>
              <w:t xml:space="preserve">Adjusted R-squared:  0.876 </w:t>
            </w:r>
          </w:p>
        </w:tc>
      </w:tr>
      <w:tr w:rsidR="005D64E5" w:rsidRPr="008134A8" w14:paraId="4FE10048" w14:textId="77777777" w:rsidTr="00E67EDC">
        <w:trPr>
          <w:trHeight w:val="288"/>
        </w:trPr>
        <w:tc>
          <w:tcPr>
            <w:cnfStyle w:val="001000000000" w:firstRow="0" w:lastRow="0" w:firstColumn="1" w:lastColumn="0" w:oddVBand="0" w:evenVBand="0" w:oddHBand="0" w:evenHBand="0" w:firstRowFirstColumn="0" w:firstRowLastColumn="0" w:lastRowFirstColumn="0" w:lastRowLastColumn="0"/>
            <w:tcW w:w="8370" w:type="dxa"/>
            <w:gridSpan w:val="5"/>
            <w:vAlign w:val="bottom"/>
          </w:tcPr>
          <w:p w14:paraId="3170CFCF" w14:textId="77777777" w:rsidR="005D64E5" w:rsidRPr="004F5021" w:rsidRDefault="005D64E5" w:rsidP="00A43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40" w:after="40"/>
              <w:jc w:val="left"/>
              <w:rPr>
                <w:rFonts w:ascii="Arial Narrow" w:hAnsi="Arial Narrow" w:cs="Courier New"/>
                <w:color w:val="000000"/>
                <w:szCs w:val="20"/>
              </w:rPr>
            </w:pPr>
            <w:r w:rsidRPr="004F5021">
              <w:rPr>
                <w:rFonts w:ascii="Arial Narrow" w:hAnsi="Arial Narrow" w:cs="Courier New"/>
                <w:color w:val="000000"/>
                <w:szCs w:val="20"/>
              </w:rPr>
              <w:t>F-statistic: 5.73e+05 on 26 and 2105033 DF,  p-value: &lt;0.0000000000000002</w:t>
            </w:r>
          </w:p>
        </w:tc>
      </w:tr>
    </w:tbl>
    <w:p w14:paraId="05D499F5" w14:textId="77777777" w:rsidR="005D64E5" w:rsidRDefault="005D64E5" w:rsidP="005D64E5">
      <w:pPr>
        <w:pStyle w:val="Source"/>
        <w:ind w:left="540" w:hanging="90"/>
      </w:pPr>
      <w:r>
        <w:t>Source: Navigant analysis</w:t>
      </w:r>
    </w:p>
    <w:p w14:paraId="482310A3" w14:textId="77777777" w:rsidR="005D64E5" w:rsidRDefault="005D64E5" w:rsidP="005D64E5">
      <w:pPr>
        <w:rPr>
          <w:b/>
          <w:bCs/>
          <w:color w:val="993300"/>
          <w:szCs w:val="20"/>
        </w:rPr>
      </w:pPr>
      <w:r>
        <w:br w:type="page"/>
      </w:r>
    </w:p>
    <w:p w14:paraId="044225BE" w14:textId="3D19A6B1" w:rsidR="005D64E5" w:rsidRDefault="005D64E5" w:rsidP="004301F4">
      <w:pPr>
        <w:pStyle w:val="Caption"/>
      </w:pPr>
      <w:bookmarkStart w:id="136" w:name="_Toc441751909"/>
      <w:r>
        <w:lastRenderedPageBreak/>
        <w:t xml:space="preserve">Table </w:t>
      </w:r>
      <w:fldSimple w:instr=" STYLEREF 1 \s ">
        <w:r w:rsidR="00E4410B">
          <w:rPr>
            <w:noProof/>
          </w:rPr>
          <w:t>6</w:t>
        </w:r>
      </w:fldSimple>
      <w:r w:rsidR="00F05E89">
        <w:noBreakHyphen/>
      </w:r>
      <w:fldSimple w:instr=" SEQ Table \* ARABIC \s 1 ">
        <w:r w:rsidR="00E4410B">
          <w:rPr>
            <w:noProof/>
          </w:rPr>
          <w:t>5</w:t>
        </w:r>
      </w:fldSimple>
      <w:r>
        <w:t>. LFER Model Estimates, Wave 3</w:t>
      </w:r>
      <w:bookmarkEnd w:id="136"/>
    </w:p>
    <w:tbl>
      <w:tblPr>
        <w:tblStyle w:val="ComEdTable"/>
        <w:tblW w:w="9360" w:type="dxa"/>
        <w:tblLayout w:type="fixed"/>
        <w:tblLook w:val="04A0" w:firstRow="1" w:lastRow="0" w:firstColumn="1" w:lastColumn="0" w:noHBand="0" w:noVBand="1"/>
      </w:tblPr>
      <w:tblGrid>
        <w:gridCol w:w="4121"/>
        <w:gridCol w:w="1279"/>
        <w:gridCol w:w="1161"/>
        <w:gridCol w:w="1270"/>
        <w:gridCol w:w="1529"/>
      </w:tblGrid>
      <w:tr w:rsidR="005D64E5" w:rsidRPr="008134A8" w14:paraId="2A78172A" w14:textId="77777777" w:rsidTr="00E67EDC">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121" w:type="dxa"/>
            <w:vAlign w:val="top"/>
          </w:tcPr>
          <w:p w14:paraId="78AEAC68" w14:textId="77777777" w:rsidR="005D64E5" w:rsidRPr="00ED2DAA" w:rsidRDefault="005D64E5" w:rsidP="00E67EDC">
            <w:pPr>
              <w:keepNext/>
              <w:keepLines/>
              <w:spacing w:before="40" w:after="40"/>
              <w:jc w:val="left"/>
              <w:rPr>
                <w:rFonts w:ascii="Arial Narrow" w:hAnsi="Arial Narrow" w:cs="Calibri"/>
                <w:bCs/>
                <w:szCs w:val="20"/>
              </w:rPr>
            </w:pPr>
          </w:p>
        </w:tc>
        <w:tc>
          <w:tcPr>
            <w:tcW w:w="1279" w:type="dxa"/>
            <w:vAlign w:val="top"/>
          </w:tcPr>
          <w:p w14:paraId="60190F6F" w14:textId="77777777" w:rsidR="005D64E5" w:rsidRPr="00523D14" w:rsidRDefault="005D64E5" w:rsidP="00E67EDC">
            <w:pPr>
              <w:keepNext/>
              <w:keepLines/>
              <w:spacing w:before="40" w:after="40"/>
              <w:cnfStyle w:val="100000000000" w:firstRow="1" w:lastRow="0" w:firstColumn="0" w:lastColumn="0" w:oddVBand="0" w:evenVBand="0" w:oddHBand="0" w:evenHBand="0" w:firstRowFirstColumn="0" w:firstRowLastColumn="0" w:lastRowFirstColumn="0" w:lastRowLastColumn="0"/>
              <w:rPr>
                <w:rFonts w:ascii="Arial Narrow" w:hAnsi="Arial Narrow" w:cs="Calibri"/>
                <w:bCs/>
                <w:szCs w:val="20"/>
              </w:rPr>
            </w:pPr>
            <w:r w:rsidRPr="00523D14">
              <w:rPr>
                <w:rFonts w:ascii="Arial Narrow" w:hAnsi="Arial Narrow" w:cs="Arial Narrow"/>
                <w:szCs w:val="20"/>
              </w:rPr>
              <w:t>Estimate</w:t>
            </w:r>
          </w:p>
        </w:tc>
        <w:tc>
          <w:tcPr>
            <w:tcW w:w="1161" w:type="dxa"/>
            <w:vAlign w:val="top"/>
          </w:tcPr>
          <w:p w14:paraId="3C7206B1" w14:textId="77777777" w:rsidR="005D64E5" w:rsidRPr="00523D14" w:rsidRDefault="005D64E5" w:rsidP="00E67EDC">
            <w:pPr>
              <w:keepNext/>
              <w:keepLines/>
              <w:spacing w:before="40" w:after="40"/>
              <w:cnfStyle w:val="100000000000" w:firstRow="1" w:lastRow="0" w:firstColumn="0" w:lastColumn="0" w:oddVBand="0" w:evenVBand="0" w:oddHBand="0" w:evenHBand="0" w:firstRowFirstColumn="0" w:firstRowLastColumn="0" w:lastRowFirstColumn="0" w:lastRowLastColumn="0"/>
              <w:rPr>
                <w:rFonts w:ascii="Arial Narrow" w:hAnsi="Arial Narrow" w:cs="Calibri"/>
                <w:b w:val="0"/>
                <w:bCs/>
                <w:szCs w:val="20"/>
              </w:rPr>
            </w:pPr>
            <w:r w:rsidRPr="00523D14">
              <w:rPr>
                <w:rFonts w:ascii="Arial Narrow" w:hAnsi="Arial Narrow" w:cs="Arial Narrow"/>
                <w:szCs w:val="20"/>
              </w:rPr>
              <w:t>Std. Error</w:t>
            </w:r>
          </w:p>
        </w:tc>
        <w:tc>
          <w:tcPr>
            <w:tcW w:w="1270" w:type="dxa"/>
            <w:vAlign w:val="top"/>
          </w:tcPr>
          <w:p w14:paraId="7D778751" w14:textId="77777777" w:rsidR="005D64E5" w:rsidRPr="00523D14" w:rsidRDefault="005D64E5" w:rsidP="00E67EDC">
            <w:pPr>
              <w:keepNext/>
              <w:keepLines/>
              <w:spacing w:before="40" w:after="40"/>
              <w:cnfStyle w:val="100000000000" w:firstRow="1" w:lastRow="0" w:firstColumn="0" w:lastColumn="0" w:oddVBand="0" w:evenVBand="0" w:oddHBand="0" w:evenHBand="0" w:firstRowFirstColumn="0" w:firstRowLastColumn="0" w:lastRowFirstColumn="0" w:lastRowLastColumn="0"/>
              <w:rPr>
                <w:rFonts w:ascii="Arial Narrow" w:hAnsi="Arial Narrow" w:cs="Calibri"/>
                <w:bCs/>
                <w:szCs w:val="20"/>
              </w:rPr>
            </w:pPr>
            <w:r w:rsidRPr="00523D14">
              <w:rPr>
                <w:rFonts w:ascii="Arial Narrow" w:hAnsi="Arial Narrow" w:cs="Arial Narrow"/>
                <w:szCs w:val="20"/>
              </w:rPr>
              <w:t>t value</w:t>
            </w:r>
          </w:p>
        </w:tc>
        <w:tc>
          <w:tcPr>
            <w:tcW w:w="1529" w:type="dxa"/>
            <w:vAlign w:val="top"/>
          </w:tcPr>
          <w:p w14:paraId="6D8F3884" w14:textId="77777777" w:rsidR="005D64E5" w:rsidRPr="00523D14" w:rsidRDefault="005D64E5" w:rsidP="00E67EDC">
            <w:pPr>
              <w:keepNext/>
              <w:keepLines/>
              <w:spacing w:before="40" w:after="40"/>
              <w:cnfStyle w:val="100000000000" w:firstRow="1" w:lastRow="0" w:firstColumn="0" w:lastColumn="0" w:oddVBand="0" w:evenVBand="0" w:oddHBand="0" w:evenHBand="0" w:firstRowFirstColumn="0" w:firstRowLastColumn="0" w:lastRowFirstColumn="0" w:lastRowLastColumn="0"/>
              <w:rPr>
                <w:rFonts w:ascii="Arial Narrow" w:hAnsi="Arial Narrow" w:cs="Calibri"/>
                <w:b w:val="0"/>
                <w:bCs/>
                <w:szCs w:val="20"/>
              </w:rPr>
            </w:pPr>
            <w:r w:rsidRPr="00523D14">
              <w:rPr>
                <w:rFonts w:ascii="Arial Narrow" w:hAnsi="Arial Narrow" w:cs="Arial Narrow"/>
                <w:szCs w:val="20"/>
              </w:rPr>
              <w:t>Pr(&gt;|t|)</w:t>
            </w:r>
          </w:p>
        </w:tc>
      </w:tr>
      <w:tr w:rsidR="005D64E5" w:rsidRPr="008134A8" w14:paraId="0569466B" w14:textId="77777777" w:rsidTr="00E67EDC">
        <w:trPr>
          <w:trHeight w:val="20"/>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5C1D7FCC" w14:textId="77777777" w:rsidR="005D64E5" w:rsidRPr="004F5021" w:rsidRDefault="005D64E5" w:rsidP="00E67EDC">
            <w:pPr>
              <w:keepNext/>
              <w:keepLines/>
              <w:spacing w:before="40" w:after="40"/>
              <w:jc w:val="left"/>
              <w:rPr>
                <w:rFonts w:ascii="Arial Narrow" w:hAnsi="Arial Narrow" w:cs="Calibri"/>
                <w:color w:val="000000"/>
                <w:szCs w:val="20"/>
              </w:rPr>
            </w:pPr>
            <w:r w:rsidRPr="004F5021">
              <w:rPr>
                <w:rFonts w:ascii="Arial Narrow" w:hAnsi="Arial Narrow"/>
                <w:color w:val="000000"/>
                <w:szCs w:val="20"/>
              </w:rPr>
              <w:t>post</w:t>
            </w:r>
          </w:p>
        </w:tc>
        <w:tc>
          <w:tcPr>
            <w:tcW w:w="1279" w:type="dxa"/>
            <w:vAlign w:val="bottom"/>
          </w:tcPr>
          <w:p w14:paraId="72BC9145"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-2.6874</w:t>
            </w:r>
          </w:p>
        </w:tc>
        <w:tc>
          <w:tcPr>
            <w:tcW w:w="1161" w:type="dxa"/>
            <w:tcBorders>
              <w:top w:val="nil"/>
            </w:tcBorders>
            <w:vAlign w:val="bottom"/>
          </w:tcPr>
          <w:p w14:paraId="471DEDF1"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0.0709</w:t>
            </w:r>
          </w:p>
        </w:tc>
        <w:tc>
          <w:tcPr>
            <w:tcW w:w="1270" w:type="dxa"/>
            <w:tcBorders>
              <w:top w:val="nil"/>
            </w:tcBorders>
            <w:vAlign w:val="bottom"/>
          </w:tcPr>
          <w:p w14:paraId="623E035A" w14:textId="77777777" w:rsidR="005D64E5" w:rsidRPr="00112140"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112140">
              <w:rPr>
                <w:rFonts w:ascii="Arial Narrow" w:hAnsi="Arial Narrow"/>
                <w:color w:val="000000"/>
                <w:szCs w:val="20"/>
              </w:rPr>
              <w:t>-37.92</w:t>
            </w:r>
          </w:p>
        </w:tc>
        <w:tc>
          <w:tcPr>
            <w:tcW w:w="1529" w:type="dxa"/>
            <w:tcBorders>
              <w:top w:val="nil"/>
            </w:tcBorders>
            <w:vAlign w:val="top"/>
          </w:tcPr>
          <w:p w14:paraId="00137482" w14:textId="77777777"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8134A8">
              <w:rPr>
                <w:rFonts w:ascii="Arial Narrow" w:hAnsi="Arial Narrow" w:cs="Arial Narrow"/>
                <w:color w:val="000000"/>
                <w:szCs w:val="20"/>
              </w:rPr>
              <w:t>0.00</w:t>
            </w:r>
          </w:p>
        </w:tc>
      </w:tr>
      <w:tr w:rsidR="005D64E5" w:rsidRPr="008134A8" w14:paraId="19FBEB56" w14:textId="77777777" w:rsidTr="00E67EDC">
        <w:trPr>
          <w:trHeight w:val="20"/>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32BF2A46" w14:textId="77777777" w:rsidR="005D64E5" w:rsidRPr="004F5021" w:rsidRDefault="005D64E5" w:rsidP="00E67EDC">
            <w:pPr>
              <w:keepNext/>
              <w:keepLines/>
              <w:spacing w:before="40" w:after="40"/>
              <w:jc w:val="left"/>
              <w:rPr>
                <w:rFonts w:ascii="Arial Narrow" w:hAnsi="Arial Narrow" w:cs="Calibri"/>
                <w:color w:val="000000"/>
                <w:szCs w:val="20"/>
              </w:rPr>
            </w:pPr>
            <w:r w:rsidRPr="004F5021">
              <w:rPr>
                <w:rFonts w:ascii="Arial Narrow" w:hAnsi="Arial Narrow"/>
                <w:color w:val="000000"/>
                <w:szCs w:val="20"/>
              </w:rPr>
              <w:t>post.trt:TR0</w:t>
            </w:r>
          </w:p>
        </w:tc>
        <w:tc>
          <w:tcPr>
            <w:tcW w:w="1279" w:type="dxa"/>
            <w:vAlign w:val="bottom"/>
          </w:tcPr>
          <w:p w14:paraId="6AC597C9"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-1.0012</w:t>
            </w:r>
          </w:p>
        </w:tc>
        <w:tc>
          <w:tcPr>
            <w:tcW w:w="1161" w:type="dxa"/>
            <w:vAlign w:val="bottom"/>
          </w:tcPr>
          <w:p w14:paraId="395CF846"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0.1047</w:t>
            </w:r>
          </w:p>
        </w:tc>
        <w:tc>
          <w:tcPr>
            <w:tcW w:w="1270" w:type="dxa"/>
            <w:vAlign w:val="bottom"/>
          </w:tcPr>
          <w:p w14:paraId="3EAD71D1" w14:textId="77777777" w:rsidR="005D64E5" w:rsidRPr="00112140"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112140">
              <w:rPr>
                <w:rFonts w:ascii="Arial Narrow" w:hAnsi="Arial Narrow"/>
                <w:color w:val="000000"/>
                <w:szCs w:val="20"/>
              </w:rPr>
              <w:t>-9.56</w:t>
            </w:r>
          </w:p>
        </w:tc>
        <w:tc>
          <w:tcPr>
            <w:tcW w:w="1529" w:type="dxa"/>
            <w:vAlign w:val="top"/>
          </w:tcPr>
          <w:p w14:paraId="1EF43758" w14:textId="77777777" w:rsidR="005D64E5" w:rsidRPr="008134A8"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8134A8">
              <w:rPr>
                <w:rFonts w:ascii="Arial Narrow" w:hAnsi="Arial Narrow" w:cs="Arial Narrow"/>
                <w:color w:val="000000"/>
                <w:szCs w:val="20"/>
              </w:rPr>
              <w:t>0.00</w:t>
            </w:r>
          </w:p>
        </w:tc>
      </w:tr>
      <w:tr w:rsidR="005D64E5" w:rsidRPr="008134A8" w14:paraId="66E63609" w14:textId="77777777" w:rsidTr="00E67EDC">
        <w:trPr>
          <w:trHeight w:val="20"/>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707FF6D7" w14:textId="77777777" w:rsidR="005D64E5" w:rsidRPr="004F5021" w:rsidRDefault="005D64E5" w:rsidP="00E67EDC">
            <w:pPr>
              <w:keepNext/>
              <w:keepLines/>
              <w:spacing w:before="40" w:after="40"/>
              <w:jc w:val="left"/>
              <w:rPr>
                <w:rFonts w:ascii="Arial Narrow" w:hAnsi="Arial Narrow" w:cs="Calibri"/>
                <w:color w:val="000000"/>
                <w:szCs w:val="20"/>
              </w:rPr>
            </w:pPr>
            <w:r w:rsidRPr="004F5021">
              <w:rPr>
                <w:rFonts w:ascii="Arial Narrow" w:hAnsi="Arial Narrow"/>
                <w:color w:val="000000"/>
                <w:szCs w:val="20"/>
              </w:rPr>
              <w:t>post.trt:TR1</w:t>
            </w:r>
          </w:p>
        </w:tc>
        <w:tc>
          <w:tcPr>
            <w:tcW w:w="1279" w:type="dxa"/>
            <w:vAlign w:val="bottom"/>
          </w:tcPr>
          <w:p w14:paraId="782D8393"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-0.9614</w:t>
            </w:r>
          </w:p>
        </w:tc>
        <w:tc>
          <w:tcPr>
            <w:tcW w:w="1161" w:type="dxa"/>
            <w:vAlign w:val="bottom"/>
          </w:tcPr>
          <w:p w14:paraId="051D86C8" w14:textId="77777777" w:rsidR="005D64E5" w:rsidRPr="004F5021"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olor w:val="000000"/>
                <w:szCs w:val="20"/>
              </w:rPr>
              <w:t>0.1609</w:t>
            </w:r>
          </w:p>
        </w:tc>
        <w:tc>
          <w:tcPr>
            <w:tcW w:w="1270" w:type="dxa"/>
            <w:vAlign w:val="bottom"/>
          </w:tcPr>
          <w:p w14:paraId="58C85B2E" w14:textId="77777777" w:rsidR="005D64E5" w:rsidRPr="00CD7F1D"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CD7F1D">
              <w:rPr>
                <w:rFonts w:ascii="Arial Narrow" w:hAnsi="Arial Narrow"/>
                <w:color w:val="000000"/>
                <w:szCs w:val="20"/>
              </w:rPr>
              <w:t>-5.98</w:t>
            </w:r>
          </w:p>
        </w:tc>
        <w:tc>
          <w:tcPr>
            <w:tcW w:w="1529" w:type="dxa"/>
            <w:vAlign w:val="top"/>
          </w:tcPr>
          <w:p w14:paraId="195EDA37" w14:textId="77777777" w:rsidR="005D64E5" w:rsidRPr="00CD7F1D" w:rsidRDefault="005D64E5" w:rsidP="00E67EDC">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w:t>
            </w:r>
          </w:p>
        </w:tc>
      </w:tr>
      <w:tr w:rsidR="005D64E5" w:rsidRPr="008134A8" w14:paraId="1A3559A0" w14:textId="77777777" w:rsidTr="00A430A7">
        <w:trPr>
          <w:trHeight w:val="144"/>
        </w:trPr>
        <w:tc>
          <w:tcPr>
            <w:cnfStyle w:val="001000000000" w:firstRow="0" w:lastRow="0" w:firstColumn="1" w:lastColumn="0" w:oddVBand="0" w:evenVBand="0" w:oddHBand="0" w:evenHBand="0" w:firstRowFirstColumn="0" w:firstRowLastColumn="0" w:lastRowFirstColumn="0" w:lastRowLastColumn="0"/>
            <w:tcW w:w="9360" w:type="dxa"/>
            <w:gridSpan w:val="5"/>
            <w:vAlign w:val="bottom"/>
          </w:tcPr>
          <w:p w14:paraId="28B3F11B" w14:textId="77777777" w:rsidR="005D64E5" w:rsidRPr="004F5021" w:rsidRDefault="005D64E5" w:rsidP="00A430A7">
            <w:pPr>
              <w:pStyle w:val="HTMLPreformatted"/>
              <w:shd w:val="clear" w:color="auto" w:fill="FFFFFF"/>
              <w:wordWrap w:val="0"/>
              <w:spacing w:before="40" w:after="40" w:line="225" w:lineRule="atLeast"/>
              <w:jc w:val="left"/>
              <w:rPr>
                <w:rFonts w:ascii="Arial Narrow" w:hAnsi="Arial Narrow"/>
                <w:color w:val="000000"/>
              </w:rPr>
            </w:pPr>
            <w:r w:rsidRPr="004F5021">
              <w:rPr>
                <w:rFonts w:ascii="Arial Narrow" w:hAnsi="Arial Narrow"/>
                <w:color w:val="000000"/>
              </w:rPr>
              <w:t>Total Sum of Squares:    444000000; Residual Sum of Squares: 441000000</w:t>
            </w:r>
          </w:p>
        </w:tc>
      </w:tr>
      <w:tr w:rsidR="005D64E5" w:rsidRPr="008134A8" w14:paraId="476BF7BA" w14:textId="77777777" w:rsidTr="00A430A7">
        <w:trPr>
          <w:trHeight w:val="144"/>
        </w:trPr>
        <w:tc>
          <w:tcPr>
            <w:cnfStyle w:val="001000000000" w:firstRow="0" w:lastRow="0" w:firstColumn="1" w:lastColumn="0" w:oddVBand="0" w:evenVBand="0" w:oddHBand="0" w:evenHBand="0" w:firstRowFirstColumn="0" w:firstRowLastColumn="0" w:lastRowFirstColumn="0" w:lastRowLastColumn="0"/>
            <w:tcW w:w="9360" w:type="dxa"/>
            <w:gridSpan w:val="5"/>
            <w:vAlign w:val="bottom"/>
          </w:tcPr>
          <w:p w14:paraId="0BBC072D" w14:textId="77777777" w:rsidR="005D64E5" w:rsidRPr="004F5021" w:rsidRDefault="005D64E5" w:rsidP="00A430A7">
            <w:pPr>
              <w:pStyle w:val="HTMLPreformatted"/>
              <w:shd w:val="clear" w:color="auto" w:fill="FFFFFF"/>
              <w:wordWrap w:val="0"/>
              <w:spacing w:before="40" w:after="40" w:line="225" w:lineRule="atLeast"/>
              <w:jc w:val="left"/>
              <w:rPr>
                <w:rFonts w:ascii="Arial Narrow" w:hAnsi="Arial Narrow"/>
                <w:color w:val="000000"/>
              </w:rPr>
            </w:pPr>
            <w:r w:rsidRPr="004F5021">
              <w:rPr>
                <w:rFonts w:ascii="Arial Narrow" w:hAnsi="Arial Narrow"/>
                <w:color w:val="000000"/>
              </w:rPr>
              <w:t xml:space="preserve">R-Squared:  0.00744; Adj. R-Squared:  0.00707 </w:t>
            </w:r>
          </w:p>
        </w:tc>
      </w:tr>
      <w:tr w:rsidR="005D64E5" w:rsidRPr="008134A8" w14:paraId="18FEB4FB" w14:textId="77777777" w:rsidTr="00A430A7">
        <w:trPr>
          <w:trHeight w:val="144"/>
        </w:trPr>
        <w:tc>
          <w:tcPr>
            <w:cnfStyle w:val="001000000000" w:firstRow="0" w:lastRow="0" w:firstColumn="1" w:lastColumn="0" w:oddVBand="0" w:evenVBand="0" w:oddHBand="0" w:evenHBand="0" w:firstRowFirstColumn="0" w:firstRowLastColumn="0" w:lastRowFirstColumn="0" w:lastRowLastColumn="0"/>
            <w:tcW w:w="9360" w:type="dxa"/>
            <w:gridSpan w:val="5"/>
            <w:vAlign w:val="bottom"/>
          </w:tcPr>
          <w:p w14:paraId="140B851F" w14:textId="77777777" w:rsidR="005D64E5" w:rsidRPr="004F5021" w:rsidRDefault="005D64E5" w:rsidP="00A430A7">
            <w:pPr>
              <w:pStyle w:val="HTMLPreformatted"/>
              <w:shd w:val="clear" w:color="auto" w:fill="FFFFFF"/>
              <w:wordWrap w:val="0"/>
              <w:spacing w:before="40" w:after="40" w:line="225" w:lineRule="atLeast"/>
              <w:jc w:val="left"/>
              <w:rPr>
                <w:rFonts w:ascii="Arial Narrow" w:hAnsi="Arial Narrow"/>
                <w:color w:val="000000"/>
              </w:rPr>
            </w:pPr>
            <w:r w:rsidRPr="004F5021">
              <w:rPr>
                <w:rFonts w:ascii="Arial Narrow" w:hAnsi="Arial Narrow"/>
                <w:color w:val="000000"/>
              </w:rPr>
              <w:t>F-statistic: 3437.3 on 3 and 1375273 DF, p-value: &lt;0.0000000000000002</w:t>
            </w:r>
          </w:p>
        </w:tc>
      </w:tr>
    </w:tbl>
    <w:p w14:paraId="7E71B5EE" w14:textId="77777777" w:rsidR="005D64E5" w:rsidRDefault="005D64E5" w:rsidP="005D64E5">
      <w:pPr>
        <w:pStyle w:val="Source"/>
        <w:ind w:left="1260" w:hanging="1260"/>
      </w:pPr>
      <w:r>
        <w:t>Source: Navigant analysis</w:t>
      </w:r>
    </w:p>
    <w:p w14:paraId="6B5D66DE" w14:textId="77777777" w:rsidR="005D64E5" w:rsidRDefault="005D64E5" w:rsidP="005D64E5">
      <w:pPr>
        <w:pStyle w:val="Source"/>
        <w:ind w:left="1260" w:hanging="900"/>
      </w:pPr>
    </w:p>
    <w:p w14:paraId="37710F86" w14:textId="77777777" w:rsidR="00A31871" w:rsidRDefault="00A31871" w:rsidP="002A2309">
      <w:pPr>
        <w:pStyle w:val="Source"/>
        <w:ind w:left="1260" w:hanging="1260"/>
      </w:pPr>
    </w:p>
    <w:p w14:paraId="6B03C5FC" w14:textId="73B25C4F" w:rsidR="004A60CA" w:rsidRDefault="004A60CA" w:rsidP="004301F4">
      <w:pPr>
        <w:pStyle w:val="Caption"/>
      </w:pPr>
      <w:bookmarkStart w:id="137" w:name="_Toc441751910"/>
      <w:r>
        <w:lastRenderedPageBreak/>
        <w:t xml:space="preserve">Table </w:t>
      </w:r>
      <w:fldSimple w:instr=" STYLEREF 1 \s ">
        <w:r w:rsidR="00E4410B">
          <w:rPr>
            <w:noProof/>
          </w:rPr>
          <w:t>6</w:t>
        </w:r>
      </w:fldSimple>
      <w:r w:rsidR="00F05E89">
        <w:noBreakHyphen/>
      </w:r>
      <w:fldSimple w:instr=" SEQ Table \* ARABIC \s 1 ">
        <w:r w:rsidR="00E4410B">
          <w:rPr>
            <w:noProof/>
          </w:rPr>
          <w:t>6</w:t>
        </w:r>
      </w:fldSimple>
      <w:r>
        <w:t>. PPR Model Estimates, Wave 5 Non-AMI</w:t>
      </w:r>
      <w:bookmarkEnd w:id="137"/>
    </w:p>
    <w:tbl>
      <w:tblPr>
        <w:tblStyle w:val="ComEdTable"/>
        <w:tblW w:w="9360" w:type="dxa"/>
        <w:tblLayout w:type="fixed"/>
        <w:tblLook w:val="04A0" w:firstRow="1" w:lastRow="0" w:firstColumn="1" w:lastColumn="0" w:noHBand="0" w:noVBand="1"/>
      </w:tblPr>
      <w:tblGrid>
        <w:gridCol w:w="4121"/>
        <w:gridCol w:w="1279"/>
        <w:gridCol w:w="1161"/>
        <w:gridCol w:w="1270"/>
        <w:gridCol w:w="1529"/>
      </w:tblGrid>
      <w:tr w:rsidR="004A60CA" w:rsidRPr="001B7768" w14:paraId="2C78FD4E" w14:textId="77777777" w:rsidTr="002A230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121" w:type="dxa"/>
            <w:vAlign w:val="top"/>
          </w:tcPr>
          <w:p w14:paraId="0ACF3894" w14:textId="77777777" w:rsidR="004A60CA" w:rsidRPr="008134A8" w:rsidRDefault="004A60CA" w:rsidP="00AD5228">
            <w:pPr>
              <w:keepNext/>
              <w:keepLines/>
              <w:spacing w:before="40" w:after="40"/>
              <w:jc w:val="left"/>
              <w:rPr>
                <w:rFonts w:ascii="Arial Narrow" w:hAnsi="Arial Narrow" w:cs="Calibri"/>
                <w:bCs/>
                <w:szCs w:val="20"/>
              </w:rPr>
            </w:pPr>
          </w:p>
        </w:tc>
        <w:tc>
          <w:tcPr>
            <w:tcW w:w="1279" w:type="dxa"/>
          </w:tcPr>
          <w:p w14:paraId="4ABA4C1F" w14:textId="77777777" w:rsidR="004A60CA" w:rsidRPr="00523D14" w:rsidRDefault="004A60CA" w:rsidP="00AD5228">
            <w:pPr>
              <w:keepNext/>
              <w:keepLines/>
              <w:spacing w:before="40" w:after="40"/>
              <w:cnfStyle w:val="100000000000" w:firstRow="1" w:lastRow="0" w:firstColumn="0" w:lastColumn="0" w:oddVBand="0" w:evenVBand="0" w:oddHBand="0" w:evenHBand="0" w:firstRowFirstColumn="0" w:firstRowLastColumn="0" w:lastRowFirstColumn="0" w:lastRowLastColumn="0"/>
              <w:rPr>
                <w:rFonts w:ascii="Arial Narrow" w:hAnsi="Arial Narrow" w:cs="Calibri"/>
                <w:bCs/>
                <w:szCs w:val="20"/>
              </w:rPr>
            </w:pPr>
            <w:r w:rsidRPr="00523D14">
              <w:rPr>
                <w:rFonts w:ascii="Arial Narrow" w:hAnsi="Arial Narrow" w:cs="Arial Narrow"/>
                <w:szCs w:val="20"/>
              </w:rPr>
              <w:t>Estimate</w:t>
            </w:r>
          </w:p>
        </w:tc>
        <w:tc>
          <w:tcPr>
            <w:tcW w:w="1161" w:type="dxa"/>
          </w:tcPr>
          <w:p w14:paraId="6807309A" w14:textId="77777777" w:rsidR="004A60CA" w:rsidRPr="00523D14" w:rsidRDefault="004A60CA" w:rsidP="00AD5228">
            <w:pPr>
              <w:keepNext/>
              <w:keepLines/>
              <w:spacing w:before="40" w:after="40"/>
              <w:cnfStyle w:val="100000000000" w:firstRow="1" w:lastRow="0" w:firstColumn="0" w:lastColumn="0" w:oddVBand="0" w:evenVBand="0" w:oddHBand="0" w:evenHBand="0" w:firstRowFirstColumn="0" w:firstRowLastColumn="0" w:lastRowFirstColumn="0" w:lastRowLastColumn="0"/>
              <w:rPr>
                <w:rFonts w:ascii="Arial Narrow" w:hAnsi="Arial Narrow" w:cs="Calibri"/>
                <w:b w:val="0"/>
                <w:bCs/>
                <w:szCs w:val="20"/>
              </w:rPr>
            </w:pPr>
            <w:r w:rsidRPr="00523D14">
              <w:rPr>
                <w:rFonts w:ascii="Arial Narrow" w:hAnsi="Arial Narrow" w:cs="Arial Narrow"/>
                <w:szCs w:val="20"/>
              </w:rPr>
              <w:t>Std. Error</w:t>
            </w:r>
          </w:p>
        </w:tc>
        <w:tc>
          <w:tcPr>
            <w:tcW w:w="1270" w:type="dxa"/>
          </w:tcPr>
          <w:p w14:paraId="76E080FF" w14:textId="77777777" w:rsidR="004A60CA" w:rsidRPr="00523D14" w:rsidRDefault="004A60CA" w:rsidP="00AD5228">
            <w:pPr>
              <w:keepNext/>
              <w:keepLines/>
              <w:spacing w:before="40" w:after="40"/>
              <w:cnfStyle w:val="100000000000" w:firstRow="1" w:lastRow="0" w:firstColumn="0" w:lastColumn="0" w:oddVBand="0" w:evenVBand="0" w:oddHBand="0" w:evenHBand="0" w:firstRowFirstColumn="0" w:firstRowLastColumn="0" w:lastRowFirstColumn="0" w:lastRowLastColumn="0"/>
              <w:rPr>
                <w:rFonts w:ascii="Arial Narrow" w:hAnsi="Arial Narrow" w:cs="Calibri"/>
                <w:bCs/>
                <w:szCs w:val="20"/>
              </w:rPr>
            </w:pPr>
            <w:r w:rsidRPr="00523D14">
              <w:rPr>
                <w:rFonts w:ascii="Arial Narrow" w:hAnsi="Arial Narrow" w:cs="Arial Narrow"/>
                <w:szCs w:val="20"/>
              </w:rPr>
              <w:t>t value</w:t>
            </w:r>
          </w:p>
        </w:tc>
        <w:tc>
          <w:tcPr>
            <w:tcW w:w="1529" w:type="dxa"/>
          </w:tcPr>
          <w:p w14:paraId="1DC1BCE9" w14:textId="77777777" w:rsidR="004A60CA" w:rsidRPr="00523D14" w:rsidRDefault="004A60CA" w:rsidP="00AD5228">
            <w:pPr>
              <w:keepNext/>
              <w:keepLines/>
              <w:spacing w:before="40" w:after="40"/>
              <w:cnfStyle w:val="100000000000" w:firstRow="1" w:lastRow="0" w:firstColumn="0" w:lastColumn="0" w:oddVBand="0" w:evenVBand="0" w:oddHBand="0" w:evenHBand="0" w:firstRowFirstColumn="0" w:firstRowLastColumn="0" w:lastRowFirstColumn="0" w:lastRowLastColumn="0"/>
              <w:rPr>
                <w:rFonts w:ascii="Arial Narrow" w:hAnsi="Arial Narrow" w:cs="Calibri"/>
                <w:b w:val="0"/>
                <w:bCs/>
                <w:szCs w:val="20"/>
              </w:rPr>
            </w:pPr>
            <w:r w:rsidRPr="00523D14">
              <w:rPr>
                <w:rFonts w:ascii="Arial Narrow" w:hAnsi="Arial Narrow" w:cs="Arial Narrow"/>
                <w:szCs w:val="20"/>
              </w:rPr>
              <w:t>Pr(&gt;|t|)</w:t>
            </w:r>
          </w:p>
        </w:tc>
      </w:tr>
      <w:tr w:rsidR="00D92262" w:rsidRPr="001B7768" w14:paraId="2CB63CF7"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389A57D4" w14:textId="5ECFBCC2" w:rsidR="00D92262" w:rsidRPr="00D92262" w:rsidRDefault="00D92262" w:rsidP="00D92262">
            <w:pPr>
              <w:keepNext/>
              <w:keepLines/>
              <w:spacing w:before="40" w:after="40"/>
              <w:jc w:val="left"/>
              <w:rPr>
                <w:rFonts w:ascii="Arial Narrow" w:hAnsi="Arial Narrow" w:cs="Calibri"/>
                <w:color w:val="000000"/>
                <w:szCs w:val="20"/>
              </w:rPr>
            </w:pPr>
            <w:r w:rsidRPr="00D92262">
              <w:rPr>
                <w:rFonts w:ascii="Arial Narrow" w:hAnsi="Arial Narrow"/>
                <w:color w:val="000000"/>
                <w:szCs w:val="20"/>
              </w:rPr>
              <w:t>yrmo201311</w:t>
            </w:r>
          </w:p>
        </w:tc>
        <w:tc>
          <w:tcPr>
            <w:tcW w:w="1279" w:type="dxa"/>
            <w:vAlign w:val="bottom"/>
          </w:tcPr>
          <w:p w14:paraId="1428263A" w14:textId="49E297D1"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11.87741</w:t>
            </w:r>
          </w:p>
        </w:tc>
        <w:tc>
          <w:tcPr>
            <w:tcW w:w="1161" w:type="dxa"/>
            <w:tcBorders>
              <w:top w:val="nil"/>
            </w:tcBorders>
            <w:vAlign w:val="bottom"/>
          </w:tcPr>
          <w:p w14:paraId="634F3A1D" w14:textId="7C6EB0B8"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1.00643</w:t>
            </w:r>
          </w:p>
        </w:tc>
        <w:tc>
          <w:tcPr>
            <w:tcW w:w="1270" w:type="dxa"/>
            <w:tcBorders>
              <w:top w:val="nil"/>
            </w:tcBorders>
            <w:vAlign w:val="bottom"/>
          </w:tcPr>
          <w:p w14:paraId="71754977" w14:textId="38624186"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D92262">
              <w:rPr>
                <w:rFonts w:ascii="Arial Narrow" w:hAnsi="Arial Narrow"/>
                <w:color w:val="000000"/>
                <w:szCs w:val="20"/>
              </w:rPr>
              <w:t>11.8</w:t>
            </w:r>
          </w:p>
        </w:tc>
        <w:tc>
          <w:tcPr>
            <w:tcW w:w="1529" w:type="dxa"/>
            <w:tcBorders>
              <w:top w:val="nil"/>
            </w:tcBorders>
            <w:vAlign w:val="top"/>
          </w:tcPr>
          <w:p w14:paraId="3B905FC1" w14:textId="3ADB89B2" w:rsidR="00D92262" w:rsidRPr="008134A8"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0.000</w:t>
            </w:r>
          </w:p>
        </w:tc>
      </w:tr>
      <w:tr w:rsidR="00D92262" w:rsidRPr="001B7768" w14:paraId="0EB24F5D"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664D9F01" w14:textId="24938143" w:rsidR="00D92262" w:rsidRPr="00D92262" w:rsidRDefault="00D92262" w:rsidP="00D92262">
            <w:pPr>
              <w:keepNext/>
              <w:keepLines/>
              <w:spacing w:before="40" w:after="40"/>
              <w:jc w:val="left"/>
              <w:rPr>
                <w:rFonts w:ascii="Arial Narrow" w:hAnsi="Arial Narrow" w:cs="Calibri"/>
                <w:color w:val="000000"/>
                <w:szCs w:val="20"/>
              </w:rPr>
            </w:pPr>
            <w:r w:rsidRPr="00D92262">
              <w:rPr>
                <w:rFonts w:ascii="Arial Narrow" w:hAnsi="Arial Narrow"/>
                <w:color w:val="000000"/>
                <w:szCs w:val="20"/>
              </w:rPr>
              <w:t>yrmo201312</w:t>
            </w:r>
          </w:p>
        </w:tc>
        <w:tc>
          <w:tcPr>
            <w:tcW w:w="1279" w:type="dxa"/>
            <w:vAlign w:val="bottom"/>
          </w:tcPr>
          <w:p w14:paraId="4AD9C9F2" w14:textId="3227D777"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7.84636</w:t>
            </w:r>
          </w:p>
        </w:tc>
        <w:tc>
          <w:tcPr>
            <w:tcW w:w="1161" w:type="dxa"/>
            <w:vAlign w:val="bottom"/>
          </w:tcPr>
          <w:p w14:paraId="202527ED" w14:textId="36F588ED"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0.97956</w:t>
            </w:r>
          </w:p>
        </w:tc>
        <w:tc>
          <w:tcPr>
            <w:tcW w:w="1270" w:type="dxa"/>
            <w:vAlign w:val="bottom"/>
          </w:tcPr>
          <w:p w14:paraId="4C796EDC" w14:textId="0F27A9B2"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D92262">
              <w:rPr>
                <w:rFonts w:ascii="Arial Narrow" w:hAnsi="Arial Narrow"/>
                <w:color w:val="000000"/>
                <w:szCs w:val="20"/>
              </w:rPr>
              <w:t>8.01</w:t>
            </w:r>
          </w:p>
        </w:tc>
        <w:tc>
          <w:tcPr>
            <w:tcW w:w="1529" w:type="dxa"/>
            <w:vAlign w:val="top"/>
          </w:tcPr>
          <w:p w14:paraId="699EDDDD" w14:textId="1CD219C8" w:rsidR="00D92262" w:rsidRPr="008134A8"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0.000</w:t>
            </w:r>
          </w:p>
        </w:tc>
      </w:tr>
      <w:tr w:rsidR="00D92262" w:rsidRPr="001B7768" w14:paraId="1F2C18CC"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699B61B9" w14:textId="18C1C2A3" w:rsidR="00D92262" w:rsidRPr="00D92262" w:rsidRDefault="00D92262" w:rsidP="00D92262">
            <w:pPr>
              <w:keepNext/>
              <w:keepLines/>
              <w:spacing w:before="40" w:after="40"/>
              <w:jc w:val="left"/>
              <w:rPr>
                <w:rFonts w:ascii="Arial Narrow" w:hAnsi="Arial Narrow" w:cs="Calibri"/>
                <w:color w:val="000000"/>
                <w:szCs w:val="20"/>
              </w:rPr>
            </w:pPr>
            <w:r w:rsidRPr="00D92262">
              <w:rPr>
                <w:rFonts w:ascii="Arial Narrow" w:hAnsi="Arial Narrow"/>
                <w:color w:val="000000"/>
                <w:szCs w:val="20"/>
              </w:rPr>
              <w:t>yrmo201401</w:t>
            </w:r>
          </w:p>
        </w:tc>
        <w:tc>
          <w:tcPr>
            <w:tcW w:w="1279" w:type="dxa"/>
            <w:vAlign w:val="bottom"/>
          </w:tcPr>
          <w:p w14:paraId="0900E63A" w14:textId="35AAFF5E"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2.31397</w:t>
            </w:r>
          </w:p>
        </w:tc>
        <w:tc>
          <w:tcPr>
            <w:tcW w:w="1161" w:type="dxa"/>
            <w:vAlign w:val="bottom"/>
          </w:tcPr>
          <w:p w14:paraId="028D07C1" w14:textId="170339B0"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0.79323</w:t>
            </w:r>
          </w:p>
        </w:tc>
        <w:tc>
          <w:tcPr>
            <w:tcW w:w="1270" w:type="dxa"/>
            <w:vAlign w:val="bottom"/>
          </w:tcPr>
          <w:p w14:paraId="776F31EE" w14:textId="3F5E54F0"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D92262">
              <w:rPr>
                <w:rFonts w:ascii="Arial Narrow" w:hAnsi="Arial Narrow"/>
                <w:color w:val="000000"/>
                <w:szCs w:val="20"/>
              </w:rPr>
              <w:t>2.92</w:t>
            </w:r>
          </w:p>
        </w:tc>
        <w:tc>
          <w:tcPr>
            <w:tcW w:w="1529" w:type="dxa"/>
            <w:vAlign w:val="top"/>
          </w:tcPr>
          <w:p w14:paraId="7FDB67DA" w14:textId="466FFBBB" w:rsidR="00D92262" w:rsidRPr="008134A8"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0.000</w:t>
            </w:r>
          </w:p>
        </w:tc>
      </w:tr>
      <w:tr w:rsidR="00D92262" w:rsidRPr="001B7768" w14:paraId="25EEC034"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79C014A9" w14:textId="4BC140C4" w:rsidR="00D92262" w:rsidRPr="00D92262" w:rsidRDefault="00D92262" w:rsidP="00D92262">
            <w:pPr>
              <w:keepNext/>
              <w:keepLines/>
              <w:spacing w:before="40" w:after="40"/>
              <w:jc w:val="left"/>
              <w:rPr>
                <w:rFonts w:ascii="Arial Narrow" w:hAnsi="Arial Narrow" w:cs="Calibri"/>
                <w:color w:val="000000"/>
                <w:szCs w:val="20"/>
              </w:rPr>
            </w:pPr>
            <w:r w:rsidRPr="00D92262">
              <w:rPr>
                <w:rFonts w:ascii="Arial Narrow" w:hAnsi="Arial Narrow"/>
                <w:color w:val="000000"/>
                <w:szCs w:val="20"/>
              </w:rPr>
              <w:t>yrmo201402</w:t>
            </w:r>
          </w:p>
        </w:tc>
        <w:tc>
          <w:tcPr>
            <w:tcW w:w="1279" w:type="dxa"/>
            <w:vAlign w:val="bottom"/>
          </w:tcPr>
          <w:p w14:paraId="58E58D55" w14:textId="266E9A4E"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0.98944</w:t>
            </w:r>
          </w:p>
        </w:tc>
        <w:tc>
          <w:tcPr>
            <w:tcW w:w="1161" w:type="dxa"/>
            <w:vAlign w:val="bottom"/>
          </w:tcPr>
          <w:p w14:paraId="796BCC1E" w14:textId="507BAD9B"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0.85911</w:t>
            </w:r>
          </w:p>
        </w:tc>
        <w:tc>
          <w:tcPr>
            <w:tcW w:w="1270" w:type="dxa"/>
            <w:vAlign w:val="bottom"/>
          </w:tcPr>
          <w:p w14:paraId="37829DB9" w14:textId="686EF4A4"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D92262">
              <w:rPr>
                <w:rFonts w:ascii="Arial Narrow" w:hAnsi="Arial Narrow"/>
                <w:color w:val="000000"/>
                <w:szCs w:val="20"/>
              </w:rPr>
              <w:t>1.15</w:t>
            </w:r>
          </w:p>
        </w:tc>
        <w:tc>
          <w:tcPr>
            <w:tcW w:w="1529" w:type="dxa"/>
            <w:vAlign w:val="top"/>
          </w:tcPr>
          <w:p w14:paraId="28E9A1BE" w14:textId="5A5C617E" w:rsidR="00D92262" w:rsidRPr="008134A8" w:rsidRDefault="00982395"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0.250</w:t>
            </w:r>
          </w:p>
        </w:tc>
      </w:tr>
      <w:tr w:rsidR="00D92262" w:rsidRPr="001B7768" w14:paraId="06E9048D"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53505DFC" w14:textId="00550BCC" w:rsidR="00D92262" w:rsidRPr="00D92262" w:rsidRDefault="00D92262" w:rsidP="00D92262">
            <w:pPr>
              <w:keepNext/>
              <w:keepLines/>
              <w:spacing w:before="40" w:after="40"/>
              <w:jc w:val="left"/>
              <w:rPr>
                <w:rFonts w:ascii="Arial Narrow" w:hAnsi="Arial Narrow" w:cs="Calibri"/>
                <w:color w:val="000000"/>
                <w:szCs w:val="20"/>
              </w:rPr>
            </w:pPr>
            <w:r w:rsidRPr="00D92262">
              <w:rPr>
                <w:rFonts w:ascii="Arial Narrow" w:hAnsi="Arial Narrow"/>
                <w:color w:val="000000"/>
                <w:szCs w:val="20"/>
              </w:rPr>
              <w:t>yrmo201403</w:t>
            </w:r>
          </w:p>
        </w:tc>
        <w:tc>
          <w:tcPr>
            <w:tcW w:w="1279" w:type="dxa"/>
            <w:vAlign w:val="bottom"/>
          </w:tcPr>
          <w:p w14:paraId="4D32773F" w14:textId="290EE85F"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6.0073</w:t>
            </w:r>
          </w:p>
        </w:tc>
        <w:tc>
          <w:tcPr>
            <w:tcW w:w="1161" w:type="dxa"/>
            <w:vAlign w:val="bottom"/>
          </w:tcPr>
          <w:p w14:paraId="2415788A" w14:textId="4CE14F02"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1.00748</w:t>
            </w:r>
          </w:p>
        </w:tc>
        <w:tc>
          <w:tcPr>
            <w:tcW w:w="1270" w:type="dxa"/>
            <w:vAlign w:val="bottom"/>
          </w:tcPr>
          <w:p w14:paraId="66BE1900" w14:textId="0873D998"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D92262">
              <w:rPr>
                <w:rFonts w:ascii="Arial Narrow" w:hAnsi="Arial Narrow"/>
                <w:color w:val="000000"/>
                <w:szCs w:val="20"/>
              </w:rPr>
              <w:t>5.96</w:t>
            </w:r>
          </w:p>
        </w:tc>
        <w:tc>
          <w:tcPr>
            <w:tcW w:w="1529" w:type="dxa"/>
            <w:vAlign w:val="top"/>
          </w:tcPr>
          <w:p w14:paraId="25D21128" w14:textId="622A6CE0" w:rsidR="00D92262" w:rsidRPr="008134A8"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0.000</w:t>
            </w:r>
          </w:p>
        </w:tc>
      </w:tr>
      <w:tr w:rsidR="00D92262" w:rsidRPr="001B7768" w14:paraId="4FAEE6B7"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3460409B" w14:textId="49B64F57" w:rsidR="00D92262" w:rsidRPr="00D92262" w:rsidRDefault="00D92262" w:rsidP="00D92262">
            <w:pPr>
              <w:keepNext/>
              <w:keepLines/>
              <w:spacing w:before="40" w:after="40"/>
              <w:jc w:val="left"/>
              <w:rPr>
                <w:rFonts w:ascii="Arial Narrow" w:hAnsi="Arial Narrow" w:cs="Calibri"/>
                <w:color w:val="000000"/>
                <w:szCs w:val="20"/>
              </w:rPr>
            </w:pPr>
            <w:r w:rsidRPr="00D92262">
              <w:rPr>
                <w:rFonts w:ascii="Arial Narrow" w:hAnsi="Arial Narrow"/>
                <w:color w:val="000000"/>
                <w:szCs w:val="20"/>
              </w:rPr>
              <w:t>yrmo201404</w:t>
            </w:r>
          </w:p>
        </w:tc>
        <w:tc>
          <w:tcPr>
            <w:tcW w:w="1279" w:type="dxa"/>
            <w:vAlign w:val="bottom"/>
          </w:tcPr>
          <w:p w14:paraId="6B9B5AAA" w14:textId="342A2B09"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19.6329</w:t>
            </w:r>
          </w:p>
        </w:tc>
        <w:tc>
          <w:tcPr>
            <w:tcW w:w="1161" w:type="dxa"/>
            <w:vAlign w:val="bottom"/>
          </w:tcPr>
          <w:p w14:paraId="41F21C3A" w14:textId="363ED280"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0.90043</w:t>
            </w:r>
          </w:p>
        </w:tc>
        <w:tc>
          <w:tcPr>
            <w:tcW w:w="1270" w:type="dxa"/>
            <w:vAlign w:val="bottom"/>
          </w:tcPr>
          <w:p w14:paraId="0031A947" w14:textId="5C74EED9"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D92262">
              <w:rPr>
                <w:rFonts w:ascii="Arial Narrow" w:hAnsi="Arial Narrow"/>
                <w:color w:val="000000"/>
                <w:szCs w:val="20"/>
              </w:rPr>
              <w:t>21.8</w:t>
            </w:r>
          </w:p>
        </w:tc>
        <w:tc>
          <w:tcPr>
            <w:tcW w:w="1529" w:type="dxa"/>
            <w:vAlign w:val="top"/>
          </w:tcPr>
          <w:p w14:paraId="0C37B1DB" w14:textId="3405AA3D" w:rsidR="00D92262" w:rsidRPr="008134A8"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0.000</w:t>
            </w:r>
          </w:p>
        </w:tc>
      </w:tr>
      <w:tr w:rsidR="00D92262" w:rsidRPr="001B7768" w14:paraId="7CC21AA9"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03D5DFA1" w14:textId="33BEA04C" w:rsidR="00D92262" w:rsidRPr="00D92262" w:rsidRDefault="00D92262" w:rsidP="00D92262">
            <w:pPr>
              <w:keepNext/>
              <w:keepLines/>
              <w:spacing w:before="40" w:after="40"/>
              <w:jc w:val="left"/>
              <w:rPr>
                <w:rFonts w:ascii="Arial Narrow" w:hAnsi="Arial Narrow" w:cs="Calibri"/>
                <w:color w:val="000000"/>
                <w:szCs w:val="20"/>
              </w:rPr>
            </w:pPr>
            <w:r w:rsidRPr="00D92262">
              <w:rPr>
                <w:rFonts w:ascii="Arial Narrow" w:hAnsi="Arial Narrow"/>
                <w:color w:val="000000"/>
                <w:szCs w:val="20"/>
              </w:rPr>
              <w:t>yrmo201405</w:t>
            </w:r>
          </w:p>
        </w:tc>
        <w:tc>
          <w:tcPr>
            <w:tcW w:w="1279" w:type="dxa"/>
            <w:vAlign w:val="bottom"/>
          </w:tcPr>
          <w:p w14:paraId="3EF0CFEC" w14:textId="4578BC79"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12.16177</w:t>
            </w:r>
          </w:p>
        </w:tc>
        <w:tc>
          <w:tcPr>
            <w:tcW w:w="1161" w:type="dxa"/>
            <w:vAlign w:val="bottom"/>
          </w:tcPr>
          <w:p w14:paraId="37655F8F" w14:textId="7ECDCB3B"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0.83546</w:t>
            </w:r>
          </w:p>
        </w:tc>
        <w:tc>
          <w:tcPr>
            <w:tcW w:w="1270" w:type="dxa"/>
            <w:vAlign w:val="bottom"/>
          </w:tcPr>
          <w:p w14:paraId="470FCE16" w14:textId="2144160E"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D92262">
              <w:rPr>
                <w:rFonts w:ascii="Arial Narrow" w:hAnsi="Arial Narrow"/>
                <w:color w:val="000000"/>
                <w:szCs w:val="20"/>
              </w:rPr>
              <w:t>14.56</w:t>
            </w:r>
          </w:p>
        </w:tc>
        <w:tc>
          <w:tcPr>
            <w:tcW w:w="1529" w:type="dxa"/>
            <w:vAlign w:val="top"/>
          </w:tcPr>
          <w:p w14:paraId="4461F35D" w14:textId="13520E8A" w:rsidR="00D92262" w:rsidRPr="008134A8"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0.000</w:t>
            </w:r>
          </w:p>
        </w:tc>
      </w:tr>
      <w:tr w:rsidR="00D92262" w:rsidRPr="001B7768" w14:paraId="18453C92"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3D85CA78" w14:textId="6E8C2756" w:rsidR="00D92262" w:rsidRPr="00D92262" w:rsidRDefault="00D92262" w:rsidP="00D92262">
            <w:pPr>
              <w:keepNext/>
              <w:keepLines/>
              <w:spacing w:before="40" w:after="40"/>
              <w:jc w:val="left"/>
              <w:rPr>
                <w:rFonts w:ascii="Arial Narrow" w:hAnsi="Arial Narrow" w:cs="Calibri"/>
                <w:color w:val="000000"/>
                <w:szCs w:val="20"/>
              </w:rPr>
            </w:pPr>
            <w:r w:rsidRPr="00D92262">
              <w:rPr>
                <w:rFonts w:ascii="Arial Narrow" w:hAnsi="Arial Narrow"/>
                <w:color w:val="000000"/>
                <w:szCs w:val="20"/>
              </w:rPr>
              <w:t>yrmo201406</w:t>
            </w:r>
          </w:p>
        </w:tc>
        <w:tc>
          <w:tcPr>
            <w:tcW w:w="1279" w:type="dxa"/>
            <w:vAlign w:val="bottom"/>
          </w:tcPr>
          <w:p w14:paraId="50B527D9" w14:textId="25E54194"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7.9369</w:t>
            </w:r>
          </w:p>
        </w:tc>
        <w:tc>
          <w:tcPr>
            <w:tcW w:w="1161" w:type="dxa"/>
            <w:vAlign w:val="bottom"/>
          </w:tcPr>
          <w:p w14:paraId="50C689E5" w14:textId="283B5EA2"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0.56701</w:t>
            </w:r>
          </w:p>
        </w:tc>
        <w:tc>
          <w:tcPr>
            <w:tcW w:w="1270" w:type="dxa"/>
            <w:vAlign w:val="bottom"/>
          </w:tcPr>
          <w:p w14:paraId="6BA4FCC4" w14:textId="04394A93"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D92262">
              <w:rPr>
                <w:rFonts w:ascii="Arial Narrow" w:hAnsi="Arial Narrow"/>
                <w:color w:val="000000"/>
                <w:szCs w:val="20"/>
              </w:rPr>
              <w:t>14</w:t>
            </w:r>
          </w:p>
        </w:tc>
        <w:tc>
          <w:tcPr>
            <w:tcW w:w="1529" w:type="dxa"/>
            <w:vAlign w:val="top"/>
          </w:tcPr>
          <w:p w14:paraId="3381DE98" w14:textId="69DA3789" w:rsidR="00D92262" w:rsidRPr="008134A8"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0.000</w:t>
            </w:r>
          </w:p>
        </w:tc>
      </w:tr>
      <w:tr w:rsidR="00D92262" w:rsidRPr="001B7768" w14:paraId="63C51316"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33316E3A" w14:textId="73413BAC" w:rsidR="00D92262" w:rsidRPr="00D92262" w:rsidRDefault="00D92262" w:rsidP="00D92262">
            <w:pPr>
              <w:keepNext/>
              <w:keepLines/>
              <w:spacing w:before="40" w:after="40"/>
              <w:jc w:val="left"/>
              <w:rPr>
                <w:rFonts w:ascii="Arial Narrow" w:hAnsi="Arial Narrow" w:cs="Calibri"/>
                <w:color w:val="000000"/>
                <w:szCs w:val="20"/>
              </w:rPr>
            </w:pPr>
            <w:r w:rsidRPr="00D92262">
              <w:rPr>
                <w:rFonts w:ascii="Arial Narrow" w:hAnsi="Arial Narrow"/>
                <w:color w:val="000000"/>
                <w:szCs w:val="20"/>
              </w:rPr>
              <w:t>yrmo201407</w:t>
            </w:r>
          </w:p>
        </w:tc>
        <w:tc>
          <w:tcPr>
            <w:tcW w:w="1279" w:type="dxa"/>
            <w:vAlign w:val="bottom"/>
          </w:tcPr>
          <w:p w14:paraId="0A5E81F6" w14:textId="632B6C58"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11.93001</w:t>
            </w:r>
          </w:p>
        </w:tc>
        <w:tc>
          <w:tcPr>
            <w:tcW w:w="1161" w:type="dxa"/>
            <w:vAlign w:val="bottom"/>
          </w:tcPr>
          <w:p w14:paraId="66AC7A81" w14:textId="52E46FB0"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0.65758</w:t>
            </w:r>
          </w:p>
        </w:tc>
        <w:tc>
          <w:tcPr>
            <w:tcW w:w="1270" w:type="dxa"/>
            <w:vAlign w:val="bottom"/>
          </w:tcPr>
          <w:p w14:paraId="01E4934A" w14:textId="569BE68F"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D92262">
              <w:rPr>
                <w:rFonts w:ascii="Arial Narrow" w:hAnsi="Arial Narrow"/>
                <w:color w:val="000000"/>
                <w:szCs w:val="20"/>
              </w:rPr>
              <w:t>18.14</w:t>
            </w:r>
          </w:p>
        </w:tc>
        <w:tc>
          <w:tcPr>
            <w:tcW w:w="1529" w:type="dxa"/>
            <w:vAlign w:val="top"/>
          </w:tcPr>
          <w:p w14:paraId="38F32AFE" w14:textId="24EE92B3" w:rsidR="00D92262" w:rsidRPr="008134A8"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0.000</w:t>
            </w:r>
          </w:p>
        </w:tc>
      </w:tr>
      <w:tr w:rsidR="00D92262" w:rsidRPr="001B7768" w14:paraId="628C6FC4"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1A7A2868" w14:textId="430D7925" w:rsidR="00D92262" w:rsidRPr="00D92262" w:rsidRDefault="00D92262" w:rsidP="00D92262">
            <w:pPr>
              <w:keepNext/>
              <w:keepLines/>
              <w:spacing w:before="40" w:after="40"/>
              <w:jc w:val="left"/>
              <w:rPr>
                <w:rFonts w:ascii="Arial Narrow" w:hAnsi="Arial Narrow" w:cs="Calibri"/>
                <w:color w:val="000000"/>
                <w:szCs w:val="20"/>
              </w:rPr>
            </w:pPr>
            <w:r w:rsidRPr="00D92262">
              <w:rPr>
                <w:rFonts w:ascii="Arial Narrow" w:hAnsi="Arial Narrow"/>
                <w:color w:val="000000"/>
                <w:szCs w:val="20"/>
              </w:rPr>
              <w:t>yrmo201408</w:t>
            </w:r>
          </w:p>
        </w:tc>
        <w:tc>
          <w:tcPr>
            <w:tcW w:w="1279" w:type="dxa"/>
            <w:vAlign w:val="bottom"/>
          </w:tcPr>
          <w:p w14:paraId="5B6CE975" w14:textId="0C7C1903"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9.82193</w:t>
            </w:r>
          </w:p>
        </w:tc>
        <w:tc>
          <w:tcPr>
            <w:tcW w:w="1161" w:type="dxa"/>
            <w:vAlign w:val="bottom"/>
          </w:tcPr>
          <w:p w14:paraId="7C4518DF" w14:textId="73B18F85"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0.67083</w:t>
            </w:r>
          </w:p>
        </w:tc>
        <w:tc>
          <w:tcPr>
            <w:tcW w:w="1270" w:type="dxa"/>
            <w:vAlign w:val="bottom"/>
          </w:tcPr>
          <w:p w14:paraId="01D82E62" w14:textId="75F1CDDF"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D92262">
              <w:rPr>
                <w:rFonts w:ascii="Arial Narrow" w:hAnsi="Arial Narrow"/>
                <w:color w:val="000000"/>
                <w:szCs w:val="20"/>
              </w:rPr>
              <w:t>14.64</w:t>
            </w:r>
          </w:p>
        </w:tc>
        <w:tc>
          <w:tcPr>
            <w:tcW w:w="1529" w:type="dxa"/>
            <w:vAlign w:val="top"/>
          </w:tcPr>
          <w:p w14:paraId="5D781362" w14:textId="0C509F8C" w:rsidR="00D92262" w:rsidRPr="008134A8"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0.000</w:t>
            </w:r>
          </w:p>
        </w:tc>
      </w:tr>
      <w:tr w:rsidR="00D92262" w:rsidRPr="001B7768" w14:paraId="5C824E2B"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40A8A8E4" w14:textId="71D01AAC" w:rsidR="00D92262" w:rsidRPr="00D92262" w:rsidRDefault="00D92262" w:rsidP="00D92262">
            <w:pPr>
              <w:keepNext/>
              <w:keepLines/>
              <w:spacing w:before="40" w:after="40"/>
              <w:jc w:val="left"/>
              <w:rPr>
                <w:rFonts w:ascii="Arial Narrow" w:hAnsi="Arial Narrow" w:cs="Calibri"/>
                <w:color w:val="000000"/>
                <w:szCs w:val="20"/>
              </w:rPr>
            </w:pPr>
            <w:r w:rsidRPr="00D92262">
              <w:rPr>
                <w:rFonts w:ascii="Arial Narrow" w:hAnsi="Arial Narrow"/>
                <w:color w:val="000000"/>
                <w:szCs w:val="20"/>
              </w:rPr>
              <w:t>yrmo201409</w:t>
            </w:r>
          </w:p>
        </w:tc>
        <w:tc>
          <w:tcPr>
            <w:tcW w:w="1279" w:type="dxa"/>
            <w:vAlign w:val="bottom"/>
          </w:tcPr>
          <w:p w14:paraId="216401E1" w14:textId="1D3500C3"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12.05301</w:t>
            </w:r>
          </w:p>
        </w:tc>
        <w:tc>
          <w:tcPr>
            <w:tcW w:w="1161" w:type="dxa"/>
            <w:vAlign w:val="bottom"/>
          </w:tcPr>
          <w:p w14:paraId="14A8E06B" w14:textId="4337C2BE"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0.65327</w:t>
            </w:r>
          </w:p>
        </w:tc>
        <w:tc>
          <w:tcPr>
            <w:tcW w:w="1270" w:type="dxa"/>
            <w:vAlign w:val="bottom"/>
          </w:tcPr>
          <w:p w14:paraId="2DB62DE2" w14:textId="4ABCE7B0"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D92262">
              <w:rPr>
                <w:rFonts w:ascii="Arial Narrow" w:hAnsi="Arial Narrow"/>
                <w:color w:val="000000"/>
                <w:szCs w:val="20"/>
              </w:rPr>
              <w:t>18.45</w:t>
            </w:r>
          </w:p>
        </w:tc>
        <w:tc>
          <w:tcPr>
            <w:tcW w:w="1529" w:type="dxa"/>
            <w:vAlign w:val="top"/>
          </w:tcPr>
          <w:p w14:paraId="410AF5BE" w14:textId="679BAEAF" w:rsidR="00D92262" w:rsidRPr="008134A8"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0.000</w:t>
            </w:r>
          </w:p>
        </w:tc>
      </w:tr>
      <w:tr w:rsidR="00D92262" w:rsidRPr="001B7768" w14:paraId="3C5B9CF6"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0DFDA0CA" w14:textId="4B493A9C" w:rsidR="00D92262" w:rsidRPr="00D92262" w:rsidRDefault="00D92262" w:rsidP="00D92262">
            <w:pPr>
              <w:keepNext/>
              <w:keepLines/>
              <w:spacing w:before="40" w:after="40"/>
              <w:jc w:val="left"/>
              <w:rPr>
                <w:rFonts w:ascii="Arial Narrow" w:hAnsi="Arial Narrow" w:cs="Calibri"/>
                <w:color w:val="000000"/>
                <w:szCs w:val="20"/>
              </w:rPr>
            </w:pPr>
            <w:r w:rsidRPr="00D92262">
              <w:rPr>
                <w:rFonts w:ascii="Arial Narrow" w:hAnsi="Arial Narrow"/>
                <w:color w:val="000000"/>
                <w:szCs w:val="20"/>
              </w:rPr>
              <w:t>yrmo201410</w:t>
            </w:r>
          </w:p>
        </w:tc>
        <w:tc>
          <w:tcPr>
            <w:tcW w:w="1279" w:type="dxa"/>
            <w:vAlign w:val="bottom"/>
          </w:tcPr>
          <w:p w14:paraId="560E1EB4" w14:textId="47EE8984"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12.49732</w:t>
            </w:r>
          </w:p>
        </w:tc>
        <w:tc>
          <w:tcPr>
            <w:tcW w:w="1161" w:type="dxa"/>
            <w:vAlign w:val="bottom"/>
          </w:tcPr>
          <w:p w14:paraId="76BCB781" w14:textId="192C7900"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1.09935</w:t>
            </w:r>
          </w:p>
        </w:tc>
        <w:tc>
          <w:tcPr>
            <w:tcW w:w="1270" w:type="dxa"/>
            <w:vAlign w:val="bottom"/>
          </w:tcPr>
          <w:p w14:paraId="40D8C115" w14:textId="3317F047"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D92262">
              <w:rPr>
                <w:rFonts w:ascii="Arial Narrow" w:hAnsi="Arial Narrow"/>
                <w:color w:val="000000"/>
                <w:szCs w:val="20"/>
              </w:rPr>
              <w:t>11.37</w:t>
            </w:r>
          </w:p>
        </w:tc>
        <w:tc>
          <w:tcPr>
            <w:tcW w:w="1529" w:type="dxa"/>
            <w:vAlign w:val="top"/>
          </w:tcPr>
          <w:p w14:paraId="567407C9" w14:textId="10CEC7D5" w:rsidR="00D92262" w:rsidRPr="008134A8"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0.000</w:t>
            </w:r>
          </w:p>
        </w:tc>
      </w:tr>
      <w:tr w:rsidR="00D92262" w:rsidRPr="001B7768" w14:paraId="4D591C8C"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21A15546" w14:textId="4506C1C3" w:rsidR="00D92262" w:rsidRPr="00D92262" w:rsidRDefault="00D92262" w:rsidP="00D92262">
            <w:pPr>
              <w:keepNext/>
              <w:keepLines/>
              <w:spacing w:before="40" w:after="40"/>
              <w:jc w:val="left"/>
              <w:rPr>
                <w:rFonts w:ascii="Arial Narrow" w:hAnsi="Arial Narrow" w:cs="Calibri"/>
                <w:color w:val="000000"/>
                <w:szCs w:val="20"/>
              </w:rPr>
            </w:pPr>
            <w:r w:rsidRPr="00D92262">
              <w:rPr>
                <w:rFonts w:ascii="Arial Narrow" w:hAnsi="Arial Narrow"/>
                <w:color w:val="000000"/>
                <w:szCs w:val="20"/>
              </w:rPr>
              <w:t>treatment:TR0</w:t>
            </w:r>
          </w:p>
        </w:tc>
        <w:tc>
          <w:tcPr>
            <w:tcW w:w="1279" w:type="dxa"/>
            <w:vAlign w:val="bottom"/>
          </w:tcPr>
          <w:p w14:paraId="455111FB" w14:textId="66395421"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-1.20052</w:t>
            </w:r>
          </w:p>
        </w:tc>
        <w:tc>
          <w:tcPr>
            <w:tcW w:w="1161" w:type="dxa"/>
            <w:vAlign w:val="bottom"/>
          </w:tcPr>
          <w:p w14:paraId="522BA2D3" w14:textId="5BD12FE1"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0.27389</w:t>
            </w:r>
          </w:p>
        </w:tc>
        <w:tc>
          <w:tcPr>
            <w:tcW w:w="1270" w:type="dxa"/>
            <w:vAlign w:val="bottom"/>
          </w:tcPr>
          <w:p w14:paraId="6F124DEB" w14:textId="7C597560"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D92262">
              <w:rPr>
                <w:rFonts w:ascii="Arial Narrow" w:hAnsi="Arial Narrow"/>
                <w:color w:val="000000"/>
                <w:szCs w:val="20"/>
              </w:rPr>
              <w:t>-4.38</w:t>
            </w:r>
          </w:p>
        </w:tc>
        <w:tc>
          <w:tcPr>
            <w:tcW w:w="1529" w:type="dxa"/>
            <w:vAlign w:val="top"/>
          </w:tcPr>
          <w:p w14:paraId="2C442556" w14:textId="4774ED21" w:rsidR="00D92262" w:rsidRPr="008134A8"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0.000</w:t>
            </w:r>
          </w:p>
        </w:tc>
      </w:tr>
      <w:tr w:rsidR="00D92262" w:rsidRPr="001B7768" w14:paraId="5E3D0419"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6EA90B8F" w14:textId="7B057686" w:rsidR="00D92262" w:rsidRPr="00D92262" w:rsidRDefault="00D92262" w:rsidP="00D92262">
            <w:pPr>
              <w:keepNext/>
              <w:keepLines/>
              <w:spacing w:before="40" w:after="40"/>
              <w:jc w:val="left"/>
              <w:rPr>
                <w:rFonts w:ascii="Arial Narrow" w:hAnsi="Arial Narrow" w:cs="Calibri"/>
                <w:color w:val="000000"/>
                <w:szCs w:val="20"/>
              </w:rPr>
            </w:pPr>
            <w:r w:rsidRPr="00D92262">
              <w:rPr>
                <w:rFonts w:ascii="Arial Narrow" w:hAnsi="Arial Narrow"/>
                <w:color w:val="000000"/>
                <w:szCs w:val="20"/>
              </w:rPr>
              <w:t>treatment:TR1</w:t>
            </w:r>
          </w:p>
        </w:tc>
        <w:tc>
          <w:tcPr>
            <w:tcW w:w="1279" w:type="dxa"/>
            <w:vAlign w:val="bottom"/>
          </w:tcPr>
          <w:p w14:paraId="662D71F2" w14:textId="08507CC0"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-0.94082</w:t>
            </w:r>
          </w:p>
        </w:tc>
        <w:tc>
          <w:tcPr>
            <w:tcW w:w="1161" w:type="dxa"/>
            <w:vAlign w:val="bottom"/>
          </w:tcPr>
          <w:p w14:paraId="78793AA2" w14:textId="1A7D555A"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0.28018</w:t>
            </w:r>
          </w:p>
        </w:tc>
        <w:tc>
          <w:tcPr>
            <w:tcW w:w="1270" w:type="dxa"/>
            <w:vAlign w:val="bottom"/>
          </w:tcPr>
          <w:p w14:paraId="5DCB645E" w14:textId="1A26C563"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D92262">
              <w:rPr>
                <w:rFonts w:ascii="Arial Narrow" w:hAnsi="Arial Narrow"/>
                <w:color w:val="000000"/>
                <w:szCs w:val="20"/>
              </w:rPr>
              <w:t>-3.36</w:t>
            </w:r>
          </w:p>
        </w:tc>
        <w:tc>
          <w:tcPr>
            <w:tcW w:w="1529" w:type="dxa"/>
            <w:vAlign w:val="top"/>
          </w:tcPr>
          <w:p w14:paraId="5ED64C61" w14:textId="22F8DD8F" w:rsidR="00D92262" w:rsidRPr="008134A8" w:rsidRDefault="00830E24"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0.000</w:t>
            </w:r>
          </w:p>
        </w:tc>
      </w:tr>
      <w:tr w:rsidR="00D92262" w:rsidRPr="001B7768" w14:paraId="0920E571"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65D30B45" w14:textId="2DAF4EB7" w:rsidR="00D92262" w:rsidRPr="00D92262" w:rsidRDefault="00D92262" w:rsidP="00D92262">
            <w:pPr>
              <w:keepNext/>
              <w:keepLines/>
              <w:spacing w:before="40" w:after="40"/>
              <w:jc w:val="left"/>
              <w:rPr>
                <w:rFonts w:ascii="Arial Narrow" w:hAnsi="Arial Narrow" w:cs="Calibri"/>
                <w:color w:val="000000"/>
                <w:szCs w:val="20"/>
              </w:rPr>
            </w:pPr>
            <w:r w:rsidRPr="00D92262">
              <w:rPr>
                <w:rFonts w:ascii="Arial Narrow" w:hAnsi="Arial Narrow"/>
                <w:color w:val="000000"/>
                <w:szCs w:val="20"/>
              </w:rPr>
              <w:t>yrmo201311:pre.use</w:t>
            </w:r>
          </w:p>
        </w:tc>
        <w:tc>
          <w:tcPr>
            <w:tcW w:w="1279" w:type="dxa"/>
            <w:vAlign w:val="bottom"/>
          </w:tcPr>
          <w:p w14:paraId="6C644E40" w14:textId="6E61BE17"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0.79512</w:t>
            </w:r>
          </w:p>
        </w:tc>
        <w:tc>
          <w:tcPr>
            <w:tcW w:w="1161" w:type="dxa"/>
            <w:vAlign w:val="bottom"/>
          </w:tcPr>
          <w:p w14:paraId="5F1AD493" w14:textId="75D285DD"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0.02001</w:t>
            </w:r>
          </w:p>
        </w:tc>
        <w:tc>
          <w:tcPr>
            <w:tcW w:w="1270" w:type="dxa"/>
            <w:vAlign w:val="bottom"/>
          </w:tcPr>
          <w:p w14:paraId="2359F7D3" w14:textId="7D28FC38"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D92262">
              <w:rPr>
                <w:rFonts w:ascii="Arial Narrow" w:hAnsi="Arial Narrow"/>
                <w:color w:val="000000"/>
                <w:szCs w:val="20"/>
              </w:rPr>
              <w:t>39.74</w:t>
            </w:r>
          </w:p>
        </w:tc>
        <w:tc>
          <w:tcPr>
            <w:tcW w:w="1529" w:type="dxa"/>
            <w:vAlign w:val="top"/>
          </w:tcPr>
          <w:p w14:paraId="4D852D1F" w14:textId="53666C1E" w:rsidR="00D92262" w:rsidRPr="008134A8"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0.000</w:t>
            </w:r>
          </w:p>
        </w:tc>
      </w:tr>
      <w:tr w:rsidR="00D92262" w:rsidRPr="001B7768" w14:paraId="518CDE47"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4E0ED819" w14:textId="2A189B43" w:rsidR="00D92262" w:rsidRPr="00D92262" w:rsidRDefault="00D92262" w:rsidP="00D92262">
            <w:pPr>
              <w:keepNext/>
              <w:keepLines/>
              <w:spacing w:before="40" w:after="40"/>
              <w:jc w:val="left"/>
              <w:rPr>
                <w:rFonts w:ascii="Arial Narrow" w:hAnsi="Arial Narrow" w:cs="Calibri"/>
                <w:color w:val="000000"/>
                <w:szCs w:val="20"/>
              </w:rPr>
            </w:pPr>
            <w:r w:rsidRPr="00D92262">
              <w:rPr>
                <w:rFonts w:ascii="Arial Narrow" w:hAnsi="Arial Narrow"/>
                <w:color w:val="000000"/>
                <w:szCs w:val="20"/>
              </w:rPr>
              <w:t>yrmo201312:pre.use</w:t>
            </w:r>
          </w:p>
        </w:tc>
        <w:tc>
          <w:tcPr>
            <w:tcW w:w="1279" w:type="dxa"/>
            <w:vAlign w:val="bottom"/>
          </w:tcPr>
          <w:p w14:paraId="2A850BD4" w14:textId="30379459"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0.96236</w:t>
            </w:r>
          </w:p>
        </w:tc>
        <w:tc>
          <w:tcPr>
            <w:tcW w:w="1161" w:type="dxa"/>
            <w:vAlign w:val="bottom"/>
          </w:tcPr>
          <w:p w14:paraId="4D238833" w14:textId="24900553"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0.01588</w:t>
            </w:r>
          </w:p>
        </w:tc>
        <w:tc>
          <w:tcPr>
            <w:tcW w:w="1270" w:type="dxa"/>
            <w:vAlign w:val="bottom"/>
          </w:tcPr>
          <w:p w14:paraId="672CF19B" w14:textId="75F50B5A"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D92262">
              <w:rPr>
                <w:rFonts w:ascii="Arial Narrow" w:hAnsi="Arial Narrow"/>
                <w:color w:val="000000"/>
                <w:szCs w:val="20"/>
              </w:rPr>
              <w:t>60.61</w:t>
            </w:r>
          </w:p>
        </w:tc>
        <w:tc>
          <w:tcPr>
            <w:tcW w:w="1529" w:type="dxa"/>
            <w:vAlign w:val="top"/>
          </w:tcPr>
          <w:p w14:paraId="423DA26C" w14:textId="0282B7B8" w:rsidR="00D92262" w:rsidRPr="008134A8"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0.000</w:t>
            </w:r>
          </w:p>
        </w:tc>
      </w:tr>
      <w:tr w:rsidR="00D92262" w:rsidRPr="001B7768" w14:paraId="72C39B5D"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243829DA" w14:textId="1A767DDD" w:rsidR="00D92262" w:rsidRPr="00D92262" w:rsidRDefault="00D92262" w:rsidP="00D92262">
            <w:pPr>
              <w:keepNext/>
              <w:keepLines/>
              <w:spacing w:before="40" w:after="40"/>
              <w:jc w:val="left"/>
              <w:rPr>
                <w:rFonts w:ascii="Arial Narrow" w:hAnsi="Arial Narrow" w:cs="Calibri"/>
                <w:color w:val="000000"/>
                <w:szCs w:val="20"/>
              </w:rPr>
            </w:pPr>
            <w:r w:rsidRPr="00D92262">
              <w:rPr>
                <w:rFonts w:ascii="Arial Narrow" w:hAnsi="Arial Narrow"/>
                <w:color w:val="000000"/>
                <w:szCs w:val="20"/>
              </w:rPr>
              <w:t>yrmo201401:pre.use</w:t>
            </w:r>
          </w:p>
        </w:tc>
        <w:tc>
          <w:tcPr>
            <w:tcW w:w="1279" w:type="dxa"/>
            <w:vAlign w:val="bottom"/>
          </w:tcPr>
          <w:p w14:paraId="19AA64CB" w14:textId="4D932C16"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1.09485</w:t>
            </w:r>
          </w:p>
        </w:tc>
        <w:tc>
          <w:tcPr>
            <w:tcW w:w="1161" w:type="dxa"/>
            <w:vAlign w:val="bottom"/>
          </w:tcPr>
          <w:p w14:paraId="38E975FF" w14:textId="3B8E8329"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0.01177</w:t>
            </w:r>
          </w:p>
        </w:tc>
        <w:tc>
          <w:tcPr>
            <w:tcW w:w="1270" w:type="dxa"/>
            <w:vAlign w:val="bottom"/>
          </w:tcPr>
          <w:p w14:paraId="6F607E97" w14:textId="7939C0A6"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D92262">
              <w:rPr>
                <w:rFonts w:ascii="Arial Narrow" w:hAnsi="Arial Narrow"/>
                <w:color w:val="000000"/>
                <w:szCs w:val="20"/>
              </w:rPr>
              <w:t>93.05</w:t>
            </w:r>
          </w:p>
        </w:tc>
        <w:tc>
          <w:tcPr>
            <w:tcW w:w="1529" w:type="dxa"/>
            <w:vAlign w:val="top"/>
          </w:tcPr>
          <w:p w14:paraId="63E56795" w14:textId="7592E6F1" w:rsidR="00D92262" w:rsidRPr="008134A8"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0.000</w:t>
            </w:r>
          </w:p>
        </w:tc>
      </w:tr>
      <w:tr w:rsidR="00D92262" w:rsidRPr="001B7768" w14:paraId="55E837A5"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552C2FA0" w14:textId="24B0F5A3" w:rsidR="00D92262" w:rsidRPr="00D92262" w:rsidRDefault="00D92262" w:rsidP="00D92262">
            <w:pPr>
              <w:keepNext/>
              <w:keepLines/>
              <w:spacing w:before="40" w:after="40"/>
              <w:jc w:val="left"/>
              <w:rPr>
                <w:rFonts w:ascii="Arial Narrow" w:hAnsi="Arial Narrow" w:cs="Calibri"/>
                <w:color w:val="000000"/>
                <w:szCs w:val="20"/>
              </w:rPr>
            </w:pPr>
            <w:r w:rsidRPr="00D92262">
              <w:rPr>
                <w:rFonts w:ascii="Arial Narrow" w:hAnsi="Arial Narrow"/>
                <w:color w:val="000000"/>
                <w:szCs w:val="20"/>
              </w:rPr>
              <w:t>yrmo201402:pre.use</w:t>
            </w:r>
          </w:p>
        </w:tc>
        <w:tc>
          <w:tcPr>
            <w:tcW w:w="1279" w:type="dxa"/>
            <w:vAlign w:val="bottom"/>
          </w:tcPr>
          <w:p w14:paraId="1B2BFC3F" w14:textId="3DF53E45"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1.21788</w:t>
            </w:r>
          </w:p>
        </w:tc>
        <w:tc>
          <w:tcPr>
            <w:tcW w:w="1161" w:type="dxa"/>
            <w:vAlign w:val="bottom"/>
          </w:tcPr>
          <w:p w14:paraId="0178BEAE" w14:textId="5777B1D4"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0.01328</w:t>
            </w:r>
          </w:p>
        </w:tc>
        <w:tc>
          <w:tcPr>
            <w:tcW w:w="1270" w:type="dxa"/>
            <w:vAlign w:val="bottom"/>
          </w:tcPr>
          <w:p w14:paraId="1037B8C2" w14:textId="325BAF4B"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D92262">
              <w:rPr>
                <w:rFonts w:ascii="Arial Narrow" w:hAnsi="Arial Narrow"/>
                <w:color w:val="000000"/>
                <w:szCs w:val="20"/>
              </w:rPr>
              <w:t>91.72</w:t>
            </w:r>
          </w:p>
        </w:tc>
        <w:tc>
          <w:tcPr>
            <w:tcW w:w="1529" w:type="dxa"/>
            <w:vAlign w:val="top"/>
          </w:tcPr>
          <w:p w14:paraId="44B7B003" w14:textId="3A0716C3" w:rsidR="00D92262" w:rsidRPr="008134A8"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0.000</w:t>
            </w:r>
          </w:p>
        </w:tc>
      </w:tr>
      <w:tr w:rsidR="00D92262" w:rsidRPr="001B7768" w14:paraId="4FA4920D"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48ABA14A" w14:textId="507B4A66" w:rsidR="00D92262" w:rsidRPr="00D92262" w:rsidRDefault="00D92262" w:rsidP="00D92262">
            <w:pPr>
              <w:keepNext/>
              <w:keepLines/>
              <w:spacing w:before="40" w:after="40"/>
              <w:jc w:val="left"/>
              <w:rPr>
                <w:rFonts w:ascii="Arial Narrow" w:hAnsi="Arial Narrow" w:cs="Calibri"/>
                <w:color w:val="000000"/>
                <w:szCs w:val="20"/>
              </w:rPr>
            </w:pPr>
            <w:r w:rsidRPr="00D92262">
              <w:rPr>
                <w:rFonts w:ascii="Arial Narrow" w:hAnsi="Arial Narrow"/>
                <w:color w:val="000000"/>
                <w:szCs w:val="20"/>
              </w:rPr>
              <w:t>yrmo201403:pre.use</w:t>
            </w:r>
          </w:p>
        </w:tc>
        <w:tc>
          <w:tcPr>
            <w:tcW w:w="1279" w:type="dxa"/>
            <w:vAlign w:val="bottom"/>
          </w:tcPr>
          <w:p w14:paraId="7B576062" w14:textId="0D55D435"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1.14012</w:t>
            </w:r>
          </w:p>
        </w:tc>
        <w:tc>
          <w:tcPr>
            <w:tcW w:w="1161" w:type="dxa"/>
            <w:vAlign w:val="bottom"/>
          </w:tcPr>
          <w:p w14:paraId="62197AE6" w14:textId="03FEDE93"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0.01765</w:t>
            </w:r>
          </w:p>
        </w:tc>
        <w:tc>
          <w:tcPr>
            <w:tcW w:w="1270" w:type="dxa"/>
            <w:vAlign w:val="bottom"/>
          </w:tcPr>
          <w:p w14:paraId="068CA798" w14:textId="0E2820E1"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D92262">
              <w:rPr>
                <w:rFonts w:ascii="Arial Narrow" w:hAnsi="Arial Narrow"/>
                <w:color w:val="000000"/>
                <w:szCs w:val="20"/>
              </w:rPr>
              <w:t>64.61</w:t>
            </w:r>
          </w:p>
        </w:tc>
        <w:tc>
          <w:tcPr>
            <w:tcW w:w="1529" w:type="dxa"/>
            <w:vAlign w:val="top"/>
          </w:tcPr>
          <w:p w14:paraId="5D06241F" w14:textId="6AB74EB0" w:rsidR="00D92262" w:rsidRPr="008134A8"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0.000</w:t>
            </w:r>
          </w:p>
        </w:tc>
      </w:tr>
      <w:tr w:rsidR="00D92262" w:rsidRPr="001B7768" w14:paraId="171653D4"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7783DFED" w14:textId="7B5F9560" w:rsidR="00D92262" w:rsidRPr="00D92262" w:rsidRDefault="00D92262" w:rsidP="00D92262">
            <w:pPr>
              <w:keepNext/>
              <w:keepLines/>
              <w:spacing w:before="40" w:after="40"/>
              <w:jc w:val="left"/>
              <w:rPr>
                <w:rFonts w:ascii="Arial Narrow" w:hAnsi="Arial Narrow" w:cs="Calibri"/>
                <w:color w:val="000000"/>
                <w:szCs w:val="20"/>
              </w:rPr>
            </w:pPr>
            <w:r w:rsidRPr="00D92262">
              <w:rPr>
                <w:rFonts w:ascii="Arial Narrow" w:hAnsi="Arial Narrow"/>
                <w:color w:val="000000"/>
                <w:szCs w:val="20"/>
              </w:rPr>
              <w:t>yrmo201404:pre.use</w:t>
            </w:r>
          </w:p>
        </w:tc>
        <w:tc>
          <w:tcPr>
            <w:tcW w:w="1279" w:type="dxa"/>
            <w:vAlign w:val="bottom"/>
          </w:tcPr>
          <w:p w14:paraId="193273D2" w14:textId="1C4F2135"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0.80281</w:t>
            </w:r>
          </w:p>
        </w:tc>
        <w:tc>
          <w:tcPr>
            <w:tcW w:w="1161" w:type="dxa"/>
            <w:vAlign w:val="bottom"/>
          </w:tcPr>
          <w:p w14:paraId="3F920858" w14:textId="49DF8DAE"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0.01977</w:t>
            </w:r>
          </w:p>
        </w:tc>
        <w:tc>
          <w:tcPr>
            <w:tcW w:w="1270" w:type="dxa"/>
            <w:vAlign w:val="bottom"/>
          </w:tcPr>
          <w:p w14:paraId="6056F5A1" w14:textId="7C02C948"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D92262">
              <w:rPr>
                <w:rFonts w:ascii="Arial Narrow" w:hAnsi="Arial Narrow"/>
                <w:color w:val="000000"/>
                <w:szCs w:val="20"/>
              </w:rPr>
              <w:t>40.61</w:t>
            </w:r>
          </w:p>
        </w:tc>
        <w:tc>
          <w:tcPr>
            <w:tcW w:w="1529" w:type="dxa"/>
            <w:vAlign w:val="top"/>
          </w:tcPr>
          <w:p w14:paraId="0319FD48" w14:textId="5373EB99" w:rsidR="00D92262" w:rsidRPr="008134A8"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0.000</w:t>
            </w:r>
          </w:p>
        </w:tc>
      </w:tr>
      <w:tr w:rsidR="00D92262" w:rsidRPr="001B7768" w14:paraId="501A8D94"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4E9AA6FC" w14:textId="5E52ADF6" w:rsidR="00D92262" w:rsidRPr="00D92262" w:rsidRDefault="00D92262" w:rsidP="00D92262">
            <w:pPr>
              <w:keepNext/>
              <w:keepLines/>
              <w:spacing w:before="40" w:after="40"/>
              <w:jc w:val="left"/>
              <w:rPr>
                <w:rFonts w:ascii="Arial Narrow" w:hAnsi="Arial Narrow" w:cs="Calibri"/>
                <w:color w:val="000000"/>
                <w:szCs w:val="20"/>
              </w:rPr>
            </w:pPr>
            <w:r w:rsidRPr="00D92262">
              <w:rPr>
                <w:rFonts w:ascii="Arial Narrow" w:hAnsi="Arial Narrow"/>
                <w:color w:val="000000"/>
                <w:szCs w:val="20"/>
              </w:rPr>
              <w:t>yrmo201405:pre.use</w:t>
            </w:r>
          </w:p>
        </w:tc>
        <w:tc>
          <w:tcPr>
            <w:tcW w:w="1279" w:type="dxa"/>
            <w:vAlign w:val="bottom"/>
          </w:tcPr>
          <w:p w14:paraId="1E050085" w14:textId="0E01789A"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0.74289</w:t>
            </w:r>
          </w:p>
        </w:tc>
        <w:tc>
          <w:tcPr>
            <w:tcW w:w="1161" w:type="dxa"/>
            <w:vAlign w:val="bottom"/>
          </w:tcPr>
          <w:p w14:paraId="40F1A22B" w14:textId="6681C015"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0.01799</w:t>
            </w:r>
          </w:p>
        </w:tc>
        <w:tc>
          <w:tcPr>
            <w:tcW w:w="1270" w:type="dxa"/>
            <w:vAlign w:val="bottom"/>
          </w:tcPr>
          <w:p w14:paraId="10E719C6" w14:textId="57BE40E0"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D92262">
              <w:rPr>
                <w:rFonts w:ascii="Arial Narrow" w:hAnsi="Arial Narrow"/>
                <w:color w:val="000000"/>
                <w:szCs w:val="20"/>
              </w:rPr>
              <w:t>41.3</w:t>
            </w:r>
          </w:p>
        </w:tc>
        <w:tc>
          <w:tcPr>
            <w:tcW w:w="1529" w:type="dxa"/>
            <w:vAlign w:val="top"/>
          </w:tcPr>
          <w:p w14:paraId="0CD485B8" w14:textId="050DFC2F" w:rsidR="00D92262" w:rsidRPr="008134A8"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0.000</w:t>
            </w:r>
          </w:p>
        </w:tc>
      </w:tr>
      <w:tr w:rsidR="00D92262" w:rsidRPr="001B7768" w14:paraId="0E6EDB2D"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25B64746" w14:textId="79A20112" w:rsidR="00D92262" w:rsidRPr="00D92262" w:rsidRDefault="00D92262" w:rsidP="00D92262">
            <w:pPr>
              <w:keepNext/>
              <w:keepLines/>
              <w:spacing w:before="40" w:after="40"/>
              <w:jc w:val="left"/>
              <w:rPr>
                <w:rFonts w:ascii="Arial Narrow" w:hAnsi="Arial Narrow" w:cs="Calibri"/>
                <w:color w:val="000000"/>
                <w:szCs w:val="20"/>
              </w:rPr>
            </w:pPr>
            <w:r w:rsidRPr="00D92262">
              <w:rPr>
                <w:rFonts w:ascii="Arial Narrow" w:hAnsi="Arial Narrow"/>
                <w:color w:val="000000"/>
                <w:szCs w:val="20"/>
              </w:rPr>
              <w:t>yrmo201406:pre.use</w:t>
            </w:r>
          </w:p>
        </w:tc>
        <w:tc>
          <w:tcPr>
            <w:tcW w:w="1279" w:type="dxa"/>
            <w:vAlign w:val="bottom"/>
          </w:tcPr>
          <w:p w14:paraId="5CD92078" w14:textId="1C8C711E"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0.78491</w:t>
            </w:r>
          </w:p>
        </w:tc>
        <w:tc>
          <w:tcPr>
            <w:tcW w:w="1161" w:type="dxa"/>
            <w:vAlign w:val="bottom"/>
          </w:tcPr>
          <w:p w14:paraId="10BF85D8" w14:textId="68861FE1"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0.00992</w:t>
            </w:r>
          </w:p>
        </w:tc>
        <w:tc>
          <w:tcPr>
            <w:tcW w:w="1270" w:type="dxa"/>
            <w:vAlign w:val="bottom"/>
          </w:tcPr>
          <w:p w14:paraId="1E7E78AD" w14:textId="1DAACD95"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D92262">
              <w:rPr>
                <w:rFonts w:ascii="Arial Narrow" w:hAnsi="Arial Narrow"/>
                <w:color w:val="000000"/>
                <w:szCs w:val="20"/>
              </w:rPr>
              <w:t>79.12</w:t>
            </w:r>
          </w:p>
        </w:tc>
        <w:tc>
          <w:tcPr>
            <w:tcW w:w="1529" w:type="dxa"/>
            <w:vAlign w:val="top"/>
          </w:tcPr>
          <w:p w14:paraId="74E84A14" w14:textId="7B19E725" w:rsidR="00D92262" w:rsidRPr="008134A8"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0.000</w:t>
            </w:r>
          </w:p>
        </w:tc>
      </w:tr>
      <w:tr w:rsidR="00D92262" w:rsidRPr="001B7768" w14:paraId="54C7C2E5"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4DDB1534" w14:textId="0629D4A2" w:rsidR="00D92262" w:rsidRPr="00D92262" w:rsidRDefault="00D92262" w:rsidP="00D92262">
            <w:pPr>
              <w:keepNext/>
              <w:keepLines/>
              <w:spacing w:before="40" w:after="40"/>
              <w:jc w:val="left"/>
              <w:rPr>
                <w:rFonts w:ascii="Arial Narrow" w:hAnsi="Arial Narrow" w:cs="Calibri"/>
                <w:color w:val="000000"/>
                <w:szCs w:val="20"/>
              </w:rPr>
            </w:pPr>
            <w:r w:rsidRPr="00D92262">
              <w:rPr>
                <w:rFonts w:ascii="Arial Narrow" w:hAnsi="Arial Narrow"/>
                <w:color w:val="000000"/>
                <w:szCs w:val="20"/>
              </w:rPr>
              <w:t>yrmo201407:pre.use</w:t>
            </w:r>
          </w:p>
        </w:tc>
        <w:tc>
          <w:tcPr>
            <w:tcW w:w="1279" w:type="dxa"/>
            <w:vAlign w:val="bottom"/>
          </w:tcPr>
          <w:p w14:paraId="68C94D25" w14:textId="5910ED69"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0.71581</w:t>
            </w:r>
          </w:p>
        </w:tc>
        <w:tc>
          <w:tcPr>
            <w:tcW w:w="1161" w:type="dxa"/>
            <w:vAlign w:val="bottom"/>
          </w:tcPr>
          <w:p w14:paraId="0DA17BCE" w14:textId="74EFB474"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0.00962</w:t>
            </w:r>
          </w:p>
        </w:tc>
        <w:tc>
          <w:tcPr>
            <w:tcW w:w="1270" w:type="dxa"/>
            <w:vAlign w:val="bottom"/>
          </w:tcPr>
          <w:p w14:paraId="07174EE1" w14:textId="0C466A07"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D92262">
              <w:rPr>
                <w:rFonts w:ascii="Arial Narrow" w:hAnsi="Arial Narrow"/>
                <w:color w:val="000000"/>
                <w:szCs w:val="20"/>
              </w:rPr>
              <w:t>74.44</w:t>
            </w:r>
          </w:p>
        </w:tc>
        <w:tc>
          <w:tcPr>
            <w:tcW w:w="1529" w:type="dxa"/>
            <w:vAlign w:val="top"/>
          </w:tcPr>
          <w:p w14:paraId="2439B454" w14:textId="4EE3D7A9" w:rsidR="00D92262" w:rsidRPr="008134A8"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0.000</w:t>
            </w:r>
          </w:p>
        </w:tc>
      </w:tr>
      <w:tr w:rsidR="00D92262" w:rsidRPr="001B7768" w14:paraId="2144D139"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0E8CB6DE" w14:textId="31A40E22" w:rsidR="00D92262" w:rsidRPr="00D92262" w:rsidRDefault="00D92262" w:rsidP="00D92262">
            <w:pPr>
              <w:keepNext/>
              <w:keepLines/>
              <w:spacing w:before="40" w:after="40"/>
              <w:jc w:val="left"/>
              <w:rPr>
                <w:rFonts w:ascii="Arial Narrow" w:hAnsi="Arial Narrow" w:cs="Calibri"/>
                <w:color w:val="000000"/>
                <w:szCs w:val="20"/>
              </w:rPr>
            </w:pPr>
            <w:r w:rsidRPr="00D92262">
              <w:rPr>
                <w:rFonts w:ascii="Arial Narrow" w:hAnsi="Arial Narrow"/>
                <w:color w:val="000000"/>
                <w:szCs w:val="20"/>
              </w:rPr>
              <w:t>yrmo201408:pre.use</w:t>
            </w:r>
          </w:p>
        </w:tc>
        <w:tc>
          <w:tcPr>
            <w:tcW w:w="1279" w:type="dxa"/>
            <w:vAlign w:val="bottom"/>
          </w:tcPr>
          <w:p w14:paraId="475016CC" w14:textId="22628BBA"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0.62524</w:t>
            </w:r>
          </w:p>
        </w:tc>
        <w:tc>
          <w:tcPr>
            <w:tcW w:w="1161" w:type="dxa"/>
            <w:vAlign w:val="bottom"/>
          </w:tcPr>
          <w:p w14:paraId="66877A22" w14:textId="7830F343"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0.00866</w:t>
            </w:r>
          </w:p>
        </w:tc>
        <w:tc>
          <w:tcPr>
            <w:tcW w:w="1270" w:type="dxa"/>
            <w:vAlign w:val="bottom"/>
          </w:tcPr>
          <w:p w14:paraId="76654503" w14:textId="2DBDC8A4"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D92262">
              <w:rPr>
                <w:rFonts w:ascii="Arial Narrow" w:hAnsi="Arial Narrow"/>
                <w:color w:val="000000"/>
                <w:szCs w:val="20"/>
              </w:rPr>
              <w:t>72.22</w:t>
            </w:r>
          </w:p>
        </w:tc>
        <w:tc>
          <w:tcPr>
            <w:tcW w:w="1529" w:type="dxa"/>
            <w:vAlign w:val="top"/>
          </w:tcPr>
          <w:p w14:paraId="26157C0D" w14:textId="780B012C" w:rsidR="00D92262" w:rsidRPr="008134A8"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0.000</w:t>
            </w:r>
          </w:p>
        </w:tc>
      </w:tr>
      <w:tr w:rsidR="00D92262" w:rsidRPr="001B7768" w14:paraId="5CEC72F3"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121" w:type="dxa"/>
            <w:vAlign w:val="bottom"/>
          </w:tcPr>
          <w:p w14:paraId="681B2AA8" w14:textId="40E185D5" w:rsidR="00D92262" w:rsidRPr="00D92262" w:rsidRDefault="00D92262" w:rsidP="00D92262">
            <w:pPr>
              <w:keepNext/>
              <w:keepLines/>
              <w:spacing w:before="40" w:after="40"/>
              <w:jc w:val="left"/>
              <w:rPr>
                <w:rFonts w:ascii="Arial Narrow" w:hAnsi="Arial Narrow" w:cs="Calibri"/>
                <w:color w:val="000000"/>
                <w:szCs w:val="20"/>
              </w:rPr>
            </w:pPr>
            <w:r w:rsidRPr="00D92262">
              <w:rPr>
                <w:rFonts w:ascii="Arial Narrow" w:hAnsi="Arial Narrow"/>
                <w:color w:val="000000"/>
                <w:szCs w:val="20"/>
              </w:rPr>
              <w:t>yrmo201409:pre.use</w:t>
            </w:r>
          </w:p>
        </w:tc>
        <w:tc>
          <w:tcPr>
            <w:tcW w:w="1279" w:type="dxa"/>
            <w:vAlign w:val="bottom"/>
          </w:tcPr>
          <w:p w14:paraId="75405CA6" w14:textId="4B82CC63"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0.81927</w:t>
            </w:r>
          </w:p>
        </w:tc>
        <w:tc>
          <w:tcPr>
            <w:tcW w:w="1161" w:type="dxa"/>
            <w:vAlign w:val="bottom"/>
          </w:tcPr>
          <w:p w14:paraId="412F428B" w14:textId="1C7FE6A9"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D92262">
              <w:rPr>
                <w:rFonts w:ascii="Arial Narrow" w:hAnsi="Arial Narrow"/>
                <w:color w:val="000000"/>
                <w:szCs w:val="20"/>
              </w:rPr>
              <w:t>0.01133</w:t>
            </w:r>
          </w:p>
        </w:tc>
        <w:tc>
          <w:tcPr>
            <w:tcW w:w="1270" w:type="dxa"/>
            <w:vAlign w:val="bottom"/>
          </w:tcPr>
          <w:p w14:paraId="4D189A40" w14:textId="055DF234" w:rsidR="00D92262" w:rsidRPr="00D92262"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D92262">
              <w:rPr>
                <w:rFonts w:ascii="Arial Narrow" w:hAnsi="Arial Narrow"/>
                <w:color w:val="000000"/>
                <w:szCs w:val="20"/>
              </w:rPr>
              <w:t>72.33</w:t>
            </w:r>
          </w:p>
        </w:tc>
        <w:tc>
          <w:tcPr>
            <w:tcW w:w="1529" w:type="dxa"/>
            <w:vAlign w:val="top"/>
          </w:tcPr>
          <w:p w14:paraId="43E2553A" w14:textId="1A894480" w:rsidR="00D92262" w:rsidRPr="008134A8" w:rsidRDefault="00D92262" w:rsidP="00D92262">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s="Arial Narrow"/>
                <w:color w:val="000000"/>
                <w:szCs w:val="20"/>
              </w:rPr>
              <w:t>0.000</w:t>
            </w:r>
          </w:p>
        </w:tc>
      </w:tr>
      <w:tr w:rsidR="004A60CA" w:rsidRPr="001B7768" w14:paraId="3A61991B" w14:textId="77777777" w:rsidTr="002A2309">
        <w:trPr>
          <w:trHeight w:val="288"/>
        </w:trPr>
        <w:tc>
          <w:tcPr>
            <w:cnfStyle w:val="001000000000" w:firstRow="0" w:lastRow="0" w:firstColumn="1" w:lastColumn="0" w:oddVBand="0" w:evenVBand="0" w:oddHBand="0" w:evenHBand="0" w:firstRowFirstColumn="0" w:firstRowLastColumn="0" w:lastRowFirstColumn="0" w:lastRowLastColumn="0"/>
            <w:tcW w:w="9360" w:type="dxa"/>
            <w:gridSpan w:val="5"/>
            <w:vAlign w:val="top"/>
          </w:tcPr>
          <w:p w14:paraId="0C9E925C" w14:textId="005ECD6C" w:rsidR="004A60CA" w:rsidRPr="004F5021" w:rsidRDefault="00D92262" w:rsidP="00A430A7">
            <w:pPr>
              <w:keepNext/>
              <w:keepLines/>
              <w:spacing w:before="40" w:after="40"/>
              <w:jc w:val="left"/>
              <w:rPr>
                <w:rFonts w:ascii="Arial Narrow" w:hAnsi="Arial Narrow" w:cs="Arial Narrow"/>
                <w:color w:val="000000"/>
                <w:szCs w:val="20"/>
              </w:rPr>
            </w:pPr>
            <w:r w:rsidRPr="004F5021">
              <w:rPr>
                <w:rFonts w:ascii="Arial Narrow" w:hAnsi="Arial Narrow"/>
                <w:color w:val="000000"/>
                <w:szCs w:val="20"/>
              </w:rPr>
              <w:t>Residual standard error: 26.7 on 199628 degrees of freedom</w:t>
            </w:r>
          </w:p>
        </w:tc>
      </w:tr>
      <w:tr w:rsidR="004A60CA" w:rsidRPr="001B7768" w14:paraId="7D6FC8E3" w14:textId="77777777" w:rsidTr="002A2309">
        <w:trPr>
          <w:trHeight w:val="288"/>
        </w:trPr>
        <w:tc>
          <w:tcPr>
            <w:cnfStyle w:val="001000000000" w:firstRow="0" w:lastRow="0" w:firstColumn="1" w:lastColumn="0" w:oddVBand="0" w:evenVBand="0" w:oddHBand="0" w:evenHBand="0" w:firstRowFirstColumn="0" w:firstRowLastColumn="0" w:lastRowFirstColumn="0" w:lastRowLastColumn="0"/>
            <w:tcW w:w="9360" w:type="dxa"/>
            <w:gridSpan w:val="5"/>
            <w:vAlign w:val="top"/>
          </w:tcPr>
          <w:p w14:paraId="4D3B77CD" w14:textId="1BE145AC" w:rsidR="004A60CA" w:rsidRPr="004F5021" w:rsidRDefault="00D92262" w:rsidP="00A430A7">
            <w:pPr>
              <w:pStyle w:val="HTMLPreformatted"/>
              <w:shd w:val="clear" w:color="auto" w:fill="FFFFFF"/>
              <w:spacing w:before="40" w:after="40"/>
              <w:jc w:val="left"/>
              <w:rPr>
                <w:rFonts w:ascii="Arial Narrow" w:hAnsi="Arial Narrow"/>
                <w:color w:val="000000"/>
              </w:rPr>
            </w:pPr>
            <w:r w:rsidRPr="004F5021">
              <w:rPr>
                <w:rFonts w:ascii="Arial Narrow" w:hAnsi="Arial Narrow"/>
                <w:color w:val="000000"/>
              </w:rPr>
              <w:t>Multiple R-squared:  0.878,</w:t>
            </w:r>
            <w:r w:rsidR="00A430A7">
              <w:rPr>
                <w:rFonts w:ascii="Arial Narrow" w:hAnsi="Arial Narrow"/>
                <w:color w:val="000000"/>
              </w:rPr>
              <w:t xml:space="preserve"> </w:t>
            </w:r>
            <w:r w:rsidRPr="004F5021">
              <w:rPr>
                <w:rFonts w:ascii="Arial Narrow" w:hAnsi="Arial Narrow"/>
                <w:color w:val="000000"/>
              </w:rPr>
              <w:t xml:space="preserve">Adjusted R-squared:  0.878 </w:t>
            </w:r>
          </w:p>
        </w:tc>
      </w:tr>
      <w:tr w:rsidR="004A60CA" w:rsidRPr="001B7768" w14:paraId="31A66937" w14:textId="77777777" w:rsidTr="002A2309">
        <w:trPr>
          <w:trHeight w:val="288"/>
        </w:trPr>
        <w:tc>
          <w:tcPr>
            <w:cnfStyle w:val="001000000000" w:firstRow="0" w:lastRow="0" w:firstColumn="1" w:lastColumn="0" w:oddVBand="0" w:evenVBand="0" w:oddHBand="0" w:evenHBand="0" w:firstRowFirstColumn="0" w:firstRowLastColumn="0" w:lastRowFirstColumn="0" w:lastRowLastColumn="0"/>
            <w:tcW w:w="9360" w:type="dxa"/>
            <w:gridSpan w:val="5"/>
            <w:vAlign w:val="top"/>
          </w:tcPr>
          <w:p w14:paraId="447AAF5D" w14:textId="6CCB0000" w:rsidR="004A60CA" w:rsidRPr="004F5021" w:rsidRDefault="00D92262" w:rsidP="00A430A7">
            <w:pPr>
              <w:pStyle w:val="HTMLPreformatted"/>
              <w:shd w:val="clear" w:color="auto" w:fill="FFFFFF"/>
              <w:spacing w:before="40" w:after="40"/>
              <w:jc w:val="left"/>
              <w:rPr>
                <w:rFonts w:ascii="Arial Narrow" w:hAnsi="Arial Narrow"/>
                <w:color w:val="000000"/>
              </w:rPr>
            </w:pPr>
            <w:r w:rsidRPr="004F5021">
              <w:rPr>
                <w:rFonts w:ascii="Arial Narrow" w:hAnsi="Arial Narrow"/>
                <w:color w:val="000000"/>
              </w:rPr>
              <w:t>F-statistic: 5.55e+04 on 26 and 199628 DF,  p-value: &lt;0.0000000000000002</w:t>
            </w:r>
          </w:p>
        </w:tc>
      </w:tr>
    </w:tbl>
    <w:p w14:paraId="581F2212" w14:textId="77777777" w:rsidR="004A60CA" w:rsidRDefault="004A60CA" w:rsidP="002A2309">
      <w:pPr>
        <w:pStyle w:val="Source"/>
        <w:ind w:left="1260" w:hanging="1260"/>
      </w:pPr>
      <w:r>
        <w:t>Source: Navigant analysis</w:t>
      </w:r>
    </w:p>
    <w:p w14:paraId="3D6AE421" w14:textId="174833D1" w:rsidR="004A60CA" w:rsidRDefault="004A60CA" w:rsidP="004301F4">
      <w:pPr>
        <w:pStyle w:val="Caption"/>
      </w:pPr>
      <w:bookmarkStart w:id="138" w:name="_Ref441493005"/>
      <w:bookmarkStart w:id="139" w:name="_Toc441751911"/>
      <w:r>
        <w:lastRenderedPageBreak/>
        <w:t xml:space="preserve">Table </w:t>
      </w:r>
      <w:fldSimple w:instr=" STYLEREF 1 \s ">
        <w:r w:rsidR="00E4410B">
          <w:rPr>
            <w:noProof/>
          </w:rPr>
          <w:t>6</w:t>
        </w:r>
      </w:fldSimple>
      <w:r w:rsidR="00F05E89">
        <w:noBreakHyphen/>
      </w:r>
      <w:fldSimple w:instr=" SEQ Table \* ARABIC \s 1 ">
        <w:r w:rsidR="00E4410B">
          <w:rPr>
            <w:noProof/>
          </w:rPr>
          <w:t>7</w:t>
        </w:r>
      </w:fldSimple>
      <w:bookmarkEnd w:id="138"/>
      <w:r>
        <w:t>. LFER Model Estimates, Wave 5 Non-AMI</w:t>
      </w:r>
      <w:bookmarkEnd w:id="139"/>
    </w:p>
    <w:tbl>
      <w:tblPr>
        <w:tblStyle w:val="ComEdTable"/>
        <w:tblW w:w="9270" w:type="dxa"/>
        <w:tblLayout w:type="fixed"/>
        <w:tblLook w:val="04A0" w:firstRow="1" w:lastRow="0" w:firstColumn="1" w:lastColumn="0" w:noHBand="0" w:noVBand="1"/>
      </w:tblPr>
      <w:tblGrid>
        <w:gridCol w:w="4031"/>
        <w:gridCol w:w="1279"/>
        <w:gridCol w:w="1161"/>
        <w:gridCol w:w="1270"/>
        <w:gridCol w:w="1529"/>
      </w:tblGrid>
      <w:tr w:rsidR="004A60CA" w:rsidRPr="001B7768" w14:paraId="1668D316" w14:textId="77777777" w:rsidTr="002A230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031" w:type="dxa"/>
            <w:vAlign w:val="top"/>
          </w:tcPr>
          <w:p w14:paraId="48BEACCA" w14:textId="77777777" w:rsidR="004A60CA" w:rsidRPr="000454D5" w:rsidRDefault="004A60CA" w:rsidP="00AD5228">
            <w:pPr>
              <w:keepNext/>
              <w:keepLines/>
              <w:spacing w:before="40" w:after="40"/>
              <w:jc w:val="left"/>
              <w:rPr>
                <w:rFonts w:ascii="Arial Narrow" w:hAnsi="Arial Narrow" w:cs="Calibri"/>
                <w:bCs/>
                <w:szCs w:val="20"/>
              </w:rPr>
            </w:pPr>
          </w:p>
        </w:tc>
        <w:tc>
          <w:tcPr>
            <w:tcW w:w="1279" w:type="dxa"/>
            <w:vAlign w:val="top"/>
          </w:tcPr>
          <w:p w14:paraId="55F7A350" w14:textId="77777777" w:rsidR="004A60CA" w:rsidRPr="00523D14" w:rsidRDefault="004A60CA" w:rsidP="00AD5228">
            <w:pPr>
              <w:keepNext/>
              <w:keepLines/>
              <w:spacing w:before="40" w:after="40"/>
              <w:cnfStyle w:val="100000000000" w:firstRow="1" w:lastRow="0" w:firstColumn="0" w:lastColumn="0" w:oddVBand="0" w:evenVBand="0" w:oddHBand="0" w:evenHBand="0" w:firstRowFirstColumn="0" w:firstRowLastColumn="0" w:lastRowFirstColumn="0" w:lastRowLastColumn="0"/>
              <w:rPr>
                <w:rFonts w:ascii="Arial Narrow" w:hAnsi="Arial Narrow" w:cs="Calibri"/>
                <w:bCs/>
                <w:szCs w:val="20"/>
              </w:rPr>
            </w:pPr>
            <w:r w:rsidRPr="00523D14">
              <w:rPr>
                <w:rFonts w:ascii="Arial Narrow" w:hAnsi="Arial Narrow" w:cs="Arial Narrow"/>
                <w:szCs w:val="22"/>
              </w:rPr>
              <w:t>Estimate</w:t>
            </w:r>
          </w:p>
        </w:tc>
        <w:tc>
          <w:tcPr>
            <w:tcW w:w="1161" w:type="dxa"/>
            <w:vAlign w:val="top"/>
          </w:tcPr>
          <w:p w14:paraId="18411D6A" w14:textId="77777777" w:rsidR="004A60CA" w:rsidRPr="00523D14" w:rsidRDefault="004A60CA" w:rsidP="00AD5228">
            <w:pPr>
              <w:keepNext/>
              <w:keepLines/>
              <w:spacing w:before="40" w:after="40"/>
              <w:cnfStyle w:val="100000000000" w:firstRow="1" w:lastRow="0" w:firstColumn="0" w:lastColumn="0" w:oddVBand="0" w:evenVBand="0" w:oddHBand="0" w:evenHBand="0" w:firstRowFirstColumn="0" w:firstRowLastColumn="0" w:lastRowFirstColumn="0" w:lastRowLastColumn="0"/>
              <w:rPr>
                <w:rFonts w:ascii="Arial Narrow" w:hAnsi="Arial Narrow" w:cs="Calibri"/>
                <w:b w:val="0"/>
                <w:bCs/>
                <w:szCs w:val="20"/>
              </w:rPr>
            </w:pPr>
            <w:r w:rsidRPr="00523D14">
              <w:rPr>
                <w:rFonts w:ascii="Arial Narrow" w:hAnsi="Arial Narrow" w:cs="Arial Narrow"/>
                <w:szCs w:val="22"/>
              </w:rPr>
              <w:t>Std. Error</w:t>
            </w:r>
          </w:p>
        </w:tc>
        <w:tc>
          <w:tcPr>
            <w:tcW w:w="1270" w:type="dxa"/>
            <w:vAlign w:val="top"/>
          </w:tcPr>
          <w:p w14:paraId="15122DD3" w14:textId="77777777" w:rsidR="004A60CA" w:rsidRPr="00523D14" w:rsidRDefault="004A60CA" w:rsidP="00AD5228">
            <w:pPr>
              <w:keepNext/>
              <w:keepLines/>
              <w:spacing w:before="40" w:after="40"/>
              <w:cnfStyle w:val="100000000000" w:firstRow="1" w:lastRow="0" w:firstColumn="0" w:lastColumn="0" w:oddVBand="0" w:evenVBand="0" w:oddHBand="0" w:evenHBand="0" w:firstRowFirstColumn="0" w:firstRowLastColumn="0" w:lastRowFirstColumn="0" w:lastRowLastColumn="0"/>
              <w:rPr>
                <w:rFonts w:ascii="Arial Narrow" w:hAnsi="Arial Narrow" w:cs="Calibri"/>
                <w:bCs/>
                <w:szCs w:val="20"/>
              </w:rPr>
            </w:pPr>
            <w:r w:rsidRPr="00523D14">
              <w:rPr>
                <w:rFonts w:ascii="Arial Narrow" w:hAnsi="Arial Narrow" w:cs="Arial Narrow"/>
                <w:szCs w:val="22"/>
              </w:rPr>
              <w:t>t value</w:t>
            </w:r>
          </w:p>
        </w:tc>
        <w:tc>
          <w:tcPr>
            <w:tcW w:w="1529" w:type="dxa"/>
            <w:vAlign w:val="top"/>
          </w:tcPr>
          <w:p w14:paraId="7574A19C" w14:textId="77777777" w:rsidR="004A60CA" w:rsidRPr="00523D14" w:rsidRDefault="004A60CA" w:rsidP="00AD5228">
            <w:pPr>
              <w:keepNext/>
              <w:keepLines/>
              <w:spacing w:before="40" w:after="40"/>
              <w:cnfStyle w:val="100000000000" w:firstRow="1" w:lastRow="0" w:firstColumn="0" w:lastColumn="0" w:oddVBand="0" w:evenVBand="0" w:oddHBand="0" w:evenHBand="0" w:firstRowFirstColumn="0" w:firstRowLastColumn="0" w:lastRowFirstColumn="0" w:lastRowLastColumn="0"/>
              <w:rPr>
                <w:rFonts w:ascii="Arial Narrow" w:hAnsi="Arial Narrow" w:cs="Calibri"/>
                <w:b w:val="0"/>
                <w:bCs/>
                <w:szCs w:val="20"/>
              </w:rPr>
            </w:pPr>
            <w:r w:rsidRPr="00523D14">
              <w:rPr>
                <w:rFonts w:ascii="Arial Narrow" w:hAnsi="Arial Narrow" w:cs="Arial Narrow"/>
                <w:szCs w:val="22"/>
              </w:rPr>
              <w:t>Pr(&gt;|t|)</w:t>
            </w:r>
          </w:p>
        </w:tc>
      </w:tr>
      <w:tr w:rsidR="00523D14" w:rsidRPr="001B7768" w14:paraId="6270DFC9"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4E76BEBE" w14:textId="3CEA633A" w:rsidR="00523D14" w:rsidRPr="00523D14" w:rsidRDefault="00F619BB" w:rsidP="00523D14">
            <w:pPr>
              <w:keepNext/>
              <w:keepLines/>
              <w:spacing w:before="40" w:after="40"/>
              <w:jc w:val="left"/>
              <w:rPr>
                <w:rFonts w:ascii="Arial Narrow" w:hAnsi="Arial Narrow" w:cs="Calibri"/>
                <w:color w:val="000000"/>
                <w:szCs w:val="20"/>
              </w:rPr>
            </w:pPr>
            <w:r w:rsidRPr="00523D14">
              <w:rPr>
                <w:rFonts w:ascii="Arial Narrow" w:hAnsi="Arial Narrow"/>
                <w:color w:val="000000"/>
                <w:szCs w:val="20"/>
              </w:rPr>
              <w:t>P</w:t>
            </w:r>
            <w:r w:rsidR="00523D14" w:rsidRPr="00523D14">
              <w:rPr>
                <w:rFonts w:ascii="Arial Narrow" w:hAnsi="Arial Narrow"/>
                <w:color w:val="000000"/>
                <w:szCs w:val="20"/>
              </w:rPr>
              <w:t>ost</w:t>
            </w:r>
          </w:p>
        </w:tc>
        <w:tc>
          <w:tcPr>
            <w:tcW w:w="1279" w:type="dxa"/>
            <w:vAlign w:val="bottom"/>
          </w:tcPr>
          <w:p w14:paraId="3C80715D" w14:textId="51428DF3" w:rsidR="00523D14" w:rsidRPr="00523D14" w:rsidRDefault="00523D14" w:rsidP="00523D14">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523D14">
              <w:rPr>
                <w:rFonts w:ascii="Arial Narrow" w:hAnsi="Arial Narrow"/>
                <w:color w:val="000000"/>
                <w:szCs w:val="20"/>
              </w:rPr>
              <w:t>2.484</w:t>
            </w:r>
          </w:p>
        </w:tc>
        <w:tc>
          <w:tcPr>
            <w:tcW w:w="1161" w:type="dxa"/>
            <w:tcBorders>
              <w:top w:val="nil"/>
            </w:tcBorders>
            <w:vAlign w:val="bottom"/>
          </w:tcPr>
          <w:p w14:paraId="2689DDAB" w14:textId="712BD9C1" w:rsidR="00523D14" w:rsidRPr="00523D14" w:rsidRDefault="00523D14" w:rsidP="00523D14">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523D14">
              <w:rPr>
                <w:rFonts w:ascii="Arial Narrow" w:hAnsi="Arial Narrow"/>
                <w:color w:val="000000"/>
                <w:szCs w:val="20"/>
              </w:rPr>
              <w:t>0.199</w:t>
            </w:r>
          </w:p>
        </w:tc>
        <w:tc>
          <w:tcPr>
            <w:tcW w:w="1270" w:type="dxa"/>
            <w:tcBorders>
              <w:top w:val="nil"/>
            </w:tcBorders>
            <w:vAlign w:val="bottom"/>
          </w:tcPr>
          <w:p w14:paraId="1209BDA5" w14:textId="517A3AAE" w:rsidR="00523D14" w:rsidRPr="00523D14" w:rsidRDefault="00523D14" w:rsidP="00523D14">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523D14">
              <w:rPr>
                <w:rFonts w:ascii="Arial Narrow" w:hAnsi="Arial Narrow"/>
                <w:color w:val="000000"/>
                <w:szCs w:val="20"/>
              </w:rPr>
              <w:t>12.5</w:t>
            </w:r>
          </w:p>
        </w:tc>
        <w:tc>
          <w:tcPr>
            <w:tcW w:w="1529" w:type="dxa"/>
            <w:tcBorders>
              <w:top w:val="nil"/>
            </w:tcBorders>
            <w:vAlign w:val="top"/>
          </w:tcPr>
          <w:p w14:paraId="1ABD1239" w14:textId="1459E884" w:rsidR="00523D14" w:rsidRPr="00523D14" w:rsidRDefault="00523D14" w:rsidP="00523D14">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523D14">
              <w:rPr>
                <w:rFonts w:ascii="Arial Narrow" w:hAnsi="Arial Narrow" w:cs="Arial Narrow"/>
                <w:color w:val="000000"/>
                <w:szCs w:val="20"/>
              </w:rPr>
              <w:t>0.000</w:t>
            </w:r>
          </w:p>
        </w:tc>
      </w:tr>
      <w:tr w:rsidR="00523D14" w:rsidRPr="001B7768" w14:paraId="5270357D"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1F45FC03" w14:textId="3C5839D1" w:rsidR="00523D14" w:rsidRPr="00523D14" w:rsidRDefault="00523D14" w:rsidP="00523D14">
            <w:pPr>
              <w:keepNext/>
              <w:keepLines/>
              <w:spacing w:before="40" w:after="40"/>
              <w:jc w:val="left"/>
              <w:rPr>
                <w:rFonts w:ascii="Arial Narrow" w:hAnsi="Arial Narrow" w:cs="Calibri"/>
                <w:color w:val="000000"/>
                <w:szCs w:val="20"/>
              </w:rPr>
            </w:pPr>
            <w:r w:rsidRPr="00523D14">
              <w:rPr>
                <w:rFonts w:ascii="Arial Narrow" w:hAnsi="Arial Narrow"/>
                <w:color w:val="000000"/>
                <w:szCs w:val="20"/>
              </w:rPr>
              <w:t>post.trt:TR0</w:t>
            </w:r>
          </w:p>
        </w:tc>
        <w:tc>
          <w:tcPr>
            <w:tcW w:w="1279" w:type="dxa"/>
            <w:vAlign w:val="bottom"/>
          </w:tcPr>
          <w:p w14:paraId="5AE1B855" w14:textId="11454426" w:rsidR="00523D14" w:rsidRPr="00523D14" w:rsidRDefault="00523D14" w:rsidP="00523D14">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523D14">
              <w:rPr>
                <w:rFonts w:ascii="Arial Narrow" w:hAnsi="Arial Narrow"/>
                <w:color w:val="000000"/>
                <w:szCs w:val="20"/>
              </w:rPr>
              <w:t>-1.125</w:t>
            </w:r>
          </w:p>
        </w:tc>
        <w:tc>
          <w:tcPr>
            <w:tcW w:w="1161" w:type="dxa"/>
            <w:vAlign w:val="bottom"/>
          </w:tcPr>
          <w:p w14:paraId="20698C64" w14:textId="1A521138" w:rsidR="00523D14" w:rsidRPr="00523D14" w:rsidRDefault="00523D14" w:rsidP="00523D14">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523D14">
              <w:rPr>
                <w:rFonts w:ascii="Arial Narrow" w:hAnsi="Arial Narrow"/>
                <w:color w:val="000000"/>
                <w:szCs w:val="20"/>
              </w:rPr>
              <w:t>0.296</w:t>
            </w:r>
          </w:p>
        </w:tc>
        <w:tc>
          <w:tcPr>
            <w:tcW w:w="1270" w:type="dxa"/>
            <w:vAlign w:val="bottom"/>
          </w:tcPr>
          <w:p w14:paraId="0C3BA74E" w14:textId="05050967" w:rsidR="00523D14" w:rsidRPr="00523D14" w:rsidRDefault="00523D14" w:rsidP="00523D14">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523D14">
              <w:rPr>
                <w:rFonts w:ascii="Arial Narrow" w:hAnsi="Arial Narrow"/>
                <w:color w:val="000000"/>
                <w:szCs w:val="20"/>
              </w:rPr>
              <w:t>-3.8</w:t>
            </w:r>
          </w:p>
        </w:tc>
        <w:tc>
          <w:tcPr>
            <w:tcW w:w="1529" w:type="dxa"/>
            <w:vAlign w:val="top"/>
          </w:tcPr>
          <w:p w14:paraId="678E200B" w14:textId="5839BF88" w:rsidR="00523D14" w:rsidRPr="00523D14" w:rsidRDefault="00523D14" w:rsidP="00523D14">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523D14">
              <w:rPr>
                <w:rFonts w:ascii="Arial Narrow" w:hAnsi="Arial Narrow" w:cs="Arial Narrow"/>
                <w:color w:val="000000"/>
                <w:szCs w:val="20"/>
              </w:rPr>
              <w:t>0.000</w:t>
            </w:r>
          </w:p>
        </w:tc>
      </w:tr>
      <w:tr w:rsidR="00523D14" w:rsidRPr="001B7768" w14:paraId="573EF0DB" w14:textId="77777777" w:rsidTr="00E67EDC">
        <w:trPr>
          <w:trHeight w:val="315"/>
        </w:trPr>
        <w:tc>
          <w:tcPr>
            <w:cnfStyle w:val="001000000000" w:firstRow="0" w:lastRow="0" w:firstColumn="1" w:lastColumn="0" w:oddVBand="0" w:evenVBand="0" w:oddHBand="0" w:evenHBand="0" w:firstRowFirstColumn="0" w:firstRowLastColumn="0" w:lastRowFirstColumn="0" w:lastRowLastColumn="0"/>
            <w:tcW w:w="4031" w:type="dxa"/>
            <w:vAlign w:val="bottom"/>
          </w:tcPr>
          <w:p w14:paraId="35C0E10A" w14:textId="008573F2" w:rsidR="00523D14" w:rsidRPr="00523D14" w:rsidRDefault="00523D14" w:rsidP="00523D14">
            <w:pPr>
              <w:keepNext/>
              <w:keepLines/>
              <w:spacing w:before="40" w:after="40"/>
              <w:jc w:val="left"/>
              <w:rPr>
                <w:rFonts w:ascii="Arial Narrow" w:hAnsi="Arial Narrow" w:cs="Calibri"/>
                <w:color w:val="000000"/>
                <w:szCs w:val="20"/>
              </w:rPr>
            </w:pPr>
            <w:r w:rsidRPr="00523D14">
              <w:rPr>
                <w:rFonts w:ascii="Arial Narrow" w:hAnsi="Arial Narrow"/>
                <w:color w:val="000000"/>
                <w:szCs w:val="20"/>
              </w:rPr>
              <w:t>post.trt:TR1</w:t>
            </w:r>
          </w:p>
        </w:tc>
        <w:tc>
          <w:tcPr>
            <w:tcW w:w="1279" w:type="dxa"/>
            <w:vAlign w:val="bottom"/>
          </w:tcPr>
          <w:p w14:paraId="4386144D" w14:textId="7C74718A" w:rsidR="00523D14" w:rsidRPr="00523D14" w:rsidRDefault="00523D14" w:rsidP="00523D14">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523D14">
              <w:rPr>
                <w:rFonts w:ascii="Arial Narrow" w:hAnsi="Arial Narrow"/>
                <w:color w:val="000000"/>
                <w:szCs w:val="20"/>
              </w:rPr>
              <w:t>-0.839</w:t>
            </w:r>
          </w:p>
        </w:tc>
        <w:tc>
          <w:tcPr>
            <w:tcW w:w="1161" w:type="dxa"/>
            <w:vAlign w:val="bottom"/>
          </w:tcPr>
          <w:p w14:paraId="09C59562" w14:textId="756F4397" w:rsidR="00523D14" w:rsidRPr="00523D14" w:rsidRDefault="00523D14" w:rsidP="00523D14">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523D14">
              <w:rPr>
                <w:rFonts w:ascii="Arial Narrow" w:hAnsi="Arial Narrow"/>
                <w:color w:val="000000"/>
                <w:szCs w:val="20"/>
              </w:rPr>
              <w:t>0.302</w:t>
            </w:r>
          </w:p>
        </w:tc>
        <w:tc>
          <w:tcPr>
            <w:tcW w:w="1270" w:type="dxa"/>
            <w:vAlign w:val="bottom"/>
          </w:tcPr>
          <w:p w14:paraId="7C00880C" w14:textId="13CAEB07" w:rsidR="00523D14" w:rsidRPr="00523D14" w:rsidRDefault="00523D14" w:rsidP="00523D14">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i/>
                <w:iCs/>
                <w:color w:val="000000"/>
                <w:szCs w:val="20"/>
              </w:rPr>
            </w:pPr>
            <w:r w:rsidRPr="00523D14">
              <w:rPr>
                <w:rFonts w:ascii="Arial Narrow" w:hAnsi="Arial Narrow"/>
                <w:color w:val="000000"/>
                <w:szCs w:val="20"/>
              </w:rPr>
              <w:t>-2.78</w:t>
            </w:r>
          </w:p>
        </w:tc>
        <w:tc>
          <w:tcPr>
            <w:tcW w:w="1529" w:type="dxa"/>
            <w:vAlign w:val="top"/>
          </w:tcPr>
          <w:p w14:paraId="3B701E15" w14:textId="6B69E90A" w:rsidR="00523D14" w:rsidRPr="00523D14" w:rsidRDefault="00523D14" w:rsidP="00523D14">
            <w:pPr>
              <w:keepNext/>
              <w:keepLines/>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523D14">
              <w:rPr>
                <w:rFonts w:ascii="Arial Narrow" w:hAnsi="Arial Narrow" w:cs="Arial Narrow"/>
                <w:color w:val="000000"/>
                <w:szCs w:val="20"/>
              </w:rPr>
              <w:t>0.005</w:t>
            </w:r>
          </w:p>
        </w:tc>
      </w:tr>
      <w:tr w:rsidR="004A60CA" w:rsidRPr="001B7768" w14:paraId="2416C62A" w14:textId="77777777" w:rsidTr="002A2309">
        <w:trPr>
          <w:trHeight w:val="315"/>
        </w:trPr>
        <w:tc>
          <w:tcPr>
            <w:cnfStyle w:val="001000000000" w:firstRow="0" w:lastRow="0" w:firstColumn="1" w:lastColumn="0" w:oddVBand="0" w:evenVBand="0" w:oddHBand="0" w:evenHBand="0" w:firstRowFirstColumn="0" w:firstRowLastColumn="0" w:lastRowFirstColumn="0" w:lastRowLastColumn="0"/>
            <w:tcW w:w="9270" w:type="dxa"/>
            <w:gridSpan w:val="5"/>
            <w:vAlign w:val="top"/>
          </w:tcPr>
          <w:p w14:paraId="7037B48F" w14:textId="44C2CA68" w:rsidR="004A60CA" w:rsidRPr="004F5021" w:rsidRDefault="004A60CA" w:rsidP="00A430A7">
            <w:pPr>
              <w:keepNext/>
              <w:keepLines/>
              <w:spacing w:before="40" w:after="40"/>
              <w:jc w:val="left"/>
              <w:rPr>
                <w:rFonts w:ascii="Arial Narrow" w:hAnsi="Arial Narrow" w:cs="Calibri"/>
                <w:color w:val="000000"/>
                <w:szCs w:val="20"/>
              </w:rPr>
            </w:pPr>
            <w:r w:rsidRPr="004F5021">
              <w:rPr>
                <w:rFonts w:ascii="Arial Narrow" w:hAnsi="Arial Narrow" w:cs="Arial Narrow"/>
                <w:color w:val="000000"/>
                <w:szCs w:val="20"/>
              </w:rPr>
              <w:t>Total Sum of Squares</w:t>
            </w:r>
            <w:r w:rsidR="008473DF" w:rsidRPr="004F5021">
              <w:rPr>
                <w:rFonts w:ascii="Arial Narrow" w:hAnsi="Arial Narrow" w:cs="Arial Narrow"/>
                <w:color w:val="000000"/>
                <w:szCs w:val="20"/>
              </w:rPr>
              <w:t>:</w:t>
            </w:r>
            <w:r w:rsidRPr="004F5021">
              <w:rPr>
                <w:rFonts w:ascii="Arial Narrow" w:hAnsi="Arial Narrow" w:cs="Arial Narrow"/>
                <w:color w:val="000000"/>
                <w:szCs w:val="20"/>
              </w:rPr>
              <w:t xml:space="preserve"> </w:t>
            </w:r>
            <w:r w:rsidR="00523D14" w:rsidRPr="004F5021">
              <w:rPr>
                <w:rFonts w:ascii="Arial Narrow" w:hAnsi="Arial Narrow"/>
                <w:color w:val="000000"/>
                <w:szCs w:val="20"/>
              </w:rPr>
              <w:t>421000000</w:t>
            </w:r>
            <w:r w:rsidR="00A430A7">
              <w:rPr>
                <w:rFonts w:ascii="Arial Narrow" w:hAnsi="Arial Narrow"/>
                <w:color w:val="000000"/>
                <w:szCs w:val="20"/>
              </w:rPr>
              <w:t xml:space="preserve">, </w:t>
            </w:r>
            <w:r w:rsidR="00A430A7" w:rsidRPr="004F5021">
              <w:rPr>
                <w:rFonts w:ascii="Arial Narrow" w:hAnsi="Arial Narrow" w:cs="Arial Narrow"/>
                <w:color w:val="000000"/>
                <w:szCs w:val="20"/>
              </w:rPr>
              <w:t xml:space="preserve">Residual Sum of Squares: </w:t>
            </w:r>
            <w:r w:rsidR="00A430A7" w:rsidRPr="004F5021">
              <w:rPr>
                <w:rFonts w:ascii="Arial Narrow" w:hAnsi="Arial Narrow"/>
                <w:color w:val="000000"/>
                <w:szCs w:val="20"/>
              </w:rPr>
              <w:t>420000000</w:t>
            </w:r>
          </w:p>
        </w:tc>
      </w:tr>
      <w:tr w:rsidR="004A60CA" w:rsidRPr="001B7768" w14:paraId="24A946B4" w14:textId="77777777" w:rsidTr="002A2309">
        <w:trPr>
          <w:trHeight w:val="315"/>
        </w:trPr>
        <w:tc>
          <w:tcPr>
            <w:cnfStyle w:val="001000000000" w:firstRow="0" w:lastRow="0" w:firstColumn="1" w:lastColumn="0" w:oddVBand="0" w:evenVBand="0" w:oddHBand="0" w:evenHBand="0" w:firstRowFirstColumn="0" w:firstRowLastColumn="0" w:lastRowFirstColumn="0" w:lastRowLastColumn="0"/>
            <w:tcW w:w="9270" w:type="dxa"/>
            <w:gridSpan w:val="5"/>
            <w:vAlign w:val="top"/>
          </w:tcPr>
          <w:p w14:paraId="478717CF" w14:textId="3E7621AC" w:rsidR="004A60CA" w:rsidRPr="004F5021" w:rsidRDefault="004A60CA" w:rsidP="00A430A7">
            <w:pPr>
              <w:keepNext/>
              <w:keepLines/>
              <w:spacing w:before="40" w:after="40"/>
              <w:jc w:val="left"/>
              <w:rPr>
                <w:rFonts w:ascii="Arial Narrow" w:hAnsi="Arial Narrow" w:cs="Calibri"/>
                <w:color w:val="000000"/>
                <w:szCs w:val="20"/>
              </w:rPr>
            </w:pPr>
            <w:r w:rsidRPr="004F5021">
              <w:rPr>
                <w:rFonts w:ascii="Arial Narrow" w:hAnsi="Arial Narrow" w:cs="Arial Narrow"/>
                <w:color w:val="000000"/>
                <w:szCs w:val="20"/>
              </w:rPr>
              <w:t>R-Squared</w:t>
            </w:r>
            <w:r w:rsidR="008473DF" w:rsidRPr="004F5021">
              <w:rPr>
                <w:rFonts w:ascii="Arial Narrow" w:hAnsi="Arial Narrow" w:cs="Arial Narrow"/>
                <w:color w:val="000000"/>
                <w:szCs w:val="20"/>
              </w:rPr>
              <w:t xml:space="preserve">: </w:t>
            </w:r>
            <w:r w:rsidR="00523D14" w:rsidRPr="004F5021">
              <w:rPr>
                <w:rFonts w:ascii="Arial Narrow" w:hAnsi="Arial Narrow"/>
                <w:color w:val="000000"/>
                <w:szCs w:val="20"/>
              </w:rPr>
              <w:t>0.000945</w:t>
            </w:r>
            <w:r w:rsidR="00A430A7">
              <w:rPr>
                <w:rFonts w:ascii="Arial Narrow" w:hAnsi="Arial Narrow"/>
                <w:color w:val="000000"/>
                <w:szCs w:val="20"/>
              </w:rPr>
              <w:t xml:space="preserve">, </w:t>
            </w:r>
            <w:r w:rsidR="00A430A7" w:rsidRPr="004F5021">
              <w:rPr>
                <w:rFonts w:ascii="Arial Narrow" w:hAnsi="Arial Narrow" w:cs="Arial Narrow"/>
                <w:color w:val="000000"/>
                <w:szCs w:val="20"/>
              </w:rPr>
              <w:t xml:space="preserve">Adj. R-Squared: </w:t>
            </w:r>
            <w:r w:rsidR="00A430A7" w:rsidRPr="004F5021">
              <w:rPr>
                <w:rFonts w:ascii="Arial Narrow" w:hAnsi="Arial Narrow"/>
                <w:color w:val="000000"/>
                <w:szCs w:val="20"/>
              </w:rPr>
              <w:t xml:space="preserve">0.000897 </w:t>
            </w:r>
            <w:r w:rsidR="00A430A7" w:rsidRPr="004F5021">
              <w:rPr>
                <w:rFonts w:ascii="Arial Narrow" w:hAnsi="Arial Narrow" w:cs="Arial Narrow"/>
                <w:color w:val="000000"/>
                <w:szCs w:val="20"/>
              </w:rPr>
              <w:t xml:space="preserve"> </w:t>
            </w:r>
          </w:p>
        </w:tc>
      </w:tr>
      <w:tr w:rsidR="004A60CA" w:rsidRPr="001B7768" w14:paraId="3B44E439" w14:textId="77777777" w:rsidTr="002A2309">
        <w:trPr>
          <w:trHeight w:val="315"/>
        </w:trPr>
        <w:tc>
          <w:tcPr>
            <w:cnfStyle w:val="001000000000" w:firstRow="0" w:lastRow="0" w:firstColumn="1" w:lastColumn="0" w:oddVBand="0" w:evenVBand="0" w:oddHBand="0" w:evenHBand="0" w:firstRowFirstColumn="0" w:firstRowLastColumn="0" w:lastRowFirstColumn="0" w:lastRowLastColumn="0"/>
            <w:tcW w:w="9270" w:type="dxa"/>
            <w:gridSpan w:val="5"/>
            <w:vAlign w:val="top"/>
          </w:tcPr>
          <w:p w14:paraId="3E722010" w14:textId="4DBE71ED" w:rsidR="004A60CA" w:rsidRPr="004F5021" w:rsidRDefault="00523D14" w:rsidP="00A430A7">
            <w:pPr>
              <w:pStyle w:val="HTMLPreformatted"/>
              <w:shd w:val="clear" w:color="auto" w:fill="FFFFFF"/>
              <w:spacing w:before="40" w:after="40"/>
              <w:jc w:val="left"/>
              <w:rPr>
                <w:rFonts w:ascii="Arial Narrow" w:hAnsi="Arial Narrow"/>
                <w:color w:val="000000"/>
              </w:rPr>
            </w:pPr>
            <w:r w:rsidRPr="004F5021">
              <w:rPr>
                <w:rFonts w:ascii="Arial Narrow" w:hAnsi="Arial Narrow"/>
                <w:color w:val="000000"/>
              </w:rPr>
              <w:t>F-statistic: 145.144 on 3 and 460278 DF, p-value: &lt;0.0000000000000002</w:t>
            </w:r>
          </w:p>
        </w:tc>
      </w:tr>
    </w:tbl>
    <w:p w14:paraId="5CF43373" w14:textId="77777777" w:rsidR="004A60CA" w:rsidRDefault="004A60CA" w:rsidP="002A2309">
      <w:pPr>
        <w:pStyle w:val="Source"/>
        <w:ind w:left="1260" w:hanging="1260"/>
      </w:pPr>
      <w:r>
        <w:t>Source: Navigant analysis</w:t>
      </w:r>
    </w:p>
    <w:p w14:paraId="5A793CEA" w14:textId="77777777" w:rsidR="001E0069" w:rsidRDefault="001E0069" w:rsidP="001E0069">
      <w:pPr>
        <w:pStyle w:val="Heading2"/>
      </w:pPr>
      <w:bookmarkStart w:id="140" w:name="_Ref441563315"/>
      <w:bookmarkStart w:id="141" w:name="_Toc441751897"/>
      <w:r w:rsidRPr="000144EC">
        <w:t xml:space="preserve">Savings </w:t>
      </w:r>
      <w:r>
        <w:t>D</w:t>
      </w:r>
      <w:r w:rsidRPr="000144EC">
        <w:t xml:space="preserve">ue to </w:t>
      </w:r>
      <w:r>
        <w:t>P</w:t>
      </w:r>
      <w:r w:rsidRPr="000144EC">
        <w:t xml:space="preserve">articipation </w:t>
      </w:r>
      <w:r>
        <w:t>U</w:t>
      </w:r>
      <w:r w:rsidRPr="000144EC">
        <w:t xml:space="preserve">plift in </w:t>
      </w:r>
      <w:r>
        <w:t>O</w:t>
      </w:r>
      <w:r w:rsidRPr="000144EC">
        <w:t xml:space="preserve">ther EE </w:t>
      </w:r>
      <w:r>
        <w:t>P</w:t>
      </w:r>
      <w:r w:rsidRPr="000144EC">
        <w:t>rograms</w:t>
      </w:r>
      <w:bookmarkEnd w:id="128"/>
      <w:bookmarkEnd w:id="129"/>
      <w:bookmarkEnd w:id="130"/>
      <w:bookmarkEnd w:id="131"/>
      <w:bookmarkEnd w:id="140"/>
      <w:bookmarkEnd w:id="141"/>
    </w:p>
    <w:p w14:paraId="6DA75851" w14:textId="77777777" w:rsidR="00A430A7" w:rsidRDefault="00185F6D" w:rsidP="001E0069">
      <w:r>
        <w:fldChar w:fldCharType="begin"/>
      </w:r>
      <w:r>
        <w:instrText xml:space="preserve"> REF _Ref369258772 \h </w:instrText>
      </w:r>
      <w:r>
        <w:fldChar w:fldCharType="separate"/>
      </w:r>
      <w:r w:rsidR="00E4410B">
        <w:t xml:space="preserve">Table </w:t>
      </w:r>
      <w:r w:rsidR="00E4410B">
        <w:rPr>
          <w:noProof/>
        </w:rPr>
        <w:t>6</w:t>
      </w:r>
      <w:r w:rsidR="00E4410B">
        <w:noBreakHyphen/>
      </w:r>
      <w:r w:rsidR="00E4410B">
        <w:rPr>
          <w:noProof/>
        </w:rPr>
        <w:t>8</w:t>
      </w:r>
      <w:r>
        <w:fldChar w:fldCharType="end"/>
      </w:r>
      <w:r>
        <w:t xml:space="preserve"> through </w:t>
      </w:r>
      <w:r w:rsidR="004F5021">
        <w:fldChar w:fldCharType="begin"/>
      </w:r>
      <w:r w:rsidR="004F5021">
        <w:instrText xml:space="preserve"> REF _Ref441493165 \h </w:instrText>
      </w:r>
      <w:r w:rsidR="004F5021">
        <w:fldChar w:fldCharType="separate"/>
      </w:r>
      <w:r w:rsidR="00E4410B">
        <w:t xml:space="preserve">Table </w:t>
      </w:r>
      <w:r w:rsidR="00E4410B">
        <w:rPr>
          <w:noProof/>
        </w:rPr>
        <w:t>6</w:t>
      </w:r>
      <w:r w:rsidR="00E4410B">
        <w:noBreakHyphen/>
      </w:r>
      <w:r w:rsidR="00E4410B">
        <w:rPr>
          <w:noProof/>
        </w:rPr>
        <w:t>13</w:t>
      </w:r>
      <w:r w:rsidR="004F5021">
        <w:fldChar w:fldCharType="end"/>
      </w:r>
      <w:r w:rsidR="001E0069">
        <w:t xml:space="preserve"> present program savings due to participation uplift in other EE programs. Each table provides the uplift for a single program group in each of four EE programs for which estimates of deemed savings are available:</w:t>
      </w:r>
      <w:r w:rsidR="00432327">
        <w:t xml:space="preserve"> the Fridge and Freezer Recycling (FFR) program, the Home Energy Assessment (HEA) program, the Home Energy Rebates (Rebate) program, and the Multi-family Energy Savings Program (MESP)</w:t>
      </w:r>
      <w:r w:rsidR="001E0069">
        <w:t>.</w:t>
      </w:r>
      <w:r w:rsidR="001E0069" w:rsidRPr="0011132A">
        <w:t xml:space="preserve"> </w:t>
      </w:r>
    </w:p>
    <w:p w14:paraId="76D56F46" w14:textId="77777777" w:rsidR="00A430A7" w:rsidRDefault="00A430A7" w:rsidP="001E0069"/>
    <w:p w14:paraId="6BFBB9BE" w14:textId="47F400F4" w:rsidR="001E0069" w:rsidRDefault="001E0069" w:rsidP="001E0069">
      <w:r>
        <w:t>In all tables, a</w:t>
      </w:r>
      <w:r w:rsidRPr="0011132A">
        <w:t xml:space="preserve"> dash (-) </w:t>
      </w:r>
      <w:r>
        <w:t xml:space="preserve">in a row concerning the change in rate of participation from the pre-program year </w:t>
      </w:r>
      <w:r w:rsidRPr="0011132A">
        <w:t xml:space="preserve">indicates the EE program did not exist </w:t>
      </w:r>
      <w:r>
        <w:t>for the entire</w:t>
      </w:r>
      <w:r w:rsidRPr="0011132A">
        <w:t xml:space="preserve"> pre-program year. For all cases where the EE program did not exist in the pre-program year, the estimat</w:t>
      </w:r>
      <w:r>
        <w:t>e is based on a POD statistic, o</w:t>
      </w:r>
      <w:r w:rsidRPr="0011132A">
        <w:t xml:space="preserve">therwise it is based </w:t>
      </w:r>
      <w:r w:rsidR="00194675">
        <w:t>on a DID statistic. Average FFR</w:t>
      </w:r>
      <w:r w:rsidRPr="0011132A">
        <w:t xml:space="preserve"> program savings are average </w:t>
      </w:r>
      <w:r>
        <w:t>net</w:t>
      </w:r>
      <w:r w:rsidRPr="0011132A">
        <w:t xml:space="preserve"> </w:t>
      </w:r>
      <w:r>
        <w:t>verified</w:t>
      </w:r>
      <w:r w:rsidRPr="0011132A">
        <w:t xml:space="preserve"> savings. Average </w:t>
      </w:r>
      <w:r w:rsidR="00194675">
        <w:t>HEA</w:t>
      </w:r>
      <w:r>
        <w:t xml:space="preserve"> </w:t>
      </w:r>
      <w:r w:rsidRPr="0011132A">
        <w:t xml:space="preserve">and </w:t>
      </w:r>
      <w:r w:rsidR="00194675">
        <w:t>Rebate</w:t>
      </w:r>
      <w:r w:rsidRPr="0011132A">
        <w:t xml:space="preserve"> program savings are </w:t>
      </w:r>
      <w:r w:rsidRPr="006F5306">
        <w:t>ex</w:t>
      </w:r>
      <w:r w:rsidR="00E87AAA">
        <w:t>-</w:t>
      </w:r>
      <w:r w:rsidRPr="006F5306">
        <w:t>ante</w:t>
      </w:r>
      <w:r w:rsidRPr="0011132A">
        <w:t xml:space="preserve"> savings.</w:t>
      </w:r>
      <w:r>
        <w:t xml:space="preserve"> Average M</w:t>
      </w:r>
      <w:r w:rsidR="00194675">
        <w:t>ES</w:t>
      </w:r>
      <w:r>
        <w:t xml:space="preserve">P savings are </w:t>
      </w:r>
      <w:r w:rsidR="00780661">
        <w:t>average gross verified savings.</w:t>
      </w:r>
    </w:p>
    <w:p w14:paraId="73863847" w14:textId="77777777" w:rsidR="00BB135F" w:rsidRDefault="00BB135F" w:rsidP="001E0069"/>
    <w:p w14:paraId="7F2A0116" w14:textId="0978AE98" w:rsidR="00BB135F" w:rsidRDefault="00BB135F" w:rsidP="001E0069">
      <w:r>
        <w:t xml:space="preserve">The tables also include the </w:t>
      </w:r>
      <w:r w:rsidRPr="00B43751">
        <w:t>p</w:t>
      </w:r>
      <w:r w:rsidRPr="00FF0806">
        <w:t>ercent</w:t>
      </w:r>
      <w:r>
        <w:t>age</w:t>
      </w:r>
      <w:r w:rsidRPr="00FF0806">
        <w:t xml:space="preserve"> change in EE program participation rate for HER participants. </w:t>
      </w:r>
      <w:r>
        <w:t>T</w:t>
      </w:r>
      <w:r w:rsidRPr="00FF0806">
        <w:t>his differs from the change in EE program participation rate for the entire EE program, which is not reported here. These rates should be interpreted with caution because they likely have very wide error bounds, many of which likely include zero. The calculation of standard errors on these rates is not straightforward and therefore</w:t>
      </w:r>
      <w:r>
        <w:t>, Navigant does</w:t>
      </w:r>
      <w:r w:rsidRPr="00FF0806">
        <w:t xml:space="preserve"> not report</w:t>
      </w:r>
      <w:r>
        <w:t xml:space="preserve"> them</w:t>
      </w:r>
      <w:r w:rsidRPr="00FF0806">
        <w:t xml:space="preserve"> here.</w:t>
      </w:r>
    </w:p>
    <w:p w14:paraId="53BF113B" w14:textId="77777777" w:rsidR="00780661" w:rsidRDefault="00780661" w:rsidP="001E0069"/>
    <w:p w14:paraId="3311ABFB" w14:textId="1293DB2F" w:rsidR="001E0069" w:rsidRDefault="001E0069" w:rsidP="004301F4">
      <w:pPr>
        <w:pStyle w:val="Caption"/>
      </w:pPr>
      <w:bookmarkStart w:id="142" w:name="_Ref369258772"/>
      <w:bookmarkStart w:id="143" w:name="_Toc378688214"/>
      <w:bookmarkStart w:id="144" w:name="_Toc403123221"/>
      <w:bookmarkStart w:id="145" w:name="_Toc408396097"/>
      <w:bookmarkStart w:id="146" w:name="_Toc408990898"/>
      <w:bookmarkStart w:id="147" w:name="_Toc441751912"/>
      <w:r>
        <w:lastRenderedPageBreak/>
        <w:t xml:space="preserve">Table </w:t>
      </w:r>
      <w:fldSimple w:instr=" STYLEREF 1 \s ">
        <w:r w:rsidR="00E4410B">
          <w:rPr>
            <w:noProof/>
          </w:rPr>
          <w:t>6</w:t>
        </w:r>
      </w:fldSimple>
      <w:r w:rsidR="00F05E89">
        <w:noBreakHyphen/>
      </w:r>
      <w:fldSimple w:instr=" SEQ Table \* ARABIC \s 1 ">
        <w:r w:rsidR="00E4410B">
          <w:rPr>
            <w:noProof/>
          </w:rPr>
          <w:t>8</w:t>
        </w:r>
      </w:fldSimple>
      <w:bookmarkEnd w:id="142"/>
      <w:r>
        <w:t>. Estimates of Double-Counted Savings: Wave 1, CR Persistence Group</w:t>
      </w:r>
      <w:bookmarkEnd w:id="143"/>
      <w:bookmarkEnd w:id="144"/>
      <w:bookmarkEnd w:id="145"/>
      <w:bookmarkEnd w:id="146"/>
      <w:bookmarkEnd w:id="147"/>
    </w:p>
    <w:tbl>
      <w:tblPr>
        <w:tblStyle w:val="ComEdTable"/>
        <w:tblW w:w="4997" w:type="pct"/>
        <w:tblLook w:val="04A0" w:firstRow="1" w:lastRow="0" w:firstColumn="1" w:lastColumn="0" w:noHBand="0" w:noVBand="1"/>
      </w:tblPr>
      <w:tblGrid>
        <w:gridCol w:w="5137"/>
        <w:gridCol w:w="1102"/>
        <w:gridCol w:w="1049"/>
        <w:gridCol w:w="1120"/>
        <w:gridCol w:w="1162"/>
      </w:tblGrid>
      <w:tr w:rsidR="001E0069" w:rsidRPr="000C02F7" w14:paraId="02C5F68B" w14:textId="77777777" w:rsidTr="002A2309">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684" w:type="pct"/>
            <w:vMerge w:val="restart"/>
          </w:tcPr>
          <w:p w14:paraId="47FF7CB2" w14:textId="77777777" w:rsidR="001E0069" w:rsidRPr="000C02F7" w:rsidRDefault="001E0069" w:rsidP="007E5455">
            <w:pPr>
              <w:keepNext/>
              <w:keepLines/>
              <w:autoSpaceDE w:val="0"/>
              <w:autoSpaceDN w:val="0"/>
              <w:adjustRightInd w:val="0"/>
              <w:spacing w:before="40" w:after="40"/>
              <w:jc w:val="left"/>
              <w:rPr>
                <w:rFonts w:ascii="Arial Narrow" w:hAnsi="Arial Narrow" w:cs="Calibri"/>
                <w:color w:val="000000"/>
                <w:szCs w:val="20"/>
              </w:rPr>
            </w:pPr>
          </w:p>
        </w:tc>
        <w:tc>
          <w:tcPr>
            <w:tcW w:w="2316" w:type="pct"/>
            <w:gridSpan w:val="4"/>
          </w:tcPr>
          <w:p w14:paraId="2F5FA191" w14:textId="77777777" w:rsidR="001E0069" w:rsidRPr="000C02F7" w:rsidRDefault="001E0069" w:rsidP="007E5455">
            <w:pPr>
              <w:keepNext/>
              <w:keepLines/>
              <w:autoSpaceDE w:val="0"/>
              <w:autoSpaceDN w:val="0"/>
              <w:adjustRightInd w:val="0"/>
              <w:spacing w:before="40" w:after="40"/>
              <w:jc w:val="center"/>
              <w:cnfStyle w:val="100000000000" w:firstRow="1" w:lastRow="0" w:firstColumn="0" w:lastColumn="0" w:oddVBand="0" w:evenVBand="0" w:oddHBand="0" w:evenHBand="0" w:firstRowFirstColumn="0" w:firstRowLastColumn="0" w:lastRowFirstColumn="0" w:lastRowLastColumn="0"/>
              <w:rPr>
                <w:rFonts w:ascii="Arial Narrow" w:hAnsi="Arial Narrow" w:cs="Calibri"/>
                <w:szCs w:val="20"/>
              </w:rPr>
            </w:pPr>
            <w:r w:rsidRPr="004F5021">
              <w:rPr>
                <w:rFonts w:ascii="Arial Narrow" w:hAnsi="Arial Narrow" w:cs="Calibri"/>
                <w:szCs w:val="20"/>
              </w:rPr>
              <w:t>Program</w:t>
            </w:r>
          </w:p>
        </w:tc>
      </w:tr>
      <w:tr w:rsidR="001E0069" w:rsidRPr="000C02F7" w14:paraId="084FF4C9" w14:textId="77777777" w:rsidTr="002A2309">
        <w:trPr>
          <w:trHeight w:val="432"/>
        </w:trPr>
        <w:tc>
          <w:tcPr>
            <w:cnfStyle w:val="001000000000" w:firstRow="0" w:lastRow="0" w:firstColumn="1" w:lastColumn="0" w:oddVBand="0" w:evenVBand="0" w:oddHBand="0" w:evenHBand="0" w:firstRowFirstColumn="0" w:firstRowLastColumn="0" w:lastRowFirstColumn="0" w:lastRowLastColumn="0"/>
            <w:tcW w:w="2684" w:type="pct"/>
            <w:vMerge/>
          </w:tcPr>
          <w:p w14:paraId="7F8FF52E" w14:textId="77777777" w:rsidR="001E0069" w:rsidRPr="000C02F7" w:rsidRDefault="001E0069" w:rsidP="007E5455">
            <w:pPr>
              <w:keepNext/>
              <w:keepLines/>
              <w:autoSpaceDE w:val="0"/>
              <w:autoSpaceDN w:val="0"/>
              <w:adjustRightInd w:val="0"/>
              <w:spacing w:before="40" w:after="40"/>
              <w:jc w:val="left"/>
              <w:rPr>
                <w:rFonts w:ascii="Arial Narrow" w:hAnsi="Arial Narrow" w:cs="Calibri"/>
                <w:color w:val="000000"/>
                <w:szCs w:val="20"/>
              </w:rPr>
            </w:pPr>
          </w:p>
        </w:tc>
        <w:tc>
          <w:tcPr>
            <w:tcW w:w="576" w:type="pct"/>
            <w:shd w:val="clear" w:color="auto" w:fill="92876D"/>
          </w:tcPr>
          <w:p w14:paraId="50BDD8E1" w14:textId="3B45BB59" w:rsidR="001E0069" w:rsidRPr="00B74A3B" w:rsidRDefault="00194675" w:rsidP="00194675">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b/>
                <w:color w:val="FFFFFF" w:themeColor="background1"/>
                <w:szCs w:val="20"/>
              </w:rPr>
            </w:pPr>
            <w:r>
              <w:rPr>
                <w:rFonts w:ascii="Arial Narrow" w:hAnsi="Arial Narrow" w:cs="Calibri"/>
                <w:b/>
                <w:color w:val="FFFFFF" w:themeColor="background1"/>
                <w:szCs w:val="20"/>
              </w:rPr>
              <w:t>FFR</w:t>
            </w:r>
          </w:p>
        </w:tc>
        <w:tc>
          <w:tcPr>
            <w:tcW w:w="548" w:type="pct"/>
            <w:shd w:val="clear" w:color="auto" w:fill="92876D"/>
          </w:tcPr>
          <w:p w14:paraId="1E360130" w14:textId="3A5323B3" w:rsidR="001E0069" w:rsidRPr="00B74A3B" w:rsidRDefault="00194675" w:rsidP="007E5455">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b/>
                <w:color w:val="FFFFFF" w:themeColor="background1"/>
                <w:szCs w:val="20"/>
              </w:rPr>
            </w:pPr>
            <w:r>
              <w:rPr>
                <w:rFonts w:ascii="Arial Narrow" w:hAnsi="Arial Narrow" w:cs="Calibri"/>
                <w:b/>
                <w:color w:val="FFFFFF" w:themeColor="background1"/>
                <w:szCs w:val="20"/>
              </w:rPr>
              <w:t>HEA</w:t>
            </w:r>
          </w:p>
        </w:tc>
        <w:tc>
          <w:tcPr>
            <w:tcW w:w="585" w:type="pct"/>
            <w:shd w:val="clear" w:color="auto" w:fill="92876D"/>
          </w:tcPr>
          <w:p w14:paraId="18D852ED" w14:textId="35F992A2" w:rsidR="001E0069" w:rsidRPr="00B74A3B" w:rsidRDefault="00194675" w:rsidP="007E5455">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b/>
                <w:color w:val="FFFFFF" w:themeColor="background1"/>
                <w:szCs w:val="20"/>
              </w:rPr>
            </w:pPr>
            <w:r>
              <w:rPr>
                <w:rFonts w:ascii="Arial Narrow" w:hAnsi="Arial Narrow" w:cs="Calibri"/>
                <w:b/>
                <w:color w:val="FFFFFF" w:themeColor="background1"/>
                <w:szCs w:val="20"/>
              </w:rPr>
              <w:t>MESP</w:t>
            </w:r>
          </w:p>
        </w:tc>
        <w:tc>
          <w:tcPr>
            <w:tcW w:w="607" w:type="pct"/>
            <w:shd w:val="clear" w:color="auto" w:fill="92876D"/>
          </w:tcPr>
          <w:p w14:paraId="3DF20253" w14:textId="095C71B7" w:rsidR="001E0069" w:rsidRPr="00B74A3B" w:rsidRDefault="00194675" w:rsidP="007E5455">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b/>
                <w:color w:val="FFFFFF" w:themeColor="background1"/>
                <w:szCs w:val="20"/>
              </w:rPr>
            </w:pPr>
            <w:r>
              <w:rPr>
                <w:rFonts w:ascii="Arial Narrow" w:hAnsi="Arial Narrow" w:cs="Calibri"/>
                <w:b/>
                <w:color w:val="FFFFFF" w:themeColor="background1"/>
                <w:szCs w:val="20"/>
              </w:rPr>
              <w:t>Rebate</w:t>
            </w:r>
          </w:p>
        </w:tc>
      </w:tr>
      <w:tr w:rsidR="00C074EE" w:rsidRPr="000C02F7" w14:paraId="554276FE"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684" w:type="pct"/>
          </w:tcPr>
          <w:p w14:paraId="7E6E7332" w14:textId="4F8D9877" w:rsidR="00C074EE" w:rsidRPr="00830E24" w:rsidRDefault="00C074EE" w:rsidP="004F468F">
            <w:pPr>
              <w:keepNext/>
              <w:keepLines/>
              <w:autoSpaceDE w:val="0"/>
              <w:autoSpaceDN w:val="0"/>
              <w:adjustRightInd w:val="0"/>
              <w:spacing w:before="40" w:after="40"/>
              <w:jc w:val="left"/>
              <w:rPr>
                <w:rFonts w:ascii="Arial Narrow" w:hAnsi="Arial Narrow" w:cs="Calibri"/>
                <w:szCs w:val="20"/>
              </w:rPr>
            </w:pPr>
            <w:r w:rsidRPr="00830E24">
              <w:rPr>
                <w:rFonts w:ascii="Arial Narrow" w:hAnsi="Arial Narrow"/>
                <w:szCs w:val="20"/>
              </w:rPr>
              <w:t>Average program savings (annual kWh per participant)</w:t>
            </w:r>
          </w:p>
        </w:tc>
        <w:tc>
          <w:tcPr>
            <w:tcW w:w="576" w:type="pct"/>
          </w:tcPr>
          <w:p w14:paraId="6E463D7F" w14:textId="378FA8B6"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592</w:t>
            </w:r>
          </w:p>
        </w:tc>
        <w:tc>
          <w:tcPr>
            <w:tcW w:w="548" w:type="pct"/>
          </w:tcPr>
          <w:p w14:paraId="17B2268D" w14:textId="759EC340"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500</w:t>
            </w:r>
          </w:p>
        </w:tc>
        <w:tc>
          <w:tcPr>
            <w:tcW w:w="585" w:type="pct"/>
          </w:tcPr>
          <w:p w14:paraId="287DBAFA" w14:textId="55983523"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304</w:t>
            </w:r>
          </w:p>
        </w:tc>
        <w:tc>
          <w:tcPr>
            <w:tcW w:w="607" w:type="pct"/>
          </w:tcPr>
          <w:p w14:paraId="7A7AD4CB" w14:textId="3EC20FF0"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593</w:t>
            </w:r>
          </w:p>
        </w:tc>
      </w:tr>
      <w:tr w:rsidR="00C074EE" w:rsidRPr="000C02F7" w14:paraId="41893867"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684" w:type="pct"/>
          </w:tcPr>
          <w:p w14:paraId="71DBC2DD" w14:textId="0F72E7CC" w:rsidR="00C074EE" w:rsidRPr="00830E24" w:rsidRDefault="00C074EE" w:rsidP="004F468F">
            <w:pPr>
              <w:keepNext/>
              <w:keepLines/>
              <w:autoSpaceDE w:val="0"/>
              <w:autoSpaceDN w:val="0"/>
              <w:adjustRightInd w:val="0"/>
              <w:spacing w:before="40" w:after="40"/>
              <w:jc w:val="left"/>
              <w:rPr>
                <w:rFonts w:ascii="Arial Narrow" w:hAnsi="Arial Narrow" w:cs="Calibri"/>
                <w:szCs w:val="20"/>
              </w:rPr>
            </w:pPr>
            <w:r w:rsidRPr="00830E24">
              <w:rPr>
                <w:rFonts w:ascii="Arial Narrow" w:hAnsi="Arial Narrow"/>
                <w:szCs w:val="20"/>
              </w:rPr>
              <w:t># HER treatment households</w:t>
            </w:r>
          </w:p>
        </w:tc>
        <w:tc>
          <w:tcPr>
            <w:tcW w:w="576" w:type="pct"/>
          </w:tcPr>
          <w:p w14:paraId="16CF9B43" w14:textId="7976D8BC"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28,915</w:t>
            </w:r>
          </w:p>
        </w:tc>
        <w:tc>
          <w:tcPr>
            <w:tcW w:w="548" w:type="pct"/>
          </w:tcPr>
          <w:p w14:paraId="3584204C" w14:textId="5864BFD5"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28,915</w:t>
            </w:r>
          </w:p>
        </w:tc>
        <w:tc>
          <w:tcPr>
            <w:tcW w:w="585" w:type="pct"/>
          </w:tcPr>
          <w:p w14:paraId="28D7DDFA" w14:textId="683263D5"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28,915</w:t>
            </w:r>
          </w:p>
        </w:tc>
        <w:tc>
          <w:tcPr>
            <w:tcW w:w="607" w:type="pct"/>
          </w:tcPr>
          <w:p w14:paraId="7C6B758A" w14:textId="03F7AB93"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28,915</w:t>
            </w:r>
          </w:p>
        </w:tc>
      </w:tr>
      <w:tr w:rsidR="00C074EE" w:rsidRPr="000C02F7" w14:paraId="552B5A55"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684" w:type="pct"/>
          </w:tcPr>
          <w:p w14:paraId="48459844" w14:textId="55889E30" w:rsidR="00C074EE" w:rsidRPr="00830E24" w:rsidRDefault="00C074EE" w:rsidP="004F468F">
            <w:pPr>
              <w:keepNext/>
              <w:keepLines/>
              <w:autoSpaceDE w:val="0"/>
              <w:autoSpaceDN w:val="0"/>
              <w:adjustRightInd w:val="0"/>
              <w:spacing w:before="40" w:after="40"/>
              <w:jc w:val="left"/>
              <w:rPr>
                <w:rFonts w:ascii="Arial Narrow" w:hAnsi="Arial Narrow" w:cs="Calibri"/>
                <w:szCs w:val="20"/>
              </w:rPr>
            </w:pPr>
            <w:r w:rsidRPr="00830E24">
              <w:rPr>
                <w:rFonts w:ascii="Arial Narrow" w:hAnsi="Arial Narrow"/>
                <w:szCs w:val="20"/>
              </w:rPr>
              <w:t>Rate of participation, PY7 (%)</w:t>
            </w:r>
          </w:p>
        </w:tc>
        <w:tc>
          <w:tcPr>
            <w:tcW w:w="576" w:type="pct"/>
          </w:tcPr>
          <w:p w14:paraId="30EF422B" w14:textId="28C36DEE"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1.48%</w:t>
            </w:r>
          </w:p>
        </w:tc>
        <w:tc>
          <w:tcPr>
            <w:tcW w:w="548" w:type="pct"/>
          </w:tcPr>
          <w:p w14:paraId="65CA40D0" w14:textId="4A87ACAA"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0.03%</w:t>
            </w:r>
          </w:p>
        </w:tc>
        <w:tc>
          <w:tcPr>
            <w:tcW w:w="585" w:type="pct"/>
          </w:tcPr>
          <w:p w14:paraId="1B25598F" w14:textId="28DE8989"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0.08%</w:t>
            </w:r>
          </w:p>
        </w:tc>
        <w:tc>
          <w:tcPr>
            <w:tcW w:w="607" w:type="pct"/>
          </w:tcPr>
          <w:p w14:paraId="02E98F4E" w14:textId="7FA66D16"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0.30%</w:t>
            </w:r>
          </w:p>
        </w:tc>
      </w:tr>
      <w:tr w:rsidR="00C074EE" w:rsidRPr="000C02F7" w14:paraId="1CA5604E"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684" w:type="pct"/>
          </w:tcPr>
          <w:p w14:paraId="7B355528" w14:textId="4DB14B6A" w:rsidR="00C074EE" w:rsidRPr="00830E24" w:rsidRDefault="00C074EE" w:rsidP="004F468F">
            <w:pPr>
              <w:keepNext/>
              <w:keepLines/>
              <w:autoSpaceDE w:val="0"/>
              <w:autoSpaceDN w:val="0"/>
              <w:adjustRightInd w:val="0"/>
              <w:spacing w:before="40" w:after="40"/>
              <w:jc w:val="left"/>
              <w:rPr>
                <w:rFonts w:ascii="Arial Narrow" w:hAnsi="Arial Narrow" w:cs="Calibri"/>
                <w:szCs w:val="20"/>
              </w:rPr>
            </w:pPr>
            <w:r w:rsidRPr="00830E24">
              <w:rPr>
                <w:rFonts w:ascii="Arial Narrow" w:hAnsi="Arial Narrow"/>
                <w:szCs w:val="20"/>
              </w:rPr>
              <w:t>Change in rate of participation from pre-program year (%)</w:t>
            </w:r>
          </w:p>
        </w:tc>
        <w:tc>
          <w:tcPr>
            <w:tcW w:w="576" w:type="pct"/>
          </w:tcPr>
          <w:p w14:paraId="4810CE0D" w14:textId="47527691"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0.98%</w:t>
            </w:r>
          </w:p>
        </w:tc>
        <w:tc>
          <w:tcPr>
            <w:tcW w:w="548" w:type="pct"/>
          </w:tcPr>
          <w:p w14:paraId="47BD9F90" w14:textId="01153FB1"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w:t>
            </w:r>
          </w:p>
        </w:tc>
        <w:tc>
          <w:tcPr>
            <w:tcW w:w="585" w:type="pct"/>
          </w:tcPr>
          <w:p w14:paraId="509F4528" w14:textId="56C99C2E"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w:t>
            </w:r>
          </w:p>
        </w:tc>
        <w:tc>
          <w:tcPr>
            <w:tcW w:w="607" w:type="pct"/>
          </w:tcPr>
          <w:p w14:paraId="092CF450" w14:textId="3F206E9F"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w:t>
            </w:r>
          </w:p>
        </w:tc>
      </w:tr>
      <w:tr w:rsidR="00C074EE" w:rsidRPr="000C02F7" w14:paraId="2C1441F9"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684" w:type="pct"/>
          </w:tcPr>
          <w:p w14:paraId="0F6C4F81" w14:textId="6C48695D" w:rsidR="00C074EE" w:rsidRPr="00830E24" w:rsidRDefault="00C074EE" w:rsidP="004F468F">
            <w:pPr>
              <w:keepNext/>
              <w:keepLines/>
              <w:autoSpaceDE w:val="0"/>
              <w:autoSpaceDN w:val="0"/>
              <w:adjustRightInd w:val="0"/>
              <w:spacing w:before="40" w:after="40"/>
              <w:jc w:val="left"/>
              <w:rPr>
                <w:rFonts w:ascii="Arial Narrow" w:hAnsi="Arial Narrow" w:cs="Calibri"/>
                <w:szCs w:val="20"/>
              </w:rPr>
            </w:pPr>
            <w:r w:rsidRPr="00830E24">
              <w:rPr>
                <w:rFonts w:ascii="Arial Narrow" w:hAnsi="Arial Narrow"/>
                <w:szCs w:val="20"/>
              </w:rPr>
              <w:t># HER control households</w:t>
            </w:r>
          </w:p>
        </w:tc>
        <w:tc>
          <w:tcPr>
            <w:tcW w:w="576" w:type="pct"/>
          </w:tcPr>
          <w:p w14:paraId="4932C00F" w14:textId="7CDC9C19"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28,925</w:t>
            </w:r>
          </w:p>
        </w:tc>
        <w:tc>
          <w:tcPr>
            <w:tcW w:w="548" w:type="pct"/>
          </w:tcPr>
          <w:p w14:paraId="3AFEE221" w14:textId="365FFE7F"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27,393</w:t>
            </w:r>
          </w:p>
        </w:tc>
        <w:tc>
          <w:tcPr>
            <w:tcW w:w="585" w:type="pct"/>
          </w:tcPr>
          <w:p w14:paraId="5F35EE4B" w14:textId="3FE3F817"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27,393</w:t>
            </w:r>
          </w:p>
        </w:tc>
        <w:tc>
          <w:tcPr>
            <w:tcW w:w="607" w:type="pct"/>
          </w:tcPr>
          <w:p w14:paraId="33039913" w14:textId="5D99AA19"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27,393</w:t>
            </w:r>
          </w:p>
        </w:tc>
      </w:tr>
      <w:tr w:rsidR="00C074EE" w:rsidRPr="000C02F7" w14:paraId="0AD707F3"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684" w:type="pct"/>
          </w:tcPr>
          <w:p w14:paraId="2033BFA8" w14:textId="0C587263" w:rsidR="00C074EE" w:rsidRPr="00830E24" w:rsidRDefault="00C074EE" w:rsidP="004F468F">
            <w:pPr>
              <w:keepNext/>
              <w:keepLines/>
              <w:autoSpaceDE w:val="0"/>
              <w:autoSpaceDN w:val="0"/>
              <w:adjustRightInd w:val="0"/>
              <w:spacing w:before="40" w:after="40"/>
              <w:jc w:val="left"/>
              <w:rPr>
                <w:rFonts w:ascii="Arial Narrow" w:hAnsi="Arial Narrow" w:cs="Calibri"/>
                <w:szCs w:val="20"/>
              </w:rPr>
            </w:pPr>
            <w:r w:rsidRPr="00830E24">
              <w:rPr>
                <w:rFonts w:ascii="Arial Narrow" w:hAnsi="Arial Narrow"/>
                <w:szCs w:val="20"/>
              </w:rPr>
              <w:t>Rate of participation, PY7 (%)</w:t>
            </w:r>
          </w:p>
        </w:tc>
        <w:tc>
          <w:tcPr>
            <w:tcW w:w="576" w:type="pct"/>
          </w:tcPr>
          <w:p w14:paraId="7C4C4D78" w14:textId="307398EE"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1.44%</w:t>
            </w:r>
          </w:p>
        </w:tc>
        <w:tc>
          <w:tcPr>
            <w:tcW w:w="548" w:type="pct"/>
          </w:tcPr>
          <w:p w14:paraId="1644F2B3" w14:textId="75A7518B"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0.04%</w:t>
            </w:r>
          </w:p>
        </w:tc>
        <w:tc>
          <w:tcPr>
            <w:tcW w:w="585" w:type="pct"/>
          </w:tcPr>
          <w:p w14:paraId="6E1F8B7A" w14:textId="50E48F7B"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0.11%</w:t>
            </w:r>
          </w:p>
        </w:tc>
        <w:tc>
          <w:tcPr>
            <w:tcW w:w="607" w:type="pct"/>
          </w:tcPr>
          <w:p w14:paraId="4B36A7FA" w14:textId="0F68907F"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0.27%</w:t>
            </w:r>
          </w:p>
        </w:tc>
      </w:tr>
      <w:tr w:rsidR="00C074EE" w:rsidRPr="000C02F7" w14:paraId="2EAF5549"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684" w:type="pct"/>
          </w:tcPr>
          <w:p w14:paraId="7658BEDB" w14:textId="5529AA1D" w:rsidR="00C074EE" w:rsidRPr="00830E24" w:rsidRDefault="00C074EE" w:rsidP="004F468F">
            <w:pPr>
              <w:keepNext/>
              <w:keepLines/>
              <w:autoSpaceDE w:val="0"/>
              <w:autoSpaceDN w:val="0"/>
              <w:adjustRightInd w:val="0"/>
              <w:spacing w:before="40" w:after="40"/>
              <w:jc w:val="left"/>
              <w:rPr>
                <w:rFonts w:ascii="Arial Narrow" w:hAnsi="Arial Narrow" w:cs="Calibri"/>
                <w:szCs w:val="20"/>
              </w:rPr>
            </w:pPr>
            <w:r w:rsidRPr="00830E24">
              <w:rPr>
                <w:rFonts w:ascii="Arial Narrow" w:hAnsi="Arial Narrow"/>
                <w:szCs w:val="20"/>
              </w:rPr>
              <w:t>Change in rate of participation from pre-program year (%)</w:t>
            </w:r>
          </w:p>
        </w:tc>
        <w:tc>
          <w:tcPr>
            <w:tcW w:w="576" w:type="pct"/>
          </w:tcPr>
          <w:p w14:paraId="459EBFA2" w14:textId="68FE3EE0"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0.90%</w:t>
            </w:r>
          </w:p>
        </w:tc>
        <w:tc>
          <w:tcPr>
            <w:tcW w:w="548" w:type="pct"/>
          </w:tcPr>
          <w:p w14:paraId="762A8F3A" w14:textId="464F4499"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w:t>
            </w:r>
          </w:p>
        </w:tc>
        <w:tc>
          <w:tcPr>
            <w:tcW w:w="585" w:type="pct"/>
          </w:tcPr>
          <w:p w14:paraId="59C59B0E" w14:textId="3C222F64"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w:t>
            </w:r>
          </w:p>
        </w:tc>
        <w:tc>
          <w:tcPr>
            <w:tcW w:w="607" w:type="pct"/>
          </w:tcPr>
          <w:p w14:paraId="0CDA5303" w14:textId="17F44586"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w:t>
            </w:r>
          </w:p>
        </w:tc>
      </w:tr>
      <w:tr w:rsidR="00C074EE" w:rsidRPr="000C02F7" w14:paraId="75EC2534"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684" w:type="pct"/>
          </w:tcPr>
          <w:p w14:paraId="17679808" w14:textId="3F400315" w:rsidR="00C074EE" w:rsidRPr="00830E24" w:rsidRDefault="00C074EE" w:rsidP="004F468F">
            <w:pPr>
              <w:keepNext/>
              <w:keepLines/>
              <w:autoSpaceDE w:val="0"/>
              <w:autoSpaceDN w:val="0"/>
              <w:adjustRightInd w:val="0"/>
              <w:spacing w:before="40" w:after="40"/>
              <w:jc w:val="left"/>
              <w:rPr>
                <w:rFonts w:ascii="Arial Narrow" w:hAnsi="Arial Narrow" w:cs="Calibri"/>
                <w:szCs w:val="20"/>
              </w:rPr>
            </w:pPr>
            <w:r w:rsidRPr="00830E24">
              <w:rPr>
                <w:rFonts w:ascii="Arial Narrow" w:hAnsi="Arial Narrow"/>
                <w:szCs w:val="20"/>
              </w:rPr>
              <w:t>DID/POD statistic</w:t>
            </w:r>
          </w:p>
        </w:tc>
        <w:tc>
          <w:tcPr>
            <w:tcW w:w="576" w:type="pct"/>
          </w:tcPr>
          <w:p w14:paraId="7C401B75" w14:textId="75ED939D"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0.07%</w:t>
            </w:r>
          </w:p>
        </w:tc>
        <w:tc>
          <w:tcPr>
            <w:tcW w:w="548" w:type="pct"/>
          </w:tcPr>
          <w:p w14:paraId="426A4C51" w14:textId="09E25509"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0.00%</w:t>
            </w:r>
          </w:p>
        </w:tc>
        <w:tc>
          <w:tcPr>
            <w:tcW w:w="585" w:type="pct"/>
          </w:tcPr>
          <w:p w14:paraId="02FEA02A" w14:textId="4D675434"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-0.02%</w:t>
            </w:r>
          </w:p>
        </w:tc>
        <w:tc>
          <w:tcPr>
            <w:tcW w:w="607" w:type="pct"/>
          </w:tcPr>
          <w:p w14:paraId="7D530B79" w14:textId="3C310A99"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0.04%</w:t>
            </w:r>
          </w:p>
        </w:tc>
      </w:tr>
      <w:tr w:rsidR="00C074EE" w:rsidRPr="000C02F7" w14:paraId="44108170"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684" w:type="pct"/>
          </w:tcPr>
          <w:p w14:paraId="7F5C4395" w14:textId="6ABB9A5B" w:rsidR="00C074EE" w:rsidRPr="00830E24" w:rsidRDefault="00C074EE" w:rsidP="004F468F">
            <w:pPr>
              <w:keepNext/>
              <w:keepLines/>
              <w:autoSpaceDE w:val="0"/>
              <w:autoSpaceDN w:val="0"/>
              <w:adjustRightInd w:val="0"/>
              <w:spacing w:before="40" w:after="40"/>
              <w:jc w:val="left"/>
              <w:rPr>
                <w:rFonts w:ascii="Arial Narrow" w:hAnsi="Arial Narrow" w:cs="Calibri"/>
                <w:szCs w:val="20"/>
              </w:rPr>
            </w:pPr>
            <w:r w:rsidRPr="00830E24">
              <w:rPr>
                <w:rFonts w:ascii="Arial Narrow" w:hAnsi="Arial Narrow"/>
                <w:szCs w:val="20"/>
              </w:rPr>
              <w:t>Change in program participation due to HER program</w:t>
            </w:r>
          </w:p>
        </w:tc>
        <w:tc>
          <w:tcPr>
            <w:tcW w:w="576" w:type="pct"/>
          </w:tcPr>
          <w:p w14:paraId="1199A989" w14:textId="34387E05"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21</w:t>
            </w:r>
          </w:p>
        </w:tc>
        <w:tc>
          <w:tcPr>
            <w:tcW w:w="548" w:type="pct"/>
          </w:tcPr>
          <w:p w14:paraId="4F09B0BB" w14:textId="27EEC714"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-1</w:t>
            </w:r>
          </w:p>
        </w:tc>
        <w:tc>
          <w:tcPr>
            <w:tcW w:w="585" w:type="pct"/>
          </w:tcPr>
          <w:p w14:paraId="41CDC61B" w14:textId="66A1AF27"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-7</w:t>
            </w:r>
          </w:p>
        </w:tc>
        <w:tc>
          <w:tcPr>
            <w:tcW w:w="607" w:type="pct"/>
          </w:tcPr>
          <w:p w14:paraId="0E35E14A" w14:textId="3BB9ABC7"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12</w:t>
            </w:r>
          </w:p>
        </w:tc>
      </w:tr>
      <w:tr w:rsidR="00C074EE" w:rsidRPr="000C02F7" w14:paraId="66CFB407"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684" w:type="pct"/>
          </w:tcPr>
          <w:p w14:paraId="4842904F" w14:textId="486B5497" w:rsidR="00C074EE" w:rsidRPr="00830E24" w:rsidRDefault="00C074EE" w:rsidP="004F468F">
            <w:pPr>
              <w:keepNext/>
              <w:keepLines/>
              <w:autoSpaceDE w:val="0"/>
              <w:autoSpaceDN w:val="0"/>
              <w:adjustRightInd w:val="0"/>
              <w:spacing w:before="40" w:after="40"/>
              <w:jc w:val="left"/>
              <w:rPr>
                <w:rFonts w:ascii="Arial Narrow" w:hAnsi="Arial Narrow" w:cs="Calibri"/>
                <w:szCs w:val="20"/>
              </w:rPr>
            </w:pPr>
            <w:r w:rsidRPr="00830E24">
              <w:rPr>
                <w:rFonts w:ascii="Arial Narrow" w:hAnsi="Arial Narrow"/>
                <w:szCs w:val="20"/>
              </w:rPr>
              <w:t>Statistically significant at the 90% confidence level?</w:t>
            </w:r>
          </w:p>
        </w:tc>
        <w:tc>
          <w:tcPr>
            <w:tcW w:w="576" w:type="pct"/>
          </w:tcPr>
          <w:p w14:paraId="3CA712BF" w14:textId="5C03EA51"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No</w:t>
            </w:r>
          </w:p>
        </w:tc>
        <w:tc>
          <w:tcPr>
            <w:tcW w:w="548" w:type="pct"/>
          </w:tcPr>
          <w:p w14:paraId="70870060" w14:textId="61E9A13C"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No</w:t>
            </w:r>
          </w:p>
        </w:tc>
        <w:tc>
          <w:tcPr>
            <w:tcW w:w="585" w:type="pct"/>
          </w:tcPr>
          <w:p w14:paraId="06265EA9" w14:textId="2E755E6B"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No</w:t>
            </w:r>
          </w:p>
        </w:tc>
        <w:tc>
          <w:tcPr>
            <w:tcW w:w="607" w:type="pct"/>
          </w:tcPr>
          <w:p w14:paraId="090A2F92" w14:textId="7EFE93F6"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No</w:t>
            </w:r>
          </w:p>
        </w:tc>
      </w:tr>
      <w:tr w:rsidR="00C074EE" w:rsidRPr="000C02F7" w14:paraId="7058BDAC"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684" w:type="pct"/>
          </w:tcPr>
          <w:p w14:paraId="493A4F07" w14:textId="3BE29AB1" w:rsidR="00C074EE" w:rsidRPr="00830E24" w:rsidRDefault="00C074EE" w:rsidP="004F468F">
            <w:pPr>
              <w:keepNext/>
              <w:keepLines/>
              <w:autoSpaceDE w:val="0"/>
              <w:autoSpaceDN w:val="0"/>
              <w:adjustRightInd w:val="0"/>
              <w:spacing w:before="40" w:after="40"/>
              <w:jc w:val="left"/>
              <w:rPr>
                <w:rFonts w:ascii="Arial Narrow" w:hAnsi="Arial Narrow" w:cs="Calibri"/>
                <w:szCs w:val="20"/>
              </w:rPr>
            </w:pPr>
            <w:r w:rsidRPr="00830E24">
              <w:rPr>
                <w:rFonts w:ascii="Arial Narrow" w:hAnsi="Arial Narrow"/>
                <w:szCs w:val="20"/>
              </w:rPr>
              <w:t>Savings attributable to other programs (kWh)</w:t>
            </w:r>
          </w:p>
        </w:tc>
        <w:tc>
          <w:tcPr>
            <w:tcW w:w="576" w:type="pct"/>
          </w:tcPr>
          <w:p w14:paraId="5CF69B41" w14:textId="3700B799"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12,485</w:t>
            </w:r>
          </w:p>
        </w:tc>
        <w:tc>
          <w:tcPr>
            <w:tcW w:w="548" w:type="pct"/>
          </w:tcPr>
          <w:p w14:paraId="7BAEF309" w14:textId="071751FD"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-498</w:t>
            </w:r>
          </w:p>
        </w:tc>
        <w:tc>
          <w:tcPr>
            <w:tcW w:w="585" w:type="pct"/>
          </w:tcPr>
          <w:p w14:paraId="01AEAC17" w14:textId="347885B4"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-2,127</w:t>
            </w:r>
          </w:p>
        </w:tc>
        <w:tc>
          <w:tcPr>
            <w:tcW w:w="607" w:type="pct"/>
          </w:tcPr>
          <w:p w14:paraId="250C9FBC" w14:textId="45A8CB89" w:rsidR="00C074EE" w:rsidRPr="00582AF9" w:rsidRDefault="00C074EE"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7,135</w:t>
            </w:r>
          </w:p>
        </w:tc>
      </w:tr>
      <w:tr w:rsidR="004F468F" w:rsidRPr="000C02F7" w14:paraId="043F051F"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684" w:type="pct"/>
          </w:tcPr>
          <w:p w14:paraId="3166A15B" w14:textId="5C191744" w:rsidR="004F468F" w:rsidRPr="00830E24" w:rsidRDefault="004F468F" w:rsidP="004F468F">
            <w:pPr>
              <w:keepNext/>
              <w:keepLines/>
              <w:autoSpaceDE w:val="0"/>
              <w:autoSpaceDN w:val="0"/>
              <w:adjustRightInd w:val="0"/>
              <w:spacing w:before="40" w:after="40"/>
              <w:jc w:val="left"/>
              <w:rPr>
                <w:rFonts w:ascii="Arial Narrow" w:hAnsi="Arial Narrow"/>
                <w:szCs w:val="20"/>
              </w:rPr>
            </w:pPr>
            <w:r>
              <w:rPr>
                <w:rFonts w:ascii="Arial Narrow" w:hAnsi="Arial Narrow"/>
                <w:color w:val="000000"/>
                <w:szCs w:val="20"/>
              </w:rPr>
              <w:t>Percentage change in EE program participation rate for HER participants</w:t>
            </w:r>
          </w:p>
        </w:tc>
        <w:tc>
          <w:tcPr>
            <w:tcW w:w="576" w:type="pct"/>
          </w:tcPr>
          <w:p w14:paraId="4948E6F1" w14:textId="499E6252" w:rsidR="004F468F" w:rsidRDefault="004F468F"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Cs w:val="20"/>
              </w:rPr>
              <w:t>5%</w:t>
            </w:r>
          </w:p>
        </w:tc>
        <w:tc>
          <w:tcPr>
            <w:tcW w:w="548" w:type="pct"/>
          </w:tcPr>
          <w:p w14:paraId="0CD07EF3" w14:textId="5C2EBCBA" w:rsidR="004F468F" w:rsidRDefault="004F468F"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Cs w:val="20"/>
              </w:rPr>
              <w:t>-14%</w:t>
            </w:r>
          </w:p>
        </w:tc>
        <w:tc>
          <w:tcPr>
            <w:tcW w:w="585" w:type="pct"/>
          </w:tcPr>
          <w:p w14:paraId="35A2EA1F" w14:textId="080B1CB7" w:rsidR="004F468F" w:rsidRDefault="004F468F"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Cs w:val="20"/>
              </w:rPr>
              <w:t>-28%</w:t>
            </w:r>
          </w:p>
        </w:tc>
        <w:tc>
          <w:tcPr>
            <w:tcW w:w="607" w:type="pct"/>
          </w:tcPr>
          <w:p w14:paraId="45FC89CB" w14:textId="2D595699" w:rsidR="004F468F" w:rsidRDefault="004F468F"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Cs w:val="20"/>
              </w:rPr>
              <w:t>10%</w:t>
            </w:r>
          </w:p>
        </w:tc>
      </w:tr>
    </w:tbl>
    <w:p w14:paraId="67E730DD" w14:textId="77777777" w:rsidR="001E0069" w:rsidRPr="00D919A7" w:rsidRDefault="001E0069" w:rsidP="002A2309">
      <w:pPr>
        <w:pStyle w:val="Source"/>
      </w:pPr>
      <w:r>
        <w:t>Source: Navigant analysis</w:t>
      </w:r>
    </w:p>
    <w:p w14:paraId="2B4A8280" w14:textId="77777777" w:rsidR="001E0069" w:rsidRDefault="001E0069" w:rsidP="001E0069"/>
    <w:p w14:paraId="2668DAC9" w14:textId="20B718F3" w:rsidR="001E0069" w:rsidRDefault="001E0069" w:rsidP="004301F4">
      <w:pPr>
        <w:pStyle w:val="Caption"/>
      </w:pPr>
      <w:bookmarkStart w:id="148" w:name="_Toc408396099"/>
      <w:bookmarkStart w:id="149" w:name="_Toc408990900"/>
      <w:bookmarkStart w:id="150" w:name="_Toc441751913"/>
      <w:bookmarkStart w:id="151" w:name="_Toc378688216"/>
      <w:r>
        <w:t xml:space="preserve">Table </w:t>
      </w:r>
      <w:fldSimple w:instr=" STYLEREF 1 \s ">
        <w:r w:rsidR="00E4410B">
          <w:rPr>
            <w:noProof/>
          </w:rPr>
          <w:t>6</w:t>
        </w:r>
      </w:fldSimple>
      <w:r w:rsidR="00F05E89">
        <w:noBreakHyphen/>
      </w:r>
      <w:fldSimple w:instr=" SEQ Table \* ARABIC \s 1 ">
        <w:r w:rsidR="00E4410B">
          <w:rPr>
            <w:noProof/>
          </w:rPr>
          <w:t>9</w:t>
        </w:r>
      </w:fldSimple>
      <w:r>
        <w:t>. Estimates of Double-Counted Savings: Wave 1, TR Persistence Group</w:t>
      </w:r>
      <w:bookmarkEnd w:id="148"/>
      <w:bookmarkEnd w:id="149"/>
      <w:bookmarkEnd w:id="150"/>
    </w:p>
    <w:tbl>
      <w:tblPr>
        <w:tblStyle w:val="ComEdTable"/>
        <w:tblW w:w="5000" w:type="pct"/>
        <w:tblLayout w:type="fixed"/>
        <w:tblLook w:val="04A0" w:firstRow="1" w:lastRow="0" w:firstColumn="1" w:lastColumn="0" w:noHBand="0" w:noVBand="1"/>
      </w:tblPr>
      <w:tblGrid>
        <w:gridCol w:w="5248"/>
        <w:gridCol w:w="1084"/>
        <w:gridCol w:w="1084"/>
        <w:gridCol w:w="1082"/>
        <w:gridCol w:w="1078"/>
      </w:tblGrid>
      <w:tr w:rsidR="001E0069" w:rsidRPr="00447E8F" w14:paraId="4EBD5782" w14:textId="77777777" w:rsidTr="004F468F">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40" w:type="pct"/>
            <w:vMerge w:val="restart"/>
          </w:tcPr>
          <w:p w14:paraId="1F9E1D39" w14:textId="77777777" w:rsidR="001E0069" w:rsidRPr="00447E8F" w:rsidRDefault="001E0069" w:rsidP="007E5455">
            <w:pPr>
              <w:keepNext/>
              <w:keepLines/>
              <w:autoSpaceDE w:val="0"/>
              <w:autoSpaceDN w:val="0"/>
              <w:adjustRightInd w:val="0"/>
              <w:spacing w:before="40" w:after="40"/>
              <w:jc w:val="left"/>
              <w:rPr>
                <w:rFonts w:ascii="Arial Narrow" w:hAnsi="Arial Narrow" w:cs="Calibri"/>
                <w:color w:val="000000"/>
                <w:szCs w:val="20"/>
              </w:rPr>
            </w:pPr>
          </w:p>
        </w:tc>
        <w:tc>
          <w:tcPr>
            <w:tcW w:w="2260" w:type="pct"/>
            <w:gridSpan w:val="4"/>
          </w:tcPr>
          <w:p w14:paraId="0FD3E322" w14:textId="77777777" w:rsidR="001E0069" w:rsidRPr="00447E8F" w:rsidRDefault="001E0069" w:rsidP="007E5455">
            <w:pPr>
              <w:keepNext/>
              <w:keepLines/>
              <w:autoSpaceDE w:val="0"/>
              <w:autoSpaceDN w:val="0"/>
              <w:adjustRightInd w:val="0"/>
              <w:spacing w:before="40" w:after="40"/>
              <w:jc w:val="center"/>
              <w:cnfStyle w:val="100000000000" w:firstRow="1"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4F5021">
              <w:rPr>
                <w:rFonts w:ascii="Arial Narrow" w:hAnsi="Arial Narrow" w:cs="Calibri"/>
                <w:szCs w:val="20"/>
              </w:rPr>
              <w:t>Program</w:t>
            </w:r>
          </w:p>
        </w:tc>
      </w:tr>
      <w:tr w:rsidR="00194675" w:rsidRPr="00447E8F" w14:paraId="7D1DF993" w14:textId="77777777" w:rsidTr="004F468F">
        <w:trPr>
          <w:trHeight w:val="432"/>
        </w:trPr>
        <w:tc>
          <w:tcPr>
            <w:cnfStyle w:val="001000000000" w:firstRow="0" w:lastRow="0" w:firstColumn="1" w:lastColumn="0" w:oddVBand="0" w:evenVBand="0" w:oddHBand="0" w:evenHBand="0" w:firstRowFirstColumn="0" w:firstRowLastColumn="0" w:lastRowFirstColumn="0" w:lastRowLastColumn="0"/>
            <w:tcW w:w="2740" w:type="pct"/>
            <w:vMerge/>
          </w:tcPr>
          <w:p w14:paraId="50D2ECFE" w14:textId="77777777" w:rsidR="00194675" w:rsidRPr="00447E8F" w:rsidRDefault="00194675" w:rsidP="00194675">
            <w:pPr>
              <w:keepNext/>
              <w:keepLines/>
              <w:autoSpaceDE w:val="0"/>
              <w:autoSpaceDN w:val="0"/>
              <w:adjustRightInd w:val="0"/>
              <w:spacing w:before="40" w:after="40"/>
              <w:jc w:val="left"/>
              <w:rPr>
                <w:rFonts w:ascii="Arial Narrow" w:hAnsi="Arial Narrow" w:cs="Calibri"/>
                <w:color w:val="000000"/>
                <w:szCs w:val="20"/>
              </w:rPr>
            </w:pPr>
          </w:p>
        </w:tc>
        <w:tc>
          <w:tcPr>
            <w:tcW w:w="566" w:type="pct"/>
            <w:shd w:val="clear" w:color="auto" w:fill="92876D"/>
          </w:tcPr>
          <w:p w14:paraId="46DAB326" w14:textId="43AD5CA7" w:rsidR="00194675" w:rsidRPr="00B74A3B" w:rsidRDefault="00194675" w:rsidP="00194675">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b/>
                <w:color w:val="FFFFFF" w:themeColor="background1"/>
                <w:szCs w:val="20"/>
              </w:rPr>
            </w:pPr>
            <w:r>
              <w:rPr>
                <w:rFonts w:ascii="Arial Narrow" w:hAnsi="Arial Narrow" w:cs="Calibri"/>
                <w:b/>
                <w:color w:val="FFFFFF" w:themeColor="background1"/>
                <w:szCs w:val="20"/>
              </w:rPr>
              <w:t>FFR</w:t>
            </w:r>
          </w:p>
        </w:tc>
        <w:tc>
          <w:tcPr>
            <w:tcW w:w="566" w:type="pct"/>
            <w:shd w:val="clear" w:color="auto" w:fill="92876D"/>
          </w:tcPr>
          <w:p w14:paraId="4F17A1B4" w14:textId="5D9E8CB4" w:rsidR="00194675" w:rsidRPr="00B74A3B" w:rsidRDefault="00194675" w:rsidP="00194675">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b/>
                <w:color w:val="FFFFFF" w:themeColor="background1"/>
                <w:szCs w:val="20"/>
              </w:rPr>
            </w:pPr>
            <w:r>
              <w:rPr>
                <w:rFonts w:ascii="Arial Narrow" w:hAnsi="Arial Narrow" w:cs="Calibri"/>
                <w:b/>
                <w:color w:val="FFFFFF" w:themeColor="background1"/>
                <w:szCs w:val="20"/>
              </w:rPr>
              <w:t>HEA</w:t>
            </w:r>
          </w:p>
        </w:tc>
        <w:tc>
          <w:tcPr>
            <w:tcW w:w="565" w:type="pct"/>
            <w:shd w:val="clear" w:color="auto" w:fill="92876D"/>
          </w:tcPr>
          <w:p w14:paraId="58A35B9E" w14:textId="67FE9657" w:rsidR="00194675" w:rsidRPr="00B74A3B" w:rsidRDefault="00194675" w:rsidP="00194675">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b/>
                <w:color w:val="FFFFFF" w:themeColor="background1"/>
                <w:szCs w:val="20"/>
              </w:rPr>
            </w:pPr>
            <w:r>
              <w:rPr>
                <w:rFonts w:ascii="Arial Narrow" w:hAnsi="Arial Narrow" w:cs="Calibri"/>
                <w:b/>
                <w:color w:val="FFFFFF" w:themeColor="background1"/>
                <w:szCs w:val="20"/>
              </w:rPr>
              <w:t>MESP</w:t>
            </w:r>
          </w:p>
        </w:tc>
        <w:tc>
          <w:tcPr>
            <w:tcW w:w="562" w:type="pct"/>
            <w:shd w:val="clear" w:color="auto" w:fill="92876D"/>
          </w:tcPr>
          <w:p w14:paraId="0DFEA574" w14:textId="546B3AF6" w:rsidR="00194675" w:rsidRPr="00B74A3B" w:rsidRDefault="00194675" w:rsidP="00194675">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b/>
                <w:color w:val="FFFFFF" w:themeColor="background1"/>
                <w:szCs w:val="20"/>
              </w:rPr>
            </w:pPr>
            <w:r>
              <w:rPr>
                <w:rFonts w:ascii="Arial Narrow" w:hAnsi="Arial Narrow" w:cs="Calibri"/>
                <w:b/>
                <w:color w:val="FFFFFF" w:themeColor="background1"/>
                <w:szCs w:val="20"/>
              </w:rPr>
              <w:t>Rebate</w:t>
            </w:r>
          </w:p>
        </w:tc>
      </w:tr>
      <w:tr w:rsidR="00C074EE" w:rsidRPr="00447E8F" w14:paraId="378E6F3C"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740" w:type="pct"/>
            <w:vAlign w:val="bottom"/>
          </w:tcPr>
          <w:p w14:paraId="01FC8394" w14:textId="29445FC6" w:rsidR="00C074EE" w:rsidRPr="00830E24" w:rsidRDefault="00C074EE" w:rsidP="00C074EE">
            <w:pPr>
              <w:keepNext/>
              <w:keepLines/>
              <w:autoSpaceDE w:val="0"/>
              <w:autoSpaceDN w:val="0"/>
              <w:adjustRightInd w:val="0"/>
              <w:spacing w:before="40" w:after="40"/>
              <w:jc w:val="left"/>
              <w:rPr>
                <w:rFonts w:ascii="Arial Narrow" w:hAnsi="Arial Narrow" w:cs="Calibri"/>
                <w:color w:val="000000"/>
                <w:szCs w:val="20"/>
              </w:rPr>
            </w:pPr>
            <w:r w:rsidRPr="00830E24">
              <w:rPr>
                <w:rFonts w:ascii="Arial Narrow" w:hAnsi="Arial Narrow"/>
                <w:color w:val="000000"/>
                <w:szCs w:val="20"/>
              </w:rPr>
              <w:t>Average program savings (annual kWh per participant)</w:t>
            </w:r>
          </w:p>
        </w:tc>
        <w:tc>
          <w:tcPr>
            <w:tcW w:w="566" w:type="pct"/>
          </w:tcPr>
          <w:p w14:paraId="4F506BF4" w14:textId="7F15B55B"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592</w:t>
            </w:r>
          </w:p>
        </w:tc>
        <w:tc>
          <w:tcPr>
            <w:tcW w:w="566" w:type="pct"/>
          </w:tcPr>
          <w:p w14:paraId="5B4A4968" w14:textId="42BEDA49"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500</w:t>
            </w:r>
          </w:p>
        </w:tc>
        <w:tc>
          <w:tcPr>
            <w:tcW w:w="565" w:type="pct"/>
          </w:tcPr>
          <w:p w14:paraId="4BEEFC7D" w14:textId="7140D32D"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304</w:t>
            </w:r>
          </w:p>
        </w:tc>
        <w:tc>
          <w:tcPr>
            <w:tcW w:w="562" w:type="pct"/>
          </w:tcPr>
          <w:p w14:paraId="2A591BDB" w14:textId="10FE48B3"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593</w:t>
            </w:r>
          </w:p>
        </w:tc>
      </w:tr>
      <w:tr w:rsidR="00C074EE" w:rsidRPr="00447E8F" w14:paraId="181FC4F0"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740" w:type="pct"/>
            <w:vAlign w:val="bottom"/>
          </w:tcPr>
          <w:p w14:paraId="6E4E1FFE" w14:textId="71975867" w:rsidR="00C074EE" w:rsidRPr="00830E24" w:rsidRDefault="00C074EE" w:rsidP="00C074EE">
            <w:pPr>
              <w:keepNext/>
              <w:keepLines/>
              <w:autoSpaceDE w:val="0"/>
              <w:autoSpaceDN w:val="0"/>
              <w:adjustRightInd w:val="0"/>
              <w:spacing w:before="40" w:after="40"/>
              <w:jc w:val="left"/>
              <w:rPr>
                <w:rFonts w:ascii="Arial Narrow" w:hAnsi="Arial Narrow" w:cs="Calibri"/>
                <w:color w:val="000000"/>
                <w:szCs w:val="20"/>
              </w:rPr>
            </w:pPr>
            <w:r w:rsidRPr="00830E24">
              <w:rPr>
                <w:rFonts w:ascii="Arial Narrow" w:hAnsi="Arial Narrow"/>
                <w:color w:val="000000"/>
                <w:szCs w:val="20"/>
              </w:rPr>
              <w:t># HER treatment households</w:t>
            </w:r>
          </w:p>
        </w:tc>
        <w:tc>
          <w:tcPr>
            <w:tcW w:w="566" w:type="pct"/>
          </w:tcPr>
          <w:p w14:paraId="462E5340" w14:textId="2513CFA9"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8,761</w:t>
            </w:r>
          </w:p>
        </w:tc>
        <w:tc>
          <w:tcPr>
            <w:tcW w:w="566" w:type="pct"/>
          </w:tcPr>
          <w:p w14:paraId="7A3CA160" w14:textId="4E5C227B"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8,761</w:t>
            </w:r>
          </w:p>
        </w:tc>
        <w:tc>
          <w:tcPr>
            <w:tcW w:w="565" w:type="pct"/>
          </w:tcPr>
          <w:p w14:paraId="0307EBFF" w14:textId="0259EEF8"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8,761</w:t>
            </w:r>
          </w:p>
        </w:tc>
        <w:tc>
          <w:tcPr>
            <w:tcW w:w="562" w:type="pct"/>
          </w:tcPr>
          <w:p w14:paraId="61F53C86" w14:textId="331AB14F"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8,761</w:t>
            </w:r>
          </w:p>
        </w:tc>
      </w:tr>
      <w:tr w:rsidR="00C074EE" w:rsidRPr="00447E8F" w14:paraId="5877E0FB"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740" w:type="pct"/>
            <w:vAlign w:val="bottom"/>
          </w:tcPr>
          <w:p w14:paraId="15D2F705" w14:textId="4AF7FED6" w:rsidR="00C074EE" w:rsidRPr="00830E24" w:rsidRDefault="00C074EE" w:rsidP="00C074EE">
            <w:pPr>
              <w:keepNext/>
              <w:keepLines/>
              <w:autoSpaceDE w:val="0"/>
              <w:autoSpaceDN w:val="0"/>
              <w:adjustRightInd w:val="0"/>
              <w:spacing w:before="40" w:after="40"/>
              <w:jc w:val="left"/>
              <w:rPr>
                <w:rFonts w:ascii="Arial Narrow" w:hAnsi="Arial Narrow" w:cs="Calibri"/>
                <w:color w:val="000000"/>
                <w:szCs w:val="20"/>
              </w:rPr>
            </w:pPr>
            <w:r w:rsidRPr="00830E24">
              <w:rPr>
                <w:rFonts w:ascii="Arial Narrow" w:hAnsi="Arial Narrow"/>
                <w:color w:val="000000"/>
                <w:szCs w:val="20"/>
              </w:rPr>
              <w:t>Rate of participation, PY6 (%)</w:t>
            </w:r>
          </w:p>
        </w:tc>
        <w:tc>
          <w:tcPr>
            <w:tcW w:w="566" w:type="pct"/>
          </w:tcPr>
          <w:p w14:paraId="595B2766" w14:textId="7E96C2ED"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1.34%</w:t>
            </w:r>
          </w:p>
        </w:tc>
        <w:tc>
          <w:tcPr>
            <w:tcW w:w="566" w:type="pct"/>
          </w:tcPr>
          <w:p w14:paraId="190350D2" w14:textId="1D1CB66A"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0.06%</w:t>
            </w:r>
          </w:p>
        </w:tc>
        <w:tc>
          <w:tcPr>
            <w:tcW w:w="565" w:type="pct"/>
          </w:tcPr>
          <w:p w14:paraId="2F4036D2" w14:textId="0CAC846D"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0.05%</w:t>
            </w:r>
          </w:p>
        </w:tc>
        <w:tc>
          <w:tcPr>
            <w:tcW w:w="562" w:type="pct"/>
          </w:tcPr>
          <w:p w14:paraId="4D83E869" w14:textId="12270493"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0.29%</w:t>
            </w:r>
          </w:p>
        </w:tc>
      </w:tr>
      <w:tr w:rsidR="00C074EE" w:rsidRPr="00447E8F" w14:paraId="130E8793"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740" w:type="pct"/>
            <w:vAlign w:val="bottom"/>
          </w:tcPr>
          <w:p w14:paraId="09FED90D" w14:textId="172C3A03" w:rsidR="00C074EE" w:rsidRPr="00830E24" w:rsidRDefault="00C074EE" w:rsidP="00C074EE">
            <w:pPr>
              <w:keepNext/>
              <w:keepLines/>
              <w:autoSpaceDE w:val="0"/>
              <w:autoSpaceDN w:val="0"/>
              <w:adjustRightInd w:val="0"/>
              <w:spacing w:before="40" w:after="40"/>
              <w:jc w:val="left"/>
              <w:rPr>
                <w:rFonts w:ascii="Arial Narrow" w:hAnsi="Arial Narrow" w:cs="Calibri"/>
                <w:color w:val="000000"/>
                <w:szCs w:val="20"/>
              </w:rPr>
            </w:pPr>
            <w:r w:rsidRPr="00830E24">
              <w:rPr>
                <w:rFonts w:ascii="Arial Narrow" w:hAnsi="Arial Narrow"/>
                <w:color w:val="000000"/>
                <w:szCs w:val="20"/>
              </w:rPr>
              <w:t>Change in rate of participation from pre-program year (%)</w:t>
            </w:r>
          </w:p>
        </w:tc>
        <w:tc>
          <w:tcPr>
            <w:tcW w:w="566" w:type="pct"/>
          </w:tcPr>
          <w:p w14:paraId="10D96F5D" w14:textId="2C065C7E"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0.92%</w:t>
            </w:r>
          </w:p>
        </w:tc>
        <w:tc>
          <w:tcPr>
            <w:tcW w:w="566" w:type="pct"/>
          </w:tcPr>
          <w:p w14:paraId="0091F9A3" w14:textId="124084BF"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w:t>
            </w:r>
          </w:p>
        </w:tc>
        <w:tc>
          <w:tcPr>
            <w:tcW w:w="565" w:type="pct"/>
          </w:tcPr>
          <w:p w14:paraId="7B229430" w14:textId="0C98280C"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w:t>
            </w:r>
          </w:p>
        </w:tc>
        <w:tc>
          <w:tcPr>
            <w:tcW w:w="562" w:type="pct"/>
          </w:tcPr>
          <w:p w14:paraId="789BFB8F" w14:textId="2966D61A"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w:t>
            </w:r>
          </w:p>
        </w:tc>
      </w:tr>
      <w:tr w:rsidR="00C074EE" w:rsidRPr="00447E8F" w14:paraId="7241278D"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740" w:type="pct"/>
            <w:vAlign w:val="bottom"/>
          </w:tcPr>
          <w:p w14:paraId="2F73D829" w14:textId="7FD0BD6E" w:rsidR="00C074EE" w:rsidRPr="00830E24" w:rsidRDefault="00C074EE" w:rsidP="00C074EE">
            <w:pPr>
              <w:keepNext/>
              <w:keepLines/>
              <w:autoSpaceDE w:val="0"/>
              <w:autoSpaceDN w:val="0"/>
              <w:adjustRightInd w:val="0"/>
              <w:spacing w:before="40" w:after="40"/>
              <w:jc w:val="left"/>
              <w:rPr>
                <w:rFonts w:ascii="Arial Narrow" w:hAnsi="Arial Narrow" w:cs="Calibri"/>
                <w:color w:val="000000"/>
                <w:szCs w:val="20"/>
              </w:rPr>
            </w:pPr>
            <w:r w:rsidRPr="00830E24">
              <w:rPr>
                <w:rFonts w:ascii="Arial Narrow" w:hAnsi="Arial Narrow"/>
                <w:color w:val="000000"/>
                <w:szCs w:val="20"/>
              </w:rPr>
              <w:t># HER control households</w:t>
            </w:r>
          </w:p>
        </w:tc>
        <w:tc>
          <w:tcPr>
            <w:tcW w:w="566" w:type="pct"/>
          </w:tcPr>
          <w:p w14:paraId="0A387ADC" w14:textId="031278E7"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35,592</w:t>
            </w:r>
          </w:p>
        </w:tc>
        <w:tc>
          <w:tcPr>
            <w:tcW w:w="566" w:type="pct"/>
          </w:tcPr>
          <w:p w14:paraId="33CDF4DB" w14:textId="1792808A"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27,393</w:t>
            </w:r>
          </w:p>
        </w:tc>
        <w:tc>
          <w:tcPr>
            <w:tcW w:w="565" w:type="pct"/>
          </w:tcPr>
          <w:p w14:paraId="7F375277" w14:textId="14FD31AD"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27,393</w:t>
            </w:r>
          </w:p>
        </w:tc>
        <w:tc>
          <w:tcPr>
            <w:tcW w:w="562" w:type="pct"/>
          </w:tcPr>
          <w:p w14:paraId="0863A86E" w14:textId="2A66E000"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27,393</w:t>
            </w:r>
          </w:p>
        </w:tc>
      </w:tr>
      <w:tr w:rsidR="00C074EE" w:rsidRPr="00447E8F" w14:paraId="5B0BD3F5"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740" w:type="pct"/>
            <w:vAlign w:val="bottom"/>
          </w:tcPr>
          <w:p w14:paraId="489730C7" w14:textId="05FF458E" w:rsidR="00C074EE" w:rsidRPr="00830E24" w:rsidRDefault="00C074EE" w:rsidP="00C074EE">
            <w:pPr>
              <w:keepNext/>
              <w:keepLines/>
              <w:autoSpaceDE w:val="0"/>
              <w:autoSpaceDN w:val="0"/>
              <w:adjustRightInd w:val="0"/>
              <w:spacing w:before="40" w:after="40"/>
              <w:jc w:val="left"/>
              <w:rPr>
                <w:rFonts w:ascii="Arial Narrow" w:hAnsi="Arial Narrow" w:cs="Calibri"/>
                <w:color w:val="000000"/>
                <w:szCs w:val="20"/>
              </w:rPr>
            </w:pPr>
            <w:r w:rsidRPr="00830E24">
              <w:rPr>
                <w:rFonts w:ascii="Arial Narrow" w:hAnsi="Arial Narrow"/>
                <w:color w:val="000000"/>
                <w:szCs w:val="20"/>
              </w:rPr>
              <w:t>Rate of participation, PY6 (%)</w:t>
            </w:r>
          </w:p>
        </w:tc>
        <w:tc>
          <w:tcPr>
            <w:tcW w:w="566" w:type="pct"/>
          </w:tcPr>
          <w:p w14:paraId="6B371323" w14:textId="3117AE1D"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1.46%</w:t>
            </w:r>
          </w:p>
        </w:tc>
        <w:tc>
          <w:tcPr>
            <w:tcW w:w="566" w:type="pct"/>
          </w:tcPr>
          <w:p w14:paraId="3AE6258B" w14:textId="52D4AA96"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0.05%</w:t>
            </w:r>
          </w:p>
        </w:tc>
        <w:tc>
          <w:tcPr>
            <w:tcW w:w="565" w:type="pct"/>
          </w:tcPr>
          <w:p w14:paraId="2A3B1AD7" w14:textId="173B7D09"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0.14%</w:t>
            </w:r>
          </w:p>
        </w:tc>
        <w:tc>
          <w:tcPr>
            <w:tcW w:w="562" w:type="pct"/>
          </w:tcPr>
          <w:p w14:paraId="38817FAD" w14:textId="7199AB97"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0.31%</w:t>
            </w:r>
          </w:p>
        </w:tc>
      </w:tr>
      <w:tr w:rsidR="00C074EE" w:rsidRPr="00447E8F" w14:paraId="6A5CE7BB"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740" w:type="pct"/>
            <w:vAlign w:val="bottom"/>
          </w:tcPr>
          <w:p w14:paraId="6FCF3C1C" w14:textId="1399B739" w:rsidR="00C074EE" w:rsidRPr="00830E24" w:rsidRDefault="00C074EE" w:rsidP="00C074EE">
            <w:pPr>
              <w:keepNext/>
              <w:keepLines/>
              <w:autoSpaceDE w:val="0"/>
              <w:autoSpaceDN w:val="0"/>
              <w:adjustRightInd w:val="0"/>
              <w:spacing w:before="40" w:after="40"/>
              <w:jc w:val="left"/>
              <w:rPr>
                <w:rFonts w:ascii="Arial Narrow" w:hAnsi="Arial Narrow" w:cs="Calibri"/>
                <w:color w:val="000000"/>
                <w:szCs w:val="20"/>
              </w:rPr>
            </w:pPr>
            <w:r w:rsidRPr="00830E24">
              <w:rPr>
                <w:rFonts w:ascii="Arial Narrow" w:hAnsi="Arial Narrow"/>
                <w:color w:val="000000"/>
                <w:szCs w:val="20"/>
              </w:rPr>
              <w:t>Change in rate of participation from pre-program year (%)</w:t>
            </w:r>
          </w:p>
        </w:tc>
        <w:tc>
          <w:tcPr>
            <w:tcW w:w="566" w:type="pct"/>
          </w:tcPr>
          <w:p w14:paraId="7C4203C4" w14:textId="78996A8A"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0.92%</w:t>
            </w:r>
          </w:p>
        </w:tc>
        <w:tc>
          <w:tcPr>
            <w:tcW w:w="566" w:type="pct"/>
          </w:tcPr>
          <w:p w14:paraId="0B977150" w14:textId="012AB632"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w:t>
            </w:r>
          </w:p>
        </w:tc>
        <w:tc>
          <w:tcPr>
            <w:tcW w:w="565" w:type="pct"/>
          </w:tcPr>
          <w:p w14:paraId="4BE2CE52" w14:textId="2DA53862"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w:t>
            </w:r>
          </w:p>
        </w:tc>
        <w:tc>
          <w:tcPr>
            <w:tcW w:w="562" w:type="pct"/>
          </w:tcPr>
          <w:p w14:paraId="57120BD6" w14:textId="200A65D1"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w:t>
            </w:r>
          </w:p>
        </w:tc>
      </w:tr>
      <w:tr w:rsidR="00C074EE" w:rsidRPr="00447E8F" w14:paraId="6745F34C"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740" w:type="pct"/>
            <w:vAlign w:val="bottom"/>
          </w:tcPr>
          <w:p w14:paraId="0932ECB8" w14:textId="43B2C0DA" w:rsidR="00C074EE" w:rsidRPr="00830E24" w:rsidRDefault="00C074EE" w:rsidP="00C074EE">
            <w:pPr>
              <w:keepNext/>
              <w:keepLines/>
              <w:autoSpaceDE w:val="0"/>
              <w:autoSpaceDN w:val="0"/>
              <w:adjustRightInd w:val="0"/>
              <w:spacing w:before="40" w:after="40"/>
              <w:jc w:val="left"/>
              <w:rPr>
                <w:rFonts w:ascii="Arial Narrow" w:hAnsi="Arial Narrow" w:cs="Calibri"/>
                <w:color w:val="000000"/>
                <w:szCs w:val="20"/>
              </w:rPr>
            </w:pPr>
            <w:r w:rsidRPr="00830E24">
              <w:rPr>
                <w:rFonts w:ascii="Arial Narrow" w:hAnsi="Arial Narrow"/>
                <w:color w:val="000000"/>
                <w:szCs w:val="20"/>
              </w:rPr>
              <w:t>DID/POD statistic</w:t>
            </w:r>
          </w:p>
        </w:tc>
        <w:tc>
          <w:tcPr>
            <w:tcW w:w="566" w:type="pct"/>
          </w:tcPr>
          <w:p w14:paraId="01B00505" w14:textId="343BCBF3"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0.00%</w:t>
            </w:r>
          </w:p>
        </w:tc>
        <w:tc>
          <w:tcPr>
            <w:tcW w:w="566" w:type="pct"/>
          </w:tcPr>
          <w:p w14:paraId="58BD50CE" w14:textId="6964A19E"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0.01%</w:t>
            </w:r>
          </w:p>
        </w:tc>
        <w:tc>
          <w:tcPr>
            <w:tcW w:w="565" w:type="pct"/>
          </w:tcPr>
          <w:p w14:paraId="71D1CD52" w14:textId="13492484"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-0.06%</w:t>
            </w:r>
          </w:p>
        </w:tc>
        <w:tc>
          <w:tcPr>
            <w:tcW w:w="562" w:type="pct"/>
          </w:tcPr>
          <w:p w14:paraId="18BEB582" w14:textId="4A88E579"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0.04%</w:t>
            </w:r>
          </w:p>
        </w:tc>
      </w:tr>
      <w:tr w:rsidR="00C074EE" w:rsidRPr="00447E8F" w14:paraId="400A3675"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740" w:type="pct"/>
            <w:vAlign w:val="bottom"/>
          </w:tcPr>
          <w:p w14:paraId="019397DC" w14:textId="3A4F50F7" w:rsidR="00C074EE" w:rsidRPr="00830E24" w:rsidRDefault="00C074EE" w:rsidP="00C074EE">
            <w:pPr>
              <w:keepNext/>
              <w:keepLines/>
              <w:autoSpaceDE w:val="0"/>
              <w:autoSpaceDN w:val="0"/>
              <w:adjustRightInd w:val="0"/>
              <w:spacing w:before="40" w:after="40"/>
              <w:jc w:val="left"/>
              <w:rPr>
                <w:rFonts w:ascii="Arial Narrow" w:hAnsi="Arial Narrow" w:cs="Calibri"/>
                <w:color w:val="000000"/>
                <w:szCs w:val="20"/>
              </w:rPr>
            </w:pPr>
            <w:r w:rsidRPr="00830E24">
              <w:rPr>
                <w:rFonts w:ascii="Arial Narrow" w:hAnsi="Arial Narrow"/>
                <w:color w:val="000000"/>
                <w:szCs w:val="20"/>
              </w:rPr>
              <w:t>Change in program participation due to HER program</w:t>
            </w:r>
          </w:p>
        </w:tc>
        <w:tc>
          <w:tcPr>
            <w:tcW w:w="566" w:type="pct"/>
          </w:tcPr>
          <w:p w14:paraId="16357FF5" w14:textId="02B3C355"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w:t>
            </w:r>
          </w:p>
        </w:tc>
        <w:tc>
          <w:tcPr>
            <w:tcW w:w="566" w:type="pct"/>
          </w:tcPr>
          <w:p w14:paraId="1D7A93DA" w14:textId="0F1E73B2"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1</w:t>
            </w:r>
          </w:p>
        </w:tc>
        <w:tc>
          <w:tcPr>
            <w:tcW w:w="565" w:type="pct"/>
          </w:tcPr>
          <w:p w14:paraId="0286D9DE" w14:textId="78B43322"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-6</w:t>
            </w:r>
          </w:p>
        </w:tc>
        <w:tc>
          <w:tcPr>
            <w:tcW w:w="562" w:type="pct"/>
          </w:tcPr>
          <w:p w14:paraId="0A60D64E" w14:textId="7B8A865D"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4</w:t>
            </w:r>
          </w:p>
        </w:tc>
      </w:tr>
      <w:tr w:rsidR="00C074EE" w:rsidRPr="00447E8F" w14:paraId="7897AF05"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740" w:type="pct"/>
            <w:vAlign w:val="bottom"/>
          </w:tcPr>
          <w:p w14:paraId="62D7FD99" w14:textId="7B5BF466" w:rsidR="00C074EE" w:rsidRPr="00830E24" w:rsidRDefault="00C074EE" w:rsidP="00C074EE">
            <w:pPr>
              <w:keepNext/>
              <w:keepLines/>
              <w:autoSpaceDE w:val="0"/>
              <w:autoSpaceDN w:val="0"/>
              <w:adjustRightInd w:val="0"/>
              <w:spacing w:before="40" w:after="40"/>
              <w:jc w:val="left"/>
              <w:rPr>
                <w:rFonts w:ascii="Arial Narrow" w:hAnsi="Arial Narrow" w:cs="Calibri"/>
                <w:color w:val="000000"/>
                <w:szCs w:val="20"/>
              </w:rPr>
            </w:pPr>
            <w:r w:rsidRPr="00830E24">
              <w:rPr>
                <w:rFonts w:ascii="Arial Narrow" w:hAnsi="Arial Narrow"/>
                <w:color w:val="000000"/>
                <w:szCs w:val="20"/>
              </w:rPr>
              <w:t>Statistically significant at the 90% confidence level?</w:t>
            </w:r>
          </w:p>
        </w:tc>
        <w:tc>
          <w:tcPr>
            <w:tcW w:w="566" w:type="pct"/>
          </w:tcPr>
          <w:p w14:paraId="1328BA64" w14:textId="2FFBFDB1"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No</w:t>
            </w:r>
          </w:p>
        </w:tc>
        <w:tc>
          <w:tcPr>
            <w:tcW w:w="566" w:type="pct"/>
          </w:tcPr>
          <w:p w14:paraId="1C833FB5" w14:textId="4ABE5630"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No</w:t>
            </w:r>
          </w:p>
        </w:tc>
        <w:tc>
          <w:tcPr>
            <w:tcW w:w="565" w:type="pct"/>
          </w:tcPr>
          <w:p w14:paraId="722FD120" w14:textId="4C1321E4"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Yes</w:t>
            </w:r>
          </w:p>
        </w:tc>
        <w:tc>
          <w:tcPr>
            <w:tcW w:w="562" w:type="pct"/>
          </w:tcPr>
          <w:p w14:paraId="2F76B8AE" w14:textId="7287BF83"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No</w:t>
            </w:r>
          </w:p>
        </w:tc>
      </w:tr>
      <w:tr w:rsidR="00C074EE" w:rsidRPr="00447E8F" w14:paraId="27FE390D"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740" w:type="pct"/>
            <w:vAlign w:val="bottom"/>
          </w:tcPr>
          <w:p w14:paraId="6E223B6A" w14:textId="43138F5E" w:rsidR="00C074EE" w:rsidRPr="00830E24" w:rsidRDefault="00C074EE" w:rsidP="00C074EE">
            <w:pPr>
              <w:keepNext/>
              <w:keepLines/>
              <w:autoSpaceDE w:val="0"/>
              <w:autoSpaceDN w:val="0"/>
              <w:adjustRightInd w:val="0"/>
              <w:spacing w:before="40" w:after="40"/>
              <w:jc w:val="left"/>
              <w:rPr>
                <w:rFonts w:ascii="Arial Narrow" w:hAnsi="Arial Narrow" w:cs="Calibri"/>
                <w:color w:val="000000"/>
                <w:szCs w:val="20"/>
              </w:rPr>
            </w:pPr>
            <w:r w:rsidRPr="00830E24">
              <w:rPr>
                <w:rFonts w:ascii="Arial Narrow" w:hAnsi="Arial Narrow"/>
                <w:color w:val="000000"/>
                <w:szCs w:val="20"/>
              </w:rPr>
              <w:t>Savings attributable to other programs (kWh)</w:t>
            </w:r>
          </w:p>
        </w:tc>
        <w:tc>
          <w:tcPr>
            <w:tcW w:w="566" w:type="pct"/>
          </w:tcPr>
          <w:p w14:paraId="324E413A" w14:textId="73419464"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155</w:t>
            </w:r>
          </w:p>
        </w:tc>
        <w:tc>
          <w:tcPr>
            <w:tcW w:w="566" w:type="pct"/>
          </w:tcPr>
          <w:p w14:paraId="7F292150" w14:textId="6D58B70C"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654</w:t>
            </w:r>
          </w:p>
        </w:tc>
        <w:tc>
          <w:tcPr>
            <w:tcW w:w="565" w:type="pct"/>
          </w:tcPr>
          <w:p w14:paraId="67EFF2B2" w14:textId="052B4A06"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-1,704</w:t>
            </w:r>
          </w:p>
        </w:tc>
        <w:tc>
          <w:tcPr>
            <w:tcW w:w="562" w:type="pct"/>
          </w:tcPr>
          <w:p w14:paraId="7B3E8195" w14:textId="30FB1038"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2,273</w:t>
            </w:r>
          </w:p>
        </w:tc>
      </w:tr>
      <w:tr w:rsidR="004F468F" w:rsidRPr="00447E8F" w14:paraId="2C4E7552"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740" w:type="pct"/>
          </w:tcPr>
          <w:p w14:paraId="7B9AECE2" w14:textId="67BA4EC4" w:rsidR="004F468F" w:rsidRPr="00830E24" w:rsidRDefault="004F468F" w:rsidP="004F468F">
            <w:pPr>
              <w:keepNext/>
              <w:keepLines/>
              <w:autoSpaceDE w:val="0"/>
              <w:autoSpaceDN w:val="0"/>
              <w:adjustRightInd w:val="0"/>
              <w:spacing w:before="40" w:after="40"/>
              <w:jc w:val="left"/>
              <w:rPr>
                <w:rFonts w:ascii="Arial Narrow" w:hAnsi="Arial Narrow"/>
                <w:color w:val="000000"/>
                <w:szCs w:val="20"/>
              </w:rPr>
            </w:pPr>
            <w:r>
              <w:rPr>
                <w:rFonts w:ascii="Arial Narrow" w:hAnsi="Arial Narrow"/>
                <w:color w:val="000000"/>
                <w:szCs w:val="20"/>
              </w:rPr>
              <w:t>Percentage change in EE program participation rate for HER participants</w:t>
            </w:r>
          </w:p>
        </w:tc>
        <w:tc>
          <w:tcPr>
            <w:tcW w:w="566" w:type="pct"/>
          </w:tcPr>
          <w:p w14:paraId="017E8F12" w14:textId="716C969B" w:rsidR="004F468F" w:rsidRDefault="004F468F"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Cs w:val="20"/>
              </w:rPr>
              <w:t>0%</w:t>
            </w:r>
          </w:p>
        </w:tc>
        <w:tc>
          <w:tcPr>
            <w:tcW w:w="566" w:type="pct"/>
          </w:tcPr>
          <w:p w14:paraId="6F43477B" w14:textId="6DDABD9B" w:rsidR="004F468F" w:rsidRDefault="004F468F"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Cs w:val="20"/>
              </w:rPr>
              <w:t>4%</w:t>
            </w:r>
          </w:p>
        </w:tc>
        <w:tc>
          <w:tcPr>
            <w:tcW w:w="565" w:type="pct"/>
          </w:tcPr>
          <w:p w14:paraId="031A1E64" w14:textId="7BA8C28A" w:rsidR="004F468F" w:rsidRDefault="004F468F"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Cs w:val="20"/>
              </w:rPr>
              <w:t>-68%</w:t>
            </w:r>
          </w:p>
        </w:tc>
        <w:tc>
          <w:tcPr>
            <w:tcW w:w="562" w:type="pct"/>
          </w:tcPr>
          <w:p w14:paraId="1C0CA624" w14:textId="143C233E" w:rsidR="004F468F" w:rsidRDefault="004F468F"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Cs w:val="20"/>
              </w:rPr>
              <w:t>-9%</w:t>
            </w:r>
          </w:p>
        </w:tc>
      </w:tr>
    </w:tbl>
    <w:p w14:paraId="03FB87C5" w14:textId="77777777" w:rsidR="001E0069" w:rsidRPr="000330FC" w:rsidRDefault="001E0069" w:rsidP="002A2309">
      <w:pPr>
        <w:pStyle w:val="Source"/>
      </w:pPr>
      <w:r>
        <w:t>Source: Navigant analysis</w:t>
      </w:r>
    </w:p>
    <w:p w14:paraId="639451E7" w14:textId="77777777" w:rsidR="001E0069" w:rsidRPr="00D919A7" w:rsidRDefault="001E0069" w:rsidP="001E0069"/>
    <w:bookmarkEnd w:id="151"/>
    <w:p w14:paraId="642C0C85" w14:textId="77777777" w:rsidR="001E0069" w:rsidRDefault="001E0069" w:rsidP="001E0069"/>
    <w:p w14:paraId="08E93731" w14:textId="7F5FFA60" w:rsidR="001E0069" w:rsidRDefault="001E0069" w:rsidP="004301F4">
      <w:pPr>
        <w:pStyle w:val="Caption"/>
      </w:pPr>
      <w:bookmarkStart w:id="152" w:name="_Toc408396101"/>
      <w:bookmarkStart w:id="153" w:name="_Toc408990902"/>
      <w:bookmarkStart w:id="154" w:name="_Toc441751914"/>
      <w:r>
        <w:lastRenderedPageBreak/>
        <w:t xml:space="preserve">Table </w:t>
      </w:r>
      <w:fldSimple w:instr=" STYLEREF 1 \s ">
        <w:r w:rsidR="00E4410B">
          <w:rPr>
            <w:noProof/>
          </w:rPr>
          <w:t>6</w:t>
        </w:r>
      </w:fldSimple>
      <w:r w:rsidR="00F05E89">
        <w:noBreakHyphen/>
      </w:r>
      <w:fldSimple w:instr=" SEQ Table \* ARABIC \s 1 ">
        <w:r w:rsidR="00E4410B">
          <w:rPr>
            <w:noProof/>
          </w:rPr>
          <w:t>10</w:t>
        </w:r>
      </w:fldSimple>
      <w:r>
        <w:t>. Estimates of Double-Counted Savings: Wave 3, CR Persistence Group</w:t>
      </w:r>
      <w:bookmarkEnd w:id="152"/>
      <w:bookmarkEnd w:id="153"/>
      <w:bookmarkEnd w:id="154"/>
    </w:p>
    <w:tbl>
      <w:tblPr>
        <w:tblStyle w:val="ComEdTable"/>
        <w:tblW w:w="5000" w:type="pct"/>
        <w:tblLook w:val="0020" w:firstRow="1" w:lastRow="0" w:firstColumn="0" w:lastColumn="0" w:noHBand="0" w:noVBand="0"/>
      </w:tblPr>
      <w:tblGrid>
        <w:gridCol w:w="4496"/>
        <w:gridCol w:w="1270"/>
        <w:gridCol w:w="1270"/>
        <w:gridCol w:w="1270"/>
        <w:gridCol w:w="1270"/>
      </w:tblGrid>
      <w:tr w:rsidR="001E0069" w:rsidRPr="000330FC" w14:paraId="19A9C3F6" w14:textId="77777777" w:rsidTr="007E5455">
        <w:trPr>
          <w:cnfStyle w:val="100000000000" w:firstRow="1" w:lastRow="0" w:firstColumn="0" w:lastColumn="0" w:oddVBand="0" w:evenVBand="0" w:oddHBand="0" w:evenHBand="0" w:firstRowFirstColumn="0" w:firstRowLastColumn="0" w:lastRowFirstColumn="0" w:lastRowLastColumn="0"/>
          <w:trHeight w:val="20"/>
        </w:trPr>
        <w:tc>
          <w:tcPr>
            <w:tcW w:w="2348" w:type="pct"/>
            <w:vMerge w:val="restart"/>
          </w:tcPr>
          <w:p w14:paraId="75F7035A" w14:textId="77777777" w:rsidR="001E0069" w:rsidRPr="000330FC" w:rsidRDefault="001E0069" w:rsidP="007E5455">
            <w:pPr>
              <w:keepNext/>
              <w:keepLines/>
              <w:autoSpaceDE w:val="0"/>
              <w:autoSpaceDN w:val="0"/>
              <w:adjustRightInd w:val="0"/>
              <w:spacing w:before="40" w:after="40"/>
              <w:jc w:val="left"/>
              <w:rPr>
                <w:rFonts w:ascii="Arial Narrow" w:hAnsi="Arial Narrow" w:cs="Calibri"/>
                <w:color w:val="000000"/>
                <w:szCs w:val="20"/>
              </w:rPr>
            </w:pPr>
          </w:p>
        </w:tc>
        <w:tc>
          <w:tcPr>
            <w:tcW w:w="2652" w:type="pct"/>
            <w:gridSpan w:val="4"/>
          </w:tcPr>
          <w:p w14:paraId="20488883" w14:textId="77777777" w:rsidR="001E0069" w:rsidRPr="000330FC" w:rsidRDefault="001E0069" w:rsidP="007E5455">
            <w:pPr>
              <w:keepNext/>
              <w:keepLines/>
              <w:autoSpaceDE w:val="0"/>
              <w:autoSpaceDN w:val="0"/>
              <w:adjustRightInd w:val="0"/>
              <w:spacing w:before="40" w:after="40"/>
              <w:jc w:val="center"/>
              <w:rPr>
                <w:rFonts w:ascii="Arial Narrow" w:hAnsi="Arial Narrow" w:cs="Calibri"/>
                <w:szCs w:val="20"/>
              </w:rPr>
            </w:pPr>
            <w:r w:rsidRPr="000330FC">
              <w:rPr>
                <w:rFonts w:ascii="Arial Narrow" w:hAnsi="Arial Narrow" w:cs="Calibri"/>
                <w:szCs w:val="20"/>
              </w:rPr>
              <w:t>Program</w:t>
            </w:r>
          </w:p>
        </w:tc>
      </w:tr>
      <w:tr w:rsidR="00194675" w:rsidRPr="000330FC" w14:paraId="184E5D1E" w14:textId="77777777" w:rsidTr="00B426EC">
        <w:trPr>
          <w:trHeight w:val="432"/>
        </w:trPr>
        <w:tc>
          <w:tcPr>
            <w:tcW w:w="2348" w:type="pct"/>
            <w:vMerge/>
          </w:tcPr>
          <w:p w14:paraId="20CF7AF4" w14:textId="77777777" w:rsidR="00194675" w:rsidRPr="000330FC" w:rsidRDefault="00194675" w:rsidP="00194675">
            <w:pPr>
              <w:keepNext/>
              <w:keepLines/>
              <w:autoSpaceDE w:val="0"/>
              <w:autoSpaceDN w:val="0"/>
              <w:adjustRightInd w:val="0"/>
              <w:spacing w:before="40" w:after="40"/>
              <w:jc w:val="left"/>
              <w:rPr>
                <w:rFonts w:ascii="Arial Narrow" w:hAnsi="Arial Narrow" w:cs="Calibri"/>
                <w:color w:val="000000"/>
                <w:szCs w:val="20"/>
              </w:rPr>
            </w:pPr>
          </w:p>
        </w:tc>
        <w:tc>
          <w:tcPr>
            <w:tcW w:w="663" w:type="pct"/>
            <w:shd w:val="clear" w:color="auto" w:fill="92876D"/>
          </w:tcPr>
          <w:p w14:paraId="52AC9A29" w14:textId="046D8341" w:rsidR="00194675" w:rsidRPr="00B74A3B" w:rsidRDefault="00194675" w:rsidP="00194675">
            <w:pPr>
              <w:keepNext/>
              <w:keepLines/>
              <w:autoSpaceDE w:val="0"/>
              <w:autoSpaceDN w:val="0"/>
              <w:adjustRightInd w:val="0"/>
              <w:spacing w:before="40" w:after="40"/>
              <w:rPr>
                <w:rFonts w:ascii="Arial Narrow" w:hAnsi="Arial Narrow" w:cs="Calibri"/>
                <w:b/>
                <w:color w:val="FFFFFF" w:themeColor="background1"/>
                <w:szCs w:val="20"/>
              </w:rPr>
            </w:pPr>
            <w:r>
              <w:rPr>
                <w:rFonts w:ascii="Arial Narrow" w:hAnsi="Arial Narrow" w:cs="Calibri"/>
                <w:b/>
                <w:color w:val="FFFFFF" w:themeColor="background1"/>
                <w:szCs w:val="20"/>
              </w:rPr>
              <w:t>FFR</w:t>
            </w:r>
          </w:p>
        </w:tc>
        <w:tc>
          <w:tcPr>
            <w:tcW w:w="663" w:type="pct"/>
            <w:shd w:val="clear" w:color="auto" w:fill="92876D"/>
          </w:tcPr>
          <w:p w14:paraId="42A30796" w14:textId="58F21D8B" w:rsidR="00194675" w:rsidRPr="00B74A3B" w:rsidRDefault="00194675" w:rsidP="00194675">
            <w:pPr>
              <w:keepNext/>
              <w:keepLines/>
              <w:autoSpaceDE w:val="0"/>
              <w:autoSpaceDN w:val="0"/>
              <w:adjustRightInd w:val="0"/>
              <w:spacing w:before="40" w:after="40"/>
              <w:rPr>
                <w:rFonts w:ascii="Arial Narrow" w:hAnsi="Arial Narrow" w:cs="Calibri"/>
                <w:b/>
                <w:color w:val="FFFFFF" w:themeColor="background1"/>
                <w:szCs w:val="20"/>
              </w:rPr>
            </w:pPr>
            <w:r>
              <w:rPr>
                <w:rFonts w:ascii="Arial Narrow" w:hAnsi="Arial Narrow" w:cs="Calibri"/>
                <w:b/>
                <w:color w:val="FFFFFF" w:themeColor="background1"/>
                <w:szCs w:val="20"/>
              </w:rPr>
              <w:t>HEA</w:t>
            </w:r>
          </w:p>
        </w:tc>
        <w:tc>
          <w:tcPr>
            <w:tcW w:w="663" w:type="pct"/>
            <w:shd w:val="clear" w:color="auto" w:fill="92876D"/>
          </w:tcPr>
          <w:p w14:paraId="0366E687" w14:textId="2E723280" w:rsidR="00194675" w:rsidRPr="00B74A3B" w:rsidRDefault="00194675" w:rsidP="00194675">
            <w:pPr>
              <w:keepNext/>
              <w:keepLines/>
              <w:autoSpaceDE w:val="0"/>
              <w:autoSpaceDN w:val="0"/>
              <w:adjustRightInd w:val="0"/>
              <w:spacing w:before="40" w:after="40"/>
              <w:rPr>
                <w:rFonts w:ascii="Arial Narrow" w:hAnsi="Arial Narrow" w:cs="Calibri"/>
                <w:b/>
                <w:color w:val="FFFFFF" w:themeColor="background1"/>
                <w:szCs w:val="20"/>
              </w:rPr>
            </w:pPr>
            <w:r>
              <w:rPr>
                <w:rFonts w:ascii="Arial Narrow" w:hAnsi="Arial Narrow" w:cs="Calibri"/>
                <w:b/>
                <w:color w:val="FFFFFF" w:themeColor="background1"/>
                <w:szCs w:val="20"/>
              </w:rPr>
              <w:t>MESP</w:t>
            </w:r>
          </w:p>
        </w:tc>
        <w:tc>
          <w:tcPr>
            <w:tcW w:w="663" w:type="pct"/>
            <w:shd w:val="clear" w:color="auto" w:fill="92876D"/>
          </w:tcPr>
          <w:p w14:paraId="1DA68523" w14:textId="4C493C39" w:rsidR="00194675" w:rsidRPr="00B74A3B" w:rsidRDefault="00194675" w:rsidP="00194675">
            <w:pPr>
              <w:keepNext/>
              <w:keepLines/>
              <w:autoSpaceDE w:val="0"/>
              <w:autoSpaceDN w:val="0"/>
              <w:adjustRightInd w:val="0"/>
              <w:spacing w:before="40" w:after="40"/>
              <w:rPr>
                <w:rFonts w:ascii="Arial Narrow" w:hAnsi="Arial Narrow" w:cs="Calibri"/>
                <w:b/>
                <w:color w:val="FFFFFF" w:themeColor="background1"/>
                <w:szCs w:val="20"/>
              </w:rPr>
            </w:pPr>
            <w:r>
              <w:rPr>
                <w:rFonts w:ascii="Arial Narrow" w:hAnsi="Arial Narrow" w:cs="Calibri"/>
                <w:b/>
                <w:color w:val="FFFFFF" w:themeColor="background1"/>
                <w:szCs w:val="20"/>
              </w:rPr>
              <w:t>Rebate</w:t>
            </w:r>
          </w:p>
        </w:tc>
      </w:tr>
      <w:tr w:rsidR="00C074EE" w:rsidRPr="000330FC" w14:paraId="70901D79" w14:textId="77777777" w:rsidTr="00CD7F1D">
        <w:trPr>
          <w:trHeight w:val="20"/>
        </w:trPr>
        <w:tc>
          <w:tcPr>
            <w:tcW w:w="2348" w:type="pct"/>
            <w:vAlign w:val="bottom"/>
          </w:tcPr>
          <w:p w14:paraId="115713BB" w14:textId="4B7239FC" w:rsidR="00C074EE" w:rsidRPr="000330F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Average program savings (annual kWh per participant)</w:t>
            </w:r>
          </w:p>
        </w:tc>
        <w:tc>
          <w:tcPr>
            <w:tcW w:w="663" w:type="pct"/>
          </w:tcPr>
          <w:p w14:paraId="549C9984" w14:textId="57A6CBD8"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592</w:t>
            </w:r>
          </w:p>
        </w:tc>
        <w:tc>
          <w:tcPr>
            <w:tcW w:w="663" w:type="pct"/>
          </w:tcPr>
          <w:p w14:paraId="16BA39B8" w14:textId="1E312646"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500</w:t>
            </w:r>
          </w:p>
        </w:tc>
        <w:tc>
          <w:tcPr>
            <w:tcW w:w="663" w:type="pct"/>
          </w:tcPr>
          <w:p w14:paraId="0144F661" w14:textId="401545C4"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304</w:t>
            </w:r>
          </w:p>
        </w:tc>
        <w:tc>
          <w:tcPr>
            <w:tcW w:w="663" w:type="pct"/>
          </w:tcPr>
          <w:p w14:paraId="4DAC92FF" w14:textId="3D5FBB17"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593</w:t>
            </w:r>
          </w:p>
        </w:tc>
      </w:tr>
      <w:tr w:rsidR="00C074EE" w:rsidRPr="000330FC" w14:paraId="1C546C53" w14:textId="77777777" w:rsidTr="00CD7F1D">
        <w:trPr>
          <w:trHeight w:val="20"/>
        </w:trPr>
        <w:tc>
          <w:tcPr>
            <w:tcW w:w="2348" w:type="pct"/>
            <w:vAlign w:val="bottom"/>
          </w:tcPr>
          <w:p w14:paraId="63C79248" w14:textId="63647FDD" w:rsidR="00C074EE" w:rsidRPr="000330F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 HER treatment households</w:t>
            </w:r>
          </w:p>
        </w:tc>
        <w:tc>
          <w:tcPr>
            <w:tcW w:w="663" w:type="pct"/>
          </w:tcPr>
          <w:p w14:paraId="7A43C093" w14:textId="3E7AD396"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179,057</w:t>
            </w:r>
          </w:p>
        </w:tc>
        <w:tc>
          <w:tcPr>
            <w:tcW w:w="663" w:type="pct"/>
          </w:tcPr>
          <w:p w14:paraId="143FC13D" w14:textId="5C8FB537"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179,057</w:t>
            </w:r>
          </w:p>
        </w:tc>
        <w:tc>
          <w:tcPr>
            <w:tcW w:w="663" w:type="pct"/>
          </w:tcPr>
          <w:p w14:paraId="6CE5021F" w14:textId="676D3727"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179,057</w:t>
            </w:r>
          </w:p>
        </w:tc>
        <w:tc>
          <w:tcPr>
            <w:tcW w:w="663" w:type="pct"/>
          </w:tcPr>
          <w:p w14:paraId="288F4B9C" w14:textId="191A3AD2"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179,057</w:t>
            </w:r>
          </w:p>
        </w:tc>
      </w:tr>
      <w:tr w:rsidR="00C074EE" w:rsidRPr="000330FC" w14:paraId="7CE48B0E" w14:textId="77777777" w:rsidTr="00CD7F1D">
        <w:trPr>
          <w:trHeight w:val="20"/>
        </w:trPr>
        <w:tc>
          <w:tcPr>
            <w:tcW w:w="2348" w:type="pct"/>
            <w:vAlign w:val="bottom"/>
          </w:tcPr>
          <w:p w14:paraId="6DCC7F05" w14:textId="2FC2E9B6" w:rsidR="00C074EE" w:rsidRPr="000330F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Rate of participation, PY6 (%)</w:t>
            </w:r>
          </w:p>
        </w:tc>
        <w:tc>
          <w:tcPr>
            <w:tcW w:w="663" w:type="pct"/>
          </w:tcPr>
          <w:p w14:paraId="5931DEF9" w14:textId="626E6973"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1.44%</w:t>
            </w:r>
          </w:p>
        </w:tc>
        <w:tc>
          <w:tcPr>
            <w:tcW w:w="663" w:type="pct"/>
          </w:tcPr>
          <w:p w14:paraId="6943CF8B" w14:textId="11625A2F"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0.06%</w:t>
            </w:r>
          </w:p>
        </w:tc>
        <w:tc>
          <w:tcPr>
            <w:tcW w:w="663" w:type="pct"/>
          </w:tcPr>
          <w:p w14:paraId="697E0693" w14:textId="48074493"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0.04%</w:t>
            </w:r>
          </w:p>
        </w:tc>
        <w:tc>
          <w:tcPr>
            <w:tcW w:w="663" w:type="pct"/>
          </w:tcPr>
          <w:p w14:paraId="22CF11A4" w14:textId="4D4683B8"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0.31%</w:t>
            </w:r>
          </w:p>
        </w:tc>
      </w:tr>
      <w:tr w:rsidR="00C074EE" w:rsidRPr="000330FC" w14:paraId="10370467" w14:textId="77777777" w:rsidTr="00CD7F1D">
        <w:trPr>
          <w:trHeight w:val="20"/>
        </w:trPr>
        <w:tc>
          <w:tcPr>
            <w:tcW w:w="2348" w:type="pct"/>
            <w:vAlign w:val="bottom"/>
          </w:tcPr>
          <w:p w14:paraId="66B7870D" w14:textId="0E0AFFB3" w:rsidR="00C074EE" w:rsidRPr="000330F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Change in rate of participation from pre-program year (%)</w:t>
            </w:r>
          </w:p>
        </w:tc>
        <w:tc>
          <w:tcPr>
            <w:tcW w:w="663" w:type="pct"/>
          </w:tcPr>
          <w:p w14:paraId="29C4FE60" w14:textId="6FF24DC1"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-1.16%</w:t>
            </w:r>
          </w:p>
        </w:tc>
        <w:tc>
          <w:tcPr>
            <w:tcW w:w="663" w:type="pct"/>
          </w:tcPr>
          <w:p w14:paraId="055F7DFF" w14:textId="6ADB23F8"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w:t>
            </w:r>
          </w:p>
        </w:tc>
        <w:tc>
          <w:tcPr>
            <w:tcW w:w="663" w:type="pct"/>
          </w:tcPr>
          <w:p w14:paraId="3B71604D" w14:textId="39509F7E"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w:t>
            </w:r>
          </w:p>
        </w:tc>
        <w:tc>
          <w:tcPr>
            <w:tcW w:w="663" w:type="pct"/>
          </w:tcPr>
          <w:p w14:paraId="07883A73" w14:textId="53481142"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w:t>
            </w:r>
          </w:p>
        </w:tc>
      </w:tr>
      <w:tr w:rsidR="00C074EE" w:rsidRPr="000330FC" w14:paraId="72F05202" w14:textId="77777777" w:rsidTr="00CD7F1D">
        <w:trPr>
          <w:trHeight w:val="20"/>
        </w:trPr>
        <w:tc>
          <w:tcPr>
            <w:tcW w:w="2348" w:type="pct"/>
            <w:vAlign w:val="bottom"/>
          </w:tcPr>
          <w:p w14:paraId="29B0A6DB" w14:textId="2EFB52BF" w:rsidR="00C074EE" w:rsidRPr="000330F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 HER control households</w:t>
            </w:r>
          </w:p>
        </w:tc>
        <w:tc>
          <w:tcPr>
            <w:tcW w:w="663" w:type="pct"/>
          </w:tcPr>
          <w:p w14:paraId="78FDE550" w14:textId="1890F1C2"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46,636</w:t>
            </w:r>
          </w:p>
        </w:tc>
        <w:tc>
          <w:tcPr>
            <w:tcW w:w="663" w:type="pct"/>
          </w:tcPr>
          <w:p w14:paraId="3F533263" w14:textId="47D4A69F"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27,393</w:t>
            </w:r>
          </w:p>
        </w:tc>
        <w:tc>
          <w:tcPr>
            <w:tcW w:w="663" w:type="pct"/>
          </w:tcPr>
          <w:p w14:paraId="75C0D169" w14:textId="292A434A"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27,393</w:t>
            </w:r>
          </w:p>
        </w:tc>
        <w:tc>
          <w:tcPr>
            <w:tcW w:w="663" w:type="pct"/>
          </w:tcPr>
          <w:p w14:paraId="012E93FF" w14:textId="00CA70C8"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27,393</w:t>
            </w:r>
          </w:p>
        </w:tc>
      </w:tr>
      <w:tr w:rsidR="00C074EE" w:rsidRPr="000330FC" w14:paraId="28FE14C2" w14:textId="77777777" w:rsidTr="00CD7F1D">
        <w:trPr>
          <w:trHeight w:val="20"/>
        </w:trPr>
        <w:tc>
          <w:tcPr>
            <w:tcW w:w="2348" w:type="pct"/>
            <w:vAlign w:val="bottom"/>
          </w:tcPr>
          <w:p w14:paraId="088715A9" w14:textId="58140107" w:rsidR="00C074EE" w:rsidRPr="000330F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Rate of participation, PY6 (%)</w:t>
            </w:r>
          </w:p>
        </w:tc>
        <w:tc>
          <w:tcPr>
            <w:tcW w:w="663" w:type="pct"/>
          </w:tcPr>
          <w:p w14:paraId="4156A7DF" w14:textId="74A50009"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1.30%</w:t>
            </w:r>
          </w:p>
        </w:tc>
        <w:tc>
          <w:tcPr>
            <w:tcW w:w="663" w:type="pct"/>
          </w:tcPr>
          <w:p w14:paraId="3472E7AF" w14:textId="774086E4"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0.08%</w:t>
            </w:r>
          </w:p>
        </w:tc>
        <w:tc>
          <w:tcPr>
            <w:tcW w:w="663" w:type="pct"/>
          </w:tcPr>
          <w:p w14:paraId="372EFDF7" w14:textId="38412FA4"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0.08%</w:t>
            </w:r>
          </w:p>
        </w:tc>
        <w:tc>
          <w:tcPr>
            <w:tcW w:w="663" w:type="pct"/>
          </w:tcPr>
          <w:p w14:paraId="20D1BAF5" w14:textId="5E7FEBA4"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0.55%</w:t>
            </w:r>
          </w:p>
        </w:tc>
      </w:tr>
      <w:tr w:rsidR="00C074EE" w:rsidRPr="000330FC" w14:paraId="7FEED24D" w14:textId="77777777" w:rsidTr="00CD7F1D">
        <w:trPr>
          <w:trHeight w:val="20"/>
        </w:trPr>
        <w:tc>
          <w:tcPr>
            <w:tcW w:w="2348" w:type="pct"/>
            <w:vAlign w:val="bottom"/>
          </w:tcPr>
          <w:p w14:paraId="366F2274" w14:textId="2AD5CB9F" w:rsidR="00C074EE" w:rsidRPr="000330F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Change in rate of participation from pre-program year (%)</w:t>
            </w:r>
          </w:p>
        </w:tc>
        <w:tc>
          <w:tcPr>
            <w:tcW w:w="663" w:type="pct"/>
          </w:tcPr>
          <w:p w14:paraId="60899D05" w14:textId="7E0B73F4"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-1.24%</w:t>
            </w:r>
          </w:p>
        </w:tc>
        <w:tc>
          <w:tcPr>
            <w:tcW w:w="663" w:type="pct"/>
          </w:tcPr>
          <w:p w14:paraId="1A59C3B4" w14:textId="0E8CD591"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w:t>
            </w:r>
          </w:p>
        </w:tc>
        <w:tc>
          <w:tcPr>
            <w:tcW w:w="663" w:type="pct"/>
          </w:tcPr>
          <w:p w14:paraId="00B57FAD" w14:textId="62610C7D"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w:t>
            </w:r>
          </w:p>
        </w:tc>
        <w:tc>
          <w:tcPr>
            <w:tcW w:w="663" w:type="pct"/>
          </w:tcPr>
          <w:p w14:paraId="4DEFB490" w14:textId="7DA7D6D3"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w:t>
            </w:r>
          </w:p>
        </w:tc>
      </w:tr>
      <w:tr w:rsidR="00C074EE" w:rsidRPr="000330FC" w14:paraId="3910926B" w14:textId="77777777" w:rsidTr="00CD7F1D">
        <w:trPr>
          <w:trHeight w:val="20"/>
        </w:trPr>
        <w:tc>
          <w:tcPr>
            <w:tcW w:w="2348" w:type="pct"/>
            <w:vAlign w:val="bottom"/>
          </w:tcPr>
          <w:p w14:paraId="0806BF0D" w14:textId="6AC90B0D" w:rsidR="00C074EE" w:rsidRPr="000330F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DID/POD statistic</w:t>
            </w:r>
          </w:p>
        </w:tc>
        <w:tc>
          <w:tcPr>
            <w:tcW w:w="663" w:type="pct"/>
          </w:tcPr>
          <w:p w14:paraId="05DBF891" w14:textId="541DC094"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0.08%</w:t>
            </w:r>
          </w:p>
        </w:tc>
        <w:tc>
          <w:tcPr>
            <w:tcW w:w="663" w:type="pct"/>
          </w:tcPr>
          <w:p w14:paraId="62DB97E8" w14:textId="6FAF4CB0"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0.01%</w:t>
            </w:r>
          </w:p>
        </w:tc>
        <w:tc>
          <w:tcPr>
            <w:tcW w:w="663" w:type="pct"/>
          </w:tcPr>
          <w:p w14:paraId="1D5F9931" w14:textId="1F92ABEF"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-0.01%</w:t>
            </w:r>
          </w:p>
        </w:tc>
        <w:tc>
          <w:tcPr>
            <w:tcW w:w="663" w:type="pct"/>
          </w:tcPr>
          <w:p w14:paraId="7784B494" w14:textId="5A4109E8"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-0.01%</w:t>
            </w:r>
          </w:p>
        </w:tc>
      </w:tr>
      <w:tr w:rsidR="00C074EE" w:rsidRPr="000330FC" w14:paraId="55C58D4C" w14:textId="77777777" w:rsidTr="00CD7F1D">
        <w:trPr>
          <w:trHeight w:val="20"/>
        </w:trPr>
        <w:tc>
          <w:tcPr>
            <w:tcW w:w="2348" w:type="pct"/>
            <w:vAlign w:val="bottom"/>
          </w:tcPr>
          <w:p w14:paraId="4BCDE810" w14:textId="09CF69A0" w:rsidR="00C074EE" w:rsidRPr="000330F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Change in program participation due to HER program</w:t>
            </w:r>
          </w:p>
        </w:tc>
        <w:tc>
          <w:tcPr>
            <w:tcW w:w="663" w:type="pct"/>
          </w:tcPr>
          <w:p w14:paraId="354C9BCF" w14:textId="256443FA"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150</w:t>
            </w:r>
          </w:p>
        </w:tc>
        <w:tc>
          <w:tcPr>
            <w:tcW w:w="663" w:type="pct"/>
          </w:tcPr>
          <w:p w14:paraId="5702208D" w14:textId="50DC02D1"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27</w:t>
            </w:r>
          </w:p>
        </w:tc>
        <w:tc>
          <w:tcPr>
            <w:tcW w:w="663" w:type="pct"/>
          </w:tcPr>
          <w:p w14:paraId="07A79E96" w14:textId="740E1C7F"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-12</w:t>
            </w:r>
          </w:p>
        </w:tc>
        <w:tc>
          <w:tcPr>
            <w:tcW w:w="663" w:type="pct"/>
          </w:tcPr>
          <w:p w14:paraId="447BA068" w14:textId="2459632E"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-16</w:t>
            </w:r>
          </w:p>
        </w:tc>
      </w:tr>
      <w:tr w:rsidR="00C074EE" w:rsidRPr="000330FC" w14:paraId="692D63E0" w14:textId="77777777" w:rsidTr="00CD7F1D">
        <w:trPr>
          <w:trHeight w:val="20"/>
        </w:trPr>
        <w:tc>
          <w:tcPr>
            <w:tcW w:w="2348" w:type="pct"/>
            <w:vAlign w:val="bottom"/>
          </w:tcPr>
          <w:p w14:paraId="16CA7C72" w14:textId="59AAE294" w:rsidR="00C074EE" w:rsidRPr="000330F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Statistically significant at the 90% confidence level?</w:t>
            </w:r>
          </w:p>
        </w:tc>
        <w:tc>
          <w:tcPr>
            <w:tcW w:w="663" w:type="pct"/>
          </w:tcPr>
          <w:p w14:paraId="7114E11A" w14:textId="41B6F733"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No</w:t>
            </w:r>
          </w:p>
        </w:tc>
        <w:tc>
          <w:tcPr>
            <w:tcW w:w="663" w:type="pct"/>
          </w:tcPr>
          <w:p w14:paraId="490C8B6B" w14:textId="741267FF"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No</w:t>
            </w:r>
          </w:p>
        </w:tc>
        <w:tc>
          <w:tcPr>
            <w:tcW w:w="663" w:type="pct"/>
          </w:tcPr>
          <w:p w14:paraId="014D7426" w14:textId="26863B3C"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No</w:t>
            </w:r>
          </w:p>
        </w:tc>
        <w:tc>
          <w:tcPr>
            <w:tcW w:w="663" w:type="pct"/>
          </w:tcPr>
          <w:p w14:paraId="136D74FA" w14:textId="09710C40"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No</w:t>
            </w:r>
          </w:p>
        </w:tc>
      </w:tr>
      <w:tr w:rsidR="00C074EE" w:rsidRPr="000330FC" w14:paraId="5BB24C9B" w14:textId="77777777" w:rsidTr="00CD7F1D">
        <w:trPr>
          <w:trHeight w:val="20"/>
        </w:trPr>
        <w:tc>
          <w:tcPr>
            <w:tcW w:w="2348" w:type="pct"/>
            <w:vAlign w:val="bottom"/>
          </w:tcPr>
          <w:p w14:paraId="0D5D718A" w14:textId="4FEF338B" w:rsidR="00C074EE" w:rsidRPr="000330F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Savings attributable to other programs (kWh)</w:t>
            </w:r>
          </w:p>
        </w:tc>
        <w:tc>
          <w:tcPr>
            <w:tcW w:w="663" w:type="pct"/>
          </w:tcPr>
          <w:p w14:paraId="54D97F2B" w14:textId="176CD1B2"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88,733</w:t>
            </w:r>
          </w:p>
        </w:tc>
        <w:tc>
          <w:tcPr>
            <w:tcW w:w="663" w:type="pct"/>
          </w:tcPr>
          <w:p w14:paraId="36F06BC3" w14:textId="7A09D37F"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13,266</w:t>
            </w:r>
          </w:p>
        </w:tc>
        <w:tc>
          <w:tcPr>
            <w:tcW w:w="663" w:type="pct"/>
          </w:tcPr>
          <w:p w14:paraId="4062FB32" w14:textId="3702C76D"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-3,795</w:t>
            </w:r>
          </w:p>
        </w:tc>
        <w:tc>
          <w:tcPr>
            <w:tcW w:w="663" w:type="pct"/>
          </w:tcPr>
          <w:p w14:paraId="304B8176" w14:textId="7CBD3B0B"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-9,445</w:t>
            </w:r>
          </w:p>
        </w:tc>
      </w:tr>
      <w:tr w:rsidR="004F468F" w:rsidRPr="000330FC" w14:paraId="6CCA695C" w14:textId="77777777" w:rsidTr="004F468F">
        <w:trPr>
          <w:trHeight w:val="20"/>
        </w:trPr>
        <w:tc>
          <w:tcPr>
            <w:tcW w:w="2348" w:type="pct"/>
          </w:tcPr>
          <w:p w14:paraId="1A0A110D" w14:textId="4FF5241B" w:rsidR="004F468F" w:rsidRDefault="004F468F" w:rsidP="004F468F">
            <w:pPr>
              <w:keepNext/>
              <w:keepLines/>
              <w:autoSpaceDE w:val="0"/>
              <w:autoSpaceDN w:val="0"/>
              <w:adjustRightInd w:val="0"/>
              <w:spacing w:before="40" w:after="40"/>
              <w:jc w:val="left"/>
              <w:rPr>
                <w:rFonts w:ascii="Arial Narrow" w:hAnsi="Arial Narrow"/>
                <w:color w:val="000000"/>
                <w:szCs w:val="20"/>
              </w:rPr>
            </w:pPr>
            <w:r>
              <w:rPr>
                <w:rFonts w:ascii="Arial Narrow" w:hAnsi="Arial Narrow"/>
                <w:color w:val="000000"/>
                <w:szCs w:val="20"/>
              </w:rPr>
              <w:t>Percentage change in EE program participation rate for HER participants</w:t>
            </w:r>
          </w:p>
        </w:tc>
        <w:tc>
          <w:tcPr>
            <w:tcW w:w="663" w:type="pct"/>
          </w:tcPr>
          <w:p w14:paraId="0F3CD7D9" w14:textId="0A76FD3F" w:rsidR="004F468F" w:rsidRDefault="004F468F" w:rsidP="004F468F">
            <w:pPr>
              <w:keepNext/>
              <w:keepLines/>
              <w:autoSpaceDE w:val="0"/>
              <w:autoSpaceDN w:val="0"/>
              <w:adjustRightInd w:val="0"/>
              <w:spacing w:before="40" w:after="40"/>
              <w:rPr>
                <w:rFonts w:ascii="Arial Narrow" w:hAnsi="Arial Narrow"/>
                <w:color w:val="000000"/>
                <w:szCs w:val="20"/>
              </w:rPr>
            </w:pPr>
            <w:r>
              <w:rPr>
                <w:rFonts w:ascii="Arial Narrow" w:hAnsi="Arial Narrow"/>
                <w:color w:val="000000"/>
                <w:szCs w:val="20"/>
              </w:rPr>
              <w:t>6%</w:t>
            </w:r>
          </w:p>
        </w:tc>
        <w:tc>
          <w:tcPr>
            <w:tcW w:w="663" w:type="pct"/>
          </w:tcPr>
          <w:p w14:paraId="2C31552F" w14:textId="11DE20C6" w:rsidR="004F468F" w:rsidRDefault="004F468F" w:rsidP="004F468F">
            <w:pPr>
              <w:keepNext/>
              <w:keepLines/>
              <w:autoSpaceDE w:val="0"/>
              <w:autoSpaceDN w:val="0"/>
              <w:adjustRightInd w:val="0"/>
              <w:spacing w:before="40" w:after="40"/>
              <w:rPr>
                <w:rFonts w:ascii="Arial Narrow" w:hAnsi="Arial Narrow"/>
                <w:color w:val="000000"/>
                <w:szCs w:val="20"/>
              </w:rPr>
            </w:pPr>
            <w:r>
              <w:rPr>
                <w:rFonts w:ascii="Arial Narrow" w:hAnsi="Arial Narrow"/>
                <w:color w:val="000000"/>
                <w:szCs w:val="20"/>
              </w:rPr>
              <w:t>-23%</w:t>
            </w:r>
          </w:p>
        </w:tc>
        <w:tc>
          <w:tcPr>
            <w:tcW w:w="663" w:type="pct"/>
          </w:tcPr>
          <w:p w14:paraId="7B9DAC22" w14:textId="119BF8F7" w:rsidR="004F468F" w:rsidRDefault="004F468F" w:rsidP="004F468F">
            <w:pPr>
              <w:keepNext/>
              <w:keepLines/>
              <w:autoSpaceDE w:val="0"/>
              <w:autoSpaceDN w:val="0"/>
              <w:adjustRightInd w:val="0"/>
              <w:spacing w:before="40" w:after="40"/>
              <w:rPr>
                <w:rFonts w:ascii="Arial Narrow" w:hAnsi="Arial Narrow"/>
                <w:color w:val="000000"/>
                <w:szCs w:val="20"/>
              </w:rPr>
            </w:pPr>
            <w:r>
              <w:rPr>
                <w:rFonts w:ascii="Arial Narrow" w:hAnsi="Arial Narrow"/>
                <w:color w:val="000000"/>
                <w:szCs w:val="20"/>
              </w:rPr>
              <w:t>-50%</w:t>
            </w:r>
          </w:p>
        </w:tc>
        <w:tc>
          <w:tcPr>
            <w:tcW w:w="663" w:type="pct"/>
          </w:tcPr>
          <w:p w14:paraId="6AE1A02A" w14:textId="27AAD594" w:rsidR="004F468F" w:rsidRDefault="004F468F" w:rsidP="004F468F">
            <w:pPr>
              <w:keepNext/>
              <w:keepLines/>
              <w:autoSpaceDE w:val="0"/>
              <w:autoSpaceDN w:val="0"/>
              <w:adjustRightInd w:val="0"/>
              <w:spacing w:before="40" w:after="40"/>
              <w:rPr>
                <w:rFonts w:ascii="Arial Narrow" w:hAnsi="Arial Narrow"/>
                <w:color w:val="000000"/>
                <w:szCs w:val="20"/>
              </w:rPr>
            </w:pPr>
            <w:r>
              <w:rPr>
                <w:rFonts w:ascii="Arial Narrow" w:hAnsi="Arial Narrow"/>
                <w:color w:val="000000"/>
                <w:szCs w:val="20"/>
              </w:rPr>
              <w:t>-43%</w:t>
            </w:r>
          </w:p>
        </w:tc>
      </w:tr>
    </w:tbl>
    <w:p w14:paraId="0AF21704" w14:textId="77777777" w:rsidR="001E0069" w:rsidRPr="00D919A7" w:rsidRDefault="001E0069" w:rsidP="001E0069">
      <w:pPr>
        <w:pStyle w:val="Source"/>
      </w:pPr>
      <w:r>
        <w:t>Source: Navigant analysis</w:t>
      </w:r>
    </w:p>
    <w:p w14:paraId="3C9C27A9" w14:textId="171427FB" w:rsidR="001E0069" w:rsidRPr="00112140" w:rsidRDefault="001E0069" w:rsidP="001E0069">
      <w:pPr>
        <w:rPr>
          <w:b/>
          <w:bCs/>
          <w:color w:val="993300"/>
          <w:szCs w:val="20"/>
        </w:rPr>
      </w:pPr>
    </w:p>
    <w:p w14:paraId="1115B220" w14:textId="67D1AED3" w:rsidR="001E0069" w:rsidRDefault="001E0069" w:rsidP="004301F4">
      <w:pPr>
        <w:pStyle w:val="Caption"/>
      </w:pPr>
      <w:bookmarkStart w:id="155" w:name="_Toc408396103"/>
      <w:bookmarkStart w:id="156" w:name="_Toc408990904"/>
      <w:bookmarkStart w:id="157" w:name="_Toc441751915"/>
      <w:bookmarkStart w:id="158" w:name="_Toc378688219"/>
      <w:r>
        <w:t xml:space="preserve">Table </w:t>
      </w:r>
      <w:fldSimple w:instr=" STYLEREF 1 \s ">
        <w:r w:rsidR="00E4410B">
          <w:rPr>
            <w:noProof/>
          </w:rPr>
          <w:t>6</w:t>
        </w:r>
      </w:fldSimple>
      <w:r w:rsidR="00F05E89">
        <w:noBreakHyphen/>
      </w:r>
      <w:fldSimple w:instr=" SEQ Table \* ARABIC \s 1 ">
        <w:r w:rsidR="00E4410B">
          <w:rPr>
            <w:noProof/>
          </w:rPr>
          <w:t>11</w:t>
        </w:r>
      </w:fldSimple>
      <w:r>
        <w:t>. Estimates of Double-Counted Savings: Wave 3, TR Persistence Group</w:t>
      </w:r>
      <w:bookmarkEnd w:id="155"/>
      <w:bookmarkEnd w:id="156"/>
      <w:bookmarkEnd w:id="157"/>
    </w:p>
    <w:tbl>
      <w:tblPr>
        <w:tblStyle w:val="ComEdTable"/>
        <w:tblW w:w="4950" w:type="pct"/>
        <w:tblLook w:val="04A0" w:firstRow="1" w:lastRow="0" w:firstColumn="1" w:lastColumn="0" w:noHBand="0" w:noVBand="1"/>
      </w:tblPr>
      <w:tblGrid>
        <w:gridCol w:w="4680"/>
        <w:gridCol w:w="1198"/>
        <w:gridCol w:w="1198"/>
        <w:gridCol w:w="1198"/>
        <w:gridCol w:w="1206"/>
      </w:tblGrid>
      <w:tr w:rsidR="001E0069" w:rsidRPr="001477FC" w14:paraId="6DF680CD" w14:textId="77777777" w:rsidTr="002A2309">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68" w:type="pct"/>
            <w:vMerge w:val="restart"/>
          </w:tcPr>
          <w:p w14:paraId="085F2762" w14:textId="77777777" w:rsidR="001E0069" w:rsidRPr="001477FC" w:rsidRDefault="001E0069" w:rsidP="007E5455">
            <w:pPr>
              <w:keepNext/>
              <w:keepLines/>
              <w:autoSpaceDE w:val="0"/>
              <w:autoSpaceDN w:val="0"/>
              <w:adjustRightInd w:val="0"/>
              <w:spacing w:before="40" w:after="40"/>
              <w:jc w:val="left"/>
              <w:rPr>
                <w:rFonts w:ascii="Arial Narrow" w:hAnsi="Arial Narrow" w:cs="Calibri"/>
                <w:color w:val="000000"/>
                <w:szCs w:val="20"/>
              </w:rPr>
            </w:pPr>
          </w:p>
        </w:tc>
        <w:tc>
          <w:tcPr>
            <w:tcW w:w="2532" w:type="pct"/>
            <w:gridSpan w:val="4"/>
          </w:tcPr>
          <w:p w14:paraId="45767F17" w14:textId="77777777" w:rsidR="001E0069" w:rsidRPr="001477FC" w:rsidRDefault="001E0069" w:rsidP="007E5455">
            <w:pPr>
              <w:keepNext/>
              <w:keepLines/>
              <w:autoSpaceDE w:val="0"/>
              <w:autoSpaceDN w:val="0"/>
              <w:adjustRightInd w:val="0"/>
              <w:spacing w:before="40" w:after="40"/>
              <w:jc w:val="center"/>
              <w:cnfStyle w:val="100000000000" w:firstRow="1"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1477FC">
              <w:rPr>
                <w:rFonts w:ascii="Arial Narrow" w:hAnsi="Arial Narrow" w:cs="Calibri"/>
                <w:szCs w:val="20"/>
              </w:rPr>
              <w:t>Program</w:t>
            </w:r>
          </w:p>
        </w:tc>
      </w:tr>
      <w:tr w:rsidR="00194675" w:rsidRPr="001477FC" w14:paraId="42E3BFCC" w14:textId="77777777" w:rsidTr="00C074EE">
        <w:trPr>
          <w:trHeight w:val="432"/>
        </w:trPr>
        <w:tc>
          <w:tcPr>
            <w:cnfStyle w:val="001000000000" w:firstRow="0" w:lastRow="0" w:firstColumn="1" w:lastColumn="0" w:oddVBand="0" w:evenVBand="0" w:oddHBand="0" w:evenHBand="0" w:firstRowFirstColumn="0" w:firstRowLastColumn="0" w:lastRowFirstColumn="0" w:lastRowLastColumn="0"/>
            <w:tcW w:w="2468" w:type="pct"/>
            <w:vMerge/>
          </w:tcPr>
          <w:p w14:paraId="24B82472" w14:textId="77777777" w:rsidR="00194675" w:rsidRPr="001477FC" w:rsidRDefault="00194675" w:rsidP="00194675">
            <w:pPr>
              <w:keepNext/>
              <w:keepLines/>
              <w:autoSpaceDE w:val="0"/>
              <w:autoSpaceDN w:val="0"/>
              <w:adjustRightInd w:val="0"/>
              <w:spacing w:before="40" w:after="40"/>
              <w:jc w:val="left"/>
              <w:rPr>
                <w:rFonts w:ascii="Arial Narrow" w:hAnsi="Arial Narrow" w:cs="Calibri"/>
                <w:color w:val="000000"/>
                <w:szCs w:val="20"/>
              </w:rPr>
            </w:pPr>
          </w:p>
        </w:tc>
        <w:tc>
          <w:tcPr>
            <w:tcW w:w="632" w:type="pct"/>
            <w:shd w:val="clear" w:color="auto" w:fill="92876D"/>
          </w:tcPr>
          <w:p w14:paraId="475AF983" w14:textId="280D508D" w:rsidR="00194675" w:rsidRPr="00B74A3B" w:rsidRDefault="00194675" w:rsidP="00194675">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b/>
                <w:color w:val="FFFFFF" w:themeColor="background1"/>
                <w:szCs w:val="20"/>
              </w:rPr>
            </w:pPr>
            <w:r>
              <w:rPr>
                <w:rFonts w:ascii="Arial Narrow" w:hAnsi="Arial Narrow" w:cs="Calibri"/>
                <w:b/>
                <w:color w:val="FFFFFF" w:themeColor="background1"/>
                <w:szCs w:val="20"/>
              </w:rPr>
              <w:t>FFR</w:t>
            </w:r>
          </w:p>
        </w:tc>
        <w:tc>
          <w:tcPr>
            <w:tcW w:w="632" w:type="pct"/>
            <w:shd w:val="clear" w:color="auto" w:fill="92876D"/>
          </w:tcPr>
          <w:p w14:paraId="0822F71A" w14:textId="76BD4709" w:rsidR="00194675" w:rsidRPr="00B74A3B" w:rsidRDefault="00194675" w:rsidP="00194675">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b/>
                <w:color w:val="FFFFFF" w:themeColor="background1"/>
                <w:szCs w:val="20"/>
              </w:rPr>
            </w:pPr>
            <w:r>
              <w:rPr>
                <w:rFonts w:ascii="Arial Narrow" w:hAnsi="Arial Narrow" w:cs="Calibri"/>
                <w:b/>
                <w:color w:val="FFFFFF" w:themeColor="background1"/>
                <w:szCs w:val="20"/>
              </w:rPr>
              <w:t>HEA</w:t>
            </w:r>
          </w:p>
        </w:tc>
        <w:tc>
          <w:tcPr>
            <w:tcW w:w="632" w:type="pct"/>
            <w:shd w:val="clear" w:color="auto" w:fill="92876D"/>
          </w:tcPr>
          <w:p w14:paraId="406E5220" w14:textId="0011D90A" w:rsidR="00194675" w:rsidRPr="00B74A3B" w:rsidRDefault="00194675" w:rsidP="00194675">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b/>
                <w:color w:val="FFFFFF" w:themeColor="background1"/>
                <w:szCs w:val="20"/>
              </w:rPr>
            </w:pPr>
            <w:r>
              <w:rPr>
                <w:rFonts w:ascii="Arial Narrow" w:hAnsi="Arial Narrow" w:cs="Calibri"/>
                <w:b/>
                <w:color w:val="FFFFFF" w:themeColor="background1"/>
                <w:szCs w:val="20"/>
              </w:rPr>
              <w:t>MESP</w:t>
            </w:r>
          </w:p>
        </w:tc>
        <w:tc>
          <w:tcPr>
            <w:tcW w:w="636" w:type="pct"/>
            <w:shd w:val="clear" w:color="auto" w:fill="92876D"/>
          </w:tcPr>
          <w:p w14:paraId="63515982" w14:textId="2A82E8B0" w:rsidR="00194675" w:rsidRPr="00B74A3B" w:rsidRDefault="00194675" w:rsidP="00194675">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b/>
                <w:color w:val="FFFFFF" w:themeColor="background1"/>
                <w:szCs w:val="20"/>
              </w:rPr>
            </w:pPr>
            <w:r>
              <w:rPr>
                <w:rFonts w:ascii="Arial Narrow" w:hAnsi="Arial Narrow" w:cs="Calibri"/>
                <w:b/>
                <w:color w:val="FFFFFF" w:themeColor="background1"/>
                <w:szCs w:val="20"/>
              </w:rPr>
              <w:t>Rebate</w:t>
            </w:r>
          </w:p>
        </w:tc>
      </w:tr>
      <w:tr w:rsidR="00C074EE" w:rsidRPr="001477FC" w14:paraId="029320B4" w14:textId="77777777" w:rsidTr="00C074EE">
        <w:trPr>
          <w:trHeight w:val="20"/>
        </w:trPr>
        <w:tc>
          <w:tcPr>
            <w:cnfStyle w:val="001000000000" w:firstRow="0" w:lastRow="0" w:firstColumn="1" w:lastColumn="0" w:oddVBand="0" w:evenVBand="0" w:oddHBand="0" w:evenHBand="0" w:firstRowFirstColumn="0" w:firstRowLastColumn="0" w:lastRowFirstColumn="0" w:lastRowLastColumn="0"/>
            <w:tcW w:w="2468" w:type="pct"/>
            <w:vAlign w:val="bottom"/>
          </w:tcPr>
          <w:p w14:paraId="3641BA58" w14:textId="448B5461" w:rsidR="00C074EE" w:rsidRPr="001477F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Average program savings (annual kWh per participant)</w:t>
            </w:r>
          </w:p>
        </w:tc>
        <w:tc>
          <w:tcPr>
            <w:tcW w:w="632" w:type="pct"/>
          </w:tcPr>
          <w:p w14:paraId="12969584" w14:textId="02D2E8CB"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592</w:t>
            </w:r>
          </w:p>
        </w:tc>
        <w:tc>
          <w:tcPr>
            <w:tcW w:w="632" w:type="pct"/>
          </w:tcPr>
          <w:p w14:paraId="35F2B0BC" w14:textId="67DA691E"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500</w:t>
            </w:r>
          </w:p>
        </w:tc>
        <w:tc>
          <w:tcPr>
            <w:tcW w:w="632" w:type="pct"/>
          </w:tcPr>
          <w:p w14:paraId="3A72F696" w14:textId="27226F55"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304</w:t>
            </w:r>
          </w:p>
        </w:tc>
        <w:tc>
          <w:tcPr>
            <w:tcW w:w="636" w:type="pct"/>
          </w:tcPr>
          <w:p w14:paraId="676AAD9C" w14:textId="31560756"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593</w:t>
            </w:r>
          </w:p>
        </w:tc>
      </w:tr>
      <w:tr w:rsidR="00C074EE" w:rsidRPr="001477FC" w14:paraId="05E1A98D" w14:textId="77777777" w:rsidTr="00C074EE">
        <w:trPr>
          <w:trHeight w:val="20"/>
        </w:trPr>
        <w:tc>
          <w:tcPr>
            <w:cnfStyle w:val="001000000000" w:firstRow="0" w:lastRow="0" w:firstColumn="1" w:lastColumn="0" w:oddVBand="0" w:evenVBand="0" w:oddHBand="0" w:evenHBand="0" w:firstRowFirstColumn="0" w:firstRowLastColumn="0" w:lastRowFirstColumn="0" w:lastRowLastColumn="0"/>
            <w:tcW w:w="2468" w:type="pct"/>
            <w:vAlign w:val="bottom"/>
          </w:tcPr>
          <w:p w14:paraId="615A4380" w14:textId="1BE9C00C" w:rsidR="00C074EE" w:rsidRPr="001477F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 HER treatment households</w:t>
            </w:r>
          </w:p>
        </w:tc>
        <w:tc>
          <w:tcPr>
            <w:tcW w:w="632" w:type="pct"/>
          </w:tcPr>
          <w:p w14:paraId="5EDC627D" w14:textId="3A5CCB46"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9,807</w:t>
            </w:r>
          </w:p>
        </w:tc>
        <w:tc>
          <w:tcPr>
            <w:tcW w:w="632" w:type="pct"/>
          </w:tcPr>
          <w:p w14:paraId="47BB2FD9" w14:textId="30678712"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9,807</w:t>
            </w:r>
          </w:p>
        </w:tc>
        <w:tc>
          <w:tcPr>
            <w:tcW w:w="632" w:type="pct"/>
          </w:tcPr>
          <w:p w14:paraId="73277AE2" w14:textId="66974041"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9,807</w:t>
            </w:r>
          </w:p>
        </w:tc>
        <w:tc>
          <w:tcPr>
            <w:tcW w:w="636" w:type="pct"/>
          </w:tcPr>
          <w:p w14:paraId="4CA23540" w14:textId="4716E846"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9,807</w:t>
            </w:r>
          </w:p>
        </w:tc>
      </w:tr>
      <w:tr w:rsidR="00C074EE" w:rsidRPr="001477FC" w14:paraId="2A458AE3" w14:textId="77777777" w:rsidTr="00C074EE">
        <w:trPr>
          <w:trHeight w:val="20"/>
        </w:trPr>
        <w:tc>
          <w:tcPr>
            <w:cnfStyle w:val="001000000000" w:firstRow="0" w:lastRow="0" w:firstColumn="1" w:lastColumn="0" w:oddVBand="0" w:evenVBand="0" w:oddHBand="0" w:evenHBand="0" w:firstRowFirstColumn="0" w:firstRowLastColumn="0" w:lastRowFirstColumn="0" w:lastRowLastColumn="0"/>
            <w:tcW w:w="2468" w:type="pct"/>
            <w:vAlign w:val="bottom"/>
          </w:tcPr>
          <w:p w14:paraId="3D323CC5" w14:textId="2A4EB404" w:rsidR="00C074EE" w:rsidRPr="001477F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Rate of participation, PY6 (%)</w:t>
            </w:r>
          </w:p>
        </w:tc>
        <w:tc>
          <w:tcPr>
            <w:tcW w:w="632" w:type="pct"/>
          </w:tcPr>
          <w:p w14:paraId="4B523465" w14:textId="3B9D6D4A"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1.71%</w:t>
            </w:r>
          </w:p>
        </w:tc>
        <w:tc>
          <w:tcPr>
            <w:tcW w:w="632" w:type="pct"/>
          </w:tcPr>
          <w:p w14:paraId="2BB0F6F0" w14:textId="5D267D83"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0.02%</w:t>
            </w:r>
          </w:p>
        </w:tc>
        <w:tc>
          <w:tcPr>
            <w:tcW w:w="632" w:type="pct"/>
          </w:tcPr>
          <w:p w14:paraId="3EFE0C69" w14:textId="1CE5F102"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0.06%</w:t>
            </w:r>
          </w:p>
        </w:tc>
        <w:tc>
          <w:tcPr>
            <w:tcW w:w="636" w:type="pct"/>
          </w:tcPr>
          <w:p w14:paraId="332EECF7" w14:textId="22B46DFE"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0.35%</w:t>
            </w:r>
          </w:p>
        </w:tc>
      </w:tr>
      <w:tr w:rsidR="00C074EE" w:rsidRPr="001477FC" w14:paraId="3E5F691A" w14:textId="77777777" w:rsidTr="00C074EE">
        <w:trPr>
          <w:trHeight w:val="20"/>
        </w:trPr>
        <w:tc>
          <w:tcPr>
            <w:cnfStyle w:val="001000000000" w:firstRow="0" w:lastRow="0" w:firstColumn="1" w:lastColumn="0" w:oddVBand="0" w:evenVBand="0" w:oddHBand="0" w:evenHBand="0" w:firstRowFirstColumn="0" w:firstRowLastColumn="0" w:lastRowFirstColumn="0" w:lastRowLastColumn="0"/>
            <w:tcW w:w="2468" w:type="pct"/>
            <w:vAlign w:val="bottom"/>
          </w:tcPr>
          <w:p w14:paraId="48EDE10F" w14:textId="2DA42F6E" w:rsidR="00C074EE" w:rsidRPr="001477F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Change in rate of participation from pre-program year (%)</w:t>
            </w:r>
          </w:p>
        </w:tc>
        <w:tc>
          <w:tcPr>
            <w:tcW w:w="632" w:type="pct"/>
          </w:tcPr>
          <w:p w14:paraId="68DFD7EF" w14:textId="4D5B7BA9"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-1.20%</w:t>
            </w:r>
          </w:p>
        </w:tc>
        <w:tc>
          <w:tcPr>
            <w:tcW w:w="632" w:type="pct"/>
          </w:tcPr>
          <w:p w14:paraId="6E6BE3B5" w14:textId="31699742"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w:t>
            </w:r>
          </w:p>
        </w:tc>
        <w:tc>
          <w:tcPr>
            <w:tcW w:w="632" w:type="pct"/>
          </w:tcPr>
          <w:p w14:paraId="3C0B8892" w14:textId="3B5B218C"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w:t>
            </w:r>
          </w:p>
        </w:tc>
        <w:tc>
          <w:tcPr>
            <w:tcW w:w="636" w:type="pct"/>
          </w:tcPr>
          <w:p w14:paraId="21831F95" w14:textId="7C6C165A"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w:t>
            </w:r>
          </w:p>
        </w:tc>
      </w:tr>
      <w:tr w:rsidR="00C074EE" w:rsidRPr="001477FC" w14:paraId="2443CE9E" w14:textId="77777777" w:rsidTr="00C074EE">
        <w:trPr>
          <w:trHeight w:val="20"/>
        </w:trPr>
        <w:tc>
          <w:tcPr>
            <w:cnfStyle w:val="001000000000" w:firstRow="0" w:lastRow="0" w:firstColumn="1" w:lastColumn="0" w:oddVBand="0" w:evenVBand="0" w:oddHBand="0" w:evenHBand="0" w:firstRowFirstColumn="0" w:firstRowLastColumn="0" w:lastRowFirstColumn="0" w:lastRowLastColumn="0"/>
            <w:tcW w:w="2468" w:type="pct"/>
            <w:vAlign w:val="bottom"/>
          </w:tcPr>
          <w:p w14:paraId="6D4FD958" w14:textId="45F58B8B" w:rsidR="00C074EE" w:rsidRPr="001477F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 HER control households</w:t>
            </w:r>
          </w:p>
        </w:tc>
        <w:tc>
          <w:tcPr>
            <w:tcW w:w="632" w:type="pct"/>
          </w:tcPr>
          <w:p w14:paraId="2B51E913" w14:textId="487CE4DF"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46,636</w:t>
            </w:r>
          </w:p>
        </w:tc>
        <w:tc>
          <w:tcPr>
            <w:tcW w:w="632" w:type="pct"/>
          </w:tcPr>
          <w:p w14:paraId="00674B28" w14:textId="14268CFB"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27,393</w:t>
            </w:r>
          </w:p>
        </w:tc>
        <w:tc>
          <w:tcPr>
            <w:tcW w:w="632" w:type="pct"/>
          </w:tcPr>
          <w:p w14:paraId="15BAFB6D" w14:textId="32710419"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27,393</w:t>
            </w:r>
          </w:p>
        </w:tc>
        <w:tc>
          <w:tcPr>
            <w:tcW w:w="636" w:type="pct"/>
          </w:tcPr>
          <w:p w14:paraId="414C396C" w14:textId="6D0A5051"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27,393</w:t>
            </w:r>
          </w:p>
        </w:tc>
      </w:tr>
      <w:tr w:rsidR="00C074EE" w:rsidRPr="001477FC" w14:paraId="18FD4AED" w14:textId="77777777" w:rsidTr="00C074EE">
        <w:trPr>
          <w:trHeight w:val="20"/>
        </w:trPr>
        <w:tc>
          <w:tcPr>
            <w:cnfStyle w:val="001000000000" w:firstRow="0" w:lastRow="0" w:firstColumn="1" w:lastColumn="0" w:oddVBand="0" w:evenVBand="0" w:oddHBand="0" w:evenHBand="0" w:firstRowFirstColumn="0" w:firstRowLastColumn="0" w:lastRowFirstColumn="0" w:lastRowLastColumn="0"/>
            <w:tcW w:w="2468" w:type="pct"/>
            <w:vAlign w:val="bottom"/>
          </w:tcPr>
          <w:p w14:paraId="585A3C0B" w14:textId="65DAAB75" w:rsidR="00C074EE" w:rsidRPr="001477F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Rate of participation, PY6 (%)</w:t>
            </w:r>
          </w:p>
        </w:tc>
        <w:tc>
          <w:tcPr>
            <w:tcW w:w="632" w:type="pct"/>
          </w:tcPr>
          <w:p w14:paraId="18BE5820" w14:textId="1908F495"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1.30%</w:t>
            </w:r>
          </w:p>
        </w:tc>
        <w:tc>
          <w:tcPr>
            <w:tcW w:w="632" w:type="pct"/>
          </w:tcPr>
          <w:p w14:paraId="59478D34" w14:textId="7BD0B6EE"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0.08%</w:t>
            </w:r>
          </w:p>
        </w:tc>
        <w:tc>
          <w:tcPr>
            <w:tcW w:w="632" w:type="pct"/>
          </w:tcPr>
          <w:p w14:paraId="2900EBF8" w14:textId="4E3E3D0E"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0.08%</w:t>
            </w:r>
          </w:p>
        </w:tc>
        <w:tc>
          <w:tcPr>
            <w:tcW w:w="636" w:type="pct"/>
          </w:tcPr>
          <w:p w14:paraId="23694809" w14:textId="0EC42A01"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0.55%</w:t>
            </w:r>
          </w:p>
        </w:tc>
      </w:tr>
      <w:tr w:rsidR="00C074EE" w:rsidRPr="001477FC" w14:paraId="42A18CC4" w14:textId="77777777" w:rsidTr="00C074EE">
        <w:trPr>
          <w:trHeight w:val="20"/>
        </w:trPr>
        <w:tc>
          <w:tcPr>
            <w:cnfStyle w:val="001000000000" w:firstRow="0" w:lastRow="0" w:firstColumn="1" w:lastColumn="0" w:oddVBand="0" w:evenVBand="0" w:oddHBand="0" w:evenHBand="0" w:firstRowFirstColumn="0" w:firstRowLastColumn="0" w:lastRowFirstColumn="0" w:lastRowLastColumn="0"/>
            <w:tcW w:w="2468" w:type="pct"/>
            <w:vAlign w:val="bottom"/>
          </w:tcPr>
          <w:p w14:paraId="48302EC7" w14:textId="050FFE37" w:rsidR="00C074EE" w:rsidRPr="001477F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Change in rate of participation from pre-program year (%)</w:t>
            </w:r>
          </w:p>
        </w:tc>
        <w:tc>
          <w:tcPr>
            <w:tcW w:w="632" w:type="pct"/>
          </w:tcPr>
          <w:p w14:paraId="7B7F6979" w14:textId="16A7C934"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-1.24%</w:t>
            </w:r>
          </w:p>
        </w:tc>
        <w:tc>
          <w:tcPr>
            <w:tcW w:w="632" w:type="pct"/>
          </w:tcPr>
          <w:p w14:paraId="61FE3759" w14:textId="2002F50D"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w:t>
            </w:r>
          </w:p>
        </w:tc>
        <w:tc>
          <w:tcPr>
            <w:tcW w:w="632" w:type="pct"/>
          </w:tcPr>
          <w:p w14:paraId="709E3CDA" w14:textId="39EA6DEE"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w:t>
            </w:r>
          </w:p>
        </w:tc>
        <w:tc>
          <w:tcPr>
            <w:tcW w:w="636" w:type="pct"/>
          </w:tcPr>
          <w:p w14:paraId="01916A24" w14:textId="0DBF05D0"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w:t>
            </w:r>
          </w:p>
        </w:tc>
      </w:tr>
      <w:tr w:rsidR="00C074EE" w:rsidRPr="001477FC" w14:paraId="6E2B1B26" w14:textId="77777777" w:rsidTr="00C074EE">
        <w:trPr>
          <w:trHeight w:val="20"/>
        </w:trPr>
        <w:tc>
          <w:tcPr>
            <w:cnfStyle w:val="001000000000" w:firstRow="0" w:lastRow="0" w:firstColumn="1" w:lastColumn="0" w:oddVBand="0" w:evenVBand="0" w:oddHBand="0" w:evenHBand="0" w:firstRowFirstColumn="0" w:firstRowLastColumn="0" w:lastRowFirstColumn="0" w:lastRowLastColumn="0"/>
            <w:tcW w:w="2468" w:type="pct"/>
            <w:vAlign w:val="bottom"/>
          </w:tcPr>
          <w:p w14:paraId="4AA2230E" w14:textId="6382C947" w:rsidR="00C074EE" w:rsidRPr="001477F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DID/POD statistic</w:t>
            </w:r>
          </w:p>
        </w:tc>
        <w:tc>
          <w:tcPr>
            <w:tcW w:w="632" w:type="pct"/>
          </w:tcPr>
          <w:p w14:paraId="4927ABF3" w14:textId="09850427"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0.04%</w:t>
            </w:r>
          </w:p>
        </w:tc>
        <w:tc>
          <w:tcPr>
            <w:tcW w:w="632" w:type="pct"/>
          </w:tcPr>
          <w:p w14:paraId="11FC5748" w14:textId="5CED9755"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-0.03%</w:t>
            </w:r>
          </w:p>
        </w:tc>
        <w:tc>
          <w:tcPr>
            <w:tcW w:w="632" w:type="pct"/>
          </w:tcPr>
          <w:p w14:paraId="18AD1C02" w14:textId="4B7E8652"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0.01%</w:t>
            </w:r>
          </w:p>
        </w:tc>
        <w:tc>
          <w:tcPr>
            <w:tcW w:w="636" w:type="pct"/>
          </w:tcPr>
          <w:p w14:paraId="44182AB4" w14:textId="585ED7EB"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0.03%</w:t>
            </w:r>
          </w:p>
        </w:tc>
      </w:tr>
      <w:tr w:rsidR="00C074EE" w:rsidRPr="001477FC" w14:paraId="7CFA0E72" w14:textId="77777777" w:rsidTr="00C074EE">
        <w:trPr>
          <w:trHeight w:val="20"/>
        </w:trPr>
        <w:tc>
          <w:tcPr>
            <w:cnfStyle w:val="001000000000" w:firstRow="0" w:lastRow="0" w:firstColumn="1" w:lastColumn="0" w:oddVBand="0" w:evenVBand="0" w:oddHBand="0" w:evenHBand="0" w:firstRowFirstColumn="0" w:firstRowLastColumn="0" w:lastRowFirstColumn="0" w:lastRowLastColumn="0"/>
            <w:tcW w:w="2468" w:type="pct"/>
            <w:vAlign w:val="bottom"/>
          </w:tcPr>
          <w:p w14:paraId="06BD5FE4" w14:textId="379EA40C" w:rsidR="00C074EE" w:rsidRPr="001477F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Change in program participation due to HER program</w:t>
            </w:r>
          </w:p>
        </w:tc>
        <w:tc>
          <w:tcPr>
            <w:tcW w:w="632" w:type="pct"/>
          </w:tcPr>
          <w:p w14:paraId="2A1474A3" w14:textId="6E1AA719"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4</w:t>
            </w:r>
          </w:p>
        </w:tc>
        <w:tc>
          <w:tcPr>
            <w:tcW w:w="632" w:type="pct"/>
          </w:tcPr>
          <w:p w14:paraId="6DCB5DA4" w14:textId="22D3E5E5"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-3</w:t>
            </w:r>
          </w:p>
        </w:tc>
        <w:tc>
          <w:tcPr>
            <w:tcW w:w="632" w:type="pct"/>
          </w:tcPr>
          <w:p w14:paraId="2DD440E9" w14:textId="19D54C33"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1</w:t>
            </w:r>
          </w:p>
        </w:tc>
        <w:tc>
          <w:tcPr>
            <w:tcW w:w="636" w:type="pct"/>
          </w:tcPr>
          <w:p w14:paraId="42CAE683" w14:textId="6F03DA47"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2</w:t>
            </w:r>
          </w:p>
        </w:tc>
      </w:tr>
      <w:tr w:rsidR="00C074EE" w:rsidRPr="001477FC" w14:paraId="531C75B4" w14:textId="77777777" w:rsidTr="00C074EE">
        <w:trPr>
          <w:trHeight w:val="20"/>
        </w:trPr>
        <w:tc>
          <w:tcPr>
            <w:cnfStyle w:val="001000000000" w:firstRow="0" w:lastRow="0" w:firstColumn="1" w:lastColumn="0" w:oddVBand="0" w:evenVBand="0" w:oddHBand="0" w:evenHBand="0" w:firstRowFirstColumn="0" w:firstRowLastColumn="0" w:lastRowFirstColumn="0" w:lastRowLastColumn="0"/>
            <w:tcW w:w="2468" w:type="pct"/>
            <w:vAlign w:val="bottom"/>
          </w:tcPr>
          <w:p w14:paraId="200929F8" w14:textId="0D358FC5" w:rsidR="00C074EE" w:rsidRPr="001477F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Statistically significant at the 90% confidence level?</w:t>
            </w:r>
          </w:p>
        </w:tc>
        <w:tc>
          <w:tcPr>
            <w:tcW w:w="632" w:type="pct"/>
          </w:tcPr>
          <w:p w14:paraId="1A9BE0FE" w14:textId="1CAB8CB2"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No</w:t>
            </w:r>
          </w:p>
        </w:tc>
        <w:tc>
          <w:tcPr>
            <w:tcW w:w="632" w:type="pct"/>
          </w:tcPr>
          <w:p w14:paraId="69133834" w14:textId="6DE3B74B"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No</w:t>
            </w:r>
          </w:p>
        </w:tc>
        <w:tc>
          <w:tcPr>
            <w:tcW w:w="632" w:type="pct"/>
          </w:tcPr>
          <w:p w14:paraId="21600B1E" w14:textId="793678A9"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No</w:t>
            </w:r>
          </w:p>
        </w:tc>
        <w:tc>
          <w:tcPr>
            <w:tcW w:w="636" w:type="pct"/>
          </w:tcPr>
          <w:p w14:paraId="7C974AC6" w14:textId="1322B9E1"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No</w:t>
            </w:r>
          </w:p>
        </w:tc>
      </w:tr>
      <w:tr w:rsidR="00C074EE" w:rsidRPr="001477FC" w14:paraId="67028402" w14:textId="77777777" w:rsidTr="00C074EE">
        <w:trPr>
          <w:trHeight w:val="20"/>
        </w:trPr>
        <w:tc>
          <w:tcPr>
            <w:cnfStyle w:val="001000000000" w:firstRow="0" w:lastRow="0" w:firstColumn="1" w:lastColumn="0" w:oddVBand="0" w:evenVBand="0" w:oddHBand="0" w:evenHBand="0" w:firstRowFirstColumn="0" w:firstRowLastColumn="0" w:lastRowFirstColumn="0" w:lastRowLastColumn="0"/>
            <w:tcW w:w="2468" w:type="pct"/>
            <w:vAlign w:val="bottom"/>
          </w:tcPr>
          <w:p w14:paraId="05DC6A43" w14:textId="16FB5658" w:rsidR="00C074EE" w:rsidRPr="001477F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Savings attributable to other programs (kWh)</w:t>
            </w:r>
          </w:p>
        </w:tc>
        <w:tc>
          <w:tcPr>
            <w:tcW w:w="632" w:type="pct"/>
          </w:tcPr>
          <w:p w14:paraId="73E54715" w14:textId="12132878"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2,349</w:t>
            </w:r>
          </w:p>
        </w:tc>
        <w:tc>
          <w:tcPr>
            <w:tcW w:w="632" w:type="pct"/>
          </w:tcPr>
          <w:p w14:paraId="3DE4DA0E" w14:textId="3348421D"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-1,313</w:t>
            </w:r>
          </w:p>
        </w:tc>
        <w:tc>
          <w:tcPr>
            <w:tcW w:w="632" w:type="pct"/>
          </w:tcPr>
          <w:p w14:paraId="0F8E1472" w14:textId="5730DC93"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418</w:t>
            </w:r>
          </w:p>
        </w:tc>
        <w:tc>
          <w:tcPr>
            <w:tcW w:w="636" w:type="pct"/>
          </w:tcPr>
          <w:p w14:paraId="58B30638" w14:textId="4FD3D67D"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1,458</w:t>
            </w:r>
          </w:p>
        </w:tc>
      </w:tr>
      <w:tr w:rsidR="004F468F" w:rsidRPr="001477FC" w14:paraId="4203A521"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468" w:type="pct"/>
          </w:tcPr>
          <w:p w14:paraId="1449218E" w14:textId="3C62763F" w:rsidR="004F468F" w:rsidRDefault="004F468F" w:rsidP="004F468F">
            <w:pPr>
              <w:keepNext/>
              <w:keepLines/>
              <w:autoSpaceDE w:val="0"/>
              <w:autoSpaceDN w:val="0"/>
              <w:adjustRightInd w:val="0"/>
              <w:spacing w:before="40" w:after="40"/>
              <w:jc w:val="left"/>
              <w:rPr>
                <w:rFonts w:ascii="Arial Narrow" w:hAnsi="Arial Narrow"/>
                <w:color w:val="000000"/>
                <w:szCs w:val="20"/>
              </w:rPr>
            </w:pPr>
            <w:r>
              <w:rPr>
                <w:rFonts w:ascii="Arial Narrow" w:hAnsi="Arial Narrow"/>
                <w:color w:val="000000"/>
                <w:szCs w:val="20"/>
              </w:rPr>
              <w:t>Percentage change in EE program participation rate for HER participants</w:t>
            </w:r>
          </w:p>
        </w:tc>
        <w:tc>
          <w:tcPr>
            <w:tcW w:w="632" w:type="pct"/>
          </w:tcPr>
          <w:p w14:paraId="5498F237" w14:textId="285F1E76" w:rsidR="004F468F" w:rsidRDefault="004F468F"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Cs w:val="20"/>
              </w:rPr>
              <w:t>2%</w:t>
            </w:r>
          </w:p>
        </w:tc>
        <w:tc>
          <w:tcPr>
            <w:tcW w:w="632" w:type="pct"/>
          </w:tcPr>
          <w:p w14:paraId="0A911993" w14:textId="64206AF5" w:rsidR="004F468F" w:rsidRDefault="004F468F"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Cs w:val="20"/>
              </w:rPr>
              <w:t>-75%</w:t>
            </w:r>
          </w:p>
        </w:tc>
        <w:tc>
          <w:tcPr>
            <w:tcW w:w="632" w:type="pct"/>
          </w:tcPr>
          <w:p w14:paraId="7B8EDDF6" w14:textId="4AB42DE4" w:rsidR="004F468F" w:rsidRDefault="004F468F"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Cs w:val="20"/>
              </w:rPr>
              <w:t>-24%</w:t>
            </w:r>
          </w:p>
        </w:tc>
        <w:tc>
          <w:tcPr>
            <w:tcW w:w="636" w:type="pct"/>
          </w:tcPr>
          <w:p w14:paraId="32E62419" w14:textId="7D516B73" w:rsidR="004F468F" w:rsidRDefault="004F468F"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Cs w:val="20"/>
              </w:rPr>
              <w:t>-37%</w:t>
            </w:r>
          </w:p>
        </w:tc>
      </w:tr>
    </w:tbl>
    <w:p w14:paraId="687E5BCE" w14:textId="77777777" w:rsidR="001E0069" w:rsidRPr="00D919A7" w:rsidRDefault="001E0069" w:rsidP="002A2309">
      <w:pPr>
        <w:pStyle w:val="Source"/>
      </w:pPr>
      <w:r>
        <w:t>Source: Navigant analysis</w:t>
      </w:r>
    </w:p>
    <w:p w14:paraId="5294E9B1" w14:textId="77777777" w:rsidR="001E0069" w:rsidRDefault="001E0069" w:rsidP="001E0069"/>
    <w:p w14:paraId="1496782E" w14:textId="69E0DA9C" w:rsidR="001E0069" w:rsidRDefault="001E0069" w:rsidP="004301F4">
      <w:pPr>
        <w:pStyle w:val="Caption"/>
      </w:pPr>
      <w:bookmarkStart w:id="159" w:name="_Toc408396106"/>
      <w:bookmarkStart w:id="160" w:name="_Toc408990907"/>
      <w:bookmarkStart w:id="161" w:name="_Toc441751916"/>
      <w:bookmarkEnd w:id="158"/>
      <w:r>
        <w:lastRenderedPageBreak/>
        <w:t xml:space="preserve">Table </w:t>
      </w:r>
      <w:fldSimple w:instr=" STYLEREF 1 \s ">
        <w:r w:rsidR="00E4410B">
          <w:rPr>
            <w:noProof/>
          </w:rPr>
          <w:t>6</w:t>
        </w:r>
      </w:fldSimple>
      <w:r w:rsidR="00F05E89">
        <w:noBreakHyphen/>
      </w:r>
      <w:fldSimple w:instr=" SEQ Table \* ARABIC \s 1 ">
        <w:r w:rsidR="00E4410B">
          <w:rPr>
            <w:noProof/>
          </w:rPr>
          <w:t>12</w:t>
        </w:r>
      </w:fldSimple>
      <w:r>
        <w:t>. Estimates of Double-Counted Savings: Wave 5 Non-AMI, CR Persistence Group</w:t>
      </w:r>
      <w:bookmarkEnd w:id="159"/>
      <w:bookmarkEnd w:id="160"/>
      <w:bookmarkEnd w:id="161"/>
    </w:p>
    <w:tbl>
      <w:tblPr>
        <w:tblStyle w:val="ComEdTable"/>
        <w:tblW w:w="4951" w:type="pct"/>
        <w:tblLook w:val="0020" w:firstRow="1" w:lastRow="0" w:firstColumn="0" w:lastColumn="0" w:noHBand="0" w:noVBand="0"/>
      </w:tblPr>
      <w:tblGrid>
        <w:gridCol w:w="4684"/>
        <w:gridCol w:w="1200"/>
        <w:gridCol w:w="1199"/>
        <w:gridCol w:w="1200"/>
        <w:gridCol w:w="1199"/>
      </w:tblGrid>
      <w:tr w:rsidR="001E0069" w:rsidRPr="00DD25AC" w14:paraId="0167F901" w14:textId="77777777" w:rsidTr="004F468F">
        <w:trPr>
          <w:cnfStyle w:val="100000000000" w:firstRow="1" w:lastRow="0" w:firstColumn="0" w:lastColumn="0" w:oddVBand="0" w:evenVBand="0" w:oddHBand="0" w:evenHBand="0" w:firstRowFirstColumn="0" w:firstRowLastColumn="0" w:lastRowFirstColumn="0" w:lastRowLastColumn="0"/>
          <w:trHeight w:val="20"/>
        </w:trPr>
        <w:tc>
          <w:tcPr>
            <w:tcW w:w="2470" w:type="pct"/>
            <w:vMerge w:val="restart"/>
          </w:tcPr>
          <w:p w14:paraId="6B8D3AE6" w14:textId="77777777" w:rsidR="001E0069" w:rsidRPr="00DD25AC" w:rsidRDefault="001E0069" w:rsidP="007E5455">
            <w:pPr>
              <w:keepNext/>
              <w:keepLines/>
              <w:autoSpaceDE w:val="0"/>
              <w:autoSpaceDN w:val="0"/>
              <w:adjustRightInd w:val="0"/>
              <w:spacing w:before="40" w:after="40"/>
              <w:jc w:val="left"/>
              <w:rPr>
                <w:rFonts w:ascii="Arial Narrow" w:hAnsi="Arial Narrow" w:cs="Calibri"/>
                <w:color w:val="000000"/>
                <w:szCs w:val="20"/>
              </w:rPr>
            </w:pPr>
          </w:p>
        </w:tc>
        <w:tc>
          <w:tcPr>
            <w:tcW w:w="2530" w:type="pct"/>
            <w:gridSpan w:val="4"/>
          </w:tcPr>
          <w:p w14:paraId="2419809E" w14:textId="77777777" w:rsidR="001E0069" w:rsidRPr="00DD25AC" w:rsidRDefault="001E0069" w:rsidP="007E5455">
            <w:pPr>
              <w:keepNext/>
              <w:keepLines/>
              <w:autoSpaceDE w:val="0"/>
              <w:autoSpaceDN w:val="0"/>
              <w:adjustRightInd w:val="0"/>
              <w:spacing w:before="40" w:after="40"/>
              <w:jc w:val="center"/>
              <w:rPr>
                <w:rFonts w:ascii="Arial Narrow" w:hAnsi="Arial Narrow" w:cs="Calibri"/>
                <w:szCs w:val="20"/>
              </w:rPr>
            </w:pPr>
            <w:r w:rsidRPr="00DD25AC">
              <w:rPr>
                <w:rFonts w:ascii="Arial Narrow" w:hAnsi="Arial Narrow" w:cs="Calibri"/>
                <w:szCs w:val="20"/>
              </w:rPr>
              <w:t>Program</w:t>
            </w:r>
          </w:p>
        </w:tc>
      </w:tr>
      <w:tr w:rsidR="00194675" w:rsidRPr="00DD25AC" w14:paraId="4B8CFBED" w14:textId="77777777" w:rsidTr="004F468F">
        <w:trPr>
          <w:trHeight w:val="432"/>
        </w:trPr>
        <w:tc>
          <w:tcPr>
            <w:tcW w:w="2470" w:type="pct"/>
            <w:vMerge/>
          </w:tcPr>
          <w:p w14:paraId="0CC85968" w14:textId="77777777" w:rsidR="00194675" w:rsidRPr="00DD25AC" w:rsidRDefault="00194675" w:rsidP="00194675">
            <w:pPr>
              <w:keepNext/>
              <w:keepLines/>
              <w:autoSpaceDE w:val="0"/>
              <w:autoSpaceDN w:val="0"/>
              <w:adjustRightInd w:val="0"/>
              <w:spacing w:before="40" w:after="40"/>
              <w:jc w:val="left"/>
              <w:rPr>
                <w:rFonts w:ascii="Arial Narrow" w:hAnsi="Arial Narrow" w:cs="Calibri"/>
                <w:color w:val="000000"/>
                <w:szCs w:val="20"/>
              </w:rPr>
            </w:pPr>
          </w:p>
        </w:tc>
        <w:tc>
          <w:tcPr>
            <w:tcW w:w="633" w:type="pct"/>
            <w:shd w:val="clear" w:color="auto" w:fill="92876D"/>
          </w:tcPr>
          <w:p w14:paraId="7D1AAD8A" w14:textId="27AB35A0" w:rsidR="00194675" w:rsidRPr="00B74A3B" w:rsidRDefault="00194675" w:rsidP="00194675">
            <w:pPr>
              <w:keepNext/>
              <w:keepLines/>
              <w:autoSpaceDE w:val="0"/>
              <w:autoSpaceDN w:val="0"/>
              <w:adjustRightInd w:val="0"/>
              <w:spacing w:before="40" w:after="40"/>
              <w:rPr>
                <w:rFonts w:ascii="Arial Narrow" w:hAnsi="Arial Narrow" w:cs="Calibri"/>
                <w:b/>
                <w:color w:val="FFFFFF" w:themeColor="background1"/>
                <w:szCs w:val="20"/>
              </w:rPr>
            </w:pPr>
            <w:r>
              <w:rPr>
                <w:rFonts w:ascii="Arial Narrow" w:hAnsi="Arial Narrow" w:cs="Calibri"/>
                <w:b/>
                <w:color w:val="FFFFFF" w:themeColor="background1"/>
                <w:szCs w:val="20"/>
              </w:rPr>
              <w:t>FFR</w:t>
            </w:r>
          </w:p>
        </w:tc>
        <w:tc>
          <w:tcPr>
            <w:tcW w:w="632" w:type="pct"/>
            <w:shd w:val="clear" w:color="auto" w:fill="92876D"/>
          </w:tcPr>
          <w:p w14:paraId="03808CC5" w14:textId="03333346" w:rsidR="00194675" w:rsidRPr="00B74A3B" w:rsidRDefault="00194675" w:rsidP="00194675">
            <w:pPr>
              <w:keepNext/>
              <w:keepLines/>
              <w:autoSpaceDE w:val="0"/>
              <w:autoSpaceDN w:val="0"/>
              <w:adjustRightInd w:val="0"/>
              <w:spacing w:before="40" w:after="40"/>
              <w:rPr>
                <w:rFonts w:ascii="Arial Narrow" w:hAnsi="Arial Narrow" w:cs="Calibri"/>
                <w:b/>
                <w:color w:val="FFFFFF" w:themeColor="background1"/>
                <w:szCs w:val="20"/>
              </w:rPr>
            </w:pPr>
            <w:r>
              <w:rPr>
                <w:rFonts w:ascii="Arial Narrow" w:hAnsi="Arial Narrow" w:cs="Calibri"/>
                <w:b/>
                <w:color w:val="FFFFFF" w:themeColor="background1"/>
                <w:szCs w:val="20"/>
              </w:rPr>
              <w:t>HEA</w:t>
            </w:r>
          </w:p>
        </w:tc>
        <w:tc>
          <w:tcPr>
            <w:tcW w:w="633" w:type="pct"/>
            <w:shd w:val="clear" w:color="auto" w:fill="92876D"/>
          </w:tcPr>
          <w:p w14:paraId="75A52693" w14:textId="3D93B39E" w:rsidR="00194675" w:rsidRPr="00B74A3B" w:rsidRDefault="00194675" w:rsidP="00194675">
            <w:pPr>
              <w:keepNext/>
              <w:keepLines/>
              <w:autoSpaceDE w:val="0"/>
              <w:autoSpaceDN w:val="0"/>
              <w:adjustRightInd w:val="0"/>
              <w:spacing w:before="40" w:after="40"/>
              <w:rPr>
                <w:rFonts w:ascii="Arial Narrow" w:hAnsi="Arial Narrow" w:cs="Calibri"/>
                <w:b/>
                <w:color w:val="FFFFFF" w:themeColor="background1"/>
                <w:szCs w:val="20"/>
              </w:rPr>
            </w:pPr>
            <w:r>
              <w:rPr>
                <w:rFonts w:ascii="Arial Narrow" w:hAnsi="Arial Narrow" w:cs="Calibri"/>
                <w:b/>
                <w:color w:val="FFFFFF" w:themeColor="background1"/>
                <w:szCs w:val="20"/>
              </w:rPr>
              <w:t>MESP</w:t>
            </w:r>
          </w:p>
        </w:tc>
        <w:tc>
          <w:tcPr>
            <w:tcW w:w="633" w:type="pct"/>
            <w:shd w:val="clear" w:color="auto" w:fill="92876D"/>
          </w:tcPr>
          <w:p w14:paraId="5BC5BA68" w14:textId="50EE9516" w:rsidR="00194675" w:rsidRPr="00B74A3B" w:rsidRDefault="00194675" w:rsidP="00194675">
            <w:pPr>
              <w:keepNext/>
              <w:keepLines/>
              <w:autoSpaceDE w:val="0"/>
              <w:autoSpaceDN w:val="0"/>
              <w:adjustRightInd w:val="0"/>
              <w:spacing w:before="40" w:after="40"/>
              <w:rPr>
                <w:rFonts w:ascii="Arial Narrow" w:hAnsi="Arial Narrow" w:cs="Calibri"/>
                <w:b/>
                <w:color w:val="FFFFFF" w:themeColor="background1"/>
                <w:szCs w:val="20"/>
              </w:rPr>
            </w:pPr>
            <w:r>
              <w:rPr>
                <w:rFonts w:ascii="Arial Narrow" w:hAnsi="Arial Narrow" w:cs="Calibri"/>
                <w:b/>
                <w:color w:val="FFFFFF" w:themeColor="background1"/>
                <w:szCs w:val="20"/>
              </w:rPr>
              <w:t>Rebate</w:t>
            </w:r>
          </w:p>
        </w:tc>
      </w:tr>
      <w:tr w:rsidR="00C074EE" w:rsidRPr="00DD25AC" w14:paraId="22A7A550" w14:textId="77777777" w:rsidTr="004F468F">
        <w:trPr>
          <w:trHeight w:val="20"/>
        </w:trPr>
        <w:tc>
          <w:tcPr>
            <w:tcW w:w="2470" w:type="pct"/>
            <w:vAlign w:val="bottom"/>
          </w:tcPr>
          <w:p w14:paraId="7AA98C42" w14:textId="22E6AA21" w:rsidR="00C074EE" w:rsidRPr="00DD25A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Average program savings (annual kWh per participant)</w:t>
            </w:r>
          </w:p>
        </w:tc>
        <w:tc>
          <w:tcPr>
            <w:tcW w:w="633" w:type="pct"/>
          </w:tcPr>
          <w:p w14:paraId="5576C606" w14:textId="151AEE28"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592</w:t>
            </w:r>
          </w:p>
        </w:tc>
        <w:tc>
          <w:tcPr>
            <w:tcW w:w="632" w:type="pct"/>
          </w:tcPr>
          <w:p w14:paraId="4897AC5F" w14:textId="3DD97DFE"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500</w:t>
            </w:r>
          </w:p>
        </w:tc>
        <w:tc>
          <w:tcPr>
            <w:tcW w:w="633" w:type="pct"/>
          </w:tcPr>
          <w:p w14:paraId="7DBC8A54" w14:textId="6F60F0D1"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304</w:t>
            </w:r>
          </w:p>
        </w:tc>
        <w:tc>
          <w:tcPr>
            <w:tcW w:w="633" w:type="pct"/>
          </w:tcPr>
          <w:p w14:paraId="4513C634" w14:textId="20B873C7"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593</w:t>
            </w:r>
          </w:p>
        </w:tc>
      </w:tr>
      <w:tr w:rsidR="00C074EE" w:rsidRPr="00DD25AC" w14:paraId="30A972F7" w14:textId="77777777" w:rsidTr="004F468F">
        <w:trPr>
          <w:trHeight w:val="20"/>
        </w:trPr>
        <w:tc>
          <w:tcPr>
            <w:tcW w:w="2470" w:type="pct"/>
            <w:vAlign w:val="bottom"/>
          </w:tcPr>
          <w:p w14:paraId="147DC189" w14:textId="4752784C" w:rsidR="00C074EE" w:rsidRPr="00DD25A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 HER treatment households</w:t>
            </w:r>
          </w:p>
        </w:tc>
        <w:tc>
          <w:tcPr>
            <w:tcW w:w="633" w:type="pct"/>
          </w:tcPr>
          <w:p w14:paraId="37766595" w14:textId="7624DB70"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9,945</w:t>
            </w:r>
          </w:p>
        </w:tc>
        <w:tc>
          <w:tcPr>
            <w:tcW w:w="632" w:type="pct"/>
          </w:tcPr>
          <w:p w14:paraId="5423E38A" w14:textId="3F9748D5"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9,945</w:t>
            </w:r>
          </w:p>
        </w:tc>
        <w:tc>
          <w:tcPr>
            <w:tcW w:w="633" w:type="pct"/>
          </w:tcPr>
          <w:p w14:paraId="7FDCF9E0" w14:textId="751913ED"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9,945</w:t>
            </w:r>
          </w:p>
        </w:tc>
        <w:tc>
          <w:tcPr>
            <w:tcW w:w="633" w:type="pct"/>
          </w:tcPr>
          <w:p w14:paraId="5B6AF0EC" w14:textId="506EB610"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9,945</w:t>
            </w:r>
          </w:p>
        </w:tc>
      </w:tr>
      <w:tr w:rsidR="00C074EE" w:rsidRPr="00DD25AC" w14:paraId="1B82FD5C" w14:textId="77777777" w:rsidTr="004F468F">
        <w:trPr>
          <w:trHeight w:val="20"/>
        </w:trPr>
        <w:tc>
          <w:tcPr>
            <w:tcW w:w="2470" w:type="pct"/>
            <w:vAlign w:val="bottom"/>
          </w:tcPr>
          <w:p w14:paraId="6FAC306A" w14:textId="531DB240" w:rsidR="00C074EE" w:rsidRPr="00DD25A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Rate of participation, PY6 (%)</w:t>
            </w:r>
          </w:p>
        </w:tc>
        <w:tc>
          <w:tcPr>
            <w:tcW w:w="633" w:type="pct"/>
          </w:tcPr>
          <w:p w14:paraId="3BCA45AC" w14:textId="62122D4B"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0.86%</w:t>
            </w:r>
          </w:p>
        </w:tc>
        <w:tc>
          <w:tcPr>
            <w:tcW w:w="632" w:type="pct"/>
          </w:tcPr>
          <w:p w14:paraId="59DFB85E" w14:textId="06AA174B"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0.05%</w:t>
            </w:r>
          </w:p>
        </w:tc>
        <w:tc>
          <w:tcPr>
            <w:tcW w:w="633" w:type="pct"/>
          </w:tcPr>
          <w:p w14:paraId="76B0C2AA" w14:textId="7A57AEFA"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0.12%</w:t>
            </w:r>
          </w:p>
        </w:tc>
        <w:tc>
          <w:tcPr>
            <w:tcW w:w="633" w:type="pct"/>
          </w:tcPr>
          <w:p w14:paraId="7628EFC3" w14:textId="144F6877"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0.21%</w:t>
            </w:r>
          </w:p>
        </w:tc>
      </w:tr>
      <w:tr w:rsidR="00C074EE" w:rsidRPr="00DD25AC" w14:paraId="55E8B3D8" w14:textId="77777777" w:rsidTr="004F468F">
        <w:trPr>
          <w:trHeight w:val="20"/>
        </w:trPr>
        <w:tc>
          <w:tcPr>
            <w:tcW w:w="2470" w:type="pct"/>
            <w:vAlign w:val="bottom"/>
          </w:tcPr>
          <w:p w14:paraId="0B3E6D18" w14:textId="11FFBD52" w:rsidR="00C074EE" w:rsidRPr="00DD25A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Change in rate of participation from pre-program year (%)</w:t>
            </w:r>
          </w:p>
        </w:tc>
        <w:tc>
          <w:tcPr>
            <w:tcW w:w="633" w:type="pct"/>
          </w:tcPr>
          <w:p w14:paraId="74EBEDCF" w14:textId="2BB4B1B5"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-0.41%</w:t>
            </w:r>
          </w:p>
        </w:tc>
        <w:tc>
          <w:tcPr>
            <w:tcW w:w="632" w:type="pct"/>
          </w:tcPr>
          <w:p w14:paraId="1A0F11F7" w14:textId="2A6DD1F5"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-0.01%</w:t>
            </w:r>
          </w:p>
        </w:tc>
        <w:tc>
          <w:tcPr>
            <w:tcW w:w="633" w:type="pct"/>
          </w:tcPr>
          <w:p w14:paraId="4F30FCA2" w14:textId="28B3090D"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w:t>
            </w:r>
          </w:p>
        </w:tc>
        <w:tc>
          <w:tcPr>
            <w:tcW w:w="633" w:type="pct"/>
          </w:tcPr>
          <w:p w14:paraId="2558ACC4" w14:textId="7669E7E0"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w:t>
            </w:r>
          </w:p>
        </w:tc>
      </w:tr>
      <w:tr w:rsidR="00C074EE" w:rsidRPr="00DD25AC" w14:paraId="4410A3D9" w14:textId="77777777" w:rsidTr="004F468F">
        <w:trPr>
          <w:trHeight w:val="20"/>
        </w:trPr>
        <w:tc>
          <w:tcPr>
            <w:tcW w:w="2470" w:type="pct"/>
            <w:vAlign w:val="bottom"/>
          </w:tcPr>
          <w:p w14:paraId="5B483ABC" w14:textId="416240A8" w:rsidR="00C074EE" w:rsidRPr="00DD25A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 HER control households</w:t>
            </w:r>
          </w:p>
        </w:tc>
        <w:tc>
          <w:tcPr>
            <w:tcW w:w="633" w:type="pct"/>
          </w:tcPr>
          <w:p w14:paraId="7D023342" w14:textId="65D7D06D"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12,756</w:t>
            </w:r>
          </w:p>
        </w:tc>
        <w:tc>
          <w:tcPr>
            <w:tcW w:w="632" w:type="pct"/>
          </w:tcPr>
          <w:p w14:paraId="58755992" w14:textId="4626CCAD"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27,393</w:t>
            </w:r>
          </w:p>
        </w:tc>
        <w:tc>
          <w:tcPr>
            <w:tcW w:w="633" w:type="pct"/>
          </w:tcPr>
          <w:p w14:paraId="28FA13C7" w14:textId="2773E2F2"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27,393</w:t>
            </w:r>
          </w:p>
        </w:tc>
        <w:tc>
          <w:tcPr>
            <w:tcW w:w="633" w:type="pct"/>
          </w:tcPr>
          <w:p w14:paraId="1CD575B0" w14:textId="6AF2269F"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27,393</w:t>
            </w:r>
          </w:p>
        </w:tc>
      </w:tr>
      <w:tr w:rsidR="00C074EE" w:rsidRPr="00DD25AC" w14:paraId="67CC466A" w14:textId="77777777" w:rsidTr="004F468F">
        <w:trPr>
          <w:trHeight w:val="20"/>
        </w:trPr>
        <w:tc>
          <w:tcPr>
            <w:tcW w:w="2470" w:type="pct"/>
            <w:vAlign w:val="bottom"/>
          </w:tcPr>
          <w:p w14:paraId="4D6A9D8A" w14:textId="40DC8FCA" w:rsidR="00C074EE" w:rsidRPr="00DD25A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Rate of participation, PY6 (%)</w:t>
            </w:r>
          </w:p>
        </w:tc>
        <w:tc>
          <w:tcPr>
            <w:tcW w:w="633" w:type="pct"/>
          </w:tcPr>
          <w:p w14:paraId="0E2A8B95" w14:textId="041894D4"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0.73%</w:t>
            </w:r>
          </w:p>
        </w:tc>
        <w:tc>
          <w:tcPr>
            <w:tcW w:w="632" w:type="pct"/>
          </w:tcPr>
          <w:p w14:paraId="11397B72" w14:textId="5B9C2B79"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0.01%</w:t>
            </w:r>
          </w:p>
        </w:tc>
        <w:tc>
          <w:tcPr>
            <w:tcW w:w="633" w:type="pct"/>
          </w:tcPr>
          <w:p w14:paraId="65416D3F" w14:textId="5CEBB734"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0.09%</w:t>
            </w:r>
          </w:p>
        </w:tc>
        <w:tc>
          <w:tcPr>
            <w:tcW w:w="633" w:type="pct"/>
          </w:tcPr>
          <w:p w14:paraId="1A0909DE" w14:textId="07282F5C"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0.09%</w:t>
            </w:r>
          </w:p>
        </w:tc>
      </w:tr>
      <w:tr w:rsidR="00C074EE" w:rsidRPr="00DD25AC" w14:paraId="201C13AD" w14:textId="77777777" w:rsidTr="004F468F">
        <w:trPr>
          <w:trHeight w:val="20"/>
        </w:trPr>
        <w:tc>
          <w:tcPr>
            <w:tcW w:w="2470" w:type="pct"/>
            <w:vAlign w:val="bottom"/>
          </w:tcPr>
          <w:p w14:paraId="22B63643" w14:textId="434E279B" w:rsidR="00C074EE" w:rsidRPr="00DD25A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Change in rate of participation from pre-program year (%)</w:t>
            </w:r>
          </w:p>
        </w:tc>
        <w:tc>
          <w:tcPr>
            <w:tcW w:w="633" w:type="pct"/>
          </w:tcPr>
          <w:p w14:paraId="434C7571" w14:textId="3A6833E5"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-0.68%</w:t>
            </w:r>
          </w:p>
        </w:tc>
        <w:tc>
          <w:tcPr>
            <w:tcW w:w="632" w:type="pct"/>
          </w:tcPr>
          <w:p w14:paraId="6742465E" w14:textId="500165FC"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-0.01%</w:t>
            </w:r>
          </w:p>
        </w:tc>
        <w:tc>
          <w:tcPr>
            <w:tcW w:w="633" w:type="pct"/>
          </w:tcPr>
          <w:p w14:paraId="74926793" w14:textId="35F1410E"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w:t>
            </w:r>
          </w:p>
        </w:tc>
        <w:tc>
          <w:tcPr>
            <w:tcW w:w="633" w:type="pct"/>
          </w:tcPr>
          <w:p w14:paraId="2F9C7408" w14:textId="1F605859"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w:t>
            </w:r>
          </w:p>
        </w:tc>
      </w:tr>
      <w:tr w:rsidR="00C074EE" w:rsidRPr="00DD25AC" w14:paraId="35430F2D" w14:textId="77777777" w:rsidTr="004F468F">
        <w:trPr>
          <w:trHeight w:val="20"/>
        </w:trPr>
        <w:tc>
          <w:tcPr>
            <w:tcW w:w="2470" w:type="pct"/>
            <w:vAlign w:val="bottom"/>
          </w:tcPr>
          <w:p w14:paraId="702B933C" w14:textId="568EAD60" w:rsidR="00C074EE" w:rsidRPr="00DD25A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DID/POD statistic</w:t>
            </w:r>
          </w:p>
        </w:tc>
        <w:tc>
          <w:tcPr>
            <w:tcW w:w="633" w:type="pct"/>
          </w:tcPr>
          <w:p w14:paraId="52BC5843" w14:textId="3E90FCFB"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0.27%</w:t>
            </w:r>
          </w:p>
        </w:tc>
        <w:tc>
          <w:tcPr>
            <w:tcW w:w="632" w:type="pct"/>
          </w:tcPr>
          <w:p w14:paraId="1E92D8BC" w14:textId="27C97089"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0.00%</w:t>
            </w:r>
          </w:p>
        </w:tc>
        <w:tc>
          <w:tcPr>
            <w:tcW w:w="633" w:type="pct"/>
          </w:tcPr>
          <w:p w14:paraId="02916856" w14:textId="6BF9E814"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-0.07%</w:t>
            </w:r>
          </w:p>
        </w:tc>
        <w:tc>
          <w:tcPr>
            <w:tcW w:w="633" w:type="pct"/>
          </w:tcPr>
          <w:p w14:paraId="1F5C5C06" w14:textId="2E4AA3B9"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0.02%</w:t>
            </w:r>
          </w:p>
        </w:tc>
      </w:tr>
      <w:tr w:rsidR="00C074EE" w:rsidRPr="00DD25AC" w14:paraId="062CA58D" w14:textId="77777777" w:rsidTr="004F468F">
        <w:trPr>
          <w:trHeight w:val="20"/>
        </w:trPr>
        <w:tc>
          <w:tcPr>
            <w:tcW w:w="2470" w:type="pct"/>
            <w:vAlign w:val="bottom"/>
          </w:tcPr>
          <w:p w14:paraId="68A9F648" w14:textId="1E18430E" w:rsidR="00C074EE" w:rsidRPr="00DD25A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Change in program participation due to HER program</w:t>
            </w:r>
          </w:p>
        </w:tc>
        <w:tc>
          <w:tcPr>
            <w:tcW w:w="633" w:type="pct"/>
          </w:tcPr>
          <w:p w14:paraId="5B5A0631" w14:textId="0C6718DE"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27</w:t>
            </w:r>
          </w:p>
        </w:tc>
        <w:tc>
          <w:tcPr>
            <w:tcW w:w="632" w:type="pct"/>
          </w:tcPr>
          <w:p w14:paraId="27AC5E11" w14:textId="0D057269"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2</w:t>
            </w:r>
          </w:p>
        </w:tc>
        <w:tc>
          <w:tcPr>
            <w:tcW w:w="633" w:type="pct"/>
          </w:tcPr>
          <w:p w14:paraId="1AA18AF8" w14:textId="774FB25B"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-7</w:t>
            </w:r>
          </w:p>
        </w:tc>
        <w:tc>
          <w:tcPr>
            <w:tcW w:w="633" w:type="pct"/>
          </w:tcPr>
          <w:p w14:paraId="425D08F0" w14:textId="3926BE32"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2</w:t>
            </w:r>
          </w:p>
        </w:tc>
      </w:tr>
      <w:tr w:rsidR="00C074EE" w:rsidRPr="00DD25AC" w14:paraId="5362F1F9" w14:textId="77777777" w:rsidTr="004F468F">
        <w:trPr>
          <w:trHeight w:val="20"/>
        </w:trPr>
        <w:tc>
          <w:tcPr>
            <w:tcW w:w="2470" w:type="pct"/>
            <w:vAlign w:val="bottom"/>
          </w:tcPr>
          <w:p w14:paraId="79D7B4D6" w14:textId="6CF1FF1E" w:rsidR="00C074EE" w:rsidRPr="00DD25A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Statistically significant at the 90% confidence level?</w:t>
            </w:r>
          </w:p>
        </w:tc>
        <w:tc>
          <w:tcPr>
            <w:tcW w:w="633" w:type="pct"/>
          </w:tcPr>
          <w:p w14:paraId="634172CC" w14:textId="2FFBD783"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Yes</w:t>
            </w:r>
          </w:p>
        </w:tc>
        <w:tc>
          <w:tcPr>
            <w:tcW w:w="632" w:type="pct"/>
          </w:tcPr>
          <w:p w14:paraId="60DDDC17" w14:textId="4C8021AD"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No</w:t>
            </w:r>
          </w:p>
        </w:tc>
        <w:tc>
          <w:tcPr>
            <w:tcW w:w="633" w:type="pct"/>
          </w:tcPr>
          <w:p w14:paraId="3A515258" w14:textId="7FFA1B3B"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No</w:t>
            </w:r>
          </w:p>
        </w:tc>
        <w:tc>
          <w:tcPr>
            <w:tcW w:w="633" w:type="pct"/>
          </w:tcPr>
          <w:p w14:paraId="5CD0DAB3" w14:textId="732D70E9"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No</w:t>
            </w:r>
          </w:p>
        </w:tc>
      </w:tr>
      <w:tr w:rsidR="00C074EE" w:rsidRPr="00DD25AC" w14:paraId="7090934F" w14:textId="77777777" w:rsidTr="004F468F">
        <w:trPr>
          <w:trHeight w:val="20"/>
        </w:trPr>
        <w:tc>
          <w:tcPr>
            <w:tcW w:w="2470" w:type="pct"/>
            <w:vAlign w:val="bottom"/>
          </w:tcPr>
          <w:p w14:paraId="15E9BB58" w14:textId="62A99620" w:rsidR="00C074EE" w:rsidRPr="00DD25AC"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Savings attributable to other programs (kWh)</w:t>
            </w:r>
          </w:p>
        </w:tc>
        <w:tc>
          <w:tcPr>
            <w:tcW w:w="633" w:type="pct"/>
          </w:tcPr>
          <w:p w14:paraId="42C4E94C" w14:textId="22DF264F"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15,882</w:t>
            </w:r>
          </w:p>
        </w:tc>
        <w:tc>
          <w:tcPr>
            <w:tcW w:w="632" w:type="pct"/>
          </w:tcPr>
          <w:p w14:paraId="1736E9A5" w14:textId="12AB1D4A"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1,059</w:t>
            </w:r>
          </w:p>
        </w:tc>
        <w:tc>
          <w:tcPr>
            <w:tcW w:w="633" w:type="pct"/>
          </w:tcPr>
          <w:p w14:paraId="30AE1B09" w14:textId="1AE81D50"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-2,043</w:t>
            </w:r>
          </w:p>
        </w:tc>
        <w:tc>
          <w:tcPr>
            <w:tcW w:w="633" w:type="pct"/>
          </w:tcPr>
          <w:p w14:paraId="224FF5AC" w14:textId="3DF553E6" w:rsidR="00C074EE" w:rsidRPr="00AD7167" w:rsidRDefault="00C074EE" w:rsidP="00C074EE">
            <w:pPr>
              <w:keepNext/>
              <w:keepLines/>
              <w:autoSpaceDE w:val="0"/>
              <w:autoSpaceDN w:val="0"/>
              <w:adjustRightInd w:val="0"/>
              <w:spacing w:before="40" w:after="40"/>
              <w:rPr>
                <w:rFonts w:ascii="Arial Narrow" w:hAnsi="Arial Narrow" w:cs="Calibri"/>
                <w:color w:val="000000"/>
                <w:szCs w:val="20"/>
              </w:rPr>
            </w:pPr>
            <w:r>
              <w:rPr>
                <w:rFonts w:ascii="Arial Narrow" w:hAnsi="Arial Narrow"/>
                <w:color w:val="000000"/>
                <w:szCs w:val="20"/>
              </w:rPr>
              <w:t>895</w:t>
            </w:r>
          </w:p>
        </w:tc>
      </w:tr>
      <w:tr w:rsidR="004F468F" w:rsidRPr="00DD25AC" w14:paraId="589579D3" w14:textId="77777777" w:rsidTr="004F468F">
        <w:trPr>
          <w:trHeight w:val="20"/>
        </w:trPr>
        <w:tc>
          <w:tcPr>
            <w:tcW w:w="2470" w:type="pct"/>
          </w:tcPr>
          <w:p w14:paraId="76E5C8F8" w14:textId="19FA8FF6" w:rsidR="004F468F" w:rsidRDefault="004F468F" w:rsidP="004F468F">
            <w:pPr>
              <w:keepNext/>
              <w:keepLines/>
              <w:autoSpaceDE w:val="0"/>
              <w:autoSpaceDN w:val="0"/>
              <w:adjustRightInd w:val="0"/>
              <w:spacing w:before="40" w:after="40"/>
              <w:jc w:val="left"/>
              <w:rPr>
                <w:rFonts w:ascii="Arial Narrow" w:hAnsi="Arial Narrow"/>
                <w:color w:val="000000"/>
                <w:szCs w:val="20"/>
              </w:rPr>
            </w:pPr>
            <w:r>
              <w:rPr>
                <w:rFonts w:ascii="Arial Narrow" w:hAnsi="Arial Narrow"/>
                <w:color w:val="000000"/>
                <w:szCs w:val="20"/>
              </w:rPr>
              <w:t>Percentage change in EE program participation rate for HER participants</w:t>
            </w:r>
          </w:p>
        </w:tc>
        <w:tc>
          <w:tcPr>
            <w:tcW w:w="633" w:type="pct"/>
          </w:tcPr>
          <w:p w14:paraId="685BDAFC" w14:textId="3C7198AC" w:rsidR="004F468F" w:rsidRDefault="004F468F" w:rsidP="004F468F">
            <w:pPr>
              <w:keepNext/>
              <w:keepLines/>
              <w:autoSpaceDE w:val="0"/>
              <w:autoSpaceDN w:val="0"/>
              <w:adjustRightInd w:val="0"/>
              <w:spacing w:before="40" w:after="40"/>
              <w:rPr>
                <w:rFonts w:ascii="Arial Narrow" w:hAnsi="Arial Narrow"/>
                <w:color w:val="000000"/>
                <w:szCs w:val="20"/>
              </w:rPr>
            </w:pPr>
            <w:r>
              <w:rPr>
                <w:rFonts w:ascii="Arial Narrow" w:hAnsi="Arial Narrow"/>
                <w:color w:val="000000"/>
                <w:szCs w:val="20"/>
              </w:rPr>
              <w:t>45%</w:t>
            </w:r>
          </w:p>
        </w:tc>
        <w:tc>
          <w:tcPr>
            <w:tcW w:w="632" w:type="pct"/>
          </w:tcPr>
          <w:p w14:paraId="26ECF05B" w14:textId="6CFAE330" w:rsidR="004F468F" w:rsidRDefault="004F468F" w:rsidP="004F468F">
            <w:pPr>
              <w:keepNext/>
              <w:keepLines/>
              <w:autoSpaceDE w:val="0"/>
              <w:autoSpaceDN w:val="0"/>
              <w:adjustRightInd w:val="0"/>
              <w:spacing w:before="40" w:after="40"/>
              <w:rPr>
                <w:rFonts w:ascii="Arial Narrow" w:hAnsi="Arial Narrow"/>
                <w:color w:val="000000"/>
                <w:szCs w:val="20"/>
              </w:rPr>
            </w:pPr>
            <w:r>
              <w:rPr>
                <w:rFonts w:ascii="Arial Narrow" w:hAnsi="Arial Narrow"/>
                <w:color w:val="000000"/>
                <w:szCs w:val="20"/>
              </w:rPr>
              <w:t>10%</w:t>
            </w:r>
          </w:p>
        </w:tc>
        <w:tc>
          <w:tcPr>
            <w:tcW w:w="633" w:type="pct"/>
          </w:tcPr>
          <w:p w14:paraId="6ACDA1BB" w14:textId="6FEA8712" w:rsidR="004F468F" w:rsidRDefault="004F468F" w:rsidP="004F468F">
            <w:pPr>
              <w:keepNext/>
              <w:keepLines/>
              <w:autoSpaceDE w:val="0"/>
              <w:autoSpaceDN w:val="0"/>
              <w:adjustRightInd w:val="0"/>
              <w:spacing w:before="40" w:after="40"/>
              <w:rPr>
                <w:rFonts w:ascii="Arial Narrow" w:hAnsi="Arial Narrow"/>
                <w:color w:val="000000"/>
                <w:szCs w:val="20"/>
              </w:rPr>
            </w:pPr>
            <w:r>
              <w:rPr>
                <w:rFonts w:ascii="Arial Narrow" w:hAnsi="Arial Narrow"/>
                <w:color w:val="000000"/>
                <w:szCs w:val="20"/>
              </w:rPr>
              <w:t>38%</w:t>
            </w:r>
          </w:p>
        </w:tc>
        <w:tc>
          <w:tcPr>
            <w:tcW w:w="633" w:type="pct"/>
          </w:tcPr>
          <w:p w14:paraId="6DC2787E" w14:textId="134CA744" w:rsidR="004F468F" w:rsidRDefault="004F468F" w:rsidP="004F468F">
            <w:pPr>
              <w:keepNext/>
              <w:keepLines/>
              <w:autoSpaceDE w:val="0"/>
              <w:autoSpaceDN w:val="0"/>
              <w:adjustRightInd w:val="0"/>
              <w:spacing w:before="40" w:after="40"/>
              <w:rPr>
                <w:rFonts w:ascii="Arial Narrow" w:hAnsi="Arial Narrow"/>
                <w:color w:val="000000"/>
                <w:szCs w:val="20"/>
              </w:rPr>
            </w:pPr>
            <w:r>
              <w:rPr>
                <w:rFonts w:ascii="Arial Narrow" w:hAnsi="Arial Narrow"/>
                <w:color w:val="000000"/>
                <w:szCs w:val="20"/>
              </w:rPr>
              <w:t>131%</w:t>
            </w:r>
          </w:p>
        </w:tc>
      </w:tr>
    </w:tbl>
    <w:p w14:paraId="183C89F7" w14:textId="77777777" w:rsidR="001E0069" w:rsidRPr="00D919A7" w:rsidRDefault="001E0069" w:rsidP="002A2309">
      <w:pPr>
        <w:pStyle w:val="Source"/>
      </w:pPr>
      <w:r>
        <w:t>Source: Navigant analysis</w:t>
      </w:r>
    </w:p>
    <w:p w14:paraId="6585900F" w14:textId="77777777" w:rsidR="001E0069" w:rsidRDefault="001E0069" w:rsidP="001E0069"/>
    <w:p w14:paraId="4FF48CA7" w14:textId="0A281A62" w:rsidR="001E0069" w:rsidRDefault="001E0069" w:rsidP="004301F4">
      <w:pPr>
        <w:pStyle w:val="Caption"/>
      </w:pPr>
      <w:bookmarkStart w:id="162" w:name="_Ref441493165"/>
      <w:bookmarkStart w:id="163" w:name="_Toc408396107"/>
      <w:bookmarkStart w:id="164" w:name="_Toc408990908"/>
      <w:bookmarkStart w:id="165" w:name="_Toc441751917"/>
      <w:r>
        <w:t xml:space="preserve">Table </w:t>
      </w:r>
      <w:fldSimple w:instr=" STYLEREF 1 \s ">
        <w:r w:rsidR="00E4410B">
          <w:rPr>
            <w:noProof/>
          </w:rPr>
          <w:t>6</w:t>
        </w:r>
      </w:fldSimple>
      <w:r w:rsidR="00F05E89">
        <w:noBreakHyphen/>
      </w:r>
      <w:fldSimple w:instr=" SEQ Table \* ARABIC \s 1 ">
        <w:r w:rsidR="00E4410B">
          <w:rPr>
            <w:noProof/>
          </w:rPr>
          <w:t>13</w:t>
        </w:r>
      </w:fldSimple>
      <w:bookmarkEnd w:id="162"/>
      <w:r>
        <w:t>. Estimates of Double-Counted Savings: Wave 5 Non-AMI, TR Persistence Group</w:t>
      </w:r>
      <w:bookmarkEnd w:id="163"/>
      <w:bookmarkEnd w:id="164"/>
      <w:bookmarkEnd w:id="165"/>
    </w:p>
    <w:tbl>
      <w:tblPr>
        <w:tblStyle w:val="ComEdTable"/>
        <w:tblW w:w="4951" w:type="pct"/>
        <w:tblLook w:val="04A0" w:firstRow="1" w:lastRow="0" w:firstColumn="1" w:lastColumn="0" w:noHBand="0" w:noVBand="1"/>
      </w:tblPr>
      <w:tblGrid>
        <w:gridCol w:w="4683"/>
        <w:gridCol w:w="1200"/>
        <w:gridCol w:w="1200"/>
        <w:gridCol w:w="1200"/>
        <w:gridCol w:w="1199"/>
      </w:tblGrid>
      <w:tr w:rsidR="001E0069" w:rsidRPr="00E827DB" w14:paraId="2CE6F9D4" w14:textId="77777777" w:rsidTr="004F468F">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69" w:type="pct"/>
            <w:vMerge w:val="restart"/>
          </w:tcPr>
          <w:p w14:paraId="73C4D083" w14:textId="77777777" w:rsidR="001E0069" w:rsidRPr="00E827DB" w:rsidRDefault="001E0069" w:rsidP="007E5455">
            <w:pPr>
              <w:keepNext/>
              <w:keepLines/>
              <w:autoSpaceDE w:val="0"/>
              <w:autoSpaceDN w:val="0"/>
              <w:adjustRightInd w:val="0"/>
              <w:spacing w:before="40" w:after="40"/>
              <w:jc w:val="left"/>
              <w:rPr>
                <w:rFonts w:ascii="Arial Narrow" w:hAnsi="Arial Narrow" w:cs="Calibri"/>
                <w:color w:val="000000"/>
                <w:szCs w:val="20"/>
              </w:rPr>
            </w:pPr>
          </w:p>
        </w:tc>
        <w:tc>
          <w:tcPr>
            <w:tcW w:w="2531" w:type="pct"/>
            <w:gridSpan w:val="4"/>
          </w:tcPr>
          <w:p w14:paraId="6080165E" w14:textId="77777777" w:rsidR="001E0069" w:rsidRPr="00E827DB" w:rsidRDefault="001E0069" w:rsidP="007E5455">
            <w:pPr>
              <w:keepNext/>
              <w:keepLines/>
              <w:autoSpaceDE w:val="0"/>
              <w:autoSpaceDN w:val="0"/>
              <w:adjustRightInd w:val="0"/>
              <w:spacing w:before="40" w:after="40"/>
              <w:jc w:val="center"/>
              <w:cnfStyle w:val="100000000000" w:firstRow="1" w:lastRow="0" w:firstColumn="0" w:lastColumn="0" w:oddVBand="0" w:evenVBand="0" w:oddHBand="0" w:evenHBand="0" w:firstRowFirstColumn="0" w:firstRowLastColumn="0" w:lastRowFirstColumn="0" w:lastRowLastColumn="0"/>
              <w:rPr>
                <w:rFonts w:ascii="Arial Narrow" w:hAnsi="Arial Narrow" w:cs="Calibri"/>
                <w:color w:val="000000"/>
                <w:szCs w:val="20"/>
              </w:rPr>
            </w:pPr>
            <w:r w:rsidRPr="00E827DB">
              <w:rPr>
                <w:rFonts w:ascii="Arial Narrow" w:hAnsi="Arial Narrow" w:cs="Calibri"/>
                <w:szCs w:val="20"/>
              </w:rPr>
              <w:t>Program</w:t>
            </w:r>
          </w:p>
        </w:tc>
      </w:tr>
      <w:tr w:rsidR="00194675" w:rsidRPr="00E827DB" w14:paraId="66FD6E5B" w14:textId="77777777" w:rsidTr="004F468F">
        <w:trPr>
          <w:trHeight w:val="432"/>
        </w:trPr>
        <w:tc>
          <w:tcPr>
            <w:cnfStyle w:val="001000000000" w:firstRow="0" w:lastRow="0" w:firstColumn="1" w:lastColumn="0" w:oddVBand="0" w:evenVBand="0" w:oddHBand="0" w:evenHBand="0" w:firstRowFirstColumn="0" w:firstRowLastColumn="0" w:lastRowFirstColumn="0" w:lastRowLastColumn="0"/>
            <w:tcW w:w="2469" w:type="pct"/>
            <w:vMerge/>
          </w:tcPr>
          <w:p w14:paraId="340B0026" w14:textId="77777777" w:rsidR="00194675" w:rsidRPr="00E827DB" w:rsidRDefault="00194675" w:rsidP="00194675">
            <w:pPr>
              <w:keepNext/>
              <w:keepLines/>
              <w:autoSpaceDE w:val="0"/>
              <w:autoSpaceDN w:val="0"/>
              <w:adjustRightInd w:val="0"/>
              <w:spacing w:before="40" w:after="40"/>
              <w:jc w:val="left"/>
              <w:rPr>
                <w:rFonts w:ascii="Arial Narrow" w:hAnsi="Arial Narrow" w:cs="Calibri"/>
                <w:color w:val="000000"/>
                <w:szCs w:val="20"/>
              </w:rPr>
            </w:pPr>
          </w:p>
        </w:tc>
        <w:tc>
          <w:tcPr>
            <w:tcW w:w="633" w:type="pct"/>
            <w:shd w:val="clear" w:color="auto" w:fill="92876D"/>
          </w:tcPr>
          <w:p w14:paraId="25118C3F" w14:textId="4BDA8124" w:rsidR="00194675" w:rsidRPr="00B74A3B" w:rsidRDefault="00194675" w:rsidP="00194675">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b/>
                <w:color w:val="FFFFFF" w:themeColor="background1"/>
                <w:szCs w:val="20"/>
              </w:rPr>
            </w:pPr>
            <w:r>
              <w:rPr>
                <w:rFonts w:ascii="Arial Narrow" w:hAnsi="Arial Narrow" w:cs="Calibri"/>
                <w:b/>
                <w:color w:val="FFFFFF" w:themeColor="background1"/>
                <w:szCs w:val="20"/>
              </w:rPr>
              <w:t>FFR</w:t>
            </w:r>
          </w:p>
        </w:tc>
        <w:tc>
          <w:tcPr>
            <w:tcW w:w="633" w:type="pct"/>
            <w:shd w:val="clear" w:color="auto" w:fill="92876D"/>
          </w:tcPr>
          <w:p w14:paraId="2D3E0995" w14:textId="479F77B6" w:rsidR="00194675" w:rsidRPr="00B74A3B" w:rsidRDefault="00194675" w:rsidP="00194675">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b/>
                <w:color w:val="FFFFFF" w:themeColor="background1"/>
                <w:szCs w:val="20"/>
              </w:rPr>
            </w:pPr>
            <w:r>
              <w:rPr>
                <w:rFonts w:ascii="Arial Narrow" w:hAnsi="Arial Narrow" w:cs="Calibri"/>
                <w:b/>
                <w:color w:val="FFFFFF" w:themeColor="background1"/>
                <w:szCs w:val="20"/>
              </w:rPr>
              <w:t>HEA</w:t>
            </w:r>
          </w:p>
        </w:tc>
        <w:tc>
          <w:tcPr>
            <w:tcW w:w="633" w:type="pct"/>
            <w:shd w:val="clear" w:color="auto" w:fill="92876D"/>
          </w:tcPr>
          <w:p w14:paraId="4002518D" w14:textId="2E31B1E2" w:rsidR="00194675" w:rsidRPr="00B74A3B" w:rsidRDefault="00194675" w:rsidP="00194675">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b/>
                <w:color w:val="FFFFFF" w:themeColor="background1"/>
                <w:szCs w:val="20"/>
              </w:rPr>
            </w:pPr>
            <w:r>
              <w:rPr>
                <w:rFonts w:ascii="Arial Narrow" w:hAnsi="Arial Narrow" w:cs="Calibri"/>
                <w:b/>
                <w:color w:val="FFFFFF" w:themeColor="background1"/>
                <w:szCs w:val="20"/>
              </w:rPr>
              <w:t>MESP</w:t>
            </w:r>
          </w:p>
        </w:tc>
        <w:tc>
          <w:tcPr>
            <w:tcW w:w="633" w:type="pct"/>
            <w:shd w:val="clear" w:color="auto" w:fill="92876D"/>
          </w:tcPr>
          <w:p w14:paraId="33FF5F72" w14:textId="6C32B82C" w:rsidR="00194675" w:rsidRPr="00B74A3B" w:rsidRDefault="00194675" w:rsidP="00194675">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b/>
                <w:color w:val="FFFFFF" w:themeColor="background1"/>
                <w:szCs w:val="20"/>
              </w:rPr>
            </w:pPr>
            <w:r>
              <w:rPr>
                <w:rFonts w:ascii="Arial Narrow" w:hAnsi="Arial Narrow" w:cs="Calibri"/>
                <w:b/>
                <w:color w:val="FFFFFF" w:themeColor="background1"/>
                <w:szCs w:val="20"/>
              </w:rPr>
              <w:t>Rebate</w:t>
            </w:r>
          </w:p>
        </w:tc>
      </w:tr>
      <w:tr w:rsidR="00C074EE" w:rsidRPr="00E827DB" w14:paraId="4EF5F890"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469" w:type="pct"/>
            <w:vAlign w:val="bottom"/>
          </w:tcPr>
          <w:p w14:paraId="237F8003" w14:textId="2B09BCCD" w:rsidR="00C074EE" w:rsidRPr="00E827DB"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Average program savings (annual kWh per participant)</w:t>
            </w:r>
          </w:p>
        </w:tc>
        <w:tc>
          <w:tcPr>
            <w:tcW w:w="633" w:type="pct"/>
          </w:tcPr>
          <w:p w14:paraId="6D5EBC98" w14:textId="1A77A6B2"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592</w:t>
            </w:r>
          </w:p>
        </w:tc>
        <w:tc>
          <w:tcPr>
            <w:tcW w:w="633" w:type="pct"/>
          </w:tcPr>
          <w:p w14:paraId="6675F453" w14:textId="4787139B"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500</w:t>
            </w:r>
          </w:p>
        </w:tc>
        <w:tc>
          <w:tcPr>
            <w:tcW w:w="633" w:type="pct"/>
          </w:tcPr>
          <w:p w14:paraId="562AFD93" w14:textId="5F69076D"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304</w:t>
            </w:r>
          </w:p>
        </w:tc>
        <w:tc>
          <w:tcPr>
            <w:tcW w:w="633" w:type="pct"/>
          </w:tcPr>
          <w:p w14:paraId="4A4EE00C" w14:textId="7892127E"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593</w:t>
            </w:r>
          </w:p>
        </w:tc>
      </w:tr>
      <w:tr w:rsidR="00C074EE" w:rsidRPr="00E827DB" w14:paraId="22A1771E"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469" w:type="pct"/>
            <w:vAlign w:val="bottom"/>
          </w:tcPr>
          <w:p w14:paraId="4D4D7BBC" w14:textId="7159D4F7" w:rsidR="00C074EE" w:rsidRPr="00E827DB"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 HER treatment households</w:t>
            </w:r>
          </w:p>
        </w:tc>
        <w:tc>
          <w:tcPr>
            <w:tcW w:w="633" w:type="pct"/>
          </w:tcPr>
          <w:p w14:paraId="3090C9D1" w14:textId="1E4D086B"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9,941</w:t>
            </w:r>
          </w:p>
        </w:tc>
        <w:tc>
          <w:tcPr>
            <w:tcW w:w="633" w:type="pct"/>
          </w:tcPr>
          <w:p w14:paraId="3D9B2DB1" w14:textId="5C737DDF"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9,941</w:t>
            </w:r>
          </w:p>
        </w:tc>
        <w:tc>
          <w:tcPr>
            <w:tcW w:w="633" w:type="pct"/>
          </w:tcPr>
          <w:p w14:paraId="0534C62E" w14:textId="75CDF894"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9,941</w:t>
            </w:r>
          </w:p>
        </w:tc>
        <w:tc>
          <w:tcPr>
            <w:tcW w:w="633" w:type="pct"/>
          </w:tcPr>
          <w:p w14:paraId="54A3953F" w14:textId="47DE5C9A"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9,941</w:t>
            </w:r>
          </w:p>
        </w:tc>
      </w:tr>
      <w:tr w:rsidR="00C074EE" w:rsidRPr="00E827DB" w14:paraId="7911C4E2"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469" w:type="pct"/>
            <w:vAlign w:val="bottom"/>
          </w:tcPr>
          <w:p w14:paraId="27637C96" w14:textId="6D5499E8" w:rsidR="00C074EE" w:rsidRPr="00E827DB"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Rate of participation, PY6 (%)</w:t>
            </w:r>
          </w:p>
        </w:tc>
        <w:tc>
          <w:tcPr>
            <w:tcW w:w="633" w:type="pct"/>
          </w:tcPr>
          <w:p w14:paraId="2EAF534C" w14:textId="056462AA"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0.67%</w:t>
            </w:r>
          </w:p>
        </w:tc>
        <w:tc>
          <w:tcPr>
            <w:tcW w:w="633" w:type="pct"/>
          </w:tcPr>
          <w:p w14:paraId="171B450E" w14:textId="1917D71C"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0.02%</w:t>
            </w:r>
          </w:p>
        </w:tc>
        <w:tc>
          <w:tcPr>
            <w:tcW w:w="633" w:type="pct"/>
          </w:tcPr>
          <w:p w14:paraId="0C34F7A4" w14:textId="29D9250C"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0.12%</w:t>
            </w:r>
          </w:p>
        </w:tc>
        <w:tc>
          <w:tcPr>
            <w:tcW w:w="633" w:type="pct"/>
          </w:tcPr>
          <w:p w14:paraId="670D01FA" w14:textId="5E84431E"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0.13%</w:t>
            </w:r>
          </w:p>
        </w:tc>
      </w:tr>
      <w:tr w:rsidR="00C074EE" w:rsidRPr="00E827DB" w14:paraId="4B93FDA1"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469" w:type="pct"/>
            <w:vAlign w:val="bottom"/>
          </w:tcPr>
          <w:p w14:paraId="39BB15FA" w14:textId="5F95783A" w:rsidR="00C074EE" w:rsidRPr="00E827DB"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Change in rate of participation from pre-program year (%)</w:t>
            </w:r>
          </w:p>
        </w:tc>
        <w:tc>
          <w:tcPr>
            <w:tcW w:w="633" w:type="pct"/>
          </w:tcPr>
          <w:p w14:paraId="5946E5AB" w14:textId="5E709954"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-0.82%</w:t>
            </w:r>
          </w:p>
        </w:tc>
        <w:tc>
          <w:tcPr>
            <w:tcW w:w="633" w:type="pct"/>
          </w:tcPr>
          <w:p w14:paraId="0FE5C6C3" w14:textId="28B70156"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-0.01%</w:t>
            </w:r>
          </w:p>
        </w:tc>
        <w:tc>
          <w:tcPr>
            <w:tcW w:w="633" w:type="pct"/>
          </w:tcPr>
          <w:p w14:paraId="7D06E10E" w14:textId="14131546"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w:t>
            </w:r>
          </w:p>
        </w:tc>
        <w:tc>
          <w:tcPr>
            <w:tcW w:w="633" w:type="pct"/>
          </w:tcPr>
          <w:p w14:paraId="0BF4DB76" w14:textId="6B29A111"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w:t>
            </w:r>
          </w:p>
        </w:tc>
      </w:tr>
      <w:tr w:rsidR="00C074EE" w:rsidRPr="00E827DB" w14:paraId="1D60332C"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469" w:type="pct"/>
            <w:vAlign w:val="bottom"/>
          </w:tcPr>
          <w:p w14:paraId="0775F96F" w14:textId="5F2BBF67" w:rsidR="00C074EE" w:rsidRPr="00E827DB"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 HER control households</w:t>
            </w:r>
          </w:p>
        </w:tc>
        <w:tc>
          <w:tcPr>
            <w:tcW w:w="633" w:type="pct"/>
          </w:tcPr>
          <w:p w14:paraId="53EED909" w14:textId="3C2FAA55"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12,756</w:t>
            </w:r>
          </w:p>
        </w:tc>
        <w:tc>
          <w:tcPr>
            <w:tcW w:w="633" w:type="pct"/>
          </w:tcPr>
          <w:p w14:paraId="0D091393" w14:textId="064A8C2B"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27,393</w:t>
            </w:r>
          </w:p>
        </w:tc>
        <w:tc>
          <w:tcPr>
            <w:tcW w:w="633" w:type="pct"/>
          </w:tcPr>
          <w:p w14:paraId="3040B80F" w14:textId="3652CEA9"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27,393</w:t>
            </w:r>
          </w:p>
        </w:tc>
        <w:tc>
          <w:tcPr>
            <w:tcW w:w="633" w:type="pct"/>
          </w:tcPr>
          <w:p w14:paraId="3DE1E021" w14:textId="1C40778B"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27,393</w:t>
            </w:r>
          </w:p>
        </w:tc>
      </w:tr>
      <w:tr w:rsidR="00C074EE" w:rsidRPr="00E827DB" w14:paraId="5D75F2DE"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469" w:type="pct"/>
            <w:vAlign w:val="bottom"/>
          </w:tcPr>
          <w:p w14:paraId="0E97E904" w14:textId="307C8A0D" w:rsidR="00C074EE" w:rsidRPr="00E827DB"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Rate of participation, PY6 (%)</w:t>
            </w:r>
          </w:p>
        </w:tc>
        <w:tc>
          <w:tcPr>
            <w:tcW w:w="633" w:type="pct"/>
          </w:tcPr>
          <w:p w14:paraId="74D3039C" w14:textId="00D9D103"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0.73%</w:t>
            </w:r>
          </w:p>
        </w:tc>
        <w:tc>
          <w:tcPr>
            <w:tcW w:w="633" w:type="pct"/>
          </w:tcPr>
          <w:p w14:paraId="5E3E6A9C" w14:textId="4A6F83E7"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0.01%</w:t>
            </w:r>
          </w:p>
        </w:tc>
        <w:tc>
          <w:tcPr>
            <w:tcW w:w="633" w:type="pct"/>
          </w:tcPr>
          <w:p w14:paraId="1B8CD517" w14:textId="098D97B2"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0.09%</w:t>
            </w:r>
          </w:p>
        </w:tc>
        <w:tc>
          <w:tcPr>
            <w:tcW w:w="633" w:type="pct"/>
          </w:tcPr>
          <w:p w14:paraId="04D794D9" w14:textId="01F9093F"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0.09%</w:t>
            </w:r>
          </w:p>
        </w:tc>
      </w:tr>
      <w:tr w:rsidR="00C074EE" w:rsidRPr="00E827DB" w14:paraId="1E2D4880"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469" w:type="pct"/>
            <w:vAlign w:val="bottom"/>
          </w:tcPr>
          <w:p w14:paraId="10F304AB" w14:textId="3FDC9180" w:rsidR="00C074EE" w:rsidRPr="00E827DB"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Change in rate of participation from pre-program year (%)</w:t>
            </w:r>
          </w:p>
        </w:tc>
        <w:tc>
          <w:tcPr>
            <w:tcW w:w="633" w:type="pct"/>
          </w:tcPr>
          <w:p w14:paraId="5606DBAD" w14:textId="5A070DD4"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-0.68%</w:t>
            </w:r>
          </w:p>
        </w:tc>
        <w:tc>
          <w:tcPr>
            <w:tcW w:w="633" w:type="pct"/>
          </w:tcPr>
          <w:p w14:paraId="60266798" w14:textId="350F8F28"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-0.01%</w:t>
            </w:r>
          </w:p>
        </w:tc>
        <w:tc>
          <w:tcPr>
            <w:tcW w:w="633" w:type="pct"/>
          </w:tcPr>
          <w:p w14:paraId="3C6113B3" w14:textId="132714B0"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w:t>
            </w:r>
          </w:p>
        </w:tc>
        <w:tc>
          <w:tcPr>
            <w:tcW w:w="633" w:type="pct"/>
          </w:tcPr>
          <w:p w14:paraId="733D9FED" w14:textId="15D540B3"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w:t>
            </w:r>
          </w:p>
        </w:tc>
      </w:tr>
      <w:tr w:rsidR="00C074EE" w:rsidRPr="00E827DB" w14:paraId="48E0D425"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469" w:type="pct"/>
            <w:vAlign w:val="bottom"/>
          </w:tcPr>
          <w:p w14:paraId="4A4324A6" w14:textId="292357E3" w:rsidR="00C074EE" w:rsidRPr="00E827DB"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DID/POD statistic</w:t>
            </w:r>
          </w:p>
        </w:tc>
        <w:tc>
          <w:tcPr>
            <w:tcW w:w="633" w:type="pct"/>
          </w:tcPr>
          <w:p w14:paraId="0CE1DF75" w14:textId="2ACFD762"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-0.14%</w:t>
            </w:r>
          </w:p>
        </w:tc>
        <w:tc>
          <w:tcPr>
            <w:tcW w:w="633" w:type="pct"/>
          </w:tcPr>
          <w:p w14:paraId="5046353D" w14:textId="7EA4FFA8"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0.00%</w:t>
            </w:r>
          </w:p>
        </w:tc>
        <w:tc>
          <w:tcPr>
            <w:tcW w:w="633" w:type="pct"/>
          </w:tcPr>
          <w:p w14:paraId="307545AB" w14:textId="2171CD7E"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-0.07%</w:t>
            </w:r>
          </w:p>
        </w:tc>
        <w:tc>
          <w:tcPr>
            <w:tcW w:w="633" w:type="pct"/>
          </w:tcPr>
          <w:p w14:paraId="1DFE892A" w14:textId="6465651C"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-0.07%</w:t>
            </w:r>
          </w:p>
        </w:tc>
      </w:tr>
      <w:tr w:rsidR="00C074EE" w:rsidRPr="00E827DB" w14:paraId="343B476F"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469" w:type="pct"/>
            <w:vAlign w:val="bottom"/>
          </w:tcPr>
          <w:p w14:paraId="743758A5" w14:textId="389F10DC" w:rsidR="00C074EE" w:rsidRPr="00E827DB"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Change in program participation due to HER program</w:t>
            </w:r>
          </w:p>
        </w:tc>
        <w:tc>
          <w:tcPr>
            <w:tcW w:w="633" w:type="pct"/>
          </w:tcPr>
          <w:p w14:paraId="0A509D8B" w14:textId="07C88D7E"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-14</w:t>
            </w:r>
          </w:p>
        </w:tc>
        <w:tc>
          <w:tcPr>
            <w:tcW w:w="633" w:type="pct"/>
          </w:tcPr>
          <w:p w14:paraId="51B88AAD" w14:textId="02EFF970"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2</w:t>
            </w:r>
          </w:p>
        </w:tc>
        <w:tc>
          <w:tcPr>
            <w:tcW w:w="633" w:type="pct"/>
          </w:tcPr>
          <w:p w14:paraId="2FACFCFE" w14:textId="157F094A"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-7</w:t>
            </w:r>
          </w:p>
        </w:tc>
        <w:tc>
          <w:tcPr>
            <w:tcW w:w="633" w:type="pct"/>
          </w:tcPr>
          <w:p w14:paraId="1A727691" w14:textId="5C68CABB"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-6</w:t>
            </w:r>
          </w:p>
        </w:tc>
      </w:tr>
      <w:tr w:rsidR="00C074EE" w:rsidRPr="00E827DB" w14:paraId="4DA4DE53"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469" w:type="pct"/>
            <w:vAlign w:val="bottom"/>
          </w:tcPr>
          <w:p w14:paraId="61302DFC" w14:textId="6C32022B" w:rsidR="00C074EE" w:rsidRPr="00E827DB"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Statistically significant at the 90% confidence level?</w:t>
            </w:r>
          </w:p>
        </w:tc>
        <w:tc>
          <w:tcPr>
            <w:tcW w:w="633" w:type="pct"/>
          </w:tcPr>
          <w:p w14:paraId="10611363" w14:textId="2CA58DAC"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No</w:t>
            </w:r>
          </w:p>
        </w:tc>
        <w:tc>
          <w:tcPr>
            <w:tcW w:w="633" w:type="pct"/>
          </w:tcPr>
          <w:p w14:paraId="77317396" w14:textId="29A088BF"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No</w:t>
            </w:r>
          </w:p>
        </w:tc>
        <w:tc>
          <w:tcPr>
            <w:tcW w:w="633" w:type="pct"/>
          </w:tcPr>
          <w:p w14:paraId="3F2C2B4B" w14:textId="496A63F4"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No</w:t>
            </w:r>
          </w:p>
        </w:tc>
        <w:tc>
          <w:tcPr>
            <w:tcW w:w="633" w:type="pct"/>
          </w:tcPr>
          <w:p w14:paraId="1C85A202" w14:textId="5ECF38F5"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No</w:t>
            </w:r>
          </w:p>
        </w:tc>
      </w:tr>
      <w:tr w:rsidR="00C074EE" w:rsidRPr="00E827DB" w14:paraId="7422581D"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469" w:type="pct"/>
            <w:vAlign w:val="bottom"/>
          </w:tcPr>
          <w:p w14:paraId="48F1E773" w14:textId="5EAAEC91" w:rsidR="00C074EE" w:rsidRPr="00E827DB" w:rsidRDefault="00C074EE" w:rsidP="00C074EE">
            <w:pPr>
              <w:keepNext/>
              <w:keepLines/>
              <w:autoSpaceDE w:val="0"/>
              <w:autoSpaceDN w:val="0"/>
              <w:adjustRightInd w:val="0"/>
              <w:spacing w:before="40" w:after="40"/>
              <w:jc w:val="left"/>
              <w:rPr>
                <w:rFonts w:ascii="Arial Narrow" w:hAnsi="Arial Narrow" w:cs="Calibri"/>
                <w:color w:val="000000"/>
                <w:szCs w:val="20"/>
              </w:rPr>
            </w:pPr>
            <w:r>
              <w:rPr>
                <w:rFonts w:ascii="Arial Narrow" w:hAnsi="Arial Narrow"/>
                <w:color w:val="000000"/>
                <w:szCs w:val="20"/>
              </w:rPr>
              <w:t>Savings attributable to other programs (kWh)</w:t>
            </w:r>
          </w:p>
        </w:tc>
        <w:tc>
          <w:tcPr>
            <w:tcW w:w="633" w:type="pct"/>
          </w:tcPr>
          <w:p w14:paraId="034903B1" w14:textId="0E87E1E6"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-8,406</w:t>
            </w:r>
          </w:p>
        </w:tc>
        <w:tc>
          <w:tcPr>
            <w:tcW w:w="633" w:type="pct"/>
          </w:tcPr>
          <w:p w14:paraId="231F59C5" w14:textId="17506AB3"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1,059</w:t>
            </w:r>
          </w:p>
        </w:tc>
        <w:tc>
          <w:tcPr>
            <w:tcW w:w="633" w:type="pct"/>
          </w:tcPr>
          <w:p w14:paraId="04C3A474" w14:textId="17DF18E2"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-2,040</w:t>
            </w:r>
          </w:p>
        </w:tc>
        <w:tc>
          <w:tcPr>
            <w:tcW w:w="633" w:type="pct"/>
          </w:tcPr>
          <w:p w14:paraId="60889E00" w14:textId="42CE34E7" w:rsidR="00C074EE" w:rsidRPr="00AD7167" w:rsidRDefault="00C074EE" w:rsidP="00C074EE">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Cs w:val="20"/>
              </w:rPr>
            </w:pPr>
            <w:r>
              <w:rPr>
                <w:rFonts w:ascii="Arial Narrow" w:hAnsi="Arial Narrow"/>
                <w:color w:val="000000"/>
                <w:szCs w:val="20"/>
              </w:rPr>
              <w:t>-3,846</w:t>
            </w:r>
          </w:p>
        </w:tc>
      </w:tr>
      <w:tr w:rsidR="004F468F" w:rsidRPr="00E827DB" w14:paraId="47C10D7A" w14:textId="77777777" w:rsidTr="004F468F">
        <w:trPr>
          <w:trHeight w:val="20"/>
        </w:trPr>
        <w:tc>
          <w:tcPr>
            <w:cnfStyle w:val="001000000000" w:firstRow="0" w:lastRow="0" w:firstColumn="1" w:lastColumn="0" w:oddVBand="0" w:evenVBand="0" w:oddHBand="0" w:evenHBand="0" w:firstRowFirstColumn="0" w:firstRowLastColumn="0" w:lastRowFirstColumn="0" w:lastRowLastColumn="0"/>
            <w:tcW w:w="2469" w:type="pct"/>
          </w:tcPr>
          <w:p w14:paraId="76DFA4C6" w14:textId="08320B77" w:rsidR="004F468F" w:rsidRDefault="004F468F" w:rsidP="004F468F">
            <w:pPr>
              <w:keepNext/>
              <w:keepLines/>
              <w:autoSpaceDE w:val="0"/>
              <w:autoSpaceDN w:val="0"/>
              <w:adjustRightInd w:val="0"/>
              <w:spacing w:before="40" w:after="40"/>
              <w:jc w:val="left"/>
              <w:rPr>
                <w:rFonts w:ascii="Arial Narrow" w:hAnsi="Arial Narrow"/>
                <w:color w:val="000000"/>
                <w:szCs w:val="20"/>
              </w:rPr>
            </w:pPr>
            <w:r>
              <w:rPr>
                <w:rFonts w:ascii="Arial Narrow" w:hAnsi="Arial Narrow"/>
                <w:color w:val="000000"/>
                <w:szCs w:val="20"/>
              </w:rPr>
              <w:t>Percentage change in EE program participation rate for HER participants</w:t>
            </w:r>
          </w:p>
        </w:tc>
        <w:tc>
          <w:tcPr>
            <w:tcW w:w="633" w:type="pct"/>
          </w:tcPr>
          <w:p w14:paraId="7CC129F3" w14:textId="02EE852A" w:rsidR="004F468F" w:rsidRDefault="004F468F"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Cs w:val="20"/>
              </w:rPr>
              <w:t>-17%</w:t>
            </w:r>
          </w:p>
        </w:tc>
        <w:tc>
          <w:tcPr>
            <w:tcW w:w="633" w:type="pct"/>
          </w:tcPr>
          <w:p w14:paraId="19735062" w14:textId="137740D3" w:rsidR="004F468F" w:rsidRDefault="004F468F"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Cs w:val="20"/>
              </w:rPr>
              <w:t>29%</w:t>
            </w:r>
          </w:p>
        </w:tc>
        <w:tc>
          <w:tcPr>
            <w:tcW w:w="633" w:type="pct"/>
          </w:tcPr>
          <w:p w14:paraId="77DF71E0" w14:textId="60FEAAB5" w:rsidR="004F468F" w:rsidRDefault="004F468F"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Cs w:val="20"/>
              </w:rPr>
              <w:t>38%</w:t>
            </w:r>
          </w:p>
        </w:tc>
        <w:tc>
          <w:tcPr>
            <w:tcW w:w="633" w:type="pct"/>
          </w:tcPr>
          <w:p w14:paraId="52209A02" w14:textId="24E7BA3F" w:rsidR="004F468F" w:rsidRDefault="004F468F" w:rsidP="004F468F">
            <w:pPr>
              <w:keepNext/>
              <w:keepLines/>
              <w:autoSpaceDE w:val="0"/>
              <w:autoSpaceDN w:val="0"/>
              <w:adjustRightInd w:val="0"/>
              <w:spacing w:before="40" w:after="40"/>
              <w:cnfStyle w:val="000000000000" w:firstRow="0" w:lastRow="0" w:firstColumn="0" w:lastColumn="0" w:oddVBand="0" w:evenVBand="0" w:oddHBand="0" w:evenHBand="0" w:firstRowFirstColumn="0" w:firstRowLastColumn="0" w:lastRowFirstColumn="0" w:lastRowLastColumn="0"/>
              <w:rPr>
                <w:rFonts w:ascii="Arial Narrow" w:hAnsi="Arial Narrow"/>
                <w:color w:val="000000"/>
                <w:szCs w:val="20"/>
              </w:rPr>
            </w:pPr>
            <w:r>
              <w:rPr>
                <w:rFonts w:ascii="Arial Narrow" w:hAnsi="Arial Narrow"/>
                <w:color w:val="000000"/>
                <w:szCs w:val="20"/>
              </w:rPr>
              <w:t>43%</w:t>
            </w:r>
          </w:p>
        </w:tc>
      </w:tr>
    </w:tbl>
    <w:p w14:paraId="5D9623F0" w14:textId="77777777" w:rsidR="001E0069" w:rsidRPr="00D919A7" w:rsidRDefault="001E0069" w:rsidP="002A2309">
      <w:pPr>
        <w:pStyle w:val="Source"/>
      </w:pPr>
      <w:r>
        <w:t>Source: Navigant analysis</w:t>
      </w:r>
    </w:p>
    <w:p w14:paraId="63EDA971" w14:textId="77777777" w:rsidR="001E0069" w:rsidRDefault="001E0069" w:rsidP="001E0069"/>
    <w:sectPr w:rsidR="001E0069" w:rsidSect="00951E3D">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872182" w14:textId="77777777" w:rsidR="00603203" w:rsidRDefault="00603203">
      <w:r>
        <w:separator/>
      </w:r>
    </w:p>
  </w:endnote>
  <w:endnote w:type="continuationSeparator" w:id="0">
    <w:p w14:paraId="421947EC" w14:textId="77777777" w:rsidR="00603203" w:rsidRDefault="00603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DA5BB0" w14:textId="77777777" w:rsidR="00603203" w:rsidRDefault="00603203" w:rsidP="00B15CB5">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31FC73F0" w14:textId="77777777" w:rsidR="00603203" w:rsidRDefault="00603203" w:rsidP="00B15C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EBD04" w14:textId="77777777" w:rsidR="00603203" w:rsidRDefault="00603203" w:rsidP="00B15CB5">
    <w:pPr>
      <w:pStyle w:val="Footer"/>
    </w:pPr>
    <w:r>
      <w:rPr>
        <w:noProof/>
      </w:rPr>
      <mc:AlternateContent>
        <mc:Choice Requires="wps">
          <w:drawing>
            <wp:anchor distT="0" distB="0" distL="114300" distR="114300" simplePos="0" relativeHeight="251672064" behindDoc="0" locked="0" layoutInCell="1" allowOverlap="1" wp14:anchorId="6EF17998" wp14:editId="40D2A259">
              <wp:simplePos x="0" y="0"/>
              <wp:positionH relativeFrom="column">
                <wp:posOffset>-24765</wp:posOffset>
              </wp:positionH>
              <wp:positionV relativeFrom="paragraph">
                <wp:posOffset>-527685</wp:posOffset>
              </wp:positionV>
              <wp:extent cx="5913120" cy="605155"/>
              <wp:effectExtent l="0" t="0" r="0" b="4445"/>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605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66E140" w14:textId="7A4B4EB8" w:rsidR="00603203" w:rsidRPr="002E3F8C" w:rsidRDefault="00603203" w:rsidP="009D2BFC">
                          <w:pPr>
                            <w:rPr>
                              <w:rFonts w:ascii="Arial Narrow" w:hAnsi="Arial Narrow"/>
                              <w:color w:val="6F6754"/>
                              <w:sz w:val="18"/>
                              <w:szCs w:val="18"/>
                            </w:rPr>
                          </w:pPr>
                          <w:r>
                            <w:rPr>
                              <w:rFonts w:ascii="Arial Narrow" w:hAnsi="Arial Narrow"/>
                              <w:color w:val="6F6754"/>
                              <w:sz w:val="18"/>
                              <w:szCs w:val="18"/>
                            </w:rPr>
                            <w:t xml:space="preserve">© 2016 </w:t>
                          </w:r>
                          <w:r w:rsidRPr="002E3F8C">
                            <w:rPr>
                              <w:rFonts w:ascii="Arial Narrow" w:hAnsi="Arial Narrow"/>
                              <w:color w:val="6F6754"/>
                              <w:sz w:val="18"/>
                              <w:szCs w:val="18"/>
                            </w:rPr>
                            <w:t>Navigant Consulting</w:t>
                          </w:r>
                          <w:r>
                            <w:rPr>
                              <w:rFonts w:ascii="Arial Narrow" w:hAnsi="Arial Narrow"/>
                              <w:color w:val="6F6754"/>
                              <w:sz w:val="18"/>
                              <w:szCs w:val="18"/>
                            </w:rPr>
                            <w:t>,</w:t>
                          </w:r>
                          <w:r w:rsidRPr="002E3F8C">
                            <w:rPr>
                              <w:rFonts w:ascii="Arial Narrow" w:hAnsi="Arial Narrow"/>
                              <w:color w:val="6F6754"/>
                              <w:sz w:val="18"/>
                              <w:szCs w:val="18"/>
                            </w:rPr>
                            <w:t xml:space="preserve"> Inc.</w:t>
                          </w:r>
                        </w:p>
                        <w:p w14:paraId="4650E062" w14:textId="71896AC6" w:rsidR="00603203" w:rsidRPr="002E3F8C" w:rsidRDefault="00603203" w:rsidP="009D2BFC">
                          <w:pPr>
                            <w:rPr>
                              <w:rFonts w:ascii="Arial Narrow" w:hAnsi="Arial Narrow"/>
                              <w:color w:val="6F6754"/>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EF17998" id="_x0000_t202" coordsize="21600,21600" o:spt="202" path="m,l,21600r21600,l21600,xe">
              <v:stroke joinstyle="miter"/>
              <v:path gradientshapeok="t" o:connecttype="rect"/>
            </v:shapetype>
            <v:shape id="Text Box 37" o:spid="_x0000_s1026" type="#_x0000_t202" style="position:absolute;margin-left:-1.95pt;margin-top:-41.55pt;width:465.6pt;height:47.6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" stroked="f">
              <v:textbox>
                <w:txbxContent>
                  <w:p w14:paraId="7466E140" w14:textId="7A4B4EB8" w:rsidR="00603203" w:rsidRPr="002E3F8C" w:rsidRDefault="00603203" w:rsidP="009D2BFC">
                    <w:pPr>
                      <w:rPr>
                        <w:rFonts w:ascii="Arial Narrow" w:hAnsi="Arial Narrow"/>
                        <w:color w:val="6F6754"/>
                        <w:sz w:val="18"/>
                        <w:szCs w:val="18"/>
                      </w:rPr>
                    </w:pPr>
                    <w:r>
                      <w:rPr>
                        <w:rFonts w:ascii="Arial Narrow" w:hAnsi="Arial Narrow"/>
                        <w:color w:val="6F6754"/>
                        <w:sz w:val="18"/>
                        <w:szCs w:val="18"/>
                      </w:rPr>
                      <w:t xml:space="preserve">© 2016 </w:t>
                    </w:r>
                    <w:r w:rsidRPr="002E3F8C">
                      <w:rPr>
                        <w:rFonts w:ascii="Arial Narrow" w:hAnsi="Arial Narrow"/>
                        <w:color w:val="6F6754"/>
                        <w:sz w:val="18"/>
                        <w:szCs w:val="18"/>
                      </w:rPr>
                      <w:t>Navigant Consulting</w:t>
                    </w:r>
                    <w:r>
                      <w:rPr>
                        <w:rFonts w:ascii="Arial Narrow" w:hAnsi="Arial Narrow"/>
                        <w:color w:val="6F6754"/>
                        <w:sz w:val="18"/>
                        <w:szCs w:val="18"/>
                      </w:rPr>
                      <w:t>,</w:t>
                    </w:r>
                    <w:r w:rsidRPr="002E3F8C">
                      <w:rPr>
                        <w:rFonts w:ascii="Arial Narrow" w:hAnsi="Arial Narrow"/>
                        <w:color w:val="6F6754"/>
                        <w:sz w:val="18"/>
                        <w:szCs w:val="18"/>
                      </w:rPr>
                      <w:t xml:space="preserve"> Inc.</w:t>
                    </w:r>
                  </w:p>
                  <w:p w14:paraId="4650E062" w14:textId="71896AC6" w:rsidR="00603203" w:rsidRPr="002E3F8C" w:rsidRDefault="00603203" w:rsidP="009D2BFC">
                    <w:pPr>
                      <w:rPr>
                        <w:rFonts w:ascii="Arial Narrow" w:hAnsi="Arial Narrow"/>
                        <w:color w:val="6F6754"/>
                        <w:sz w:val="18"/>
                        <w:szCs w:val="18"/>
                      </w:rPr>
                    </w:pPr>
                  </w:p>
                </w:txbxContent>
              </v:textbox>
            </v:shape>
          </w:pict>
        </mc:Fallback>
      </mc:AlternateContent>
    </w:r>
  </w:p>
  <w:p w14:paraId="12F5FE2D" w14:textId="77777777" w:rsidR="00603203" w:rsidRDefault="00603203" w:rsidP="00B15CB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0118D" w14:textId="77777777" w:rsidR="00603203" w:rsidRDefault="0060320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76966" w14:textId="0B52F3ED" w:rsidR="00603203" w:rsidRPr="00557403" w:rsidRDefault="00603203" w:rsidP="00B15CB5">
    <w:pPr>
      <w:pStyle w:val="Footer"/>
      <w:tabs>
        <w:tab w:val="clear" w:pos="4320"/>
        <w:tab w:val="clear" w:pos="8640"/>
        <w:tab w:val="left" w:pos="8055"/>
        <w:tab w:val="right" w:pos="9000"/>
      </w:tabs>
      <w:ind w:right="360"/>
    </w:pPr>
    <w:r w:rsidRPr="00951E3D">
      <w:t xml:space="preserve">ComEd </w:t>
    </w:r>
    <w:r>
      <w:t>HER Opower</w:t>
    </w:r>
    <w:r w:rsidRPr="008F6B20">
      <w:rPr>
        <w:color w:val="FF0000"/>
      </w:rPr>
      <w:t xml:space="preserve"> </w:t>
    </w:r>
    <w:r>
      <w:t>PY7 Evaluation Report – Draft</w:t>
    </w:r>
    <w:r>
      <w:tab/>
    </w:r>
    <w:r>
      <w:tab/>
    </w:r>
    <w:r w:rsidRPr="00C23EE5">
      <w:rPr>
        <w:i/>
        <w:szCs w:val="18"/>
      </w:rPr>
      <w:t xml:space="preserve">Page </w:t>
    </w:r>
    <w:r w:rsidRPr="00C23EE5">
      <w:rPr>
        <w:i/>
        <w:szCs w:val="18"/>
      </w:rPr>
      <w:fldChar w:fldCharType="begin"/>
    </w:r>
    <w:r w:rsidRPr="00C23EE5">
      <w:rPr>
        <w:i/>
        <w:szCs w:val="18"/>
      </w:rPr>
      <w:instrText xml:space="preserve"> PAGE   \* MERGEFORMAT </w:instrText>
    </w:r>
    <w:r w:rsidRPr="00C23EE5">
      <w:rPr>
        <w:i/>
        <w:szCs w:val="18"/>
      </w:rPr>
      <w:fldChar w:fldCharType="separate"/>
    </w:r>
    <w:r w:rsidR="004F44C4">
      <w:rPr>
        <w:i/>
        <w:noProof/>
        <w:szCs w:val="18"/>
      </w:rPr>
      <w:t>i</w:t>
    </w:r>
    <w:r w:rsidRPr="00C23EE5">
      <w:rPr>
        <w:i/>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AEE48" w14:textId="77777777" w:rsidR="00603203" w:rsidRPr="00557403" w:rsidRDefault="00603203" w:rsidP="00B15CB5">
    <w:pPr>
      <w:pStyle w:val="Footer"/>
      <w:tabs>
        <w:tab w:val="clear" w:pos="4320"/>
        <w:tab w:val="clear" w:pos="8640"/>
        <w:tab w:val="left" w:pos="8055"/>
        <w:tab w:val="right" w:pos="9000"/>
      </w:tabs>
      <w:ind w:right="360"/>
    </w:pPr>
    <w:r w:rsidRPr="00951E3D">
      <w:t xml:space="preserve">ComEd </w:t>
    </w:r>
    <w:r>
      <w:t>HER Opower</w:t>
    </w:r>
    <w:r w:rsidRPr="008F6B20">
      <w:rPr>
        <w:color w:val="FF0000"/>
      </w:rPr>
      <w:t xml:space="preserve"> </w:t>
    </w:r>
    <w:r>
      <w:t>PY7 Evaluation Report – Draft</w:t>
    </w:r>
    <w:r>
      <w:tab/>
    </w:r>
    <w:r>
      <w:tab/>
    </w:r>
    <w:r w:rsidRPr="00C23EE5">
      <w:rPr>
        <w:i/>
        <w:szCs w:val="18"/>
      </w:rPr>
      <w:t xml:space="preserve">Page </w:t>
    </w:r>
    <w:r w:rsidRPr="00C23EE5">
      <w:rPr>
        <w:i/>
        <w:szCs w:val="18"/>
      </w:rPr>
      <w:fldChar w:fldCharType="begin"/>
    </w:r>
    <w:r w:rsidRPr="00C23EE5">
      <w:rPr>
        <w:i/>
        <w:szCs w:val="18"/>
      </w:rPr>
      <w:instrText xml:space="preserve"> PAGE   \* MERGEFORMAT </w:instrText>
    </w:r>
    <w:r w:rsidRPr="00C23EE5">
      <w:rPr>
        <w:i/>
        <w:szCs w:val="18"/>
      </w:rPr>
      <w:fldChar w:fldCharType="separate"/>
    </w:r>
    <w:r w:rsidR="004F44C4">
      <w:rPr>
        <w:i/>
        <w:noProof/>
        <w:szCs w:val="18"/>
      </w:rPr>
      <w:t>ii</w:t>
    </w:r>
    <w:r w:rsidRPr="00C23EE5">
      <w:rPr>
        <w:i/>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D0146" w14:textId="53EB753A" w:rsidR="00603203" w:rsidRDefault="00603203" w:rsidP="008F6065">
    <w:pPr>
      <w:pStyle w:val="Footer"/>
      <w:tabs>
        <w:tab w:val="left" w:pos="8055"/>
        <w:tab w:val="right" w:pos="9000"/>
      </w:tabs>
      <w:ind w:right="360"/>
    </w:pPr>
    <w:r w:rsidRPr="00951E3D">
      <w:t xml:space="preserve">ComEd </w:t>
    </w:r>
    <w:r>
      <w:t>HER Opower</w:t>
    </w:r>
    <w:r w:rsidRPr="008F6B20">
      <w:rPr>
        <w:color w:val="FF0000"/>
      </w:rPr>
      <w:t xml:space="preserve"> </w:t>
    </w:r>
    <w:r>
      <w:t>Decay Rate and Persistence Study – Draft</w:t>
    </w:r>
  </w:p>
  <w:p w14:paraId="791E95D6" w14:textId="143448FA" w:rsidR="00603203" w:rsidRPr="00557403" w:rsidRDefault="00603203" w:rsidP="008F6065">
    <w:pPr>
      <w:pStyle w:val="Footer"/>
      <w:tabs>
        <w:tab w:val="clear" w:pos="4320"/>
        <w:tab w:val="clear" w:pos="8640"/>
        <w:tab w:val="left" w:pos="8055"/>
        <w:tab w:val="right" w:pos="9000"/>
      </w:tabs>
      <w:ind w:right="360"/>
    </w:pPr>
    <w:r>
      <w:tab/>
    </w:r>
    <w:r>
      <w:tab/>
    </w:r>
    <w:r w:rsidRPr="00C23EE5">
      <w:rPr>
        <w:i/>
        <w:szCs w:val="18"/>
      </w:rPr>
      <w:t xml:space="preserve">Page </w:t>
    </w:r>
    <w:r w:rsidRPr="00C23EE5">
      <w:rPr>
        <w:i/>
        <w:szCs w:val="18"/>
      </w:rPr>
      <w:fldChar w:fldCharType="begin"/>
    </w:r>
    <w:r w:rsidRPr="00C23EE5">
      <w:rPr>
        <w:i/>
        <w:szCs w:val="18"/>
      </w:rPr>
      <w:instrText xml:space="preserve"> PAGE   \* MERGEFORMAT </w:instrText>
    </w:r>
    <w:r w:rsidRPr="00C23EE5">
      <w:rPr>
        <w:i/>
        <w:szCs w:val="18"/>
      </w:rPr>
      <w:fldChar w:fldCharType="separate"/>
    </w:r>
    <w:r w:rsidR="004F44C4">
      <w:rPr>
        <w:i/>
        <w:noProof/>
        <w:szCs w:val="18"/>
      </w:rPr>
      <w:t>30</w:t>
    </w:r>
    <w:r w:rsidRPr="00C23EE5">
      <w:rPr>
        <w:i/>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39ECD0" w14:textId="77777777" w:rsidR="00603203" w:rsidRDefault="00603203">
      <w:r>
        <w:separator/>
      </w:r>
    </w:p>
  </w:footnote>
  <w:footnote w:type="continuationSeparator" w:id="0">
    <w:p w14:paraId="1EF019B2" w14:textId="77777777" w:rsidR="00603203" w:rsidRDefault="00603203">
      <w:r>
        <w:continuationSeparator/>
      </w:r>
    </w:p>
  </w:footnote>
  <w:footnote w:id="1">
    <w:p w14:paraId="068BB149" w14:textId="1FFBEB0F" w:rsidR="00603203" w:rsidRDefault="00603203">
      <w:pPr>
        <w:pStyle w:val="FootnoteText"/>
      </w:pPr>
      <w:r>
        <w:rPr>
          <w:rStyle w:val="FootnoteReference"/>
        </w:rPr>
        <w:footnoteRef/>
      </w:r>
      <w:r>
        <w:t xml:space="preserve"> Wave 5 AMI was discontinued in August 2014 but Navigant has chosen to hold off estimating an annual decay rate for that wave until a full year of data after reports have stopped is available.</w:t>
      </w:r>
    </w:p>
  </w:footnote>
  <w:footnote w:id="2">
    <w:p w14:paraId="31BA893E" w14:textId="7C19F78A" w:rsidR="00603203" w:rsidRPr="006941A5" w:rsidRDefault="00603203">
      <w:pPr>
        <w:pStyle w:val="FootnoteText"/>
      </w:pPr>
      <w:r>
        <w:rPr>
          <w:rStyle w:val="FootnoteReference"/>
        </w:rPr>
        <w:footnoteRef/>
      </w:r>
      <w:r>
        <w:t xml:space="preserve"> Cadmus. 2014. </w:t>
      </w:r>
      <w:r>
        <w:rPr>
          <w:i/>
        </w:rPr>
        <w:t>Long-Run Savings and Cost-Effectiveness of Home Energy Report Programs</w:t>
      </w:r>
      <w:r>
        <w:t>.</w:t>
      </w:r>
      <w:r w:rsidR="0053534C">
        <w:t xml:space="preserve"> &lt;</w:t>
      </w:r>
      <w:r w:rsidR="0053534C" w:rsidRPr="0053534C">
        <w:t xml:space="preserve"> </w:t>
      </w:r>
      <w:hyperlink r:id="rId1" w:history="1">
        <w:r w:rsidR="0053534C" w:rsidRPr="003647B5">
          <w:rPr>
            <w:rStyle w:val="Hyperlink"/>
            <w:sz w:val="18"/>
          </w:rPr>
          <w:t>http://www.cadmusgroup.com/wp-content/uploads/2014/11/Cadmus_Home_Energy_Reports_Winter2014.pdf</w:t>
        </w:r>
      </w:hyperlink>
      <w:r w:rsidR="0053534C">
        <w:t>&gt; Page 7.</w:t>
      </w:r>
      <w:r>
        <w:t xml:space="preserve"> </w:t>
      </w:r>
    </w:p>
  </w:footnote>
  <w:footnote w:id="3">
    <w:p w14:paraId="2565E09A" w14:textId="0D679634" w:rsidR="00603203" w:rsidRDefault="00603203">
      <w:pPr>
        <w:pStyle w:val="FootnoteText"/>
      </w:pPr>
      <w:r>
        <w:rPr>
          <w:rStyle w:val="FootnoteReference"/>
        </w:rPr>
        <w:footnoteRef/>
      </w:r>
      <w:r>
        <w:t xml:space="preserve"> Navigant Consulting Inc. 2015. “Home Energy Report Opower Program PY7 Evaluation Report.” Presented to Commonwealth Edison Company. (Currently this evaluation report is in draft and expected to be finalized in early 2016.)</w:t>
      </w:r>
    </w:p>
  </w:footnote>
  <w:footnote w:id="4">
    <w:p w14:paraId="66199E35" w14:textId="73CC8266" w:rsidR="00603203" w:rsidRDefault="00603203" w:rsidP="00C8619F">
      <w:pPr>
        <w:pStyle w:val="FootnoteText"/>
      </w:pPr>
      <w:r>
        <w:rPr>
          <w:rStyle w:val="FootnoteReference"/>
        </w:rPr>
        <w:footnoteRef/>
      </w:r>
      <w:r>
        <w:t xml:space="preserve"> These estimates assume an annual attrition rate due to residence changes of six percent which was calculated based on the attrition in historical ComEd HER program data. </w:t>
      </w:r>
    </w:p>
  </w:footnote>
  <w:footnote w:id="5">
    <w:p w14:paraId="49FB5091" w14:textId="77777777" w:rsidR="00603203" w:rsidRDefault="00603203" w:rsidP="00D12707">
      <w:pPr>
        <w:pStyle w:val="FootnoteText"/>
      </w:pPr>
      <w:r>
        <w:rPr>
          <w:rStyle w:val="FootnoteReference"/>
        </w:rPr>
        <w:footnoteRef/>
      </w:r>
      <w:r>
        <w:t xml:space="preserve"> Numbered findings and recommendations in this section are the same as those found in the Findings and Recommendations section of the evaluation report for ease of reference between each section. </w:t>
      </w:r>
    </w:p>
  </w:footnote>
  <w:footnote w:id="6">
    <w:p w14:paraId="7D826234" w14:textId="4827AD62" w:rsidR="00603203" w:rsidRDefault="00603203">
      <w:pPr>
        <w:pStyle w:val="FootnoteText"/>
      </w:pPr>
      <w:r>
        <w:rPr>
          <w:rStyle w:val="FootnoteReference"/>
        </w:rPr>
        <w:footnoteRef/>
      </w:r>
      <w:r>
        <w:t xml:space="preserve"> PY10 will go from June 1, 2017 to May 31, 2018.</w:t>
      </w:r>
    </w:p>
  </w:footnote>
  <w:footnote w:id="7">
    <w:p w14:paraId="4E40023C" w14:textId="4DF61CDB" w:rsidR="00603203" w:rsidRDefault="00603203">
      <w:pPr>
        <w:pStyle w:val="FootnoteText"/>
      </w:pPr>
      <w:r>
        <w:rPr>
          <w:rStyle w:val="FootnoteReference"/>
        </w:rPr>
        <w:footnoteRef/>
      </w:r>
      <w:r>
        <w:t xml:space="preserve"> As opposed to adopting multiple persistence factors that differed depending on how long customers had received reports prior to PY10. The “reset” is a simplifying assumption to keep the new behavioral measure calculations straight-forward.</w:t>
      </w:r>
    </w:p>
  </w:footnote>
  <w:footnote w:id="8">
    <w:p w14:paraId="3941CDBC" w14:textId="77777777" w:rsidR="00603203" w:rsidRDefault="00603203" w:rsidP="00F05E89">
      <w:pPr>
        <w:pStyle w:val="FootnoteText"/>
      </w:pPr>
      <w:r>
        <w:rPr>
          <w:rStyle w:val="FootnoteReference"/>
        </w:rPr>
        <w:footnoteRef/>
      </w:r>
      <w:r>
        <w:t xml:space="preserve"> Wave 5 AMI was discontinued in August 2014 but Navigant has chosen to hold off estimating an annual decay rate for that wave until a full year of data after reports have stopped is available.</w:t>
      </w:r>
    </w:p>
  </w:footnote>
  <w:footnote w:id="9">
    <w:p w14:paraId="11BB03FF" w14:textId="20B382A7" w:rsidR="00603203" w:rsidRPr="006941A5" w:rsidRDefault="00603203" w:rsidP="00F05E89">
      <w:pPr>
        <w:pStyle w:val="FootnoteText"/>
      </w:pPr>
      <w:r>
        <w:rPr>
          <w:rStyle w:val="FootnoteReference"/>
        </w:rPr>
        <w:footnoteRef/>
      </w:r>
      <w:r>
        <w:t xml:space="preserve"> </w:t>
      </w:r>
      <w:r w:rsidR="0053534C">
        <w:t xml:space="preserve">Cadmus. 2014. </w:t>
      </w:r>
      <w:r w:rsidR="0053534C">
        <w:rPr>
          <w:i/>
        </w:rPr>
        <w:t>Long-Run Savings and Cost-Effectiveness of Home Energy Report Programs</w:t>
      </w:r>
      <w:r w:rsidR="0053534C">
        <w:t>. &lt;</w:t>
      </w:r>
      <w:r w:rsidR="0053534C" w:rsidRPr="0053534C">
        <w:t xml:space="preserve"> </w:t>
      </w:r>
      <w:hyperlink r:id="rId2" w:history="1">
        <w:r w:rsidR="0053534C" w:rsidRPr="003647B5">
          <w:rPr>
            <w:rStyle w:val="Hyperlink"/>
            <w:sz w:val="18"/>
          </w:rPr>
          <w:t>http://www.cadmusgroup.com/wp-content/uploads/2014/11/Cadmus_Home_Energy_Reports_Winter2014.pdf</w:t>
        </w:r>
      </w:hyperlink>
      <w:r w:rsidR="0053534C">
        <w:t>&gt; Page 7.</w:t>
      </w:r>
    </w:p>
  </w:footnote>
  <w:footnote w:id="10">
    <w:p w14:paraId="064C5112" w14:textId="77777777" w:rsidR="00603203" w:rsidRDefault="00603203" w:rsidP="00D1797B">
      <w:pPr>
        <w:pStyle w:val="FootnoteText"/>
      </w:pPr>
      <w:r>
        <w:rPr>
          <w:rStyle w:val="FootnoteReference"/>
        </w:rPr>
        <w:footnoteRef/>
      </w:r>
      <w:r>
        <w:t xml:space="preserve"> In this design, treatment customers receive HERs, while control customers do not.</w:t>
      </w:r>
    </w:p>
  </w:footnote>
  <w:footnote w:id="11">
    <w:p w14:paraId="17D426D2" w14:textId="51044A9B" w:rsidR="00603203" w:rsidRPr="00093C6D" w:rsidRDefault="00603203" w:rsidP="00D1797B">
      <w:pPr>
        <w:pStyle w:val="FootnoteText"/>
        <w:rPr>
          <w:szCs w:val="18"/>
        </w:rPr>
      </w:pPr>
      <w:r>
        <w:rPr>
          <w:rStyle w:val="FootnoteReference"/>
        </w:rPr>
        <w:footnoteRef/>
      </w:r>
      <w:r>
        <w:t xml:space="preserve"> M</w:t>
      </w:r>
      <w:r>
        <w:rPr>
          <w:szCs w:val="18"/>
        </w:rPr>
        <w:t xml:space="preserve">edian usage was calculated by wave. Chronologically, the medians were 34.60, 46.60, and 52.60 kilowatt-hours (kWh) per day. </w:t>
      </w:r>
    </w:p>
  </w:footnote>
  <w:footnote w:id="12">
    <w:p w14:paraId="602AE638" w14:textId="20EC0040" w:rsidR="00603203" w:rsidRDefault="00603203">
      <w:pPr>
        <w:pStyle w:val="FootnoteText"/>
      </w:pPr>
      <w:r>
        <w:rPr>
          <w:rStyle w:val="FootnoteReference"/>
        </w:rPr>
        <w:footnoteRef/>
      </w:r>
      <w:r>
        <w:t xml:space="preserve"> Navigant prefers to report out the PPR model for two reasons. One, the implementer is also using a post-only model for evaluation. Two, although both the LFER and PPR models generate unbiased estimates of program savings, as an empirical matter—based on our past analyses and those in the academic literature—estimated savings from the PPR model tend to have lower standard errors than those from the LFER model, though the differences are usually very small.</w:t>
      </w:r>
    </w:p>
  </w:footnote>
  <w:footnote w:id="13">
    <w:p w14:paraId="3C1FF8DF" w14:textId="0D0725BF" w:rsidR="00603203" w:rsidRDefault="00603203" w:rsidP="00D1797B">
      <w:pPr>
        <w:pStyle w:val="FootnoteText"/>
      </w:pPr>
      <w:r>
        <w:rPr>
          <w:rStyle w:val="FootnoteReference"/>
        </w:rPr>
        <w:footnoteRef/>
      </w:r>
      <w:r>
        <w:t xml:space="preserve"> It is not possible to avoid double counting of savings generated by programs for which tracking data are not available, such as upstream compact fluorescent lamp (CFL) programs.</w:t>
      </w:r>
    </w:p>
  </w:footnote>
  <w:footnote w:id="14">
    <w:p w14:paraId="57CF6172" w14:textId="3ACF0407" w:rsidR="00603203" w:rsidRPr="00B22C29" w:rsidRDefault="00603203" w:rsidP="0095049E">
      <w:pPr>
        <w:pStyle w:val="FootnoteText"/>
        <w:rPr>
          <w:szCs w:val="18"/>
        </w:rPr>
      </w:pPr>
      <w:r w:rsidRPr="00B22C29">
        <w:rPr>
          <w:rStyle w:val="FootnoteReference"/>
          <w:rFonts w:eastAsiaTheme="majorEastAsia"/>
          <w:szCs w:val="18"/>
        </w:rPr>
        <w:footnoteRef/>
      </w:r>
      <w:r w:rsidRPr="00B22C29">
        <w:rPr>
          <w:szCs w:val="18"/>
        </w:rPr>
        <w:t xml:space="preserve"> </w:t>
      </w:r>
      <w:r w:rsidRPr="00E40C97">
        <w:rPr>
          <w:szCs w:val="18"/>
        </w:rPr>
        <w:t>Tracking data files are set-up this way because, i</w:t>
      </w:r>
      <w:r w:rsidRPr="00E40C97">
        <w:rPr>
          <w:rStyle w:val="CommentReference"/>
          <w:rFonts w:eastAsiaTheme="majorEastAsia"/>
          <w:sz w:val="18"/>
          <w:szCs w:val="18"/>
        </w:rPr>
        <w:t xml:space="preserve">n conformity </w:t>
      </w:r>
      <w:r>
        <w:rPr>
          <w:rStyle w:val="CommentReference"/>
          <w:rFonts w:eastAsiaTheme="majorEastAsia"/>
          <w:sz w:val="18"/>
          <w:szCs w:val="18"/>
        </w:rPr>
        <w:t>the Illinois Technical Reference Manual Section 3.2</w:t>
      </w:r>
      <w:r w:rsidRPr="00E40C97">
        <w:rPr>
          <w:rStyle w:val="CommentReference"/>
          <w:rFonts w:eastAsiaTheme="majorEastAsia"/>
          <w:sz w:val="18"/>
          <w:szCs w:val="18"/>
        </w:rPr>
        <w:t xml:space="preserve">, </w:t>
      </w:r>
      <w:r>
        <w:rPr>
          <w:rStyle w:val="CommentReference"/>
          <w:rFonts w:eastAsiaTheme="majorEastAsia"/>
          <w:sz w:val="18"/>
          <w:szCs w:val="18"/>
        </w:rPr>
        <w:t xml:space="preserve">savings are first-year savings, not lifetime savings. </w:t>
      </w:r>
    </w:p>
  </w:footnote>
  <w:footnote w:id="15">
    <w:p w14:paraId="22D411E7" w14:textId="77777777" w:rsidR="00603203" w:rsidRDefault="00603203" w:rsidP="00131D88">
      <w:pPr>
        <w:pStyle w:val="FootnoteText"/>
      </w:pPr>
      <w:r>
        <w:rPr>
          <w:rStyle w:val="FootnoteReference"/>
        </w:rPr>
        <w:footnoteRef/>
      </w:r>
      <w:r>
        <w:t xml:space="preserve"> Navigant Consulting Inc. 2015. “Home Energy Report Opower Program PY7 Evaluation Report.” Presented to Commonwealth Edison Company. (Currently this evaluation report is in draft and expected to be finalized in early 2016.)</w:t>
      </w:r>
    </w:p>
  </w:footnote>
  <w:footnote w:id="16">
    <w:p w14:paraId="792F6F0B" w14:textId="77777777" w:rsidR="00603203" w:rsidRDefault="00603203" w:rsidP="00D06212">
      <w:pPr>
        <w:pStyle w:val="FootnoteText"/>
      </w:pPr>
      <w:r>
        <w:rPr>
          <w:rStyle w:val="FootnoteReference"/>
        </w:rPr>
        <w:footnoteRef/>
      </w:r>
      <w:r>
        <w:t xml:space="preserve"> The convergence assumes that savings decay infinitely at a constant annual rate of </w:t>
      </w:r>
      <w:r w:rsidRPr="00E55942">
        <w:rPr>
          <w:i/>
        </w:rPr>
        <w:t>(1-δ)(1-α)</w:t>
      </w:r>
      <w:r>
        <w:t>.</w:t>
      </w:r>
    </w:p>
  </w:footnote>
  <w:footnote w:id="17">
    <w:p w14:paraId="2BC3F84D" w14:textId="77777777" w:rsidR="00603203" w:rsidRDefault="00603203" w:rsidP="00D06212">
      <w:pPr>
        <w:pStyle w:val="FootnoteText"/>
      </w:pPr>
      <w:r>
        <w:rPr>
          <w:rStyle w:val="FootnoteReference"/>
        </w:rPr>
        <w:footnoteRef/>
      </w:r>
      <w:r>
        <w:t xml:space="preserve"> The Cadmus Group, Inc. 2014. “Long-Run Savings and Cost-Effectiveness of Home Energy Report Programs.” Prepared by M. Sami Khawaja, PhD. And James Stewart, PhD.</w:t>
      </w:r>
    </w:p>
  </w:footnote>
  <w:footnote w:id="18">
    <w:p w14:paraId="2F493D14" w14:textId="77777777" w:rsidR="00603203" w:rsidRDefault="00603203" w:rsidP="00697FC4">
      <w:pPr>
        <w:pStyle w:val="FootnoteText"/>
      </w:pPr>
      <w:r>
        <w:rPr>
          <w:rStyle w:val="FootnoteReference"/>
        </w:rPr>
        <w:footnoteRef/>
      </w:r>
      <w:r>
        <w:t xml:space="preserve"> Navigant Consulting Inc. 2015. “Home Energy Report Opower Program PY7 Evaluation Report.” Presented to Commonwealth Edison Company. (Currently this evaluation report is in draft and expected to be finalized in early 2016.)</w:t>
      </w:r>
    </w:p>
  </w:footnote>
  <w:footnote w:id="19">
    <w:p w14:paraId="338C73D1" w14:textId="77777777" w:rsidR="00603203" w:rsidRDefault="00603203" w:rsidP="00A00EB0">
      <w:pPr>
        <w:pStyle w:val="FootnoteText"/>
      </w:pPr>
      <w:r>
        <w:rPr>
          <w:rStyle w:val="FootnoteReference"/>
        </w:rPr>
        <w:footnoteRef/>
      </w:r>
      <w:r>
        <w:t xml:space="preserve"> Navigant prefers to report out the PPR model for two reasons. One, the implementer is also using a post-only model for evaluation. Two, although both the LFER and PPR models generate unbiased estimates of program savings, as an empirical matter—based on our past analyses and those in the academic literature—estimated savings from the PPR model tend to have lower standard errors than those from the LFER model, though the differences are usually very small.</w:t>
      </w:r>
    </w:p>
  </w:footnote>
  <w:footnote w:id="20">
    <w:p w14:paraId="19D8317E" w14:textId="646D5EBC" w:rsidR="00603203" w:rsidRDefault="00603203">
      <w:pPr>
        <w:pStyle w:val="FootnoteText"/>
      </w:pPr>
      <w:r>
        <w:rPr>
          <w:rStyle w:val="FootnoteReference"/>
        </w:rPr>
        <w:footnoteRef/>
      </w:r>
      <w:r>
        <w:t xml:space="preserve"> </w:t>
      </w:r>
      <w:r w:rsidRPr="00697FC4">
        <w:t>Since the analysis period for this study is off from a</w:t>
      </w:r>
      <w:r>
        <w:t xml:space="preserve"> regular program year Navigant wa</w:t>
      </w:r>
      <w:r w:rsidRPr="00697FC4">
        <w:t>s unable to accurately estimate legacy uplift for this analysis period. Navigant did test estimating legacy uplift as the same percentage of current year uplift as was found in the PY7 HER evaluation report , but the difference in total savings made a negligible impact on the decay rate and measure life estimation that are the focus of this study, so the legacy uplift adjustment was left out.</w:t>
      </w:r>
    </w:p>
  </w:footnote>
  <w:footnote w:id="21">
    <w:p w14:paraId="245837C9" w14:textId="77777777" w:rsidR="00603203" w:rsidRDefault="00603203" w:rsidP="00A00EB0">
      <w:pPr>
        <w:pStyle w:val="FootnoteText"/>
      </w:pPr>
      <w:r>
        <w:rPr>
          <w:rStyle w:val="FootnoteReference"/>
        </w:rPr>
        <w:footnoteRef/>
      </w:r>
      <w:r>
        <w:t xml:space="preserve"> ComEd has other residential programs that were not included in the analysis. The Residential Lighting and Elementary Education programs do not track participation at the customer level, and so do not have the data necessary for the uplift analysis. Double counting between the Residential New Construction and HER programs is not possible due to the requirement that HER participants have sufficient historical usage data. </w:t>
      </w:r>
    </w:p>
  </w:footnote>
  <w:footnote w:id="22">
    <w:p w14:paraId="4ED15978" w14:textId="77777777" w:rsidR="00603203" w:rsidRDefault="00603203" w:rsidP="00223B43">
      <w:pPr>
        <w:pStyle w:val="FootnoteText"/>
      </w:pPr>
      <w:r>
        <w:rPr>
          <w:rStyle w:val="FootnoteReference"/>
        </w:rPr>
        <w:footnoteRef/>
      </w:r>
      <w:r>
        <w:t xml:space="preserve"> These estimates assume an annual attrition rate due to residence changes of six percent which was calculated based on the attrition in historical ComEd HER program data. </w:t>
      </w:r>
    </w:p>
  </w:footnote>
  <w:footnote w:id="23">
    <w:p w14:paraId="0E6EA28D" w14:textId="77777777" w:rsidR="00603203" w:rsidRDefault="00603203" w:rsidP="00223B43">
      <w:pPr>
        <w:pStyle w:val="FootnoteText"/>
      </w:pPr>
      <w:r>
        <w:rPr>
          <w:rStyle w:val="FootnoteReference"/>
        </w:rPr>
        <w:footnoteRef/>
      </w:r>
      <w:r>
        <w:t xml:space="preserve"> The persistence factor is defined as one minus the decay rate, 1-δ.</w:t>
      </w:r>
    </w:p>
  </w:footnote>
  <w:footnote w:id="24">
    <w:p w14:paraId="6955BE17" w14:textId="77777777" w:rsidR="00603203" w:rsidRDefault="00603203" w:rsidP="006D7C0A">
      <w:pPr>
        <w:pStyle w:val="FootnoteText"/>
      </w:pPr>
      <w:r>
        <w:rPr>
          <w:rStyle w:val="FootnoteReference"/>
        </w:rPr>
        <w:footnoteRef/>
      </w:r>
      <w:r>
        <w:t xml:space="preserve"> Numbered findings and recommendations in this section are the same as those found in the Findings and Recommendations section of the evaluation report for ease of reference between each section. </w:t>
      </w:r>
    </w:p>
  </w:footnote>
  <w:footnote w:id="25">
    <w:p w14:paraId="2CB5E3E0" w14:textId="77777777" w:rsidR="00603203" w:rsidRDefault="00603203" w:rsidP="00603203">
      <w:pPr>
        <w:pStyle w:val="FootnoteText"/>
      </w:pPr>
      <w:r>
        <w:rPr>
          <w:rStyle w:val="FootnoteReference"/>
        </w:rPr>
        <w:footnoteRef/>
      </w:r>
      <w:r>
        <w:t xml:space="preserve"> PY10 will go from June 1, 2017 to May 31, 2018.</w:t>
      </w:r>
    </w:p>
  </w:footnote>
  <w:footnote w:id="26">
    <w:p w14:paraId="58F3C9DC" w14:textId="77777777" w:rsidR="00603203" w:rsidRDefault="00603203" w:rsidP="00603203">
      <w:pPr>
        <w:pStyle w:val="FootnoteText"/>
      </w:pPr>
      <w:r>
        <w:rPr>
          <w:rStyle w:val="FootnoteReference"/>
        </w:rPr>
        <w:footnoteRef/>
      </w:r>
      <w:r>
        <w:t xml:space="preserve"> As opposed to adopting multiple persistence factors that differed depending on how long customers had received reports prior to PY10. The “reset” is a simplifying assumption to keep the new behavioral measure calculations straight-forward.</w:t>
      </w:r>
    </w:p>
  </w:footnote>
  <w:footnote w:id="27">
    <w:p w14:paraId="133AB534" w14:textId="02908736" w:rsidR="00603203" w:rsidRPr="00093C6D" w:rsidRDefault="00603203" w:rsidP="00B3766E">
      <w:pPr>
        <w:pStyle w:val="FootnoteText"/>
        <w:rPr>
          <w:szCs w:val="18"/>
        </w:rPr>
      </w:pPr>
      <w:r>
        <w:rPr>
          <w:rStyle w:val="FootnoteReference"/>
        </w:rPr>
        <w:footnoteRef/>
      </w:r>
      <w:r>
        <w:t xml:space="preserve"> M</w:t>
      </w:r>
      <w:r>
        <w:rPr>
          <w:szCs w:val="18"/>
        </w:rPr>
        <w:t>edian usage was calculated by wave. Chronologically, the medians were 34.60, 46.60, and 52.60 kilowatt-hours (kWh) per day.</w:t>
      </w:r>
    </w:p>
  </w:footnote>
  <w:footnote w:id="28">
    <w:p w14:paraId="21D6CA2B" w14:textId="77777777" w:rsidR="00603203" w:rsidRDefault="00603203" w:rsidP="001E0069">
      <w:pPr>
        <w:pStyle w:val="FootnoteText"/>
      </w:pPr>
      <w:r>
        <w:rPr>
          <w:rStyle w:val="FootnoteReference"/>
        </w:rPr>
        <w:footnoteRef/>
      </w:r>
      <w:r>
        <w:t xml:space="preserve"> </w:t>
      </w:r>
      <w:r w:rsidRPr="00F716D7">
        <w:rPr>
          <w:szCs w:val="18"/>
        </w:rPr>
        <w:t xml:space="preserve">In other words, if there are </w:t>
      </w:r>
      <w:r w:rsidRPr="00F716D7">
        <w:rPr>
          <w:i/>
          <w:szCs w:val="18"/>
        </w:rPr>
        <w:t>T</w:t>
      </w:r>
      <w:r w:rsidRPr="00F716D7">
        <w:rPr>
          <w:szCs w:val="18"/>
        </w:rPr>
        <w:t xml:space="preserve"> post-program months, there are </w:t>
      </w:r>
      <w:r w:rsidRPr="00F716D7">
        <w:rPr>
          <w:i/>
          <w:szCs w:val="18"/>
        </w:rPr>
        <w:t>T</w:t>
      </w:r>
      <w:r w:rsidRPr="00F716D7">
        <w:rPr>
          <w:szCs w:val="18"/>
        </w:rPr>
        <w:t xml:space="preserve"> monthly dummy variables in the model, with the dummy variable </w:t>
      </w:r>
      <w:r w:rsidRPr="00F716D7">
        <w:rPr>
          <w:i/>
          <w:szCs w:val="18"/>
        </w:rPr>
        <w:t>Month</w:t>
      </w:r>
      <w:r w:rsidRPr="00F716D7">
        <w:rPr>
          <w:i/>
          <w:szCs w:val="18"/>
          <w:vertAlign w:val="subscript"/>
        </w:rPr>
        <w:t xml:space="preserve">tt </w:t>
      </w:r>
      <w:r w:rsidRPr="00F716D7">
        <w:rPr>
          <w:szCs w:val="18"/>
        </w:rPr>
        <w:t>the only one to take a value of 1 at time t. These are, in other words, monthly fixed effects.</w:t>
      </w:r>
    </w:p>
  </w:footnote>
  <w:footnote w:id="29">
    <w:p w14:paraId="48169F39" w14:textId="77777777" w:rsidR="00603203" w:rsidRPr="00F716D7" w:rsidRDefault="00603203" w:rsidP="001E0069">
      <w:pPr>
        <w:pStyle w:val="FootnoteText"/>
        <w:rPr>
          <w:szCs w:val="18"/>
        </w:rPr>
      </w:pPr>
      <w:r w:rsidRPr="00F716D7">
        <w:rPr>
          <w:rStyle w:val="FootnoteReference"/>
          <w:szCs w:val="18"/>
        </w:rPr>
        <w:footnoteRef/>
      </w:r>
      <w:r w:rsidRPr="00F716D7">
        <w:rPr>
          <w:szCs w:val="18"/>
        </w:rPr>
        <w:t xml:space="preserve"> Ordinary Least Squares (OLS) regression models assume that the data are homos</w:t>
      </w:r>
      <w:r>
        <w:rPr>
          <w:szCs w:val="18"/>
        </w:rPr>
        <w:t>k</w:t>
      </w:r>
      <w:r w:rsidRPr="00F716D7">
        <w:rPr>
          <w:szCs w:val="18"/>
        </w:rPr>
        <w:t>edastic and not autocorrelated. If either of these assumptions is violated, the resulting standard errors of the parameter estimates are incorrect (usually underestimated). A random variable is heteros</w:t>
      </w:r>
      <w:r>
        <w:rPr>
          <w:szCs w:val="18"/>
        </w:rPr>
        <w:t>k</w:t>
      </w:r>
      <w:r w:rsidRPr="00F716D7">
        <w:rPr>
          <w:szCs w:val="18"/>
        </w:rPr>
        <w:t>edastic when the variance is not constant. A random variable is autocorrelated when the error term in one period is correlated with the error terms in at least some of the previous periods.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3AD48" w14:textId="77777777" w:rsidR="00603203" w:rsidRDefault="00603203">
    <w:pPr>
      <w:pStyle w:val="Header"/>
    </w:pPr>
    <w:r>
      <w:rPr>
        <w:noProof/>
      </w:rPr>
      <w:drawing>
        <wp:anchor distT="0" distB="0" distL="114300" distR="114300" simplePos="0" relativeHeight="251673088" behindDoc="0" locked="0" layoutInCell="1" allowOverlap="1" wp14:anchorId="5456DAB7" wp14:editId="23116F8F">
          <wp:simplePos x="0" y="0"/>
          <wp:positionH relativeFrom="column">
            <wp:posOffset>-315595</wp:posOffset>
          </wp:positionH>
          <wp:positionV relativeFrom="paragraph">
            <wp:posOffset>110490</wp:posOffset>
          </wp:positionV>
          <wp:extent cx="1562100" cy="276225"/>
          <wp:effectExtent l="0" t="0" r="0" b="9525"/>
          <wp:wrapNone/>
          <wp:docPr id="38" name="Picture 38" descr="M_Navigant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_NavigantLogo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276225"/>
                  </a:xfrm>
                  <a:prstGeom prst="rect">
                    <a:avLst/>
                  </a:prstGeom>
                  <a:noFill/>
                </pic:spPr>
              </pic:pic>
            </a:graphicData>
          </a:graphic>
        </wp:anchor>
      </w:drawing>
    </w:r>
  </w:p>
  <w:p w14:paraId="4BCB70EE" w14:textId="77777777" w:rsidR="00603203" w:rsidRDefault="00603203" w:rsidP="00B15CB5">
    <w:pPr>
      <w:pStyle w:val="Header"/>
    </w:pPr>
  </w:p>
  <w:p w14:paraId="47F080F5" w14:textId="77777777" w:rsidR="00603203" w:rsidRDefault="00603203" w:rsidP="00B15CB5">
    <w:pPr>
      <w:pStyle w:val="Header"/>
    </w:pPr>
  </w:p>
  <w:p w14:paraId="6AB346BC" w14:textId="77777777" w:rsidR="00603203" w:rsidRPr="00BE1DB6" w:rsidRDefault="00603203" w:rsidP="00B15C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179FF"/>
    <w:multiLevelType w:val="multilevel"/>
    <w:tmpl w:val="E54C216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648" w:hanging="648"/>
      </w:pPr>
      <w:rPr>
        <w:rFonts w:hint="default"/>
      </w:rPr>
    </w:lvl>
    <w:lvl w:ilvl="3">
      <w:start w:val="1"/>
      <w:numFmt w:val="decimal"/>
      <w:lvlRestart w:val="1"/>
      <w:pStyle w:val="Heading4"/>
      <w:lvlText w:val="%1.%2.%3.%4"/>
      <w:lvlJc w:val="left"/>
      <w:pPr>
        <w:ind w:left="864" w:hanging="864"/>
      </w:pPr>
      <w:rPr>
        <w:rFonts w:ascii="Palatino Linotype" w:hAnsi="Palatino Linotype" w:hint="default"/>
        <w:b/>
        <w:i/>
        <w:kern w:val="0"/>
        <w:position w:val="0"/>
        <w:sz w:val="20"/>
      </w:rPr>
    </w:lvl>
    <w:lvl w:ilvl="4">
      <w:start w:val="1"/>
      <w:numFmt w:val="upperLetter"/>
      <w:pStyle w:val="Heading5"/>
      <w:lvlText w:val="Appendix %5"/>
      <w:lvlJc w:val="left"/>
      <w:pPr>
        <w:ind w:left="1008" w:hanging="1008"/>
      </w:pPr>
      <w:rPr>
        <w:rFonts w:ascii="Palatino Linotype" w:hAnsi="Palatino Linotype" w:hint="default"/>
        <w:b/>
        <w:i w:val="0"/>
        <w:color w:val="FFFFFF"/>
        <w:kern w:val="28"/>
        <w:position w:val="6"/>
        <w:sz w:val="24"/>
      </w:rPr>
    </w:lvl>
    <w:lvl w:ilvl="5">
      <w:start w:val="1"/>
      <w:numFmt w:val="decimal"/>
      <w:pStyle w:val="Heading6"/>
      <w:lvlText w:val="%5.%6"/>
      <w:lvlJc w:val="left"/>
      <w:pPr>
        <w:ind w:left="720" w:hanging="720"/>
      </w:pPr>
      <w:rPr>
        <w:rFonts w:ascii="Palatino Linotype" w:hAnsi="Palatino Linotype" w:hint="default"/>
        <w:b/>
        <w:i/>
        <w:color w:val="000000"/>
        <w:kern w:val="0"/>
        <w:sz w:val="24"/>
      </w:rPr>
    </w:lvl>
    <w:lvl w:ilvl="6">
      <w:start w:val="1"/>
      <w:numFmt w:val="none"/>
      <w:pStyle w:val="Heading7"/>
      <w:suff w:val="nothing"/>
      <w:lvlText w:val=""/>
      <w:lvlJc w:val="left"/>
      <w:pPr>
        <w:ind w:left="720" w:hanging="720"/>
      </w:pPr>
      <w:rPr>
        <w:rFonts w:ascii="Palatino Linotype" w:hAnsi="Palatino Linotype" w:hint="default"/>
        <w:b/>
        <w:i/>
        <w:color w:val="auto"/>
        <w:sz w:val="24"/>
      </w:rPr>
    </w:lvl>
    <w:lvl w:ilvl="7">
      <w:start w:val="1"/>
      <w:numFmt w:val="decimal"/>
      <w:pStyle w:val="Heading8"/>
      <w:lvlText w:val="E.%8"/>
      <w:lvlJc w:val="left"/>
      <w:pPr>
        <w:ind w:left="720" w:hanging="720"/>
      </w:pPr>
      <w:rPr>
        <w:rFonts w:ascii="Palatino Linotype" w:hAnsi="Palatino Linotype" w:hint="default"/>
        <w:b/>
        <w:i/>
        <w:color w:val="auto"/>
        <w:sz w:val="24"/>
        <w:u w:color="FFFFFF"/>
      </w:rPr>
    </w:lvl>
    <w:lvl w:ilvl="8">
      <w:start w:val="1"/>
      <w:numFmt w:val="decimal"/>
      <w:pStyle w:val="Heading9"/>
      <w:lvlText w:val="E.%8.%9"/>
      <w:lvlJc w:val="left"/>
      <w:pPr>
        <w:ind w:left="648" w:hanging="648"/>
      </w:pPr>
      <w:rPr>
        <w:rFonts w:hint="default"/>
      </w:rPr>
    </w:lvl>
  </w:abstractNum>
  <w:abstractNum w:abstractNumId="1">
    <w:nsid w:val="098720FF"/>
    <w:multiLevelType w:val="hybridMultilevel"/>
    <w:tmpl w:val="5678D34E"/>
    <w:lvl w:ilvl="0" w:tplc="21983A38">
      <w:start w:val="1"/>
      <w:numFmt w:val="bullet"/>
      <w:pStyle w:val="Bullets-SingleSpace"/>
      <w:lvlText w:val=""/>
      <w:lvlJc w:val="left"/>
      <w:pPr>
        <w:tabs>
          <w:tab w:val="num" w:pos="1080"/>
        </w:tabs>
        <w:ind w:left="1440" w:hanging="720"/>
      </w:pPr>
      <w:rPr>
        <w:rFonts w:ascii="Symbol" w:hAnsi="Symbol" w:hint="default"/>
      </w:rPr>
    </w:lvl>
    <w:lvl w:ilvl="1" w:tplc="F4BC6224" w:tentative="1">
      <w:start w:val="1"/>
      <w:numFmt w:val="bullet"/>
      <w:lvlText w:val="o"/>
      <w:lvlJc w:val="left"/>
      <w:pPr>
        <w:tabs>
          <w:tab w:val="num" w:pos="2160"/>
        </w:tabs>
        <w:ind w:left="2160" w:hanging="360"/>
      </w:pPr>
      <w:rPr>
        <w:rFonts w:ascii="Courier New" w:hAnsi="Courier New" w:hint="default"/>
      </w:rPr>
    </w:lvl>
    <w:lvl w:ilvl="2" w:tplc="8E80502E" w:tentative="1">
      <w:start w:val="1"/>
      <w:numFmt w:val="bullet"/>
      <w:lvlText w:val=""/>
      <w:lvlJc w:val="left"/>
      <w:pPr>
        <w:tabs>
          <w:tab w:val="num" w:pos="2880"/>
        </w:tabs>
        <w:ind w:left="2880" w:hanging="360"/>
      </w:pPr>
      <w:rPr>
        <w:rFonts w:ascii="Wingdings" w:hAnsi="Wingdings" w:hint="default"/>
      </w:rPr>
    </w:lvl>
    <w:lvl w:ilvl="3" w:tplc="4836C440" w:tentative="1">
      <w:start w:val="1"/>
      <w:numFmt w:val="bullet"/>
      <w:lvlText w:val=""/>
      <w:lvlJc w:val="left"/>
      <w:pPr>
        <w:tabs>
          <w:tab w:val="num" w:pos="3600"/>
        </w:tabs>
        <w:ind w:left="3600" w:hanging="360"/>
      </w:pPr>
      <w:rPr>
        <w:rFonts w:ascii="Symbol" w:hAnsi="Symbol" w:hint="default"/>
      </w:rPr>
    </w:lvl>
    <w:lvl w:ilvl="4" w:tplc="81E84218" w:tentative="1">
      <w:start w:val="1"/>
      <w:numFmt w:val="bullet"/>
      <w:lvlText w:val="o"/>
      <w:lvlJc w:val="left"/>
      <w:pPr>
        <w:tabs>
          <w:tab w:val="num" w:pos="4320"/>
        </w:tabs>
        <w:ind w:left="4320" w:hanging="360"/>
      </w:pPr>
      <w:rPr>
        <w:rFonts w:ascii="Courier New" w:hAnsi="Courier New" w:hint="default"/>
      </w:rPr>
    </w:lvl>
    <w:lvl w:ilvl="5" w:tplc="EC0E8406" w:tentative="1">
      <w:start w:val="1"/>
      <w:numFmt w:val="bullet"/>
      <w:lvlText w:val=""/>
      <w:lvlJc w:val="left"/>
      <w:pPr>
        <w:tabs>
          <w:tab w:val="num" w:pos="5040"/>
        </w:tabs>
        <w:ind w:left="5040" w:hanging="360"/>
      </w:pPr>
      <w:rPr>
        <w:rFonts w:ascii="Wingdings" w:hAnsi="Wingdings" w:hint="default"/>
      </w:rPr>
    </w:lvl>
    <w:lvl w:ilvl="6" w:tplc="55C272DE" w:tentative="1">
      <w:start w:val="1"/>
      <w:numFmt w:val="bullet"/>
      <w:lvlText w:val=""/>
      <w:lvlJc w:val="left"/>
      <w:pPr>
        <w:tabs>
          <w:tab w:val="num" w:pos="5760"/>
        </w:tabs>
        <w:ind w:left="5760" w:hanging="360"/>
      </w:pPr>
      <w:rPr>
        <w:rFonts w:ascii="Symbol" w:hAnsi="Symbol" w:hint="default"/>
      </w:rPr>
    </w:lvl>
    <w:lvl w:ilvl="7" w:tplc="1984388C" w:tentative="1">
      <w:start w:val="1"/>
      <w:numFmt w:val="bullet"/>
      <w:lvlText w:val="o"/>
      <w:lvlJc w:val="left"/>
      <w:pPr>
        <w:tabs>
          <w:tab w:val="num" w:pos="6480"/>
        </w:tabs>
        <w:ind w:left="6480" w:hanging="360"/>
      </w:pPr>
      <w:rPr>
        <w:rFonts w:ascii="Courier New" w:hAnsi="Courier New" w:hint="default"/>
      </w:rPr>
    </w:lvl>
    <w:lvl w:ilvl="8" w:tplc="E0F47026" w:tentative="1">
      <w:start w:val="1"/>
      <w:numFmt w:val="bullet"/>
      <w:lvlText w:val=""/>
      <w:lvlJc w:val="left"/>
      <w:pPr>
        <w:tabs>
          <w:tab w:val="num" w:pos="7200"/>
        </w:tabs>
        <w:ind w:left="7200" w:hanging="360"/>
      </w:pPr>
      <w:rPr>
        <w:rFonts w:ascii="Wingdings" w:hAnsi="Wingdings" w:hint="default"/>
      </w:rPr>
    </w:lvl>
  </w:abstractNum>
  <w:abstractNum w:abstractNumId="2">
    <w:nsid w:val="0C6644E4"/>
    <w:multiLevelType w:val="multilevel"/>
    <w:tmpl w:val="D8304EC2"/>
    <w:styleLink w:val="StyleBulleted9"/>
    <w:lvl w:ilvl="0">
      <w:start w:val="1"/>
      <w:numFmt w:val="bullet"/>
      <w:lvlText w:val="»"/>
      <w:lvlJc w:val="left"/>
      <w:pPr>
        <w:tabs>
          <w:tab w:val="num" w:pos="720"/>
        </w:tabs>
        <w:ind w:left="720" w:hanging="360"/>
      </w:pPr>
      <w:rPr>
        <w:rFonts w:ascii="Palatino Linotype" w:hAnsi="Palatino Linotype"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D262BC8"/>
    <w:multiLevelType w:val="multilevel"/>
    <w:tmpl w:val="51FECC92"/>
    <w:styleLink w:val="StyleNumberedLeft025Hanging025"/>
    <w:lvl w:ilvl="0">
      <w:start w:val="1"/>
      <w:numFmt w:val="decimal"/>
      <w:lvlText w:val="%1."/>
      <w:lvlJc w:val="left"/>
      <w:pPr>
        <w:tabs>
          <w:tab w:val="num" w:pos="936"/>
        </w:tabs>
        <w:ind w:left="936" w:hanging="360"/>
      </w:pPr>
      <w:rPr>
        <w:rFonts w:ascii="Palatino Linotype" w:hAnsi="Palatino Linotype"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15A87340"/>
    <w:multiLevelType w:val="hybridMultilevel"/>
    <w:tmpl w:val="C3040830"/>
    <w:lvl w:ilvl="0" w:tplc="DC62415A">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D63E1C"/>
    <w:multiLevelType w:val="multilevel"/>
    <w:tmpl w:val="42E6EFA2"/>
    <w:styleLink w:val="StyleBulleted"/>
    <w:lvl w:ilvl="0">
      <w:start w:val="1"/>
      <w:numFmt w:val="bullet"/>
      <w:lvlText w:val="»"/>
      <w:lvlJc w:val="left"/>
      <w:pPr>
        <w:tabs>
          <w:tab w:val="num" w:pos="972"/>
        </w:tabs>
        <w:ind w:left="972" w:hanging="432"/>
      </w:pPr>
      <w:rPr>
        <w:rFonts w:ascii="Palatino Linotype" w:hAnsi="Palatino Linotype"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3AC96003"/>
    <w:multiLevelType w:val="multilevel"/>
    <w:tmpl w:val="FA2899C8"/>
    <w:styleLink w:val="StyleBulleted6"/>
    <w:lvl w:ilvl="0">
      <w:start w:val="1"/>
      <w:numFmt w:val="bullet"/>
      <w:lvlText w:val="»"/>
      <w:lvlJc w:val="left"/>
      <w:pPr>
        <w:tabs>
          <w:tab w:val="num" w:pos="720"/>
        </w:tabs>
        <w:ind w:left="720" w:hanging="360"/>
      </w:pPr>
      <w:rPr>
        <w:rFonts w:ascii="Palatino Linotype" w:hAnsi="Palatino Linotype"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3CEA2E11"/>
    <w:multiLevelType w:val="multilevel"/>
    <w:tmpl w:val="55669770"/>
    <w:styleLink w:val="StyleBulletedLeft0Hanging03"/>
    <w:lvl w:ilvl="0">
      <w:start w:val="1"/>
      <w:numFmt w:val="bullet"/>
      <w:lvlText w:val="»"/>
      <w:lvlJc w:val="left"/>
      <w:pPr>
        <w:tabs>
          <w:tab w:val="num" w:pos="864"/>
        </w:tabs>
        <w:ind w:left="720" w:hanging="288"/>
      </w:pPr>
      <w:rPr>
        <w:rFonts w:ascii="Palatino Linotype" w:hAnsi="Palatino Linotype"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D2A2D1A"/>
    <w:multiLevelType w:val="hybridMultilevel"/>
    <w:tmpl w:val="58CA9C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E51042"/>
    <w:multiLevelType w:val="hybridMultilevel"/>
    <w:tmpl w:val="C4A0DBA8"/>
    <w:lvl w:ilvl="0" w:tplc="04090001">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50C5020"/>
    <w:multiLevelType w:val="hybridMultilevel"/>
    <w:tmpl w:val="2FE269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A365D22"/>
    <w:multiLevelType w:val="hybridMultilevel"/>
    <w:tmpl w:val="7CCAEBD8"/>
    <w:lvl w:ilvl="0" w:tplc="04090001">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AD74F8"/>
    <w:multiLevelType w:val="hybridMultilevel"/>
    <w:tmpl w:val="58CA9C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BB49D8"/>
    <w:multiLevelType w:val="multilevel"/>
    <w:tmpl w:val="B04E4DB8"/>
    <w:lvl w:ilvl="0">
      <w:start w:val="1"/>
      <w:numFmt w:val="decimal"/>
      <w:pStyle w:val="AnswerNumbered"/>
      <w:lvlText w:val="%1."/>
      <w:lvlJc w:val="left"/>
      <w:pPr>
        <w:tabs>
          <w:tab w:val="num" w:pos="936"/>
        </w:tabs>
        <w:ind w:left="936" w:hanging="360"/>
      </w:pPr>
      <w:rPr>
        <w:rFonts w:cs="Times New Roman" w:hint="default"/>
      </w:rPr>
    </w:lvl>
    <w:lvl w:ilvl="1">
      <w:start w:val="1"/>
      <w:numFmt w:val="decimal"/>
      <w:lvlText w:val="%1.%2."/>
      <w:lvlJc w:val="left"/>
      <w:pPr>
        <w:tabs>
          <w:tab w:val="num" w:pos="2016"/>
        </w:tabs>
        <w:ind w:left="1368" w:hanging="432"/>
      </w:pPr>
      <w:rPr>
        <w:rFonts w:cs="Times New Roman" w:hint="default"/>
      </w:rPr>
    </w:lvl>
    <w:lvl w:ilvl="2">
      <w:start w:val="1"/>
      <w:numFmt w:val="decimal"/>
      <w:lvlText w:val="%1.%2.%3."/>
      <w:lvlJc w:val="left"/>
      <w:pPr>
        <w:tabs>
          <w:tab w:val="num" w:pos="2736"/>
        </w:tabs>
        <w:ind w:left="1800" w:hanging="504"/>
      </w:pPr>
      <w:rPr>
        <w:rFonts w:cs="Times New Roman" w:hint="default"/>
      </w:rPr>
    </w:lvl>
    <w:lvl w:ilvl="3">
      <w:start w:val="1"/>
      <w:numFmt w:val="decimal"/>
      <w:lvlText w:val="%1.%2.%3.%4."/>
      <w:lvlJc w:val="left"/>
      <w:pPr>
        <w:tabs>
          <w:tab w:val="num" w:pos="3456"/>
        </w:tabs>
        <w:ind w:left="2304" w:hanging="648"/>
      </w:pPr>
      <w:rPr>
        <w:rFonts w:cs="Times New Roman" w:hint="default"/>
      </w:rPr>
    </w:lvl>
    <w:lvl w:ilvl="4">
      <w:start w:val="1"/>
      <w:numFmt w:val="decimal"/>
      <w:lvlText w:val="%1.%2.%3.%4.%5."/>
      <w:lvlJc w:val="left"/>
      <w:pPr>
        <w:tabs>
          <w:tab w:val="num" w:pos="4176"/>
        </w:tabs>
        <w:ind w:left="2808" w:hanging="792"/>
      </w:pPr>
      <w:rPr>
        <w:rFonts w:cs="Times New Roman" w:hint="default"/>
      </w:rPr>
    </w:lvl>
    <w:lvl w:ilvl="5">
      <w:start w:val="1"/>
      <w:numFmt w:val="decimal"/>
      <w:lvlText w:val="%1.%2.%3.%4.%5.%6."/>
      <w:lvlJc w:val="left"/>
      <w:pPr>
        <w:tabs>
          <w:tab w:val="num" w:pos="4896"/>
        </w:tabs>
        <w:ind w:left="3312" w:hanging="936"/>
      </w:pPr>
      <w:rPr>
        <w:rFonts w:cs="Times New Roman" w:hint="default"/>
      </w:rPr>
    </w:lvl>
    <w:lvl w:ilvl="6">
      <w:start w:val="1"/>
      <w:numFmt w:val="decimal"/>
      <w:lvlText w:val="%1.%2.%3.%4.%5.%6.%7."/>
      <w:lvlJc w:val="left"/>
      <w:pPr>
        <w:tabs>
          <w:tab w:val="num" w:pos="5616"/>
        </w:tabs>
        <w:ind w:left="3816" w:hanging="1080"/>
      </w:pPr>
      <w:rPr>
        <w:rFonts w:cs="Times New Roman" w:hint="default"/>
      </w:rPr>
    </w:lvl>
    <w:lvl w:ilvl="7">
      <w:start w:val="1"/>
      <w:numFmt w:val="decimal"/>
      <w:lvlText w:val="%1.%2.%3.%4.%5.%6.%7.%8."/>
      <w:lvlJc w:val="left"/>
      <w:pPr>
        <w:tabs>
          <w:tab w:val="num" w:pos="6336"/>
        </w:tabs>
        <w:ind w:left="4320" w:hanging="1224"/>
      </w:pPr>
      <w:rPr>
        <w:rFonts w:cs="Times New Roman" w:hint="default"/>
      </w:rPr>
    </w:lvl>
    <w:lvl w:ilvl="8">
      <w:start w:val="1"/>
      <w:numFmt w:val="decimal"/>
      <w:lvlText w:val="%1.%2.%3.%4.%5.%6.%7.%8.%9."/>
      <w:lvlJc w:val="left"/>
      <w:pPr>
        <w:tabs>
          <w:tab w:val="num" w:pos="7056"/>
        </w:tabs>
        <w:ind w:left="4896" w:hanging="1440"/>
      </w:pPr>
      <w:rPr>
        <w:rFonts w:cs="Times New Roman" w:hint="default"/>
      </w:rPr>
    </w:lvl>
  </w:abstractNum>
  <w:num w:numId="1">
    <w:abstractNumId w:val="0"/>
  </w:num>
  <w:num w:numId="2">
    <w:abstractNumId w:val="13"/>
  </w:num>
  <w:num w:numId="3">
    <w:abstractNumId w:val="5"/>
  </w:num>
  <w:num w:numId="4">
    <w:abstractNumId w:val="7"/>
  </w:num>
  <w:num w:numId="5">
    <w:abstractNumId w:val="6"/>
  </w:num>
  <w:num w:numId="6">
    <w:abstractNumId w:val="2"/>
  </w:num>
  <w:num w:numId="7">
    <w:abstractNumId w:val="3"/>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4"/>
  </w:num>
  <w:num w:numId="11">
    <w:abstractNumId w:val="12"/>
  </w:num>
  <w:num w:numId="12">
    <w:abstractNumId w:val="1"/>
  </w:num>
  <w:num w:numId="13">
    <w:abstractNumId w:val="10"/>
  </w:num>
  <w:num w:numId="14">
    <w:abstractNumId w:val="8"/>
  </w:num>
  <w:num w:numId="15">
    <w:abstractNumId w:val="11"/>
  </w:num>
  <w:num w:numId="1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8FF"/>
    <w:rsid w:val="00002509"/>
    <w:rsid w:val="0000293D"/>
    <w:rsid w:val="00007684"/>
    <w:rsid w:val="000107B5"/>
    <w:rsid w:val="000133BD"/>
    <w:rsid w:val="00013969"/>
    <w:rsid w:val="000157F9"/>
    <w:rsid w:val="00020CAB"/>
    <w:rsid w:val="000222C1"/>
    <w:rsid w:val="0002316D"/>
    <w:rsid w:val="00023D0C"/>
    <w:rsid w:val="00024B9D"/>
    <w:rsid w:val="000253AB"/>
    <w:rsid w:val="000254A8"/>
    <w:rsid w:val="00032256"/>
    <w:rsid w:val="00032A54"/>
    <w:rsid w:val="000377CB"/>
    <w:rsid w:val="0004087D"/>
    <w:rsid w:val="0004343E"/>
    <w:rsid w:val="000437D5"/>
    <w:rsid w:val="000454D5"/>
    <w:rsid w:val="0004797D"/>
    <w:rsid w:val="00050582"/>
    <w:rsid w:val="00064B2F"/>
    <w:rsid w:val="00064D97"/>
    <w:rsid w:val="00064EA7"/>
    <w:rsid w:val="000650FB"/>
    <w:rsid w:val="00066D7F"/>
    <w:rsid w:val="00084F76"/>
    <w:rsid w:val="00086F09"/>
    <w:rsid w:val="000972A9"/>
    <w:rsid w:val="00097861"/>
    <w:rsid w:val="000A03B3"/>
    <w:rsid w:val="000A31E4"/>
    <w:rsid w:val="000B42BA"/>
    <w:rsid w:val="000B465B"/>
    <w:rsid w:val="000B561D"/>
    <w:rsid w:val="000C20F4"/>
    <w:rsid w:val="000C6D87"/>
    <w:rsid w:val="000D7E8E"/>
    <w:rsid w:val="000E5A68"/>
    <w:rsid w:val="000F1959"/>
    <w:rsid w:val="000F20A3"/>
    <w:rsid w:val="000F2625"/>
    <w:rsid w:val="000F4974"/>
    <w:rsid w:val="000F779C"/>
    <w:rsid w:val="00101B08"/>
    <w:rsid w:val="00102D8C"/>
    <w:rsid w:val="00112140"/>
    <w:rsid w:val="00113E9C"/>
    <w:rsid w:val="001167D5"/>
    <w:rsid w:val="00122CBD"/>
    <w:rsid w:val="00123751"/>
    <w:rsid w:val="00124EC3"/>
    <w:rsid w:val="00127E6A"/>
    <w:rsid w:val="00130123"/>
    <w:rsid w:val="00131D88"/>
    <w:rsid w:val="001412F5"/>
    <w:rsid w:val="0014286C"/>
    <w:rsid w:val="00143D6B"/>
    <w:rsid w:val="0015217E"/>
    <w:rsid w:val="001539A0"/>
    <w:rsid w:val="00154839"/>
    <w:rsid w:val="00157427"/>
    <w:rsid w:val="001600C4"/>
    <w:rsid w:val="001627BE"/>
    <w:rsid w:val="00162A17"/>
    <w:rsid w:val="00162B1D"/>
    <w:rsid w:val="00165E29"/>
    <w:rsid w:val="00173661"/>
    <w:rsid w:val="00182F1E"/>
    <w:rsid w:val="00185F6D"/>
    <w:rsid w:val="00190F86"/>
    <w:rsid w:val="00191DE5"/>
    <w:rsid w:val="00192DC0"/>
    <w:rsid w:val="00194675"/>
    <w:rsid w:val="00195831"/>
    <w:rsid w:val="00195E34"/>
    <w:rsid w:val="001B16CB"/>
    <w:rsid w:val="001B5315"/>
    <w:rsid w:val="001C0482"/>
    <w:rsid w:val="001C0F93"/>
    <w:rsid w:val="001C5BA2"/>
    <w:rsid w:val="001E0069"/>
    <w:rsid w:val="001E74DA"/>
    <w:rsid w:val="001F1B50"/>
    <w:rsid w:val="001F2305"/>
    <w:rsid w:val="001F4327"/>
    <w:rsid w:val="00200900"/>
    <w:rsid w:val="00205B95"/>
    <w:rsid w:val="002162B5"/>
    <w:rsid w:val="00217473"/>
    <w:rsid w:val="00223B43"/>
    <w:rsid w:val="00230A80"/>
    <w:rsid w:val="002321E1"/>
    <w:rsid w:val="0023376C"/>
    <w:rsid w:val="00234E8D"/>
    <w:rsid w:val="00236BAC"/>
    <w:rsid w:val="00240220"/>
    <w:rsid w:val="00240609"/>
    <w:rsid w:val="0025005A"/>
    <w:rsid w:val="00250FF7"/>
    <w:rsid w:val="00254446"/>
    <w:rsid w:val="0025731C"/>
    <w:rsid w:val="00257513"/>
    <w:rsid w:val="00262A7D"/>
    <w:rsid w:val="00263BF4"/>
    <w:rsid w:val="00280ABA"/>
    <w:rsid w:val="002819DB"/>
    <w:rsid w:val="002823F4"/>
    <w:rsid w:val="00283520"/>
    <w:rsid w:val="00285D33"/>
    <w:rsid w:val="002920AD"/>
    <w:rsid w:val="002A2309"/>
    <w:rsid w:val="002A67D3"/>
    <w:rsid w:val="002C23D5"/>
    <w:rsid w:val="002C755B"/>
    <w:rsid w:val="002D2B19"/>
    <w:rsid w:val="002D472C"/>
    <w:rsid w:val="002D632D"/>
    <w:rsid w:val="002D7723"/>
    <w:rsid w:val="002E5EE9"/>
    <w:rsid w:val="002F2124"/>
    <w:rsid w:val="002F2C5A"/>
    <w:rsid w:val="002F507E"/>
    <w:rsid w:val="002F68B4"/>
    <w:rsid w:val="002F7BF5"/>
    <w:rsid w:val="00301AB5"/>
    <w:rsid w:val="003042C1"/>
    <w:rsid w:val="003058AA"/>
    <w:rsid w:val="00316F2D"/>
    <w:rsid w:val="003209E3"/>
    <w:rsid w:val="00321B8F"/>
    <w:rsid w:val="00336B73"/>
    <w:rsid w:val="003449AF"/>
    <w:rsid w:val="003471BB"/>
    <w:rsid w:val="003503DA"/>
    <w:rsid w:val="00353F95"/>
    <w:rsid w:val="003629AA"/>
    <w:rsid w:val="00371142"/>
    <w:rsid w:val="0037256D"/>
    <w:rsid w:val="00374B86"/>
    <w:rsid w:val="00381B64"/>
    <w:rsid w:val="00386271"/>
    <w:rsid w:val="003866BE"/>
    <w:rsid w:val="00393214"/>
    <w:rsid w:val="00396E45"/>
    <w:rsid w:val="003A34CA"/>
    <w:rsid w:val="003A6475"/>
    <w:rsid w:val="003A70BA"/>
    <w:rsid w:val="003B040C"/>
    <w:rsid w:val="003B4E51"/>
    <w:rsid w:val="003B77E7"/>
    <w:rsid w:val="003C11A5"/>
    <w:rsid w:val="003C2962"/>
    <w:rsid w:val="003C5FC7"/>
    <w:rsid w:val="003C61B8"/>
    <w:rsid w:val="003D0EBD"/>
    <w:rsid w:val="003D2545"/>
    <w:rsid w:val="003D512B"/>
    <w:rsid w:val="003D64C6"/>
    <w:rsid w:val="003E4EB3"/>
    <w:rsid w:val="003F0E65"/>
    <w:rsid w:val="003F2FA8"/>
    <w:rsid w:val="003F3FAA"/>
    <w:rsid w:val="003F5E04"/>
    <w:rsid w:val="003F7734"/>
    <w:rsid w:val="00403A63"/>
    <w:rsid w:val="004045C5"/>
    <w:rsid w:val="00405A36"/>
    <w:rsid w:val="00407C3B"/>
    <w:rsid w:val="0041547E"/>
    <w:rsid w:val="0041701F"/>
    <w:rsid w:val="00421870"/>
    <w:rsid w:val="0042309A"/>
    <w:rsid w:val="004231CD"/>
    <w:rsid w:val="0042384D"/>
    <w:rsid w:val="004301F4"/>
    <w:rsid w:val="00432327"/>
    <w:rsid w:val="00434C48"/>
    <w:rsid w:val="00436A8E"/>
    <w:rsid w:val="00441D99"/>
    <w:rsid w:val="0044355A"/>
    <w:rsid w:val="004465B4"/>
    <w:rsid w:val="0045540C"/>
    <w:rsid w:val="0045647B"/>
    <w:rsid w:val="00463BCD"/>
    <w:rsid w:val="00465E43"/>
    <w:rsid w:val="00467404"/>
    <w:rsid w:val="00472FE0"/>
    <w:rsid w:val="00475698"/>
    <w:rsid w:val="00482E80"/>
    <w:rsid w:val="00486FCA"/>
    <w:rsid w:val="00495117"/>
    <w:rsid w:val="00496464"/>
    <w:rsid w:val="00497533"/>
    <w:rsid w:val="004A0728"/>
    <w:rsid w:val="004A1A52"/>
    <w:rsid w:val="004A360B"/>
    <w:rsid w:val="004A59A3"/>
    <w:rsid w:val="004A60CA"/>
    <w:rsid w:val="004A701E"/>
    <w:rsid w:val="004B38E4"/>
    <w:rsid w:val="004B393C"/>
    <w:rsid w:val="004B4F5F"/>
    <w:rsid w:val="004C0294"/>
    <w:rsid w:val="004C02AC"/>
    <w:rsid w:val="004C1168"/>
    <w:rsid w:val="004C38FE"/>
    <w:rsid w:val="004C6FFA"/>
    <w:rsid w:val="004D566C"/>
    <w:rsid w:val="004D5699"/>
    <w:rsid w:val="004E121E"/>
    <w:rsid w:val="004E262D"/>
    <w:rsid w:val="004E7A99"/>
    <w:rsid w:val="004F21FD"/>
    <w:rsid w:val="004F2A1D"/>
    <w:rsid w:val="004F3462"/>
    <w:rsid w:val="004F44C4"/>
    <w:rsid w:val="004F44F6"/>
    <w:rsid w:val="004F468F"/>
    <w:rsid w:val="004F4D54"/>
    <w:rsid w:val="004F5021"/>
    <w:rsid w:val="00505E45"/>
    <w:rsid w:val="005064C7"/>
    <w:rsid w:val="005141A4"/>
    <w:rsid w:val="00516FC7"/>
    <w:rsid w:val="005170FB"/>
    <w:rsid w:val="0051710C"/>
    <w:rsid w:val="005200C3"/>
    <w:rsid w:val="005226DB"/>
    <w:rsid w:val="00522F1F"/>
    <w:rsid w:val="00523D14"/>
    <w:rsid w:val="00524A3A"/>
    <w:rsid w:val="00526DF2"/>
    <w:rsid w:val="00527DBF"/>
    <w:rsid w:val="005305C1"/>
    <w:rsid w:val="00530618"/>
    <w:rsid w:val="005333E2"/>
    <w:rsid w:val="0053534C"/>
    <w:rsid w:val="00535C52"/>
    <w:rsid w:val="005510D2"/>
    <w:rsid w:val="005517FF"/>
    <w:rsid w:val="00557403"/>
    <w:rsid w:val="005611BC"/>
    <w:rsid w:val="00561C72"/>
    <w:rsid w:val="00566A09"/>
    <w:rsid w:val="00571175"/>
    <w:rsid w:val="0058495D"/>
    <w:rsid w:val="00590619"/>
    <w:rsid w:val="0059439E"/>
    <w:rsid w:val="005B5290"/>
    <w:rsid w:val="005B529A"/>
    <w:rsid w:val="005C171E"/>
    <w:rsid w:val="005D0A9C"/>
    <w:rsid w:val="005D0F55"/>
    <w:rsid w:val="005D491C"/>
    <w:rsid w:val="005D64E5"/>
    <w:rsid w:val="005E4AFC"/>
    <w:rsid w:val="005E714E"/>
    <w:rsid w:val="005F1838"/>
    <w:rsid w:val="005F1DDC"/>
    <w:rsid w:val="005F2DB7"/>
    <w:rsid w:val="00602779"/>
    <w:rsid w:val="00603203"/>
    <w:rsid w:val="0060627A"/>
    <w:rsid w:val="0062130C"/>
    <w:rsid w:val="00622B27"/>
    <w:rsid w:val="00630CB9"/>
    <w:rsid w:val="00630FC0"/>
    <w:rsid w:val="00635436"/>
    <w:rsid w:val="006412E3"/>
    <w:rsid w:val="006415FC"/>
    <w:rsid w:val="00643629"/>
    <w:rsid w:val="00646764"/>
    <w:rsid w:val="0065485E"/>
    <w:rsid w:val="006616E6"/>
    <w:rsid w:val="006617E5"/>
    <w:rsid w:val="006674ED"/>
    <w:rsid w:val="00670808"/>
    <w:rsid w:val="00671715"/>
    <w:rsid w:val="00681B72"/>
    <w:rsid w:val="006859C5"/>
    <w:rsid w:val="00686D47"/>
    <w:rsid w:val="006934A5"/>
    <w:rsid w:val="006940CA"/>
    <w:rsid w:val="006941A5"/>
    <w:rsid w:val="00697C40"/>
    <w:rsid w:val="00697FC4"/>
    <w:rsid w:val="006A1B94"/>
    <w:rsid w:val="006A732D"/>
    <w:rsid w:val="006B31FE"/>
    <w:rsid w:val="006C11C2"/>
    <w:rsid w:val="006C42E5"/>
    <w:rsid w:val="006C4F4C"/>
    <w:rsid w:val="006C6B88"/>
    <w:rsid w:val="006D0364"/>
    <w:rsid w:val="006D131C"/>
    <w:rsid w:val="006D4E8D"/>
    <w:rsid w:val="006D7265"/>
    <w:rsid w:val="006D7C0A"/>
    <w:rsid w:val="006D7C30"/>
    <w:rsid w:val="006D7F1A"/>
    <w:rsid w:val="006E1DF2"/>
    <w:rsid w:val="006E4C02"/>
    <w:rsid w:val="006E4E9D"/>
    <w:rsid w:val="006F01F9"/>
    <w:rsid w:val="006F09C6"/>
    <w:rsid w:val="006F18F6"/>
    <w:rsid w:val="006F3FE0"/>
    <w:rsid w:val="006F5306"/>
    <w:rsid w:val="00701A04"/>
    <w:rsid w:val="00713149"/>
    <w:rsid w:val="00716866"/>
    <w:rsid w:val="007174F2"/>
    <w:rsid w:val="00717712"/>
    <w:rsid w:val="007177BC"/>
    <w:rsid w:val="00721996"/>
    <w:rsid w:val="00722E6F"/>
    <w:rsid w:val="0072473A"/>
    <w:rsid w:val="00733E68"/>
    <w:rsid w:val="007378FF"/>
    <w:rsid w:val="00747E3A"/>
    <w:rsid w:val="00751510"/>
    <w:rsid w:val="00751BAE"/>
    <w:rsid w:val="007532FB"/>
    <w:rsid w:val="00754472"/>
    <w:rsid w:val="00755B10"/>
    <w:rsid w:val="00757749"/>
    <w:rsid w:val="00760320"/>
    <w:rsid w:val="00760600"/>
    <w:rsid w:val="0077602A"/>
    <w:rsid w:val="00780661"/>
    <w:rsid w:val="00780C71"/>
    <w:rsid w:val="00786059"/>
    <w:rsid w:val="00793904"/>
    <w:rsid w:val="00794657"/>
    <w:rsid w:val="0079794C"/>
    <w:rsid w:val="007A0767"/>
    <w:rsid w:val="007A6891"/>
    <w:rsid w:val="007A7F52"/>
    <w:rsid w:val="007B2452"/>
    <w:rsid w:val="007B2FBD"/>
    <w:rsid w:val="007B3A75"/>
    <w:rsid w:val="007C7356"/>
    <w:rsid w:val="007D2BF5"/>
    <w:rsid w:val="007E17E0"/>
    <w:rsid w:val="007E27BD"/>
    <w:rsid w:val="007E30ED"/>
    <w:rsid w:val="007E4459"/>
    <w:rsid w:val="007E5455"/>
    <w:rsid w:val="007E6D64"/>
    <w:rsid w:val="007F079C"/>
    <w:rsid w:val="008134A8"/>
    <w:rsid w:val="008135B1"/>
    <w:rsid w:val="008137BD"/>
    <w:rsid w:val="00821A55"/>
    <w:rsid w:val="008220BD"/>
    <w:rsid w:val="00830E24"/>
    <w:rsid w:val="00832913"/>
    <w:rsid w:val="00835D93"/>
    <w:rsid w:val="008378FD"/>
    <w:rsid w:val="00841BB3"/>
    <w:rsid w:val="00845259"/>
    <w:rsid w:val="008460AC"/>
    <w:rsid w:val="008473DF"/>
    <w:rsid w:val="00851337"/>
    <w:rsid w:val="008525B0"/>
    <w:rsid w:val="0085321D"/>
    <w:rsid w:val="00864ACA"/>
    <w:rsid w:val="00870CD0"/>
    <w:rsid w:val="00873200"/>
    <w:rsid w:val="00873D07"/>
    <w:rsid w:val="00874B5F"/>
    <w:rsid w:val="00875317"/>
    <w:rsid w:val="00875D37"/>
    <w:rsid w:val="00883F4A"/>
    <w:rsid w:val="00892C13"/>
    <w:rsid w:val="00895452"/>
    <w:rsid w:val="00896F84"/>
    <w:rsid w:val="008972A7"/>
    <w:rsid w:val="008972FF"/>
    <w:rsid w:val="008A2A3E"/>
    <w:rsid w:val="008A4C2D"/>
    <w:rsid w:val="008A4FC7"/>
    <w:rsid w:val="008A5AF8"/>
    <w:rsid w:val="008A6FD0"/>
    <w:rsid w:val="008B153B"/>
    <w:rsid w:val="008B6D3C"/>
    <w:rsid w:val="008C09DD"/>
    <w:rsid w:val="008D1910"/>
    <w:rsid w:val="008D3CA4"/>
    <w:rsid w:val="008D51CF"/>
    <w:rsid w:val="008D5E8C"/>
    <w:rsid w:val="008E4E53"/>
    <w:rsid w:val="008E5541"/>
    <w:rsid w:val="008E6853"/>
    <w:rsid w:val="008E6EC1"/>
    <w:rsid w:val="008F0E37"/>
    <w:rsid w:val="008F3943"/>
    <w:rsid w:val="008F469F"/>
    <w:rsid w:val="008F6065"/>
    <w:rsid w:val="008F6B20"/>
    <w:rsid w:val="009006A9"/>
    <w:rsid w:val="0091744F"/>
    <w:rsid w:val="00917727"/>
    <w:rsid w:val="00921367"/>
    <w:rsid w:val="009330F5"/>
    <w:rsid w:val="00933D72"/>
    <w:rsid w:val="009341F2"/>
    <w:rsid w:val="009342B3"/>
    <w:rsid w:val="00936439"/>
    <w:rsid w:val="00941E4A"/>
    <w:rsid w:val="00946A17"/>
    <w:rsid w:val="0095049E"/>
    <w:rsid w:val="0095087E"/>
    <w:rsid w:val="00951E3D"/>
    <w:rsid w:val="00957563"/>
    <w:rsid w:val="00961798"/>
    <w:rsid w:val="00965848"/>
    <w:rsid w:val="00967AA6"/>
    <w:rsid w:val="00971B7A"/>
    <w:rsid w:val="00973221"/>
    <w:rsid w:val="00976DF6"/>
    <w:rsid w:val="00980470"/>
    <w:rsid w:val="0098053B"/>
    <w:rsid w:val="00982395"/>
    <w:rsid w:val="0098370B"/>
    <w:rsid w:val="009842FA"/>
    <w:rsid w:val="00990D0F"/>
    <w:rsid w:val="00990D4F"/>
    <w:rsid w:val="00993090"/>
    <w:rsid w:val="00996132"/>
    <w:rsid w:val="009B249B"/>
    <w:rsid w:val="009C4D6B"/>
    <w:rsid w:val="009C5034"/>
    <w:rsid w:val="009C6C06"/>
    <w:rsid w:val="009D0823"/>
    <w:rsid w:val="009D0A43"/>
    <w:rsid w:val="009D2BFC"/>
    <w:rsid w:val="009D3D95"/>
    <w:rsid w:val="009D60E6"/>
    <w:rsid w:val="009E3B47"/>
    <w:rsid w:val="009E5700"/>
    <w:rsid w:val="009F3826"/>
    <w:rsid w:val="009F3BE2"/>
    <w:rsid w:val="009F75A5"/>
    <w:rsid w:val="00A00D9E"/>
    <w:rsid w:val="00A00EB0"/>
    <w:rsid w:val="00A07C03"/>
    <w:rsid w:val="00A11C20"/>
    <w:rsid w:val="00A16AC2"/>
    <w:rsid w:val="00A217B9"/>
    <w:rsid w:val="00A230E1"/>
    <w:rsid w:val="00A246EE"/>
    <w:rsid w:val="00A31871"/>
    <w:rsid w:val="00A31D1C"/>
    <w:rsid w:val="00A31E1A"/>
    <w:rsid w:val="00A3298A"/>
    <w:rsid w:val="00A32EE4"/>
    <w:rsid w:val="00A371A3"/>
    <w:rsid w:val="00A379F1"/>
    <w:rsid w:val="00A37BF3"/>
    <w:rsid w:val="00A4109F"/>
    <w:rsid w:val="00A419BF"/>
    <w:rsid w:val="00A430A7"/>
    <w:rsid w:val="00A50288"/>
    <w:rsid w:val="00A5340A"/>
    <w:rsid w:val="00A53DDC"/>
    <w:rsid w:val="00A5463C"/>
    <w:rsid w:val="00A65F2B"/>
    <w:rsid w:val="00A670BD"/>
    <w:rsid w:val="00A72C44"/>
    <w:rsid w:val="00A74FD2"/>
    <w:rsid w:val="00A803BF"/>
    <w:rsid w:val="00A827CC"/>
    <w:rsid w:val="00A834D5"/>
    <w:rsid w:val="00A84270"/>
    <w:rsid w:val="00A910CD"/>
    <w:rsid w:val="00A921D4"/>
    <w:rsid w:val="00A93488"/>
    <w:rsid w:val="00A94CBA"/>
    <w:rsid w:val="00A95D9D"/>
    <w:rsid w:val="00A962F9"/>
    <w:rsid w:val="00AA11F7"/>
    <w:rsid w:val="00AB030C"/>
    <w:rsid w:val="00AC79EB"/>
    <w:rsid w:val="00AD5228"/>
    <w:rsid w:val="00AE1B50"/>
    <w:rsid w:val="00AE39E3"/>
    <w:rsid w:val="00AE6273"/>
    <w:rsid w:val="00AE64AA"/>
    <w:rsid w:val="00AF0B77"/>
    <w:rsid w:val="00AF32DF"/>
    <w:rsid w:val="00AF3491"/>
    <w:rsid w:val="00AF5956"/>
    <w:rsid w:val="00B02586"/>
    <w:rsid w:val="00B04059"/>
    <w:rsid w:val="00B046AA"/>
    <w:rsid w:val="00B06DAA"/>
    <w:rsid w:val="00B10378"/>
    <w:rsid w:val="00B11FBD"/>
    <w:rsid w:val="00B124D5"/>
    <w:rsid w:val="00B135E4"/>
    <w:rsid w:val="00B15CB5"/>
    <w:rsid w:val="00B255AB"/>
    <w:rsid w:val="00B257C3"/>
    <w:rsid w:val="00B35BE8"/>
    <w:rsid w:val="00B3766E"/>
    <w:rsid w:val="00B4099A"/>
    <w:rsid w:val="00B40C4A"/>
    <w:rsid w:val="00B41CDD"/>
    <w:rsid w:val="00B426EC"/>
    <w:rsid w:val="00B43631"/>
    <w:rsid w:val="00B52087"/>
    <w:rsid w:val="00B55BAA"/>
    <w:rsid w:val="00B564B0"/>
    <w:rsid w:val="00B6367B"/>
    <w:rsid w:val="00B66FE4"/>
    <w:rsid w:val="00B728C3"/>
    <w:rsid w:val="00B72C5C"/>
    <w:rsid w:val="00B8010A"/>
    <w:rsid w:val="00B80555"/>
    <w:rsid w:val="00B9017B"/>
    <w:rsid w:val="00B907CF"/>
    <w:rsid w:val="00B96805"/>
    <w:rsid w:val="00B97393"/>
    <w:rsid w:val="00B97870"/>
    <w:rsid w:val="00BA4664"/>
    <w:rsid w:val="00BA622C"/>
    <w:rsid w:val="00BB135F"/>
    <w:rsid w:val="00BB51A7"/>
    <w:rsid w:val="00BB5F09"/>
    <w:rsid w:val="00BC172E"/>
    <w:rsid w:val="00BD0AC7"/>
    <w:rsid w:val="00BD2632"/>
    <w:rsid w:val="00BD5889"/>
    <w:rsid w:val="00BD62BE"/>
    <w:rsid w:val="00BE1241"/>
    <w:rsid w:val="00BE73BD"/>
    <w:rsid w:val="00BF1693"/>
    <w:rsid w:val="00BF3438"/>
    <w:rsid w:val="00BF39F0"/>
    <w:rsid w:val="00BF4181"/>
    <w:rsid w:val="00C018F6"/>
    <w:rsid w:val="00C033CA"/>
    <w:rsid w:val="00C06DC9"/>
    <w:rsid w:val="00C074EE"/>
    <w:rsid w:val="00C07742"/>
    <w:rsid w:val="00C10CBF"/>
    <w:rsid w:val="00C11A56"/>
    <w:rsid w:val="00C22F0D"/>
    <w:rsid w:val="00C23D9E"/>
    <w:rsid w:val="00C24AB4"/>
    <w:rsid w:val="00C259A4"/>
    <w:rsid w:val="00C272CF"/>
    <w:rsid w:val="00C35AEE"/>
    <w:rsid w:val="00C45926"/>
    <w:rsid w:val="00C45A5B"/>
    <w:rsid w:val="00C45F8E"/>
    <w:rsid w:val="00C46B1B"/>
    <w:rsid w:val="00C5197A"/>
    <w:rsid w:val="00C53D2D"/>
    <w:rsid w:val="00C5651C"/>
    <w:rsid w:val="00C61223"/>
    <w:rsid w:val="00C621C9"/>
    <w:rsid w:val="00C6389C"/>
    <w:rsid w:val="00C63C6C"/>
    <w:rsid w:val="00C64C9A"/>
    <w:rsid w:val="00C7107B"/>
    <w:rsid w:val="00C7348A"/>
    <w:rsid w:val="00C758F6"/>
    <w:rsid w:val="00C7691B"/>
    <w:rsid w:val="00C77766"/>
    <w:rsid w:val="00C777F3"/>
    <w:rsid w:val="00C80FAE"/>
    <w:rsid w:val="00C8168A"/>
    <w:rsid w:val="00C818D2"/>
    <w:rsid w:val="00C8619F"/>
    <w:rsid w:val="00C95325"/>
    <w:rsid w:val="00CA2F4C"/>
    <w:rsid w:val="00CB4D94"/>
    <w:rsid w:val="00CC4E49"/>
    <w:rsid w:val="00CC7E62"/>
    <w:rsid w:val="00CD12E8"/>
    <w:rsid w:val="00CD15AD"/>
    <w:rsid w:val="00CD2586"/>
    <w:rsid w:val="00CD7F1D"/>
    <w:rsid w:val="00CE61C0"/>
    <w:rsid w:val="00CE689A"/>
    <w:rsid w:val="00CF50A5"/>
    <w:rsid w:val="00CF61BE"/>
    <w:rsid w:val="00D00778"/>
    <w:rsid w:val="00D05231"/>
    <w:rsid w:val="00D06212"/>
    <w:rsid w:val="00D072E0"/>
    <w:rsid w:val="00D12707"/>
    <w:rsid w:val="00D13A5B"/>
    <w:rsid w:val="00D15698"/>
    <w:rsid w:val="00D1797B"/>
    <w:rsid w:val="00D21026"/>
    <w:rsid w:val="00D27DC5"/>
    <w:rsid w:val="00D310A4"/>
    <w:rsid w:val="00D32C7C"/>
    <w:rsid w:val="00D347D9"/>
    <w:rsid w:val="00D3597E"/>
    <w:rsid w:val="00D42A62"/>
    <w:rsid w:val="00D45057"/>
    <w:rsid w:val="00D52857"/>
    <w:rsid w:val="00D5783F"/>
    <w:rsid w:val="00D634F7"/>
    <w:rsid w:val="00D66F87"/>
    <w:rsid w:val="00D67197"/>
    <w:rsid w:val="00D762EF"/>
    <w:rsid w:val="00D82890"/>
    <w:rsid w:val="00D82F77"/>
    <w:rsid w:val="00D84218"/>
    <w:rsid w:val="00D85EDD"/>
    <w:rsid w:val="00D87C39"/>
    <w:rsid w:val="00D908EC"/>
    <w:rsid w:val="00D92262"/>
    <w:rsid w:val="00D92B32"/>
    <w:rsid w:val="00D963BA"/>
    <w:rsid w:val="00D975DF"/>
    <w:rsid w:val="00DA1701"/>
    <w:rsid w:val="00DB3394"/>
    <w:rsid w:val="00DB4BA0"/>
    <w:rsid w:val="00DB788B"/>
    <w:rsid w:val="00DC327C"/>
    <w:rsid w:val="00DC45E4"/>
    <w:rsid w:val="00DC47CF"/>
    <w:rsid w:val="00DC569C"/>
    <w:rsid w:val="00DC683F"/>
    <w:rsid w:val="00DC7AD5"/>
    <w:rsid w:val="00DE30F1"/>
    <w:rsid w:val="00DF2E8A"/>
    <w:rsid w:val="00DF5B74"/>
    <w:rsid w:val="00DF7FA6"/>
    <w:rsid w:val="00E0270F"/>
    <w:rsid w:val="00E05B52"/>
    <w:rsid w:val="00E11025"/>
    <w:rsid w:val="00E136C4"/>
    <w:rsid w:val="00E33A68"/>
    <w:rsid w:val="00E3452D"/>
    <w:rsid w:val="00E3501E"/>
    <w:rsid w:val="00E3636E"/>
    <w:rsid w:val="00E372AF"/>
    <w:rsid w:val="00E40AED"/>
    <w:rsid w:val="00E40C97"/>
    <w:rsid w:val="00E417D6"/>
    <w:rsid w:val="00E42713"/>
    <w:rsid w:val="00E4410B"/>
    <w:rsid w:val="00E463ED"/>
    <w:rsid w:val="00E53A1E"/>
    <w:rsid w:val="00E57917"/>
    <w:rsid w:val="00E636D2"/>
    <w:rsid w:val="00E63EEF"/>
    <w:rsid w:val="00E664E9"/>
    <w:rsid w:val="00E67EDC"/>
    <w:rsid w:val="00E70663"/>
    <w:rsid w:val="00E70D4A"/>
    <w:rsid w:val="00E74713"/>
    <w:rsid w:val="00E80133"/>
    <w:rsid w:val="00E8272D"/>
    <w:rsid w:val="00E87AAA"/>
    <w:rsid w:val="00E95BB9"/>
    <w:rsid w:val="00EA005C"/>
    <w:rsid w:val="00EB0CD1"/>
    <w:rsid w:val="00EB13F7"/>
    <w:rsid w:val="00EB3772"/>
    <w:rsid w:val="00EB38FA"/>
    <w:rsid w:val="00EB4B3F"/>
    <w:rsid w:val="00EC0DCD"/>
    <w:rsid w:val="00ED0479"/>
    <w:rsid w:val="00ED0DD5"/>
    <w:rsid w:val="00ED198E"/>
    <w:rsid w:val="00ED2503"/>
    <w:rsid w:val="00ED2DAA"/>
    <w:rsid w:val="00ED3CAA"/>
    <w:rsid w:val="00ED4AED"/>
    <w:rsid w:val="00ED6045"/>
    <w:rsid w:val="00ED7942"/>
    <w:rsid w:val="00EE07DE"/>
    <w:rsid w:val="00EE0FDE"/>
    <w:rsid w:val="00EE3414"/>
    <w:rsid w:val="00EE37D7"/>
    <w:rsid w:val="00EE383D"/>
    <w:rsid w:val="00EE6F37"/>
    <w:rsid w:val="00EE7AF3"/>
    <w:rsid w:val="00F00F97"/>
    <w:rsid w:val="00F05E89"/>
    <w:rsid w:val="00F10F80"/>
    <w:rsid w:val="00F20506"/>
    <w:rsid w:val="00F232E1"/>
    <w:rsid w:val="00F24CD1"/>
    <w:rsid w:val="00F26244"/>
    <w:rsid w:val="00F269CC"/>
    <w:rsid w:val="00F26A42"/>
    <w:rsid w:val="00F27FDA"/>
    <w:rsid w:val="00F32F10"/>
    <w:rsid w:val="00F35752"/>
    <w:rsid w:val="00F36948"/>
    <w:rsid w:val="00F37D77"/>
    <w:rsid w:val="00F43D60"/>
    <w:rsid w:val="00F44417"/>
    <w:rsid w:val="00F44A16"/>
    <w:rsid w:val="00F510E2"/>
    <w:rsid w:val="00F54049"/>
    <w:rsid w:val="00F548A5"/>
    <w:rsid w:val="00F55193"/>
    <w:rsid w:val="00F56D57"/>
    <w:rsid w:val="00F619BB"/>
    <w:rsid w:val="00F6317F"/>
    <w:rsid w:val="00F6398C"/>
    <w:rsid w:val="00F67881"/>
    <w:rsid w:val="00F73D12"/>
    <w:rsid w:val="00F745CF"/>
    <w:rsid w:val="00F8026A"/>
    <w:rsid w:val="00F824D8"/>
    <w:rsid w:val="00F82D70"/>
    <w:rsid w:val="00F83B5C"/>
    <w:rsid w:val="00F85D30"/>
    <w:rsid w:val="00F86309"/>
    <w:rsid w:val="00F933B0"/>
    <w:rsid w:val="00FA63D4"/>
    <w:rsid w:val="00FC2136"/>
    <w:rsid w:val="00FC3155"/>
    <w:rsid w:val="00FC4FF2"/>
    <w:rsid w:val="00FC5766"/>
    <w:rsid w:val="00FD03D7"/>
    <w:rsid w:val="00FD3092"/>
    <w:rsid w:val="00FD57AB"/>
    <w:rsid w:val="00FE7705"/>
    <w:rsid w:val="00FF0150"/>
    <w:rsid w:val="00FF297E"/>
    <w:rsid w:val="00FF42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7AFE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caption" w:uiPriority="35" w:qFormat="1"/>
    <w:lsdException w:name="table of figures" w:uiPriority="99"/>
    <w:lsdException w:name="footnote reference" w:uiPriority="99" w:qFormat="1"/>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908EC"/>
    <w:rPr>
      <w:rFonts w:ascii="Palatino Linotype" w:hAnsi="Palatino Linotype"/>
      <w:szCs w:val="24"/>
    </w:rPr>
  </w:style>
  <w:style w:type="paragraph" w:styleId="Heading1">
    <w:name w:val="heading 1"/>
    <w:basedOn w:val="Normal"/>
    <w:next w:val="Normal"/>
    <w:link w:val="Heading1Char"/>
    <w:autoRedefine/>
    <w:qFormat/>
    <w:rsid w:val="00013969"/>
    <w:pPr>
      <w:keepNext/>
      <w:keepLines/>
      <w:pageBreakBefore/>
      <w:numPr>
        <w:numId w:val="1"/>
      </w:numPr>
      <w:pBdr>
        <w:left w:val="single" w:sz="4" w:space="0" w:color="A15F00"/>
      </w:pBdr>
      <w:shd w:val="clear" w:color="auto" w:fill="A15F00"/>
      <w:spacing w:before="360" w:after="360"/>
      <w:outlineLvl w:val="0"/>
    </w:pPr>
    <w:rPr>
      <w:rFonts w:cs="Arial"/>
      <w:b/>
      <w:bCs/>
      <w:color w:val="FFFFFF"/>
      <w:kern w:val="28"/>
      <w:position w:val="6"/>
      <w:sz w:val="24"/>
    </w:rPr>
  </w:style>
  <w:style w:type="paragraph" w:styleId="Heading2">
    <w:name w:val="heading 2"/>
    <w:basedOn w:val="Normal"/>
    <w:next w:val="Normal"/>
    <w:link w:val="Heading2Char"/>
    <w:qFormat/>
    <w:rsid w:val="00D908EC"/>
    <w:pPr>
      <w:keepNext/>
      <w:numPr>
        <w:ilvl w:val="1"/>
        <w:numId w:val="9"/>
      </w:numPr>
      <w:spacing w:before="240" w:after="120"/>
      <w:outlineLvl w:val="1"/>
    </w:pPr>
    <w:rPr>
      <w:rFonts w:cs="Arial"/>
      <w:b/>
      <w:bCs/>
      <w:i/>
      <w:iCs/>
      <w:sz w:val="24"/>
      <w:szCs w:val="28"/>
    </w:rPr>
  </w:style>
  <w:style w:type="paragraph" w:styleId="Heading3">
    <w:name w:val="heading 3"/>
    <w:basedOn w:val="Normal"/>
    <w:next w:val="Normal"/>
    <w:link w:val="Heading3Char"/>
    <w:autoRedefine/>
    <w:qFormat/>
    <w:rsid w:val="00441D99"/>
    <w:pPr>
      <w:keepNext/>
      <w:numPr>
        <w:ilvl w:val="2"/>
        <w:numId w:val="9"/>
      </w:numPr>
      <w:spacing w:before="240" w:after="120"/>
      <w:outlineLvl w:val="2"/>
    </w:pPr>
    <w:rPr>
      <w:rFonts w:cs="Arial"/>
      <w:b/>
      <w:bCs/>
      <w:szCs w:val="26"/>
    </w:rPr>
  </w:style>
  <w:style w:type="paragraph" w:styleId="Heading4">
    <w:name w:val="heading 4"/>
    <w:basedOn w:val="Normal"/>
    <w:next w:val="Normal"/>
    <w:link w:val="Heading4Char"/>
    <w:autoRedefine/>
    <w:unhideWhenUsed/>
    <w:qFormat/>
    <w:rsid w:val="00D908EC"/>
    <w:pPr>
      <w:keepNext/>
      <w:keepLines/>
      <w:numPr>
        <w:ilvl w:val="3"/>
        <w:numId w:val="9"/>
      </w:numPr>
      <w:spacing w:before="240" w:after="240"/>
      <w:outlineLvl w:val="3"/>
    </w:pPr>
    <w:rPr>
      <w:rFonts w:eastAsiaTheme="majorEastAsia" w:cstheme="majorBidi"/>
      <w:b/>
      <w:bCs/>
      <w:i/>
      <w:iCs/>
      <w:kern w:val="28"/>
      <w:szCs w:val="20"/>
    </w:rPr>
  </w:style>
  <w:style w:type="paragraph" w:styleId="Heading5">
    <w:name w:val="heading 5"/>
    <w:aliases w:val="Append Level 1"/>
    <w:basedOn w:val="Normal"/>
    <w:next w:val="Normal"/>
    <w:link w:val="Heading5Char"/>
    <w:unhideWhenUsed/>
    <w:qFormat/>
    <w:rsid w:val="00D908EC"/>
    <w:pPr>
      <w:keepNext/>
      <w:keepLines/>
      <w:numPr>
        <w:ilvl w:val="4"/>
        <w:numId w:val="9"/>
      </w:numPr>
      <w:pBdr>
        <w:left w:val="single" w:sz="4" w:space="0" w:color="A15F00"/>
      </w:pBdr>
      <w:shd w:val="clear" w:color="auto" w:fill="850C70" w:themeFill="accent6"/>
      <w:spacing w:before="360" w:after="360"/>
      <w:outlineLvl w:val="4"/>
    </w:pPr>
    <w:rPr>
      <w:rFonts w:eastAsiaTheme="majorEastAsia" w:cstheme="majorBidi"/>
      <w:b/>
      <w:color w:val="FFFFFF" w:themeColor="background1"/>
      <w:kern w:val="28"/>
      <w:position w:val="6"/>
      <w:sz w:val="24"/>
    </w:rPr>
  </w:style>
  <w:style w:type="paragraph" w:styleId="Heading6">
    <w:name w:val="heading 6"/>
    <w:aliases w:val="Append Level 2"/>
    <w:next w:val="Normal"/>
    <w:link w:val="Heading6Char"/>
    <w:unhideWhenUsed/>
    <w:qFormat/>
    <w:rsid w:val="00D908EC"/>
    <w:pPr>
      <w:keepNext/>
      <w:keepLines/>
      <w:numPr>
        <w:ilvl w:val="5"/>
        <w:numId w:val="9"/>
      </w:numPr>
      <w:spacing w:before="240" w:after="240"/>
      <w:outlineLvl w:val="5"/>
    </w:pPr>
    <w:rPr>
      <w:rFonts w:ascii="Palatino Linotype" w:eastAsiaTheme="majorEastAsia" w:hAnsi="Palatino Linotype" w:cstheme="majorBidi"/>
      <w:b/>
      <w:i/>
      <w:iCs/>
      <w:kern w:val="28"/>
      <w:position w:val="6"/>
      <w:sz w:val="24"/>
      <w:szCs w:val="24"/>
    </w:rPr>
  </w:style>
  <w:style w:type="paragraph" w:styleId="Heading7">
    <w:name w:val="heading 7"/>
    <w:aliases w:val="Exec Sum Level 1"/>
    <w:next w:val="Normal"/>
    <w:link w:val="Heading7Char"/>
    <w:unhideWhenUsed/>
    <w:qFormat/>
    <w:rsid w:val="00D908EC"/>
    <w:pPr>
      <w:keepNext/>
      <w:keepLines/>
      <w:pageBreakBefore/>
      <w:numPr>
        <w:ilvl w:val="6"/>
        <w:numId w:val="9"/>
      </w:numPr>
      <w:pBdr>
        <w:left w:val="single" w:sz="4" w:space="0" w:color="A15F00"/>
      </w:pBdr>
      <w:shd w:val="clear" w:color="auto" w:fill="A15F00"/>
      <w:spacing w:before="360" w:after="360"/>
      <w:outlineLvl w:val="6"/>
    </w:pPr>
    <w:rPr>
      <w:rFonts w:ascii="Palatino Linotype" w:eastAsiaTheme="majorEastAsia" w:hAnsi="Palatino Linotype" w:cstheme="majorBidi"/>
      <w:b/>
      <w:bCs/>
      <w:iCs/>
      <w:color w:val="FFFFFF" w:themeColor="background1"/>
      <w:kern w:val="28"/>
      <w:position w:val="6"/>
      <w:sz w:val="24"/>
      <w:szCs w:val="28"/>
    </w:rPr>
  </w:style>
  <w:style w:type="paragraph" w:styleId="Heading8">
    <w:name w:val="heading 8"/>
    <w:aliases w:val="Exec Sum Level 2"/>
    <w:basedOn w:val="Normal"/>
    <w:next w:val="Normal"/>
    <w:link w:val="Heading8Char"/>
    <w:unhideWhenUsed/>
    <w:qFormat/>
    <w:rsid w:val="00D908EC"/>
    <w:pPr>
      <w:keepNext/>
      <w:keepLines/>
      <w:numPr>
        <w:ilvl w:val="7"/>
        <w:numId w:val="9"/>
      </w:numPr>
      <w:spacing w:before="240" w:after="120"/>
      <w:outlineLvl w:val="7"/>
    </w:pPr>
    <w:rPr>
      <w:rFonts w:eastAsiaTheme="majorEastAsia" w:cstheme="majorBidi"/>
      <w:b/>
      <w:i/>
      <w:sz w:val="24"/>
      <w:szCs w:val="20"/>
    </w:rPr>
  </w:style>
  <w:style w:type="paragraph" w:styleId="Heading9">
    <w:name w:val="heading 9"/>
    <w:aliases w:val="Exec Sum Level 3"/>
    <w:basedOn w:val="Normal"/>
    <w:next w:val="Normal"/>
    <w:link w:val="Heading9Char"/>
    <w:unhideWhenUsed/>
    <w:qFormat/>
    <w:rsid w:val="00D908EC"/>
    <w:pPr>
      <w:keepNext/>
      <w:keepLines/>
      <w:numPr>
        <w:ilvl w:val="8"/>
        <w:numId w:val="9"/>
      </w:numPr>
      <w:spacing w:before="240" w:after="240"/>
      <w:outlineLvl w:val="8"/>
    </w:pPr>
    <w:rPr>
      <w:rFonts w:eastAsiaTheme="majorEastAsia" w:cstheme="majorBidi"/>
      <w:b/>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Classic2">
    <w:name w:val="Table Classic 2"/>
    <w:basedOn w:val="TableNormal"/>
    <w:rsid w:val="00D908EC"/>
    <w:pPr>
      <w:tabs>
        <w:tab w:val="left" w:pos="360"/>
        <w:tab w:val="left" w:pos="720"/>
        <w:tab w:val="left" w:pos="1080"/>
        <w:tab w:val="left" w:pos="1440"/>
      </w:tabs>
    </w:pPr>
    <w:rPr>
      <w:rFonts w:ascii="Arial" w:hAnsi="Arial"/>
      <w:sz w:val="18"/>
      <w:szCs w:val="18"/>
    </w:rPr>
    <w:tblPr>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15" w:type="dxa"/>
        <w:bottom w:w="0" w:type="dxa"/>
        <w:right w:w="115" w:type="dxa"/>
      </w:tblCellMar>
    </w:tblPr>
    <w:trPr>
      <w:jc w:val="center"/>
    </w:trPr>
    <w:tcPr>
      <w:shd w:val="clear" w:color="auto" w:fill="auto"/>
    </w:tcPr>
    <w:tblStylePr w:type="firstRow">
      <w:rPr>
        <w:rFonts w:ascii="Arial" w:hAnsi="Arial"/>
        <w:b/>
        <w:i w:val="0"/>
        <w:color w:val="auto"/>
        <w:sz w:val="18"/>
        <w:szCs w:val="18"/>
      </w:rPr>
      <w:tblPr/>
      <w:tcPr>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l2br w:val="nil"/>
          <w:tr2bl w:val="nil"/>
        </w:tcBorders>
        <w:shd w:val="clear" w:color="auto" w:fill="CCCCFF"/>
      </w:tcPr>
    </w:tblStylePr>
    <w:tblStylePr w:type="lastRow">
      <w:rPr>
        <w:rFonts w:ascii="Arial" w:hAnsi="Arial"/>
        <w:color w:val="auto"/>
        <w:sz w:val="18"/>
      </w:rPr>
      <w:tblPr/>
      <w:tcPr>
        <w:tcBorders>
          <w:top w:val="single" w:sz="6" w:space="0" w:color="000000"/>
          <w:tl2br w:val="none" w:sz="0" w:space="0" w:color="auto"/>
          <w:tr2bl w:val="none" w:sz="0" w:space="0" w:color="auto"/>
        </w:tcBorders>
      </w:tcPr>
    </w:tblStylePr>
    <w:tblStylePr w:type="firstCol">
      <w:rPr>
        <w:rFonts w:ascii="Arial" w:hAnsi="Arial"/>
        <w:b/>
        <w:bCs/>
        <w:sz w:val="18"/>
      </w:rPr>
      <w:tblPr/>
      <w:tcPr>
        <w:shd w:val="clear" w:color="auto" w:fill="FFFF99"/>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numbering" w:customStyle="1" w:styleId="StyleBulleted6">
    <w:name w:val="Style Bulleted6"/>
    <w:rsid w:val="00D908EC"/>
    <w:pPr>
      <w:numPr>
        <w:numId w:val="5"/>
      </w:numPr>
    </w:pPr>
  </w:style>
  <w:style w:type="numbering" w:customStyle="1" w:styleId="StyleBulleted9">
    <w:name w:val="Style Bulleted9"/>
    <w:basedOn w:val="NoList"/>
    <w:rsid w:val="00D908EC"/>
    <w:pPr>
      <w:numPr>
        <w:numId w:val="6"/>
      </w:numPr>
    </w:pPr>
  </w:style>
  <w:style w:type="paragraph" w:styleId="Header">
    <w:name w:val="header"/>
    <w:aliases w:val="h,Header/Footer,header odd,Hyphen"/>
    <w:basedOn w:val="Normal"/>
    <w:link w:val="HeaderChar"/>
    <w:rsid w:val="00D908EC"/>
    <w:pPr>
      <w:tabs>
        <w:tab w:val="center" w:pos="4320"/>
        <w:tab w:val="right" w:pos="8640"/>
      </w:tabs>
    </w:pPr>
  </w:style>
  <w:style w:type="paragraph" w:styleId="Footer">
    <w:name w:val="footer"/>
    <w:basedOn w:val="Normal"/>
    <w:link w:val="FooterChar"/>
    <w:rsid w:val="00D908EC"/>
    <w:pPr>
      <w:tabs>
        <w:tab w:val="center" w:pos="4320"/>
        <w:tab w:val="right" w:pos="8640"/>
      </w:tabs>
    </w:pPr>
    <w:rPr>
      <w:rFonts w:ascii="Arial Narrow" w:hAnsi="Arial Narrow"/>
      <w:color w:val="6F6754"/>
      <w:sz w:val="18"/>
    </w:rPr>
  </w:style>
  <w:style w:type="paragraph" w:styleId="Title">
    <w:name w:val="Title"/>
    <w:basedOn w:val="Normal"/>
    <w:link w:val="TitleChar"/>
    <w:qFormat/>
    <w:rsid w:val="00D908EC"/>
    <w:pPr>
      <w:tabs>
        <w:tab w:val="left" w:pos="360"/>
        <w:tab w:val="left" w:pos="720"/>
        <w:tab w:val="left" w:pos="1080"/>
        <w:tab w:val="left" w:pos="1440"/>
      </w:tabs>
    </w:pPr>
    <w:rPr>
      <w:b/>
      <w:bCs/>
      <w:color w:val="6F6754"/>
      <w:sz w:val="36"/>
    </w:rPr>
  </w:style>
  <w:style w:type="paragraph" w:styleId="Subtitle">
    <w:name w:val="Subtitle"/>
    <w:basedOn w:val="Normal"/>
    <w:link w:val="SubtitleChar"/>
    <w:qFormat/>
    <w:rsid w:val="00D908EC"/>
    <w:pPr>
      <w:tabs>
        <w:tab w:val="left" w:pos="360"/>
        <w:tab w:val="left" w:pos="720"/>
        <w:tab w:val="left" w:pos="1080"/>
        <w:tab w:val="left" w:pos="1440"/>
      </w:tabs>
    </w:pPr>
    <w:rPr>
      <w:b/>
      <w:bCs/>
      <w:color w:val="6F6754"/>
      <w:sz w:val="24"/>
    </w:rPr>
  </w:style>
  <w:style w:type="character" w:customStyle="1" w:styleId="CoverText">
    <w:name w:val="Cover Text"/>
    <w:basedOn w:val="DefaultParagraphFont"/>
    <w:uiPriority w:val="99"/>
    <w:rsid w:val="00D908EC"/>
    <w:rPr>
      <w:color w:val="6F6754"/>
    </w:rPr>
  </w:style>
  <w:style w:type="paragraph" w:styleId="TOC1">
    <w:name w:val="toc 1"/>
    <w:basedOn w:val="Normal"/>
    <w:next w:val="Normal"/>
    <w:autoRedefine/>
    <w:uiPriority w:val="39"/>
    <w:rsid w:val="00D908EC"/>
    <w:pPr>
      <w:tabs>
        <w:tab w:val="left" w:pos="540"/>
        <w:tab w:val="left" w:pos="1620"/>
        <w:tab w:val="right" w:leader="dot" w:pos="9270"/>
      </w:tabs>
      <w:spacing w:before="120" w:line="360" w:lineRule="auto"/>
      <w:ind w:left="540" w:hanging="540"/>
    </w:pPr>
    <w:rPr>
      <w:b/>
      <w:noProof/>
      <w:snapToGrid w:val="0"/>
      <w:sz w:val="24"/>
    </w:rPr>
  </w:style>
  <w:style w:type="paragraph" w:styleId="TOC2">
    <w:name w:val="toc 2"/>
    <w:basedOn w:val="Normal"/>
    <w:next w:val="Normal"/>
    <w:autoRedefine/>
    <w:uiPriority w:val="39"/>
    <w:rsid w:val="00D908EC"/>
    <w:pPr>
      <w:tabs>
        <w:tab w:val="left" w:pos="1080"/>
        <w:tab w:val="right" w:leader="dot" w:pos="9278"/>
      </w:tabs>
      <w:ind w:left="1080" w:hanging="540"/>
    </w:pPr>
    <w:rPr>
      <w:noProof/>
    </w:rPr>
  </w:style>
  <w:style w:type="paragraph" w:styleId="TOC3">
    <w:name w:val="toc 3"/>
    <w:basedOn w:val="Normal"/>
    <w:next w:val="Normal"/>
    <w:autoRedefine/>
    <w:uiPriority w:val="39"/>
    <w:rsid w:val="00D908EC"/>
    <w:pPr>
      <w:tabs>
        <w:tab w:val="left" w:pos="1800"/>
        <w:tab w:val="right" w:leader="dot" w:pos="9278"/>
      </w:tabs>
      <w:ind w:left="1800" w:hanging="720"/>
    </w:pPr>
    <w:rPr>
      <w:rFonts w:eastAsiaTheme="minorEastAsia" w:cstheme="minorBidi"/>
      <w:noProof/>
      <w:szCs w:val="20"/>
    </w:rPr>
  </w:style>
  <w:style w:type="character" w:styleId="Hyperlink">
    <w:name w:val="Hyperlink"/>
    <w:basedOn w:val="DefaultParagraphFont"/>
    <w:uiPriority w:val="99"/>
    <w:rsid w:val="00D908EC"/>
    <w:rPr>
      <w:rFonts w:ascii="Palatino Linotype" w:hAnsi="Palatino Linotype"/>
      <w:color w:val="0000FF"/>
      <w:sz w:val="20"/>
      <w:u w:val="single"/>
    </w:rPr>
  </w:style>
  <w:style w:type="paragraph" w:styleId="TOCHeading">
    <w:name w:val="TOC Heading"/>
    <w:next w:val="Normal"/>
    <w:link w:val="TOCHeadingChar"/>
    <w:uiPriority w:val="39"/>
    <w:qFormat/>
    <w:rsid w:val="00D908EC"/>
    <w:pPr>
      <w:keepNext/>
      <w:keepLines/>
      <w:pageBreakBefore/>
      <w:widowControl w:val="0"/>
      <w:shd w:val="clear" w:color="auto" w:fill="B55F00"/>
      <w:tabs>
        <w:tab w:val="left" w:pos="720"/>
        <w:tab w:val="left" w:pos="1267"/>
      </w:tabs>
      <w:spacing w:before="360" w:after="360"/>
      <w:ind w:left="720" w:hanging="720"/>
    </w:pPr>
    <w:rPr>
      <w:rFonts w:ascii="Palatino Linotype" w:hAnsi="Palatino Linotype"/>
      <w:b/>
      <w:color w:val="FFFFFF"/>
      <w:kern w:val="28"/>
      <w:position w:val="6"/>
      <w:sz w:val="24"/>
      <w:szCs w:val="24"/>
    </w:rPr>
  </w:style>
  <w:style w:type="numbering" w:customStyle="1" w:styleId="StyleNumberedLeft025Hanging025">
    <w:name w:val="Style Numbered Left:  0.25&quot; Hanging:  0.25&quot;"/>
    <w:basedOn w:val="NoList"/>
    <w:rsid w:val="00D908EC"/>
    <w:pPr>
      <w:numPr>
        <w:numId w:val="7"/>
      </w:numPr>
    </w:pPr>
  </w:style>
  <w:style w:type="paragraph" w:styleId="FootnoteText">
    <w:name w:val="footnote text"/>
    <w:aliases w:val="Footnote Text1 Char,Footnote Text Char Ch,Footnote Text Char Ch Char Char Char,Footnote Text Char Ch Char Char,Footnote Text1 Char Char Char,Footnote Text Char Ch Char,ft Char,ft,TBG Style,ALTS FOOTNOTE,Footnote Text 2,fn,Footnote text"/>
    <w:basedOn w:val="Normal"/>
    <w:link w:val="FootnoteTextChar"/>
    <w:uiPriority w:val="99"/>
    <w:rsid w:val="00D908EC"/>
    <w:rPr>
      <w:sz w:val="18"/>
      <w:szCs w:val="20"/>
    </w:rPr>
  </w:style>
  <w:style w:type="character" w:styleId="FootnoteReference">
    <w:name w:val="footnote reference"/>
    <w:aliases w:val="Footnote_Reference"/>
    <w:basedOn w:val="DefaultParagraphFont"/>
    <w:uiPriority w:val="99"/>
    <w:qFormat/>
    <w:rsid w:val="00D908EC"/>
    <w:rPr>
      <w:vertAlign w:val="superscript"/>
    </w:rPr>
  </w:style>
  <w:style w:type="paragraph" w:styleId="Caption">
    <w:name w:val="caption"/>
    <w:aliases w:val="Table Caption,Char,Caption Char1 Char"/>
    <w:basedOn w:val="Normal"/>
    <w:next w:val="Normal"/>
    <w:link w:val="CaptionChar"/>
    <w:autoRedefine/>
    <w:uiPriority w:val="35"/>
    <w:qFormat/>
    <w:rsid w:val="004301F4"/>
    <w:pPr>
      <w:keepNext/>
      <w:spacing w:after="80"/>
      <w:jc w:val="center"/>
    </w:pPr>
    <w:rPr>
      <w:b/>
      <w:bCs/>
      <w:color w:val="993300"/>
      <w:szCs w:val="20"/>
    </w:rPr>
  </w:style>
  <w:style w:type="numbering" w:customStyle="1" w:styleId="StyleBulletedLeft0Hanging03">
    <w:name w:val="Style Bulleted Left:  0&quot; Hanging:  0.3&quot;"/>
    <w:basedOn w:val="NoList"/>
    <w:rsid w:val="00D908EC"/>
    <w:pPr>
      <w:numPr>
        <w:numId w:val="4"/>
      </w:numPr>
    </w:pPr>
  </w:style>
  <w:style w:type="paragraph" w:customStyle="1" w:styleId="StyleCaptionWhite">
    <w:name w:val="Style Caption + White"/>
    <w:basedOn w:val="Caption"/>
    <w:rsid w:val="00D908EC"/>
    <w:pPr>
      <w:spacing w:before="120"/>
    </w:pPr>
    <w:rPr>
      <w:color w:val="FFFFFF"/>
    </w:rPr>
  </w:style>
  <w:style w:type="numbering" w:customStyle="1" w:styleId="StyleBulleted">
    <w:name w:val="Style Bulleted"/>
    <w:basedOn w:val="NoList"/>
    <w:rsid w:val="00D908EC"/>
    <w:pPr>
      <w:numPr>
        <w:numId w:val="3"/>
      </w:numPr>
    </w:pPr>
  </w:style>
  <w:style w:type="character" w:customStyle="1" w:styleId="Heading4Char">
    <w:name w:val="Heading 4 Char"/>
    <w:basedOn w:val="DefaultParagraphFont"/>
    <w:link w:val="Heading4"/>
    <w:rsid w:val="00D908EC"/>
    <w:rPr>
      <w:rFonts w:ascii="Palatino Linotype" w:eastAsiaTheme="majorEastAsia" w:hAnsi="Palatino Linotype" w:cstheme="majorBidi"/>
      <w:b/>
      <w:bCs/>
      <w:i/>
      <w:iCs/>
      <w:kern w:val="28"/>
    </w:rPr>
  </w:style>
  <w:style w:type="character" w:customStyle="1" w:styleId="Heading5Char">
    <w:name w:val="Heading 5 Char"/>
    <w:aliases w:val="Append Level 1 Char"/>
    <w:basedOn w:val="DefaultParagraphFont"/>
    <w:link w:val="Heading5"/>
    <w:rsid w:val="00D908EC"/>
    <w:rPr>
      <w:rFonts w:ascii="Palatino Linotype" w:eastAsiaTheme="majorEastAsia" w:hAnsi="Palatino Linotype" w:cstheme="majorBidi"/>
      <w:b/>
      <w:color w:val="FFFFFF" w:themeColor="background1"/>
      <w:kern w:val="28"/>
      <w:position w:val="6"/>
      <w:sz w:val="24"/>
      <w:szCs w:val="24"/>
      <w:shd w:val="clear" w:color="auto" w:fill="850C70" w:themeFill="accent6"/>
    </w:rPr>
  </w:style>
  <w:style w:type="character" w:customStyle="1" w:styleId="Heading6Char">
    <w:name w:val="Heading 6 Char"/>
    <w:aliases w:val="Append Level 2 Char"/>
    <w:basedOn w:val="DefaultParagraphFont"/>
    <w:link w:val="Heading6"/>
    <w:rsid w:val="00D908EC"/>
    <w:rPr>
      <w:rFonts w:ascii="Palatino Linotype" w:eastAsiaTheme="majorEastAsia" w:hAnsi="Palatino Linotype" w:cstheme="majorBidi"/>
      <w:b/>
      <w:i/>
      <w:iCs/>
      <w:kern w:val="28"/>
      <w:position w:val="6"/>
      <w:sz w:val="24"/>
      <w:szCs w:val="24"/>
    </w:rPr>
  </w:style>
  <w:style w:type="character" w:customStyle="1" w:styleId="Heading7Char">
    <w:name w:val="Heading 7 Char"/>
    <w:aliases w:val="Exec Sum Level 1 Char"/>
    <w:basedOn w:val="DefaultParagraphFont"/>
    <w:link w:val="Heading7"/>
    <w:rsid w:val="00D908EC"/>
    <w:rPr>
      <w:rFonts w:ascii="Palatino Linotype" w:eastAsiaTheme="majorEastAsia" w:hAnsi="Palatino Linotype" w:cstheme="majorBidi"/>
      <w:b/>
      <w:bCs/>
      <w:iCs/>
      <w:color w:val="FFFFFF" w:themeColor="background1"/>
      <w:kern w:val="28"/>
      <w:position w:val="6"/>
      <w:sz w:val="24"/>
      <w:szCs w:val="28"/>
      <w:shd w:val="clear" w:color="auto" w:fill="A15F00"/>
    </w:rPr>
  </w:style>
  <w:style w:type="character" w:customStyle="1" w:styleId="Heading8Char">
    <w:name w:val="Heading 8 Char"/>
    <w:aliases w:val="Exec Sum Level 2 Char"/>
    <w:basedOn w:val="DefaultParagraphFont"/>
    <w:link w:val="Heading8"/>
    <w:rsid w:val="00D908EC"/>
    <w:rPr>
      <w:rFonts w:ascii="Palatino Linotype" w:eastAsiaTheme="majorEastAsia" w:hAnsi="Palatino Linotype" w:cstheme="majorBidi"/>
      <w:b/>
      <w:i/>
      <w:sz w:val="24"/>
    </w:rPr>
  </w:style>
  <w:style w:type="character" w:customStyle="1" w:styleId="Heading9Char">
    <w:name w:val="Heading 9 Char"/>
    <w:aliases w:val="Exec Sum Level 3 Char"/>
    <w:basedOn w:val="DefaultParagraphFont"/>
    <w:link w:val="Heading9"/>
    <w:rsid w:val="00D908EC"/>
    <w:rPr>
      <w:rFonts w:ascii="Palatino Linotype" w:eastAsiaTheme="majorEastAsia" w:hAnsi="Palatino Linotype" w:cstheme="majorBidi"/>
      <w:b/>
      <w:iCs/>
    </w:rPr>
  </w:style>
  <w:style w:type="table" w:customStyle="1" w:styleId="EnergyTable">
    <w:name w:val="Energy Table"/>
    <w:basedOn w:val="TableNormal"/>
    <w:uiPriority w:val="99"/>
    <w:qFormat/>
    <w:rsid w:val="00D908EC"/>
    <w:rPr>
      <w:rFonts w:ascii="Arial Narrow" w:hAnsi="Arial Narrow"/>
    </w:rPr>
    <w:tblPr>
      <w:tblStyleRowBandSize w:val="1"/>
      <w:jc w:val="center"/>
      <w:tblInd w:w="0" w:type="dxa"/>
      <w:tblBorders>
        <w:top w:val="single" w:sz="8" w:space="0" w:color="DDD9C3"/>
        <w:bottom w:val="single" w:sz="8" w:space="0" w:color="92876D"/>
        <w:insideH w:val="single" w:sz="8" w:space="0" w:color="DDD9C3"/>
      </w:tblBorders>
      <w:tblCellMar>
        <w:top w:w="0" w:type="dxa"/>
        <w:left w:w="108" w:type="dxa"/>
        <w:bottom w:w="0" w:type="dxa"/>
        <w:right w:w="108" w:type="dxa"/>
      </w:tblCellMar>
    </w:tblPr>
    <w:trPr>
      <w:cantSplit/>
      <w:jc w:val="center"/>
    </w:trPr>
    <w:tblStylePr w:type="firstRow">
      <w:rPr>
        <w:rFonts w:ascii="Palatino Linotype" w:hAnsi="Palatino Linotype"/>
        <w:b/>
        <w:color w:val="FFFFFF" w:themeColor="background1"/>
      </w:rPr>
      <w:tblPr/>
      <w:tcPr>
        <w:tcBorders>
          <w:bottom w:val="single" w:sz="8" w:space="0" w:color="7D390C" w:themeColor="accent1" w:themeShade="BF"/>
        </w:tcBorders>
        <w:shd w:val="clear" w:color="auto" w:fill="92876D"/>
      </w:tcPr>
    </w:tblStylePr>
    <w:tblStylePr w:type="lastRow">
      <w:tblPr/>
      <w:tcPr>
        <w:tcBorders>
          <w:top w:val="double" w:sz="4" w:space="0" w:color="92876D"/>
        </w:tcBorders>
      </w:tcPr>
    </w:tblStylePr>
    <w:tblStylePr w:type="firstCol">
      <w:rPr>
        <w:rFonts w:ascii="Palatino Linotype" w:hAnsi="Palatino Linotype"/>
        <w:b w:val="0"/>
        <w:color w:val="auto"/>
      </w:rPr>
    </w:tblStylePr>
    <w:tblStylePr w:type="band2Horz">
      <w:tblPr/>
      <w:tcPr>
        <w:shd w:val="clear" w:color="auto" w:fill="DDD9C3"/>
      </w:tcPr>
    </w:tblStylePr>
  </w:style>
  <w:style w:type="paragraph" w:styleId="ListParagraph">
    <w:name w:val="List Paragraph"/>
    <w:basedOn w:val="Normal"/>
    <w:link w:val="ListParagraphChar"/>
    <w:uiPriority w:val="34"/>
    <w:qFormat/>
    <w:rsid w:val="00D908EC"/>
    <w:pPr>
      <w:ind w:left="720"/>
      <w:contextualSpacing/>
    </w:pPr>
  </w:style>
  <w:style w:type="table" w:styleId="TableGrid">
    <w:name w:val="Table Grid"/>
    <w:basedOn w:val="TableNormal"/>
    <w:uiPriority w:val="59"/>
    <w:rsid w:val="00D908E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cicollapsed1">
    <w:name w:val="acicollapsed1"/>
    <w:basedOn w:val="DefaultParagraphFont"/>
    <w:rsid w:val="00D908EC"/>
    <w:rPr>
      <w:vanish/>
      <w:webHidden w:val="0"/>
      <w:specVanish w:val="0"/>
    </w:rPr>
  </w:style>
  <w:style w:type="table" w:styleId="TableList7">
    <w:name w:val="Table List 7"/>
    <w:basedOn w:val="TableNormal"/>
    <w:rsid w:val="00D908EC"/>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paragraph" w:customStyle="1" w:styleId="ExecSummaryHead1">
    <w:name w:val="Exec Summary Head 1"/>
    <w:basedOn w:val="TOCHeading"/>
    <w:next w:val="Normal"/>
    <w:link w:val="ExecSummaryHead1Char"/>
    <w:qFormat/>
    <w:rsid w:val="00D908EC"/>
  </w:style>
  <w:style w:type="character" w:customStyle="1" w:styleId="TOCHeadingChar">
    <w:name w:val="TOC Heading Char"/>
    <w:basedOn w:val="DefaultParagraphFont"/>
    <w:link w:val="TOCHeading"/>
    <w:uiPriority w:val="39"/>
    <w:rsid w:val="00D908EC"/>
    <w:rPr>
      <w:rFonts w:ascii="Palatino Linotype" w:hAnsi="Palatino Linotype"/>
      <w:b/>
      <w:color w:val="FFFFFF"/>
      <w:kern w:val="28"/>
      <w:position w:val="6"/>
      <w:sz w:val="24"/>
      <w:szCs w:val="24"/>
      <w:shd w:val="clear" w:color="auto" w:fill="B55F00"/>
    </w:rPr>
  </w:style>
  <w:style w:type="character" w:customStyle="1" w:styleId="ExecSummaryHead1Char">
    <w:name w:val="Exec Summary Head 1 Char"/>
    <w:basedOn w:val="TOCHeadingChar"/>
    <w:link w:val="ExecSummaryHead1"/>
    <w:rsid w:val="00D908EC"/>
    <w:rPr>
      <w:rFonts w:ascii="Palatino Linotype" w:hAnsi="Palatino Linotype"/>
      <w:b/>
      <w:color w:val="FFFFFF"/>
      <w:kern w:val="28"/>
      <w:position w:val="6"/>
      <w:sz w:val="24"/>
      <w:szCs w:val="24"/>
      <w:shd w:val="clear" w:color="auto" w:fill="B55F00"/>
    </w:rPr>
  </w:style>
  <w:style w:type="character" w:customStyle="1" w:styleId="Heading1Char">
    <w:name w:val="Heading 1 Char"/>
    <w:basedOn w:val="DefaultParagraphFont"/>
    <w:link w:val="Heading1"/>
    <w:rsid w:val="00013969"/>
    <w:rPr>
      <w:rFonts w:ascii="Palatino Linotype" w:hAnsi="Palatino Linotype" w:cs="Arial"/>
      <w:b/>
      <w:bCs/>
      <w:color w:val="FFFFFF"/>
      <w:kern w:val="28"/>
      <w:position w:val="6"/>
      <w:sz w:val="24"/>
      <w:szCs w:val="24"/>
      <w:shd w:val="clear" w:color="auto" w:fill="A15F00"/>
    </w:rPr>
  </w:style>
  <w:style w:type="character" w:customStyle="1" w:styleId="Heading2Char">
    <w:name w:val="Heading 2 Char"/>
    <w:basedOn w:val="DefaultParagraphFont"/>
    <w:link w:val="Heading2"/>
    <w:rsid w:val="00D908EC"/>
    <w:rPr>
      <w:rFonts w:ascii="Palatino Linotype" w:hAnsi="Palatino Linotype" w:cs="Arial"/>
      <w:b/>
      <w:bCs/>
      <w:i/>
      <w:iCs/>
      <w:sz w:val="24"/>
      <w:szCs w:val="28"/>
    </w:rPr>
  </w:style>
  <w:style w:type="character" w:customStyle="1" w:styleId="Heading3Char">
    <w:name w:val="Heading 3 Char"/>
    <w:basedOn w:val="DefaultParagraphFont"/>
    <w:link w:val="Heading3"/>
    <w:rsid w:val="00441D99"/>
    <w:rPr>
      <w:rFonts w:ascii="Palatino Linotype" w:hAnsi="Palatino Linotype" w:cs="Arial"/>
      <w:b/>
      <w:bCs/>
      <w:szCs w:val="26"/>
    </w:rPr>
  </w:style>
  <w:style w:type="character" w:styleId="PlaceholderText">
    <w:name w:val="Placeholder Text"/>
    <w:basedOn w:val="DefaultParagraphFont"/>
    <w:uiPriority w:val="99"/>
    <w:semiHidden/>
    <w:rsid w:val="00D908EC"/>
    <w:rPr>
      <w:color w:val="808080"/>
    </w:rPr>
  </w:style>
  <w:style w:type="paragraph" w:styleId="TOC4">
    <w:name w:val="toc 4"/>
    <w:basedOn w:val="Normal"/>
    <w:next w:val="Normal"/>
    <w:autoRedefine/>
    <w:uiPriority w:val="39"/>
    <w:rsid w:val="00D908EC"/>
    <w:pPr>
      <w:tabs>
        <w:tab w:val="left" w:pos="2700"/>
        <w:tab w:val="right" w:leader="dot" w:pos="9278"/>
      </w:tabs>
      <w:spacing w:after="100"/>
      <w:ind w:left="2700" w:hanging="900"/>
    </w:pPr>
    <w:rPr>
      <w:i/>
      <w:noProof/>
    </w:rPr>
  </w:style>
  <w:style w:type="character" w:customStyle="1" w:styleId="CaptionChar">
    <w:name w:val="Caption Char"/>
    <w:aliases w:val="Table Caption Char,Char Char,Caption Char1 Char Char"/>
    <w:basedOn w:val="DefaultParagraphFont"/>
    <w:link w:val="Caption"/>
    <w:uiPriority w:val="35"/>
    <w:rsid w:val="004301F4"/>
    <w:rPr>
      <w:rFonts w:ascii="Palatino Linotype" w:hAnsi="Palatino Linotype"/>
      <w:b/>
      <w:bCs/>
      <w:color w:val="993300"/>
    </w:rPr>
  </w:style>
  <w:style w:type="paragraph" w:styleId="TableofFigures">
    <w:name w:val="table of figures"/>
    <w:basedOn w:val="Normal"/>
    <w:next w:val="Normal"/>
    <w:uiPriority w:val="99"/>
    <w:rsid w:val="00D908EC"/>
    <w:pPr>
      <w:tabs>
        <w:tab w:val="right" w:leader="dot" w:pos="9274"/>
      </w:tabs>
    </w:pPr>
  </w:style>
  <w:style w:type="paragraph" w:customStyle="1" w:styleId="Source">
    <w:name w:val="Source"/>
    <w:basedOn w:val="Normal"/>
    <w:link w:val="SourceChar"/>
    <w:qFormat/>
    <w:rsid w:val="00D908EC"/>
    <w:rPr>
      <w:i/>
      <w:sz w:val="18"/>
      <w:szCs w:val="20"/>
    </w:rPr>
  </w:style>
  <w:style w:type="character" w:customStyle="1" w:styleId="SourceChar">
    <w:name w:val="Source Char"/>
    <w:basedOn w:val="DefaultParagraphFont"/>
    <w:link w:val="Source"/>
    <w:rsid w:val="00D908EC"/>
    <w:rPr>
      <w:rFonts w:ascii="Palatino Linotype" w:hAnsi="Palatino Linotype"/>
      <w:i/>
      <w:sz w:val="18"/>
    </w:rPr>
  </w:style>
  <w:style w:type="character" w:styleId="Strong">
    <w:name w:val="Strong"/>
    <w:basedOn w:val="DefaultParagraphFont"/>
    <w:qFormat/>
    <w:rsid w:val="005D0F55"/>
    <w:rPr>
      <w:rFonts w:ascii="Palatino Linotype" w:hAnsi="Palatino Linotype"/>
      <w:b/>
      <w:bCs/>
      <w:sz w:val="20"/>
    </w:rPr>
  </w:style>
  <w:style w:type="character" w:styleId="Emphasis">
    <w:name w:val="Emphasis"/>
    <w:basedOn w:val="DefaultParagraphFont"/>
    <w:qFormat/>
    <w:rsid w:val="005D0F55"/>
    <w:rPr>
      <w:i/>
      <w:iCs/>
    </w:rPr>
  </w:style>
  <w:style w:type="paragraph" w:styleId="Quote">
    <w:name w:val="Quote"/>
    <w:basedOn w:val="Normal"/>
    <w:next w:val="Normal"/>
    <w:link w:val="QuoteChar"/>
    <w:uiPriority w:val="29"/>
    <w:qFormat/>
    <w:rsid w:val="005D0F55"/>
    <w:rPr>
      <w:i/>
      <w:iCs/>
      <w:color w:val="000000" w:themeColor="text1"/>
    </w:rPr>
  </w:style>
  <w:style w:type="character" w:customStyle="1" w:styleId="QuoteChar">
    <w:name w:val="Quote Char"/>
    <w:basedOn w:val="DefaultParagraphFont"/>
    <w:link w:val="Quote"/>
    <w:uiPriority w:val="29"/>
    <w:rsid w:val="005D0F55"/>
    <w:rPr>
      <w:rFonts w:ascii="Palatino Linotype" w:hAnsi="Palatino Linotype"/>
      <w:i/>
      <w:iCs/>
      <w:color w:val="000000" w:themeColor="text1"/>
      <w:szCs w:val="24"/>
    </w:rPr>
  </w:style>
  <w:style w:type="character" w:customStyle="1" w:styleId="HeaderChar">
    <w:name w:val="Header Char"/>
    <w:aliases w:val="h Char,Header/Footer Char,header odd Char,Hyphen Char"/>
    <w:basedOn w:val="DefaultParagraphFont"/>
    <w:link w:val="Header"/>
    <w:locked/>
    <w:rsid w:val="00D908EC"/>
    <w:rPr>
      <w:rFonts w:ascii="Palatino Linotype" w:hAnsi="Palatino Linotype"/>
      <w:szCs w:val="24"/>
    </w:rPr>
  </w:style>
  <w:style w:type="table" w:customStyle="1" w:styleId="ComEdTable">
    <w:name w:val="ComEd Table"/>
    <w:basedOn w:val="TableNormal"/>
    <w:uiPriority w:val="99"/>
    <w:qFormat/>
    <w:rsid w:val="00D908EC"/>
    <w:pPr>
      <w:jc w:val="right"/>
    </w:pPr>
    <w:rPr>
      <w:rFonts w:ascii="Arial Narrow" w:hAnsi="Arial Narrow"/>
    </w:rPr>
    <w:tblPr>
      <w:tblStyleRowBandSize w:val="1"/>
      <w:jc w:val="center"/>
      <w:tblInd w:w="0" w:type="dxa"/>
      <w:tblBorders>
        <w:top w:val="single" w:sz="8" w:space="0" w:color="DDD9C3"/>
        <w:bottom w:val="single" w:sz="8" w:space="0" w:color="92876D"/>
        <w:insideH w:val="single" w:sz="8" w:space="0" w:color="DDD9C3"/>
      </w:tblBorders>
      <w:tblCellMar>
        <w:top w:w="0" w:type="dxa"/>
        <w:left w:w="108" w:type="dxa"/>
        <w:bottom w:w="0" w:type="dxa"/>
        <w:right w:w="108" w:type="dxa"/>
      </w:tblCellMar>
    </w:tblPr>
    <w:trPr>
      <w:cantSplit/>
      <w:jc w:val="center"/>
    </w:trPr>
    <w:tcPr>
      <w:vAlign w:val="center"/>
    </w:tcPr>
    <w:tblStylePr w:type="firstRow">
      <w:rPr>
        <w:rFonts w:ascii="Palatino Linotype" w:hAnsi="Palatino Linotype"/>
        <w:b/>
        <w:color w:val="FFFFFF" w:themeColor="background1"/>
      </w:rPr>
      <w:tblPr/>
      <w:tcPr>
        <w:tcBorders>
          <w:bottom w:val="nil"/>
        </w:tcBorders>
        <w:shd w:val="clear" w:color="auto" w:fill="92876D"/>
      </w:tcPr>
    </w:tblStylePr>
    <w:tblStylePr w:type="lastRow">
      <w:tblPr/>
      <w:tcPr>
        <w:tcBorders>
          <w:top w:val="single" w:sz="4" w:space="0" w:color="92876D"/>
        </w:tcBorders>
      </w:tcPr>
    </w:tblStylePr>
    <w:tblStylePr w:type="firstCol">
      <w:rPr>
        <w:rFonts w:ascii="Palatino Linotype" w:hAnsi="Palatino Linotype"/>
        <w:b w:val="0"/>
        <w:color w:val="auto"/>
      </w:rPr>
    </w:tblStylePr>
  </w:style>
  <w:style w:type="character" w:styleId="CommentReference">
    <w:name w:val="annotation reference"/>
    <w:basedOn w:val="DefaultParagraphFont"/>
    <w:uiPriority w:val="99"/>
    <w:rsid w:val="00D908EC"/>
    <w:rPr>
      <w:sz w:val="16"/>
      <w:szCs w:val="16"/>
    </w:rPr>
  </w:style>
  <w:style w:type="paragraph" w:styleId="CommentText">
    <w:name w:val="annotation text"/>
    <w:basedOn w:val="Normal"/>
    <w:link w:val="CommentTextChar"/>
    <w:rsid w:val="00D908EC"/>
    <w:rPr>
      <w:szCs w:val="20"/>
    </w:rPr>
  </w:style>
  <w:style w:type="character" w:customStyle="1" w:styleId="CommentTextChar">
    <w:name w:val="Comment Text Char"/>
    <w:basedOn w:val="DefaultParagraphFont"/>
    <w:link w:val="CommentText"/>
    <w:rsid w:val="00D908EC"/>
    <w:rPr>
      <w:rFonts w:ascii="Palatino Linotype" w:hAnsi="Palatino Linotype"/>
    </w:rPr>
  </w:style>
  <w:style w:type="paragraph" w:styleId="CommentSubject">
    <w:name w:val="annotation subject"/>
    <w:basedOn w:val="CommentText"/>
    <w:next w:val="CommentText"/>
    <w:link w:val="CommentSubjectChar"/>
    <w:rsid w:val="00D908EC"/>
    <w:rPr>
      <w:b/>
      <w:bCs/>
    </w:rPr>
  </w:style>
  <w:style w:type="character" w:customStyle="1" w:styleId="CommentSubjectChar">
    <w:name w:val="Comment Subject Char"/>
    <w:basedOn w:val="CommentTextChar"/>
    <w:link w:val="CommentSubject"/>
    <w:rsid w:val="00D908EC"/>
    <w:rPr>
      <w:rFonts w:ascii="Palatino Linotype" w:hAnsi="Palatino Linotype"/>
      <w:b/>
      <w:bCs/>
    </w:rPr>
  </w:style>
  <w:style w:type="paragraph" w:styleId="BalloonText">
    <w:name w:val="Balloon Text"/>
    <w:basedOn w:val="Normal"/>
    <w:link w:val="BalloonTextChar"/>
    <w:rsid w:val="00D908EC"/>
    <w:rPr>
      <w:rFonts w:ascii="Tahoma" w:hAnsi="Tahoma" w:cs="Tahoma"/>
      <w:sz w:val="16"/>
      <w:szCs w:val="16"/>
    </w:rPr>
  </w:style>
  <w:style w:type="character" w:customStyle="1" w:styleId="BalloonTextChar">
    <w:name w:val="Balloon Text Char"/>
    <w:basedOn w:val="DefaultParagraphFont"/>
    <w:link w:val="BalloonText"/>
    <w:rsid w:val="00D908EC"/>
    <w:rPr>
      <w:rFonts w:ascii="Tahoma" w:hAnsi="Tahoma" w:cs="Tahoma"/>
      <w:sz w:val="16"/>
      <w:szCs w:val="16"/>
    </w:rPr>
  </w:style>
  <w:style w:type="paragraph" w:customStyle="1" w:styleId="PresentedBy">
    <w:name w:val="Presented By"/>
    <w:basedOn w:val="Normal"/>
    <w:link w:val="PresentedByChar"/>
    <w:rsid w:val="00D908EC"/>
    <w:pPr>
      <w:tabs>
        <w:tab w:val="left" w:pos="360"/>
        <w:tab w:val="left" w:pos="720"/>
        <w:tab w:val="left" w:pos="1080"/>
        <w:tab w:val="left" w:pos="1440"/>
      </w:tabs>
    </w:pPr>
    <w:rPr>
      <w:color w:val="6F6754"/>
      <w:sz w:val="22"/>
    </w:rPr>
  </w:style>
  <w:style w:type="character" w:customStyle="1" w:styleId="PresentedByChar">
    <w:name w:val="Presented By Char"/>
    <w:link w:val="PresentedBy"/>
    <w:locked/>
    <w:rsid w:val="00D908EC"/>
    <w:rPr>
      <w:rFonts w:ascii="Palatino Linotype" w:hAnsi="Palatino Linotype"/>
      <w:color w:val="6F6754"/>
      <w:sz w:val="22"/>
      <w:szCs w:val="24"/>
    </w:rPr>
  </w:style>
  <w:style w:type="character" w:styleId="PageNumber">
    <w:name w:val="page number"/>
    <w:basedOn w:val="DefaultParagraphFont"/>
    <w:uiPriority w:val="99"/>
    <w:rsid w:val="00D908EC"/>
  </w:style>
  <w:style w:type="paragraph" w:customStyle="1" w:styleId="Contactinfo">
    <w:name w:val="Contact info"/>
    <w:basedOn w:val="Normal"/>
    <w:uiPriority w:val="99"/>
    <w:rsid w:val="00D908EC"/>
    <w:rPr>
      <w:sz w:val="22"/>
    </w:rPr>
  </w:style>
  <w:style w:type="character" w:customStyle="1" w:styleId="FooterChar">
    <w:name w:val="Footer Char"/>
    <w:basedOn w:val="DefaultParagraphFont"/>
    <w:link w:val="Footer"/>
    <w:locked/>
    <w:rsid w:val="00D908EC"/>
    <w:rPr>
      <w:rFonts w:ascii="Arial Narrow" w:hAnsi="Arial Narrow"/>
      <w:color w:val="6F6754"/>
      <w:sz w:val="18"/>
      <w:szCs w:val="24"/>
    </w:rPr>
  </w:style>
  <w:style w:type="paragraph" w:customStyle="1" w:styleId="TitlePage1">
    <w:name w:val="Title Page 1"/>
    <w:basedOn w:val="Normal"/>
    <w:link w:val="TitlePage1Char"/>
    <w:uiPriority w:val="99"/>
    <w:qFormat/>
    <w:rsid w:val="00D908EC"/>
    <w:pPr>
      <w:jc w:val="center"/>
    </w:pPr>
    <w:rPr>
      <w:b/>
      <w:bCs/>
      <w:color w:val="000000" w:themeColor="text1"/>
      <w:sz w:val="44"/>
    </w:rPr>
  </w:style>
  <w:style w:type="paragraph" w:customStyle="1" w:styleId="TitlePage2">
    <w:name w:val="Title Page 2"/>
    <w:basedOn w:val="Normal"/>
    <w:link w:val="TitlePage2Char"/>
    <w:uiPriority w:val="99"/>
    <w:qFormat/>
    <w:rsid w:val="00D908EC"/>
    <w:pPr>
      <w:jc w:val="center"/>
    </w:pPr>
    <w:rPr>
      <w:b/>
      <w:bCs/>
      <w:color w:val="6F6754"/>
      <w:sz w:val="36"/>
      <w:szCs w:val="28"/>
    </w:rPr>
  </w:style>
  <w:style w:type="character" w:customStyle="1" w:styleId="TitlePage1Char">
    <w:name w:val="Title Page 1 Char"/>
    <w:link w:val="TitlePage1"/>
    <w:uiPriority w:val="99"/>
    <w:rsid w:val="00D908EC"/>
    <w:rPr>
      <w:rFonts w:ascii="Palatino Linotype" w:hAnsi="Palatino Linotype"/>
      <w:b/>
      <w:bCs/>
      <w:color w:val="000000" w:themeColor="text1"/>
      <w:sz w:val="44"/>
      <w:szCs w:val="24"/>
    </w:rPr>
  </w:style>
  <w:style w:type="character" w:customStyle="1" w:styleId="TitlePage2Char">
    <w:name w:val="Title Page 2 Char"/>
    <w:link w:val="TitlePage2"/>
    <w:uiPriority w:val="99"/>
    <w:rsid w:val="00D908EC"/>
    <w:rPr>
      <w:rFonts w:ascii="Palatino Linotype" w:hAnsi="Palatino Linotype"/>
      <w:b/>
      <w:bCs/>
      <w:color w:val="6F6754"/>
      <w:sz w:val="36"/>
      <w:szCs w:val="28"/>
    </w:rPr>
  </w:style>
  <w:style w:type="paragraph" w:customStyle="1" w:styleId="AnswerNumbered">
    <w:name w:val="Answer Numbered"/>
    <w:basedOn w:val="Normal"/>
    <w:uiPriority w:val="99"/>
    <w:rsid w:val="00D908EC"/>
    <w:pPr>
      <w:numPr>
        <w:numId w:val="2"/>
      </w:numPr>
    </w:pPr>
    <w:rPr>
      <w:szCs w:val="20"/>
    </w:rPr>
  </w:style>
  <w:style w:type="paragraph" w:styleId="BodyText">
    <w:name w:val="Body Text"/>
    <w:basedOn w:val="Normal"/>
    <w:link w:val="BodyTextChar"/>
    <w:rsid w:val="00D908EC"/>
    <w:pPr>
      <w:tabs>
        <w:tab w:val="left" w:pos="360"/>
        <w:tab w:val="left" w:pos="720"/>
        <w:tab w:val="left" w:pos="1080"/>
        <w:tab w:val="left" w:pos="1440"/>
      </w:tabs>
      <w:spacing w:after="120"/>
    </w:pPr>
    <w:rPr>
      <w:sz w:val="22"/>
    </w:rPr>
  </w:style>
  <w:style w:type="character" w:customStyle="1" w:styleId="BodyTextChar">
    <w:name w:val="Body Text Char"/>
    <w:basedOn w:val="DefaultParagraphFont"/>
    <w:link w:val="BodyText"/>
    <w:rsid w:val="00D908EC"/>
    <w:rPr>
      <w:rFonts w:ascii="Palatino Linotype" w:hAnsi="Palatino Linotype"/>
      <w:sz w:val="22"/>
      <w:szCs w:val="24"/>
    </w:rPr>
  </w:style>
  <w:style w:type="paragraph" w:customStyle="1" w:styleId="Char1CharCharChar">
    <w:name w:val="Char1 Char Char Char"/>
    <w:basedOn w:val="Normal"/>
    <w:uiPriority w:val="99"/>
    <w:rsid w:val="00D908EC"/>
    <w:pPr>
      <w:spacing w:after="160" w:line="240" w:lineRule="exact"/>
    </w:pPr>
    <w:rPr>
      <w:rFonts w:ascii="Verdana" w:hAnsi="Verdana"/>
      <w:szCs w:val="20"/>
    </w:rPr>
  </w:style>
  <w:style w:type="table" w:customStyle="1" w:styleId="ComEdReportTable">
    <w:name w:val="ComEdReportTable"/>
    <w:uiPriority w:val="99"/>
    <w:rsid w:val="00D908EC"/>
    <w:rPr>
      <w:sz w:val="22"/>
      <w:szCs w:val="22"/>
    </w:rPr>
    <w:tblPr>
      <w:tblStyleRowBandSize w:val="1"/>
      <w:tblStyleCol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style>
  <w:style w:type="paragraph" w:customStyle="1" w:styleId="Default">
    <w:name w:val="Default"/>
    <w:rsid w:val="00D908EC"/>
    <w:pPr>
      <w:widowControl w:val="0"/>
      <w:autoSpaceDE w:val="0"/>
      <w:autoSpaceDN w:val="0"/>
      <w:adjustRightInd w:val="0"/>
    </w:pPr>
    <w:rPr>
      <w:rFonts w:ascii="Arial" w:hAnsi="Arial" w:cs="Arial"/>
      <w:color w:val="000000"/>
      <w:sz w:val="24"/>
      <w:szCs w:val="24"/>
    </w:rPr>
  </w:style>
  <w:style w:type="table" w:customStyle="1" w:styleId="EnergyPracticeTable">
    <w:name w:val="Energy Practice Table"/>
    <w:basedOn w:val="TableNormal"/>
    <w:uiPriority w:val="99"/>
    <w:qFormat/>
    <w:rsid w:val="00D908EC"/>
    <w:pPr>
      <w:spacing w:before="60" w:after="60"/>
      <w:jc w:val="center"/>
    </w:pPr>
    <w:rPr>
      <w:rFonts w:ascii="Palatino Linotype" w:hAnsi="Palatino Linotype"/>
    </w:rPr>
    <w:tblPr>
      <w:jc w:val="center"/>
      <w:tblInd w:w="0" w:type="dxa"/>
      <w:tblBorders>
        <w:bottom w:val="single" w:sz="4" w:space="0" w:color="A29784"/>
        <w:insideH w:val="single" w:sz="4" w:space="0" w:color="A29784"/>
        <w:insideV w:val="single" w:sz="4" w:space="0" w:color="A29784"/>
      </w:tblBorders>
      <w:tblCellMar>
        <w:top w:w="0" w:type="dxa"/>
        <w:left w:w="108" w:type="dxa"/>
        <w:bottom w:w="0" w:type="dxa"/>
        <w:right w:w="108" w:type="dxa"/>
      </w:tblCellMar>
    </w:tblPr>
    <w:trPr>
      <w:jc w:val="center"/>
    </w:trPr>
    <w:tcPr>
      <w:vAlign w:val="center"/>
    </w:tcPr>
    <w:tblStylePr w:type="firstRow">
      <w:pPr>
        <w:wordWrap/>
        <w:spacing w:beforeLines="0" w:beforeAutospacing="0" w:afterLines="0" w:afterAutospacing="0" w:line="240" w:lineRule="auto"/>
        <w:jc w:val="center"/>
      </w:pPr>
      <w:rPr>
        <w:rFonts w:ascii="Tahoma" w:hAnsi="Tahoma"/>
        <w:b/>
        <w:color w:val="FFFFFF"/>
        <w:sz w:val="20"/>
      </w:rPr>
      <w:tblPr/>
      <w:trPr>
        <w:tblHeader/>
      </w:trPr>
      <w:tcPr>
        <w:tcBorders>
          <w:top w:val="nil"/>
          <w:left w:val="nil"/>
          <w:bottom w:val="single" w:sz="4" w:space="0" w:color="993300"/>
          <w:right w:val="nil"/>
          <w:insideH w:val="nil"/>
          <w:insideV w:val="single" w:sz="4" w:space="0" w:color="FFFFFF"/>
          <w:tl2br w:val="nil"/>
          <w:tr2bl w:val="nil"/>
        </w:tcBorders>
        <w:shd w:val="clear" w:color="auto" w:fill="A29784"/>
        <w:vAlign w:val="bottom"/>
      </w:tcPr>
    </w:tblStylePr>
    <w:tblStylePr w:type="firstCol">
      <w:pPr>
        <w:wordWrap/>
        <w:spacing w:beforeLines="0" w:beforeAutospacing="0" w:afterLines="0" w:afterAutospacing="0" w:line="240" w:lineRule="auto"/>
        <w:jc w:val="left"/>
      </w:pPr>
      <w:rPr>
        <w:rFonts w:ascii="Tahoma" w:hAnsi="Tahoma"/>
        <w:color w:val="auto"/>
        <w:sz w:val="20"/>
      </w:rPr>
    </w:tblStylePr>
  </w:style>
  <w:style w:type="paragraph" w:customStyle="1" w:styleId="ESHeading2">
    <w:name w:val="ES Heading 2"/>
    <w:basedOn w:val="Heading2"/>
    <w:next w:val="Normal"/>
    <w:uiPriority w:val="99"/>
    <w:rsid w:val="00D908EC"/>
    <w:pPr>
      <w:numPr>
        <w:ilvl w:val="0"/>
        <w:numId w:val="0"/>
      </w:numPr>
      <w:tabs>
        <w:tab w:val="left" w:pos="720"/>
      </w:tabs>
      <w:spacing w:after="240"/>
    </w:pPr>
    <w:rPr>
      <w:rFonts w:cs="Times New Roman"/>
      <w:bCs w:val="0"/>
      <w:iCs w:val="0"/>
      <w:szCs w:val="36"/>
    </w:rPr>
  </w:style>
  <w:style w:type="paragraph" w:customStyle="1" w:styleId="Finding">
    <w:name w:val="Finding"/>
    <w:basedOn w:val="Normal"/>
    <w:link w:val="FindingChar"/>
    <w:qFormat/>
    <w:rsid w:val="00D908EC"/>
    <w:pPr>
      <w:ind w:left="1080" w:hanging="360"/>
    </w:pPr>
  </w:style>
  <w:style w:type="character" w:customStyle="1" w:styleId="FindingChar">
    <w:name w:val="Finding Char"/>
    <w:basedOn w:val="DefaultParagraphFont"/>
    <w:link w:val="Finding"/>
    <w:rsid w:val="00D908EC"/>
    <w:rPr>
      <w:rFonts w:ascii="Palatino Linotype" w:hAnsi="Palatino Linotype"/>
      <w:szCs w:val="24"/>
    </w:rPr>
  </w:style>
  <w:style w:type="character" w:customStyle="1" w:styleId="FootnoteTextChar1">
    <w:name w:val="Footnote Text Char1"/>
    <w:basedOn w:val="DefaultParagraphFont"/>
    <w:uiPriority w:val="99"/>
    <w:locked/>
    <w:rsid w:val="00D908EC"/>
    <w:rPr>
      <w:rFonts w:cs="Times New Roman"/>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link w:val="FootnoteText"/>
    <w:uiPriority w:val="99"/>
    <w:rsid w:val="00D908EC"/>
    <w:rPr>
      <w:rFonts w:ascii="Palatino Linotype" w:hAnsi="Palatino Linotype"/>
      <w:sz w:val="18"/>
    </w:rPr>
  </w:style>
  <w:style w:type="paragraph" w:customStyle="1" w:styleId="GraphFootnote">
    <w:name w:val="Graph Footnote"/>
    <w:basedOn w:val="Normal"/>
    <w:next w:val="Normal"/>
    <w:uiPriority w:val="99"/>
    <w:rsid w:val="00D908EC"/>
    <w:rPr>
      <w:rFonts w:ascii="Arial Narrow" w:hAnsi="Arial Narrow"/>
      <w:sz w:val="18"/>
    </w:rPr>
  </w:style>
  <w:style w:type="paragraph" w:customStyle="1" w:styleId="Heading3Appendix">
    <w:name w:val="Heading 3 Appendix"/>
    <w:basedOn w:val="Heading3"/>
    <w:qFormat/>
    <w:rsid w:val="00D908EC"/>
  </w:style>
  <w:style w:type="table" w:customStyle="1" w:styleId="LightShading1">
    <w:name w:val="Light Shading1"/>
    <w:uiPriority w:val="99"/>
    <w:rsid w:val="00D908E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customStyle="1" w:styleId="ListParagraphChar">
    <w:name w:val="List Paragraph Char"/>
    <w:basedOn w:val="DefaultParagraphFont"/>
    <w:link w:val="ListParagraph"/>
    <w:uiPriority w:val="34"/>
    <w:rsid w:val="00D908EC"/>
    <w:rPr>
      <w:rFonts w:ascii="Palatino Linotype" w:hAnsi="Palatino Linotype"/>
      <w:szCs w:val="24"/>
    </w:rPr>
  </w:style>
  <w:style w:type="paragraph" w:styleId="NormalWeb">
    <w:name w:val="Normal (Web)"/>
    <w:basedOn w:val="Normal"/>
    <w:uiPriority w:val="99"/>
    <w:unhideWhenUsed/>
    <w:rsid w:val="00D908EC"/>
    <w:pPr>
      <w:spacing w:before="100" w:beforeAutospacing="1" w:after="100" w:afterAutospacing="1"/>
    </w:pPr>
    <w:rPr>
      <w:rFonts w:ascii="Times New Roman" w:eastAsiaTheme="minorHAnsi" w:hAnsi="Times New Roman"/>
      <w:sz w:val="24"/>
    </w:rPr>
  </w:style>
  <w:style w:type="paragraph" w:customStyle="1" w:styleId="ParaText">
    <w:name w:val="ParaText"/>
    <w:basedOn w:val="Normal"/>
    <w:link w:val="ParaTextChar"/>
    <w:uiPriority w:val="99"/>
    <w:rsid w:val="00D908EC"/>
    <w:pPr>
      <w:spacing w:after="240"/>
    </w:pPr>
    <w:rPr>
      <w:szCs w:val="20"/>
    </w:rPr>
  </w:style>
  <w:style w:type="character" w:customStyle="1" w:styleId="ParaTextChar">
    <w:name w:val="ParaText Char"/>
    <w:basedOn w:val="DefaultParagraphFont"/>
    <w:link w:val="ParaText"/>
    <w:uiPriority w:val="99"/>
    <w:locked/>
    <w:rsid w:val="00D908EC"/>
    <w:rPr>
      <w:rFonts w:ascii="Palatino Linotype" w:hAnsi="Palatino Linotype"/>
    </w:rPr>
  </w:style>
  <w:style w:type="paragraph" w:customStyle="1" w:styleId="pB">
    <w:name w:val="pB"/>
    <w:basedOn w:val="Normal"/>
    <w:next w:val="Normal"/>
    <w:link w:val="pBChar"/>
    <w:uiPriority w:val="99"/>
    <w:rsid w:val="00D908EC"/>
    <w:pPr>
      <w:tabs>
        <w:tab w:val="left" w:pos="720"/>
        <w:tab w:val="left" w:pos="1080"/>
      </w:tabs>
      <w:spacing w:line="280" w:lineRule="atLeast"/>
      <w:ind w:left="720" w:right="288" w:hanging="432"/>
    </w:pPr>
    <w:rPr>
      <w:sz w:val="24"/>
    </w:rPr>
  </w:style>
  <w:style w:type="character" w:customStyle="1" w:styleId="pBChar">
    <w:name w:val="pB Char"/>
    <w:basedOn w:val="DefaultParagraphFont"/>
    <w:link w:val="pB"/>
    <w:uiPriority w:val="99"/>
    <w:locked/>
    <w:rsid w:val="00D908EC"/>
    <w:rPr>
      <w:rFonts w:ascii="Palatino Linotype" w:hAnsi="Palatino Linotype"/>
      <w:sz w:val="24"/>
      <w:szCs w:val="24"/>
    </w:rPr>
  </w:style>
  <w:style w:type="table" w:customStyle="1" w:styleId="Style3">
    <w:name w:val="Style3"/>
    <w:basedOn w:val="TableNormal"/>
    <w:uiPriority w:val="99"/>
    <w:qFormat/>
    <w:rsid w:val="00D908EC"/>
    <w:pPr>
      <w:jc w:val="center"/>
    </w:pPr>
    <w:rPr>
      <w:rFonts w:ascii="Palatino Linotype" w:hAnsi="Palatino Linotype"/>
      <w:sz w:val="22"/>
    </w:rPr>
    <w:tblPr>
      <w:tblInd w:w="0" w:type="dxa"/>
      <w:tblBorders>
        <w:bottom w:val="single" w:sz="4" w:space="0" w:color="A29784"/>
        <w:insideH w:val="single" w:sz="4" w:space="0" w:color="A29784"/>
        <w:insideV w:val="single" w:sz="4" w:space="0" w:color="A29784"/>
      </w:tblBorders>
      <w:tblCellMar>
        <w:top w:w="0" w:type="dxa"/>
        <w:left w:w="108" w:type="dxa"/>
        <w:bottom w:w="0" w:type="dxa"/>
        <w:right w:w="108" w:type="dxa"/>
      </w:tblCellMar>
    </w:tblPr>
    <w:tcPr>
      <w:vAlign w:val="center"/>
    </w:tcPr>
    <w:tblStylePr w:type="firstRow">
      <w:pPr>
        <w:wordWrap/>
        <w:spacing w:beforeLines="0" w:beforeAutospacing="0" w:afterLines="0" w:afterAutospacing="0" w:line="240" w:lineRule="auto"/>
        <w:jc w:val="center"/>
      </w:pPr>
      <w:rPr>
        <w:rFonts w:ascii="Palatino Linotype" w:hAnsi="Palatino Linotype"/>
        <w:b/>
        <w:color w:val="FFFFFF"/>
        <w:sz w:val="22"/>
      </w:rPr>
      <w:tblPr/>
      <w:tcPr>
        <w:tcBorders>
          <w:top w:val="nil"/>
          <w:left w:val="nil"/>
          <w:bottom w:val="nil"/>
          <w:right w:val="nil"/>
          <w:insideH w:val="nil"/>
          <w:insideV w:val="single" w:sz="4" w:space="0" w:color="FFFFFF"/>
          <w:tl2br w:val="nil"/>
          <w:tr2bl w:val="nil"/>
        </w:tcBorders>
        <w:shd w:val="clear" w:color="auto" w:fill="A29784"/>
        <w:vAlign w:val="bottom"/>
      </w:tcPr>
    </w:tblStylePr>
    <w:tblStylePr w:type="firstCol">
      <w:pPr>
        <w:wordWrap/>
        <w:spacing w:beforeLines="0" w:beforeAutospacing="0" w:afterLines="0" w:afterAutospacing="0" w:line="240" w:lineRule="auto"/>
        <w:jc w:val="left"/>
      </w:pPr>
      <w:rPr>
        <w:rFonts w:ascii="Palatino Linotype" w:hAnsi="Palatino Linotype"/>
        <w:color w:val="auto"/>
        <w:sz w:val="22"/>
      </w:rPr>
    </w:tblStylePr>
  </w:style>
  <w:style w:type="character" w:customStyle="1" w:styleId="SubtitleChar">
    <w:name w:val="Subtitle Char"/>
    <w:basedOn w:val="DefaultParagraphFont"/>
    <w:link w:val="Subtitle"/>
    <w:rsid w:val="00D908EC"/>
    <w:rPr>
      <w:rFonts w:ascii="Palatino Linotype" w:hAnsi="Palatino Linotype"/>
      <w:b/>
      <w:bCs/>
      <w:color w:val="6F6754"/>
      <w:sz w:val="24"/>
      <w:szCs w:val="24"/>
    </w:rPr>
  </w:style>
  <w:style w:type="character" w:customStyle="1" w:styleId="TitleChar">
    <w:name w:val="Title Char"/>
    <w:basedOn w:val="DefaultParagraphFont"/>
    <w:link w:val="Title"/>
    <w:rsid w:val="00D908EC"/>
    <w:rPr>
      <w:rFonts w:ascii="Palatino Linotype" w:hAnsi="Palatino Linotype"/>
      <w:b/>
      <w:bCs/>
      <w:color w:val="6F6754"/>
      <w:sz w:val="36"/>
      <w:szCs w:val="24"/>
    </w:rPr>
  </w:style>
  <w:style w:type="paragraph" w:styleId="Revision">
    <w:name w:val="Revision"/>
    <w:hidden/>
    <w:uiPriority w:val="99"/>
    <w:semiHidden/>
    <w:rsid w:val="002E5EE9"/>
    <w:rPr>
      <w:rFonts w:ascii="Palatino Linotype" w:hAnsi="Palatino Linotype"/>
      <w:szCs w:val="24"/>
    </w:rPr>
  </w:style>
  <w:style w:type="paragraph" w:customStyle="1" w:styleId="Bullets-SingleSpace">
    <w:name w:val="Bullets - Single Space"/>
    <w:basedOn w:val="Normal"/>
    <w:uiPriority w:val="99"/>
    <w:rsid w:val="001E0069"/>
    <w:pPr>
      <w:numPr>
        <w:numId w:val="12"/>
      </w:numPr>
      <w:tabs>
        <w:tab w:val="num" w:pos="936"/>
      </w:tabs>
    </w:pPr>
    <w:rPr>
      <w:rFonts w:ascii="Times New Roman" w:hAnsi="Times New Roman"/>
      <w:szCs w:val="22"/>
    </w:rPr>
  </w:style>
  <w:style w:type="paragraph" w:customStyle="1" w:styleId="MTDisplayEquation">
    <w:name w:val="MTDisplayEquation"/>
    <w:basedOn w:val="Normal"/>
    <w:next w:val="Normal"/>
    <w:link w:val="MTDisplayEquationChar"/>
    <w:rsid w:val="001E0069"/>
    <w:pPr>
      <w:tabs>
        <w:tab w:val="center" w:pos="4680"/>
        <w:tab w:val="right" w:pos="9360"/>
      </w:tabs>
      <w:spacing w:after="200" w:line="276" w:lineRule="auto"/>
    </w:pPr>
    <w:rPr>
      <w:rFonts w:ascii="Garamond" w:eastAsiaTheme="minorHAnsi" w:hAnsi="Garamond" w:cstheme="minorBidi"/>
      <w:sz w:val="22"/>
      <w:szCs w:val="22"/>
    </w:rPr>
  </w:style>
  <w:style w:type="character" w:customStyle="1" w:styleId="MTDisplayEquationChar">
    <w:name w:val="MTDisplayEquation Char"/>
    <w:basedOn w:val="DefaultParagraphFont"/>
    <w:link w:val="MTDisplayEquation"/>
    <w:rsid w:val="001E0069"/>
    <w:rPr>
      <w:rFonts w:ascii="Garamond" w:eastAsiaTheme="minorHAnsi" w:hAnsi="Garamond" w:cstheme="minorBidi"/>
      <w:sz w:val="22"/>
      <w:szCs w:val="22"/>
    </w:rPr>
  </w:style>
  <w:style w:type="character" w:styleId="FollowedHyperlink">
    <w:name w:val="FollowedHyperlink"/>
    <w:basedOn w:val="DefaultParagraphFont"/>
    <w:rsid w:val="001E0069"/>
    <w:rPr>
      <w:color w:val="7E4300" w:themeColor="followedHyperlink"/>
      <w:u w:val="single"/>
    </w:rPr>
  </w:style>
  <w:style w:type="paragraph" w:styleId="HTMLPreformatted">
    <w:name w:val="HTML Preformatted"/>
    <w:basedOn w:val="Normal"/>
    <w:link w:val="HTMLPreformattedChar"/>
    <w:uiPriority w:val="99"/>
    <w:unhideWhenUsed/>
    <w:rsid w:val="00CD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CD7F1D"/>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caption" w:uiPriority="35" w:qFormat="1"/>
    <w:lsdException w:name="table of figures" w:uiPriority="99"/>
    <w:lsdException w:name="footnote reference" w:uiPriority="99" w:qFormat="1"/>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908EC"/>
    <w:rPr>
      <w:rFonts w:ascii="Palatino Linotype" w:hAnsi="Palatino Linotype"/>
      <w:szCs w:val="24"/>
    </w:rPr>
  </w:style>
  <w:style w:type="paragraph" w:styleId="Heading1">
    <w:name w:val="heading 1"/>
    <w:basedOn w:val="Normal"/>
    <w:next w:val="Normal"/>
    <w:link w:val="Heading1Char"/>
    <w:autoRedefine/>
    <w:qFormat/>
    <w:rsid w:val="00013969"/>
    <w:pPr>
      <w:keepNext/>
      <w:keepLines/>
      <w:pageBreakBefore/>
      <w:numPr>
        <w:numId w:val="1"/>
      </w:numPr>
      <w:pBdr>
        <w:left w:val="single" w:sz="4" w:space="0" w:color="A15F00"/>
      </w:pBdr>
      <w:shd w:val="clear" w:color="auto" w:fill="A15F00"/>
      <w:spacing w:before="360" w:after="360"/>
      <w:outlineLvl w:val="0"/>
    </w:pPr>
    <w:rPr>
      <w:rFonts w:cs="Arial"/>
      <w:b/>
      <w:bCs/>
      <w:color w:val="FFFFFF"/>
      <w:kern w:val="28"/>
      <w:position w:val="6"/>
      <w:sz w:val="24"/>
    </w:rPr>
  </w:style>
  <w:style w:type="paragraph" w:styleId="Heading2">
    <w:name w:val="heading 2"/>
    <w:basedOn w:val="Normal"/>
    <w:next w:val="Normal"/>
    <w:link w:val="Heading2Char"/>
    <w:qFormat/>
    <w:rsid w:val="00D908EC"/>
    <w:pPr>
      <w:keepNext/>
      <w:numPr>
        <w:ilvl w:val="1"/>
        <w:numId w:val="9"/>
      </w:numPr>
      <w:spacing w:before="240" w:after="120"/>
      <w:outlineLvl w:val="1"/>
    </w:pPr>
    <w:rPr>
      <w:rFonts w:cs="Arial"/>
      <w:b/>
      <w:bCs/>
      <w:i/>
      <w:iCs/>
      <w:sz w:val="24"/>
      <w:szCs w:val="28"/>
    </w:rPr>
  </w:style>
  <w:style w:type="paragraph" w:styleId="Heading3">
    <w:name w:val="heading 3"/>
    <w:basedOn w:val="Normal"/>
    <w:next w:val="Normal"/>
    <w:link w:val="Heading3Char"/>
    <w:autoRedefine/>
    <w:qFormat/>
    <w:rsid w:val="00441D99"/>
    <w:pPr>
      <w:keepNext/>
      <w:numPr>
        <w:ilvl w:val="2"/>
        <w:numId w:val="9"/>
      </w:numPr>
      <w:spacing w:before="240" w:after="120"/>
      <w:outlineLvl w:val="2"/>
    </w:pPr>
    <w:rPr>
      <w:rFonts w:cs="Arial"/>
      <w:b/>
      <w:bCs/>
      <w:szCs w:val="26"/>
    </w:rPr>
  </w:style>
  <w:style w:type="paragraph" w:styleId="Heading4">
    <w:name w:val="heading 4"/>
    <w:basedOn w:val="Normal"/>
    <w:next w:val="Normal"/>
    <w:link w:val="Heading4Char"/>
    <w:autoRedefine/>
    <w:unhideWhenUsed/>
    <w:qFormat/>
    <w:rsid w:val="00D908EC"/>
    <w:pPr>
      <w:keepNext/>
      <w:keepLines/>
      <w:numPr>
        <w:ilvl w:val="3"/>
        <w:numId w:val="9"/>
      </w:numPr>
      <w:spacing w:before="240" w:after="240"/>
      <w:outlineLvl w:val="3"/>
    </w:pPr>
    <w:rPr>
      <w:rFonts w:eastAsiaTheme="majorEastAsia" w:cstheme="majorBidi"/>
      <w:b/>
      <w:bCs/>
      <w:i/>
      <w:iCs/>
      <w:kern w:val="28"/>
      <w:szCs w:val="20"/>
    </w:rPr>
  </w:style>
  <w:style w:type="paragraph" w:styleId="Heading5">
    <w:name w:val="heading 5"/>
    <w:aliases w:val="Append Level 1"/>
    <w:basedOn w:val="Normal"/>
    <w:next w:val="Normal"/>
    <w:link w:val="Heading5Char"/>
    <w:unhideWhenUsed/>
    <w:qFormat/>
    <w:rsid w:val="00D908EC"/>
    <w:pPr>
      <w:keepNext/>
      <w:keepLines/>
      <w:numPr>
        <w:ilvl w:val="4"/>
        <w:numId w:val="9"/>
      </w:numPr>
      <w:pBdr>
        <w:left w:val="single" w:sz="4" w:space="0" w:color="A15F00"/>
      </w:pBdr>
      <w:shd w:val="clear" w:color="auto" w:fill="850C70" w:themeFill="accent6"/>
      <w:spacing w:before="360" w:after="360"/>
      <w:outlineLvl w:val="4"/>
    </w:pPr>
    <w:rPr>
      <w:rFonts w:eastAsiaTheme="majorEastAsia" w:cstheme="majorBidi"/>
      <w:b/>
      <w:color w:val="FFFFFF" w:themeColor="background1"/>
      <w:kern w:val="28"/>
      <w:position w:val="6"/>
      <w:sz w:val="24"/>
    </w:rPr>
  </w:style>
  <w:style w:type="paragraph" w:styleId="Heading6">
    <w:name w:val="heading 6"/>
    <w:aliases w:val="Append Level 2"/>
    <w:next w:val="Normal"/>
    <w:link w:val="Heading6Char"/>
    <w:unhideWhenUsed/>
    <w:qFormat/>
    <w:rsid w:val="00D908EC"/>
    <w:pPr>
      <w:keepNext/>
      <w:keepLines/>
      <w:numPr>
        <w:ilvl w:val="5"/>
        <w:numId w:val="9"/>
      </w:numPr>
      <w:spacing w:before="240" w:after="240"/>
      <w:outlineLvl w:val="5"/>
    </w:pPr>
    <w:rPr>
      <w:rFonts w:ascii="Palatino Linotype" w:eastAsiaTheme="majorEastAsia" w:hAnsi="Palatino Linotype" w:cstheme="majorBidi"/>
      <w:b/>
      <w:i/>
      <w:iCs/>
      <w:kern w:val="28"/>
      <w:position w:val="6"/>
      <w:sz w:val="24"/>
      <w:szCs w:val="24"/>
    </w:rPr>
  </w:style>
  <w:style w:type="paragraph" w:styleId="Heading7">
    <w:name w:val="heading 7"/>
    <w:aliases w:val="Exec Sum Level 1"/>
    <w:next w:val="Normal"/>
    <w:link w:val="Heading7Char"/>
    <w:unhideWhenUsed/>
    <w:qFormat/>
    <w:rsid w:val="00D908EC"/>
    <w:pPr>
      <w:keepNext/>
      <w:keepLines/>
      <w:pageBreakBefore/>
      <w:numPr>
        <w:ilvl w:val="6"/>
        <w:numId w:val="9"/>
      </w:numPr>
      <w:pBdr>
        <w:left w:val="single" w:sz="4" w:space="0" w:color="A15F00"/>
      </w:pBdr>
      <w:shd w:val="clear" w:color="auto" w:fill="A15F00"/>
      <w:spacing w:before="360" w:after="360"/>
      <w:outlineLvl w:val="6"/>
    </w:pPr>
    <w:rPr>
      <w:rFonts w:ascii="Palatino Linotype" w:eastAsiaTheme="majorEastAsia" w:hAnsi="Palatino Linotype" w:cstheme="majorBidi"/>
      <w:b/>
      <w:bCs/>
      <w:iCs/>
      <w:color w:val="FFFFFF" w:themeColor="background1"/>
      <w:kern w:val="28"/>
      <w:position w:val="6"/>
      <w:sz w:val="24"/>
      <w:szCs w:val="28"/>
    </w:rPr>
  </w:style>
  <w:style w:type="paragraph" w:styleId="Heading8">
    <w:name w:val="heading 8"/>
    <w:aliases w:val="Exec Sum Level 2"/>
    <w:basedOn w:val="Normal"/>
    <w:next w:val="Normal"/>
    <w:link w:val="Heading8Char"/>
    <w:unhideWhenUsed/>
    <w:qFormat/>
    <w:rsid w:val="00D908EC"/>
    <w:pPr>
      <w:keepNext/>
      <w:keepLines/>
      <w:numPr>
        <w:ilvl w:val="7"/>
        <w:numId w:val="9"/>
      </w:numPr>
      <w:spacing w:before="240" w:after="120"/>
      <w:outlineLvl w:val="7"/>
    </w:pPr>
    <w:rPr>
      <w:rFonts w:eastAsiaTheme="majorEastAsia" w:cstheme="majorBidi"/>
      <w:b/>
      <w:i/>
      <w:sz w:val="24"/>
      <w:szCs w:val="20"/>
    </w:rPr>
  </w:style>
  <w:style w:type="paragraph" w:styleId="Heading9">
    <w:name w:val="heading 9"/>
    <w:aliases w:val="Exec Sum Level 3"/>
    <w:basedOn w:val="Normal"/>
    <w:next w:val="Normal"/>
    <w:link w:val="Heading9Char"/>
    <w:unhideWhenUsed/>
    <w:qFormat/>
    <w:rsid w:val="00D908EC"/>
    <w:pPr>
      <w:keepNext/>
      <w:keepLines/>
      <w:numPr>
        <w:ilvl w:val="8"/>
        <w:numId w:val="9"/>
      </w:numPr>
      <w:spacing w:before="240" w:after="240"/>
      <w:outlineLvl w:val="8"/>
    </w:pPr>
    <w:rPr>
      <w:rFonts w:eastAsiaTheme="majorEastAsia" w:cstheme="majorBidi"/>
      <w:b/>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Classic2">
    <w:name w:val="Table Classic 2"/>
    <w:basedOn w:val="TableNormal"/>
    <w:rsid w:val="00D908EC"/>
    <w:pPr>
      <w:tabs>
        <w:tab w:val="left" w:pos="360"/>
        <w:tab w:val="left" w:pos="720"/>
        <w:tab w:val="left" w:pos="1080"/>
        <w:tab w:val="left" w:pos="1440"/>
      </w:tabs>
    </w:pPr>
    <w:rPr>
      <w:rFonts w:ascii="Arial" w:hAnsi="Arial"/>
      <w:sz w:val="18"/>
      <w:szCs w:val="18"/>
    </w:rPr>
    <w:tblPr>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15" w:type="dxa"/>
        <w:bottom w:w="0" w:type="dxa"/>
        <w:right w:w="115" w:type="dxa"/>
      </w:tblCellMar>
    </w:tblPr>
    <w:trPr>
      <w:jc w:val="center"/>
    </w:trPr>
    <w:tcPr>
      <w:shd w:val="clear" w:color="auto" w:fill="auto"/>
    </w:tcPr>
    <w:tblStylePr w:type="firstRow">
      <w:rPr>
        <w:rFonts w:ascii="Arial" w:hAnsi="Arial"/>
        <w:b/>
        <w:i w:val="0"/>
        <w:color w:val="auto"/>
        <w:sz w:val="18"/>
        <w:szCs w:val="18"/>
      </w:rPr>
      <w:tblPr/>
      <w:tcPr>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l2br w:val="nil"/>
          <w:tr2bl w:val="nil"/>
        </w:tcBorders>
        <w:shd w:val="clear" w:color="auto" w:fill="CCCCFF"/>
      </w:tcPr>
    </w:tblStylePr>
    <w:tblStylePr w:type="lastRow">
      <w:rPr>
        <w:rFonts w:ascii="Arial" w:hAnsi="Arial"/>
        <w:color w:val="auto"/>
        <w:sz w:val="18"/>
      </w:rPr>
      <w:tblPr/>
      <w:tcPr>
        <w:tcBorders>
          <w:top w:val="single" w:sz="6" w:space="0" w:color="000000"/>
          <w:tl2br w:val="none" w:sz="0" w:space="0" w:color="auto"/>
          <w:tr2bl w:val="none" w:sz="0" w:space="0" w:color="auto"/>
        </w:tcBorders>
      </w:tcPr>
    </w:tblStylePr>
    <w:tblStylePr w:type="firstCol">
      <w:rPr>
        <w:rFonts w:ascii="Arial" w:hAnsi="Arial"/>
        <w:b/>
        <w:bCs/>
        <w:sz w:val="18"/>
      </w:rPr>
      <w:tblPr/>
      <w:tcPr>
        <w:shd w:val="clear" w:color="auto" w:fill="FFFF99"/>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numbering" w:customStyle="1" w:styleId="StyleBulleted6">
    <w:name w:val="Style Bulleted6"/>
    <w:rsid w:val="00D908EC"/>
    <w:pPr>
      <w:numPr>
        <w:numId w:val="5"/>
      </w:numPr>
    </w:pPr>
  </w:style>
  <w:style w:type="numbering" w:customStyle="1" w:styleId="StyleBulleted9">
    <w:name w:val="Style Bulleted9"/>
    <w:basedOn w:val="NoList"/>
    <w:rsid w:val="00D908EC"/>
    <w:pPr>
      <w:numPr>
        <w:numId w:val="6"/>
      </w:numPr>
    </w:pPr>
  </w:style>
  <w:style w:type="paragraph" w:styleId="Header">
    <w:name w:val="header"/>
    <w:aliases w:val="h,Header/Footer,header odd,Hyphen"/>
    <w:basedOn w:val="Normal"/>
    <w:link w:val="HeaderChar"/>
    <w:rsid w:val="00D908EC"/>
    <w:pPr>
      <w:tabs>
        <w:tab w:val="center" w:pos="4320"/>
        <w:tab w:val="right" w:pos="8640"/>
      </w:tabs>
    </w:pPr>
  </w:style>
  <w:style w:type="paragraph" w:styleId="Footer">
    <w:name w:val="footer"/>
    <w:basedOn w:val="Normal"/>
    <w:link w:val="FooterChar"/>
    <w:rsid w:val="00D908EC"/>
    <w:pPr>
      <w:tabs>
        <w:tab w:val="center" w:pos="4320"/>
        <w:tab w:val="right" w:pos="8640"/>
      </w:tabs>
    </w:pPr>
    <w:rPr>
      <w:rFonts w:ascii="Arial Narrow" w:hAnsi="Arial Narrow"/>
      <w:color w:val="6F6754"/>
      <w:sz w:val="18"/>
    </w:rPr>
  </w:style>
  <w:style w:type="paragraph" w:styleId="Title">
    <w:name w:val="Title"/>
    <w:basedOn w:val="Normal"/>
    <w:link w:val="TitleChar"/>
    <w:qFormat/>
    <w:rsid w:val="00D908EC"/>
    <w:pPr>
      <w:tabs>
        <w:tab w:val="left" w:pos="360"/>
        <w:tab w:val="left" w:pos="720"/>
        <w:tab w:val="left" w:pos="1080"/>
        <w:tab w:val="left" w:pos="1440"/>
      </w:tabs>
    </w:pPr>
    <w:rPr>
      <w:b/>
      <w:bCs/>
      <w:color w:val="6F6754"/>
      <w:sz w:val="36"/>
    </w:rPr>
  </w:style>
  <w:style w:type="paragraph" w:styleId="Subtitle">
    <w:name w:val="Subtitle"/>
    <w:basedOn w:val="Normal"/>
    <w:link w:val="SubtitleChar"/>
    <w:qFormat/>
    <w:rsid w:val="00D908EC"/>
    <w:pPr>
      <w:tabs>
        <w:tab w:val="left" w:pos="360"/>
        <w:tab w:val="left" w:pos="720"/>
        <w:tab w:val="left" w:pos="1080"/>
        <w:tab w:val="left" w:pos="1440"/>
      </w:tabs>
    </w:pPr>
    <w:rPr>
      <w:b/>
      <w:bCs/>
      <w:color w:val="6F6754"/>
      <w:sz w:val="24"/>
    </w:rPr>
  </w:style>
  <w:style w:type="character" w:customStyle="1" w:styleId="CoverText">
    <w:name w:val="Cover Text"/>
    <w:basedOn w:val="DefaultParagraphFont"/>
    <w:uiPriority w:val="99"/>
    <w:rsid w:val="00D908EC"/>
    <w:rPr>
      <w:color w:val="6F6754"/>
    </w:rPr>
  </w:style>
  <w:style w:type="paragraph" w:styleId="TOC1">
    <w:name w:val="toc 1"/>
    <w:basedOn w:val="Normal"/>
    <w:next w:val="Normal"/>
    <w:autoRedefine/>
    <w:uiPriority w:val="39"/>
    <w:rsid w:val="00D908EC"/>
    <w:pPr>
      <w:tabs>
        <w:tab w:val="left" w:pos="540"/>
        <w:tab w:val="left" w:pos="1620"/>
        <w:tab w:val="right" w:leader="dot" w:pos="9270"/>
      </w:tabs>
      <w:spacing w:before="120" w:line="360" w:lineRule="auto"/>
      <w:ind w:left="540" w:hanging="540"/>
    </w:pPr>
    <w:rPr>
      <w:b/>
      <w:noProof/>
      <w:snapToGrid w:val="0"/>
      <w:sz w:val="24"/>
    </w:rPr>
  </w:style>
  <w:style w:type="paragraph" w:styleId="TOC2">
    <w:name w:val="toc 2"/>
    <w:basedOn w:val="Normal"/>
    <w:next w:val="Normal"/>
    <w:autoRedefine/>
    <w:uiPriority w:val="39"/>
    <w:rsid w:val="00D908EC"/>
    <w:pPr>
      <w:tabs>
        <w:tab w:val="left" w:pos="1080"/>
        <w:tab w:val="right" w:leader="dot" w:pos="9278"/>
      </w:tabs>
      <w:ind w:left="1080" w:hanging="540"/>
    </w:pPr>
    <w:rPr>
      <w:noProof/>
    </w:rPr>
  </w:style>
  <w:style w:type="paragraph" w:styleId="TOC3">
    <w:name w:val="toc 3"/>
    <w:basedOn w:val="Normal"/>
    <w:next w:val="Normal"/>
    <w:autoRedefine/>
    <w:uiPriority w:val="39"/>
    <w:rsid w:val="00D908EC"/>
    <w:pPr>
      <w:tabs>
        <w:tab w:val="left" w:pos="1800"/>
        <w:tab w:val="right" w:leader="dot" w:pos="9278"/>
      </w:tabs>
      <w:ind w:left="1800" w:hanging="720"/>
    </w:pPr>
    <w:rPr>
      <w:rFonts w:eastAsiaTheme="minorEastAsia" w:cstheme="minorBidi"/>
      <w:noProof/>
      <w:szCs w:val="20"/>
    </w:rPr>
  </w:style>
  <w:style w:type="character" w:styleId="Hyperlink">
    <w:name w:val="Hyperlink"/>
    <w:basedOn w:val="DefaultParagraphFont"/>
    <w:uiPriority w:val="99"/>
    <w:rsid w:val="00D908EC"/>
    <w:rPr>
      <w:rFonts w:ascii="Palatino Linotype" w:hAnsi="Palatino Linotype"/>
      <w:color w:val="0000FF"/>
      <w:sz w:val="20"/>
      <w:u w:val="single"/>
    </w:rPr>
  </w:style>
  <w:style w:type="paragraph" w:styleId="TOCHeading">
    <w:name w:val="TOC Heading"/>
    <w:next w:val="Normal"/>
    <w:link w:val="TOCHeadingChar"/>
    <w:uiPriority w:val="39"/>
    <w:qFormat/>
    <w:rsid w:val="00D908EC"/>
    <w:pPr>
      <w:keepNext/>
      <w:keepLines/>
      <w:pageBreakBefore/>
      <w:widowControl w:val="0"/>
      <w:shd w:val="clear" w:color="auto" w:fill="B55F00"/>
      <w:tabs>
        <w:tab w:val="left" w:pos="720"/>
        <w:tab w:val="left" w:pos="1267"/>
      </w:tabs>
      <w:spacing w:before="360" w:after="360"/>
      <w:ind w:left="720" w:hanging="720"/>
    </w:pPr>
    <w:rPr>
      <w:rFonts w:ascii="Palatino Linotype" w:hAnsi="Palatino Linotype"/>
      <w:b/>
      <w:color w:val="FFFFFF"/>
      <w:kern w:val="28"/>
      <w:position w:val="6"/>
      <w:sz w:val="24"/>
      <w:szCs w:val="24"/>
    </w:rPr>
  </w:style>
  <w:style w:type="numbering" w:customStyle="1" w:styleId="StyleNumberedLeft025Hanging025">
    <w:name w:val="Style Numbered Left:  0.25&quot; Hanging:  0.25&quot;"/>
    <w:basedOn w:val="NoList"/>
    <w:rsid w:val="00D908EC"/>
    <w:pPr>
      <w:numPr>
        <w:numId w:val="7"/>
      </w:numPr>
    </w:pPr>
  </w:style>
  <w:style w:type="paragraph" w:styleId="FootnoteText">
    <w:name w:val="footnote text"/>
    <w:aliases w:val="Footnote Text1 Char,Footnote Text Char Ch,Footnote Text Char Ch Char Char Char,Footnote Text Char Ch Char Char,Footnote Text1 Char Char Char,Footnote Text Char Ch Char,ft Char,ft,TBG Style,ALTS FOOTNOTE,Footnote Text 2,fn,Footnote text"/>
    <w:basedOn w:val="Normal"/>
    <w:link w:val="FootnoteTextChar"/>
    <w:uiPriority w:val="99"/>
    <w:rsid w:val="00D908EC"/>
    <w:rPr>
      <w:sz w:val="18"/>
      <w:szCs w:val="20"/>
    </w:rPr>
  </w:style>
  <w:style w:type="character" w:styleId="FootnoteReference">
    <w:name w:val="footnote reference"/>
    <w:aliases w:val="Footnote_Reference"/>
    <w:basedOn w:val="DefaultParagraphFont"/>
    <w:uiPriority w:val="99"/>
    <w:qFormat/>
    <w:rsid w:val="00D908EC"/>
    <w:rPr>
      <w:vertAlign w:val="superscript"/>
    </w:rPr>
  </w:style>
  <w:style w:type="paragraph" w:styleId="Caption">
    <w:name w:val="caption"/>
    <w:aliases w:val="Table Caption,Char,Caption Char1 Char"/>
    <w:basedOn w:val="Normal"/>
    <w:next w:val="Normal"/>
    <w:link w:val="CaptionChar"/>
    <w:autoRedefine/>
    <w:uiPriority w:val="35"/>
    <w:qFormat/>
    <w:rsid w:val="004301F4"/>
    <w:pPr>
      <w:keepNext/>
      <w:spacing w:after="80"/>
      <w:jc w:val="center"/>
    </w:pPr>
    <w:rPr>
      <w:b/>
      <w:bCs/>
      <w:color w:val="993300"/>
      <w:szCs w:val="20"/>
    </w:rPr>
  </w:style>
  <w:style w:type="numbering" w:customStyle="1" w:styleId="StyleBulletedLeft0Hanging03">
    <w:name w:val="Style Bulleted Left:  0&quot; Hanging:  0.3&quot;"/>
    <w:basedOn w:val="NoList"/>
    <w:rsid w:val="00D908EC"/>
    <w:pPr>
      <w:numPr>
        <w:numId w:val="4"/>
      </w:numPr>
    </w:pPr>
  </w:style>
  <w:style w:type="paragraph" w:customStyle="1" w:styleId="StyleCaptionWhite">
    <w:name w:val="Style Caption + White"/>
    <w:basedOn w:val="Caption"/>
    <w:rsid w:val="00D908EC"/>
    <w:pPr>
      <w:spacing w:before="120"/>
    </w:pPr>
    <w:rPr>
      <w:color w:val="FFFFFF"/>
    </w:rPr>
  </w:style>
  <w:style w:type="numbering" w:customStyle="1" w:styleId="StyleBulleted">
    <w:name w:val="Style Bulleted"/>
    <w:basedOn w:val="NoList"/>
    <w:rsid w:val="00D908EC"/>
    <w:pPr>
      <w:numPr>
        <w:numId w:val="3"/>
      </w:numPr>
    </w:pPr>
  </w:style>
  <w:style w:type="character" w:customStyle="1" w:styleId="Heading4Char">
    <w:name w:val="Heading 4 Char"/>
    <w:basedOn w:val="DefaultParagraphFont"/>
    <w:link w:val="Heading4"/>
    <w:rsid w:val="00D908EC"/>
    <w:rPr>
      <w:rFonts w:ascii="Palatino Linotype" w:eastAsiaTheme="majorEastAsia" w:hAnsi="Palatino Linotype" w:cstheme="majorBidi"/>
      <w:b/>
      <w:bCs/>
      <w:i/>
      <w:iCs/>
      <w:kern w:val="28"/>
    </w:rPr>
  </w:style>
  <w:style w:type="character" w:customStyle="1" w:styleId="Heading5Char">
    <w:name w:val="Heading 5 Char"/>
    <w:aliases w:val="Append Level 1 Char"/>
    <w:basedOn w:val="DefaultParagraphFont"/>
    <w:link w:val="Heading5"/>
    <w:rsid w:val="00D908EC"/>
    <w:rPr>
      <w:rFonts w:ascii="Palatino Linotype" w:eastAsiaTheme="majorEastAsia" w:hAnsi="Palatino Linotype" w:cstheme="majorBidi"/>
      <w:b/>
      <w:color w:val="FFFFFF" w:themeColor="background1"/>
      <w:kern w:val="28"/>
      <w:position w:val="6"/>
      <w:sz w:val="24"/>
      <w:szCs w:val="24"/>
      <w:shd w:val="clear" w:color="auto" w:fill="850C70" w:themeFill="accent6"/>
    </w:rPr>
  </w:style>
  <w:style w:type="character" w:customStyle="1" w:styleId="Heading6Char">
    <w:name w:val="Heading 6 Char"/>
    <w:aliases w:val="Append Level 2 Char"/>
    <w:basedOn w:val="DefaultParagraphFont"/>
    <w:link w:val="Heading6"/>
    <w:rsid w:val="00D908EC"/>
    <w:rPr>
      <w:rFonts w:ascii="Palatino Linotype" w:eastAsiaTheme="majorEastAsia" w:hAnsi="Palatino Linotype" w:cstheme="majorBidi"/>
      <w:b/>
      <w:i/>
      <w:iCs/>
      <w:kern w:val="28"/>
      <w:position w:val="6"/>
      <w:sz w:val="24"/>
      <w:szCs w:val="24"/>
    </w:rPr>
  </w:style>
  <w:style w:type="character" w:customStyle="1" w:styleId="Heading7Char">
    <w:name w:val="Heading 7 Char"/>
    <w:aliases w:val="Exec Sum Level 1 Char"/>
    <w:basedOn w:val="DefaultParagraphFont"/>
    <w:link w:val="Heading7"/>
    <w:rsid w:val="00D908EC"/>
    <w:rPr>
      <w:rFonts w:ascii="Palatino Linotype" w:eastAsiaTheme="majorEastAsia" w:hAnsi="Palatino Linotype" w:cstheme="majorBidi"/>
      <w:b/>
      <w:bCs/>
      <w:iCs/>
      <w:color w:val="FFFFFF" w:themeColor="background1"/>
      <w:kern w:val="28"/>
      <w:position w:val="6"/>
      <w:sz w:val="24"/>
      <w:szCs w:val="28"/>
      <w:shd w:val="clear" w:color="auto" w:fill="A15F00"/>
    </w:rPr>
  </w:style>
  <w:style w:type="character" w:customStyle="1" w:styleId="Heading8Char">
    <w:name w:val="Heading 8 Char"/>
    <w:aliases w:val="Exec Sum Level 2 Char"/>
    <w:basedOn w:val="DefaultParagraphFont"/>
    <w:link w:val="Heading8"/>
    <w:rsid w:val="00D908EC"/>
    <w:rPr>
      <w:rFonts w:ascii="Palatino Linotype" w:eastAsiaTheme="majorEastAsia" w:hAnsi="Palatino Linotype" w:cstheme="majorBidi"/>
      <w:b/>
      <w:i/>
      <w:sz w:val="24"/>
    </w:rPr>
  </w:style>
  <w:style w:type="character" w:customStyle="1" w:styleId="Heading9Char">
    <w:name w:val="Heading 9 Char"/>
    <w:aliases w:val="Exec Sum Level 3 Char"/>
    <w:basedOn w:val="DefaultParagraphFont"/>
    <w:link w:val="Heading9"/>
    <w:rsid w:val="00D908EC"/>
    <w:rPr>
      <w:rFonts w:ascii="Palatino Linotype" w:eastAsiaTheme="majorEastAsia" w:hAnsi="Palatino Linotype" w:cstheme="majorBidi"/>
      <w:b/>
      <w:iCs/>
    </w:rPr>
  </w:style>
  <w:style w:type="table" w:customStyle="1" w:styleId="EnergyTable">
    <w:name w:val="Energy Table"/>
    <w:basedOn w:val="TableNormal"/>
    <w:uiPriority w:val="99"/>
    <w:qFormat/>
    <w:rsid w:val="00D908EC"/>
    <w:rPr>
      <w:rFonts w:ascii="Arial Narrow" w:hAnsi="Arial Narrow"/>
    </w:rPr>
    <w:tblPr>
      <w:tblStyleRowBandSize w:val="1"/>
      <w:jc w:val="center"/>
      <w:tblInd w:w="0" w:type="dxa"/>
      <w:tblBorders>
        <w:top w:val="single" w:sz="8" w:space="0" w:color="DDD9C3"/>
        <w:bottom w:val="single" w:sz="8" w:space="0" w:color="92876D"/>
        <w:insideH w:val="single" w:sz="8" w:space="0" w:color="DDD9C3"/>
      </w:tblBorders>
      <w:tblCellMar>
        <w:top w:w="0" w:type="dxa"/>
        <w:left w:w="108" w:type="dxa"/>
        <w:bottom w:w="0" w:type="dxa"/>
        <w:right w:w="108" w:type="dxa"/>
      </w:tblCellMar>
    </w:tblPr>
    <w:trPr>
      <w:cantSplit/>
      <w:jc w:val="center"/>
    </w:trPr>
    <w:tblStylePr w:type="firstRow">
      <w:rPr>
        <w:rFonts w:ascii="Palatino Linotype" w:hAnsi="Palatino Linotype"/>
        <w:b/>
        <w:color w:val="FFFFFF" w:themeColor="background1"/>
      </w:rPr>
      <w:tblPr/>
      <w:tcPr>
        <w:tcBorders>
          <w:bottom w:val="single" w:sz="8" w:space="0" w:color="7D390C" w:themeColor="accent1" w:themeShade="BF"/>
        </w:tcBorders>
        <w:shd w:val="clear" w:color="auto" w:fill="92876D"/>
      </w:tcPr>
    </w:tblStylePr>
    <w:tblStylePr w:type="lastRow">
      <w:tblPr/>
      <w:tcPr>
        <w:tcBorders>
          <w:top w:val="double" w:sz="4" w:space="0" w:color="92876D"/>
        </w:tcBorders>
      </w:tcPr>
    </w:tblStylePr>
    <w:tblStylePr w:type="firstCol">
      <w:rPr>
        <w:rFonts w:ascii="Palatino Linotype" w:hAnsi="Palatino Linotype"/>
        <w:b w:val="0"/>
        <w:color w:val="auto"/>
      </w:rPr>
    </w:tblStylePr>
    <w:tblStylePr w:type="band2Horz">
      <w:tblPr/>
      <w:tcPr>
        <w:shd w:val="clear" w:color="auto" w:fill="DDD9C3"/>
      </w:tcPr>
    </w:tblStylePr>
  </w:style>
  <w:style w:type="paragraph" w:styleId="ListParagraph">
    <w:name w:val="List Paragraph"/>
    <w:basedOn w:val="Normal"/>
    <w:link w:val="ListParagraphChar"/>
    <w:uiPriority w:val="34"/>
    <w:qFormat/>
    <w:rsid w:val="00D908EC"/>
    <w:pPr>
      <w:ind w:left="720"/>
      <w:contextualSpacing/>
    </w:pPr>
  </w:style>
  <w:style w:type="table" w:styleId="TableGrid">
    <w:name w:val="Table Grid"/>
    <w:basedOn w:val="TableNormal"/>
    <w:uiPriority w:val="59"/>
    <w:rsid w:val="00D908E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cicollapsed1">
    <w:name w:val="acicollapsed1"/>
    <w:basedOn w:val="DefaultParagraphFont"/>
    <w:rsid w:val="00D908EC"/>
    <w:rPr>
      <w:vanish/>
      <w:webHidden w:val="0"/>
      <w:specVanish w:val="0"/>
    </w:rPr>
  </w:style>
  <w:style w:type="table" w:styleId="TableList7">
    <w:name w:val="Table List 7"/>
    <w:basedOn w:val="TableNormal"/>
    <w:rsid w:val="00D908EC"/>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paragraph" w:customStyle="1" w:styleId="ExecSummaryHead1">
    <w:name w:val="Exec Summary Head 1"/>
    <w:basedOn w:val="TOCHeading"/>
    <w:next w:val="Normal"/>
    <w:link w:val="ExecSummaryHead1Char"/>
    <w:qFormat/>
    <w:rsid w:val="00D908EC"/>
  </w:style>
  <w:style w:type="character" w:customStyle="1" w:styleId="TOCHeadingChar">
    <w:name w:val="TOC Heading Char"/>
    <w:basedOn w:val="DefaultParagraphFont"/>
    <w:link w:val="TOCHeading"/>
    <w:uiPriority w:val="39"/>
    <w:rsid w:val="00D908EC"/>
    <w:rPr>
      <w:rFonts w:ascii="Palatino Linotype" w:hAnsi="Palatino Linotype"/>
      <w:b/>
      <w:color w:val="FFFFFF"/>
      <w:kern w:val="28"/>
      <w:position w:val="6"/>
      <w:sz w:val="24"/>
      <w:szCs w:val="24"/>
      <w:shd w:val="clear" w:color="auto" w:fill="B55F00"/>
    </w:rPr>
  </w:style>
  <w:style w:type="character" w:customStyle="1" w:styleId="ExecSummaryHead1Char">
    <w:name w:val="Exec Summary Head 1 Char"/>
    <w:basedOn w:val="TOCHeadingChar"/>
    <w:link w:val="ExecSummaryHead1"/>
    <w:rsid w:val="00D908EC"/>
    <w:rPr>
      <w:rFonts w:ascii="Palatino Linotype" w:hAnsi="Palatino Linotype"/>
      <w:b/>
      <w:color w:val="FFFFFF"/>
      <w:kern w:val="28"/>
      <w:position w:val="6"/>
      <w:sz w:val="24"/>
      <w:szCs w:val="24"/>
      <w:shd w:val="clear" w:color="auto" w:fill="B55F00"/>
    </w:rPr>
  </w:style>
  <w:style w:type="character" w:customStyle="1" w:styleId="Heading1Char">
    <w:name w:val="Heading 1 Char"/>
    <w:basedOn w:val="DefaultParagraphFont"/>
    <w:link w:val="Heading1"/>
    <w:rsid w:val="00013969"/>
    <w:rPr>
      <w:rFonts w:ascii="Palatino Linotype" w:hAnsi="Palatino Linotype" w:cs="Arial"/>
      <w:b/>
      <w:bCs/>
      <w:color w:val="FFFFFF"/>
      <w:kern w:val="28"/>
      <w:position w:val="6"/>
      <w:sz w:val="24"/>
      <w:szCs w:val="24"/>
      <w:shd w:val="clear" w:color="auto" w:fill="A15F00"/>
    </w:rPr>
  </w:style>
  <w:style w:type="character" w:customStyle="1" w:styleId="Heading2Char">
    <w:name w:val="Heading 2 Char"/>
    <w:basedOn w:val="DefaultParagraphFont"/>
    <w:link w:val="Heading2"/>
    <w:rsid w:val="00D908EC"/>
    <w:rPr>
      <w:rFonts w:ascii="Palatino Linotype" w:hAnsi="Palatino Linotype" w:cs="Arial"/>
      <w:b/>
      <w:bCs/>
      <w:i/>
      <w:iCs/>
      <w:sz w:val="24"/>
      <w:szCs w:val="28"/>
    </w:rPr>
  </w:style>
  <w:style w:type="character" w:customStyle="1" w:styleId="Heading3Char">
    <w:name w:val="Heading 3 Char"/>
    <w:basedOn w:val="DefaultParagraphFont"/>
    <w:link w:val="Heading3"/>
    <w:rsid w:val="00441D99"/>
    <w:rPr>
      <w:rFonts w:ascii="Palatino Linotype" w:hAnsi="Palatino Linotype" w:cs="Arial"/>
      <w:b/>
      <w:bCs/>
      <w:szCs w:val="26"/>
    </w:rPr>
  </w:style>
  <w:style w:type="character" w:styleId="PlaceholderText">
    <w:name w:val="Placeholder Text"/>
    <w:basedOn w:val="DefaultParagraphFont"/>
    <w:uiPriority w:val="99"/>
    <w:semiHidden/>
    <w:rsid w:val="00D908EC"/>
    <w:rPr>
      <w:color w:val="808080"/>
    </w:rPr>
  </w:style>
  <w:style w:type="paragraph" w:styleId="TOC4">
    <w:name w:val="toc 4"/>
    <w:basedOn w:val="Normal"/>
    <w:next w:val="Normal"/>
    <w:autoRedefine/>
    <w:uiPriority w:val="39"/>
    <w:rsid w:val="00D908EC"/>
    <w:pPr>
      <w:tabs>
        <w:tab w:val="left" w:pos="2700"/>
        <w:tab w:val="right" w:leader="dot" w:pos="9278"/>
      </w:tabs>
      <w:spacing w:after="100"/>
      <w:ind w:left="2700" w:hanging="900"/>
    </w:pPr>
    <w:rPr>
      <w:i/>
      <w:noProof/>
    </w:rPr>
  </w:style>
  <w:style w:type="character" w:customStyle="1" w:styleId="CaptionChar">
    <w:name w:val="Caption Char"/>
    <w:aliases w:val="Table Caption Char,Char Char,Caption Char1 Char Char"/>
    <w:basedOn w:val="DefaultParagraphFont"/>
    <w:link w:val="Caption"/>
    <w:uiPriority w:val="35"/>
    <w:rsid w:val="004301F4"/>
    <w:rPr>
      <w:rFonts w:ascii="Palatino Linotype" w:hAnsi="Palatino Linotype"/>
      <w:b/>
      <w:bCs/>
      <w:color w:val="993300"/>
    </w:rPr>
  </w:style>
  <w:style w:type="paragraph" w:styleId="TableofFigures">
    <w:name w:val="table of figures"/>
    <w:basedOn w:val="Normal"/>
    <w:next w:val="Normal"/>
    <w:uiPriority w:val="99"/>
    <w:rsid w:val="00D908EC"/>
    <w:pPr>
      <w:tabs>
        <w:tab w:val="right" w:leader="dot" w:pos="9274"/>
      </w:tabs>
    </w:pPr>
  </w:style>
  <w:style w:type="paragraph" w:customStyle="1" w:styleId="Source">
    <w:name w:val="Source"/>
    <w:basedOn w:val="Normal"/>
    <w:link w:val="SourceChar"/>
    <w:qFormat/>
    <w:rsid w:val="00D908EC"/>
    <w:rPr>
      <w:i/>
      <w:sz w:val="18"/>
      <w:szCs w:val="20"/>
    </w:rPr>
  </w:style>
  <w:style w:type="character" w:customStyle="1" w:styleId="SourceChar">
    <w:name w:val="Source Char"/>
    <w:basedOn w:val="DefaultParagraphFont"/>
    <w:link w:val="Source"/>
    <w:rsid w:val="00D908EC"/>
    <w:rPr>
      <w:rFonts w:ascii="Palatino Linotype" w:hAnsi="Palatino Linotype"/>
      <w:i/>
      <w:sz w:val="18"/>
    </w:rPr>
  </w:style>
  <w:style w:type="character" w:styleId="Strong">
    <w:name w:val="Strong"/>
    <w:basedOn w:val="DefaultParagraphFont"/>
    <w:qFormat/>
    <w:rsid w:val="005D0F55"/>
    <w:rPr>
      <w:rFonts w:ascii="Palatino Linotype" w:hAnsi="Palatino Linotype"/>
      <w:b/>
      <w:bCs/>
      <w:sz w:val="20"/>
    </w:rPr>
  </w:style>
  <w:style w:type="character" w:styleId="Emphasis">
    <w:name w:val="Emphasis"/>
    <w:basedOn w:val="DefaultParagraphFont"/>
    <w:qFormat/>
    <w:rsid w:val="005D0F55"/>
    <w:rPr>
      <w:i/>
      <w:iCs/>
    </w:rPr>
  </w:style>
  <w:style w:type="paragraph" w:styleId="Quote">
    <w:name w:val="Quote"/>
    <w:basedOn w:val="Normal"/>
    <w:next w:val="Normal"/>
    <w:link w:val="QuoteChar"/>
    <w:uiPriority w:val="29"/>
    <w:qFormat/>
    <w:rsid w:val="005D0F55"/>
    <w:rPr>
      <w:i/>
      <w:iCs/>
      <w:color w:val="000000" w:themeColor="text1"/>
    </w:rPr>
  </w:style>
  <w:style w:type="character" w:customStyle="1" w:styleId="QuoteChar">
    <w:name w:val="Quote Char"/>
    <w:basedOn w:val="DefaultParagraphFont"/>
    <w:link w:val="Quote"/>
    <w:uiPriority w:val="29"/>
    <w:rsid w:val="005D0F55"/>
    <w:rPr>
      <w:rFonts w:ascii="Palatino Linotype" w:hAnsi="Palatino Linotype"/>
      <w:i/>
      <w:iCs/>
      <w:color w:val="000000" w:themeColor="text1"/>
      <w:szCs w:val="24"/>
    </w:rPr>
  </w:style>
  <w:style w:type="character" w:customStyle="1" w:styleId="HeaderChar">
    <w:name w:val="Header Char"/>
    <w:aliases w:val="h Char,Header/Footer Char,header odd Char,Hyphen Char"/>
    <w:basedOn w:val="DefaultParagraphFont"/>
    <w:link w:val="Header"/>
    <w:locked/>
    <w:rsid w:val="00D908EC"/>
    <w:rPr>
      <w:rFonts w:ascii="Palatino Linotype" w:hAnsi="Palatino Linotype"/>
      <w:szCs w:val="24"/>
    </w:rPr>
  </w:style>
  <w:style w:type="table" w:customStyle="1" w:styleId="ComEdTable">
    <w:name w:val="ComEd Table"/>
    <w:basedOn w:val="TableNormal"/>
    <w:uiPriority w:val="99"/>
    <w:qFormat/>
    <w:rsid w:val="00D908EC"/>
    <w:pPr>
      <w:jc w:val="right"/>
    </w:pPr>
    <w:rPr>
      <w:rFonts w:ascii="Arial Narrow" w:hAnsi="Arial Narrow"/>
    </w:rPr>
    <w:tblPr>
      <w:tblStyleRowBandSize w:val="1"/>
      <w:jc w:val="center"/>
      <w:tblInd w:w="0" w:type="dxa"/>
      <w:tblBorders>
        <w:top w:val="single" w:sz="8" w:space="0" w:color="DDD9C3"/>
        <w:bottom w:val="single" w:sz="8" w:space="0" w:color="92876D"/>
        <w:insideH w:val="single" w:sz="8" w:space="0" w:color="DDD9C3"/>
      </w:tblBorders>
      <w:tblCellMar>
        <w:top w:w="0" w:type="dxa"/>
        <w:left w:w="108" w:type="dxa"/>
        <w:bottom w:w="0" w:type="dxa"/>
        <w:right w:w="108" w:type="dxa"/>
      </w:tblCellMar>
    </w:tblPr>
    <w:trPr>
      <w:cantSplit/>
      <w:jc w:val="center"/>
    </w:trPr>
    <w:tcPr>
      <w:vAlign w:val="center"/>
    </w:tcPr>
    <w:tblStylePr w:type="firstRow">
      <w:rPr>
        <w:rFonts w:ascii="Palatino Linotype" w:hAnsi="Palatino Linotype"/>
        <w:b/>
        <w:color w:val="FFFFFF" w:themeColor="background1"/>
      </w:rPr>
      <w:tblPr/>
      <w:tcPr>
        <w:tcBorders>
          <w:bottom w:val="nil"/>
        </w:tcBorders>
        <w:shd w:val="clear" w:color="auto" w:fill="92876D"/>
      </w:tcPr>
    </w:tblStylePr>
    <w:tblStylePr w:type="lastRow">
      <w:tblPr/>
      <w:tcPr>
        <w:tcBorders>
          <w:top w:val="single" w:sz="4" w:space="0" w:color="92876D"/>
        </w:tcBorders>
      </w:tcPr>
    </w:tblStylePr>
    <w:tblStylePr w:type="firstCol">
      <w:rPr>
        <w:rFonts w:ascii="Palatino Linotype" w:hAnsi="Palatino Linotype"/>
        <w:b w:val="0"/>
        <w:color w:val="auto"/>
      </w:rPr>
    </w:tblStylePr>
  </w:style>
  <w:style w:type="character" w:styleId="CommentReference">
    <w:name w:val="annotation reference"/>
    <w:basedOn w:val="DefaultParagraphFont"/>
    <w:uiPriority w:val="99"/>
    <w:rsid w:val="00D908EC"/>
    <w:rPr>
      <w:sz w:val="16"/>
      <w:szCs w:val="16"/>
    </w:rPr>
  </w:style>
  <w:style w:type="paragraph" w:styleId="CommentText">
    <w:name w:val="annotation text"/>
    <w:basedOn w:val="Normal"/>
    <w:link w:val="CommentTextChar"/>
    <w:rsid w:val="00D908EC"/>
    <w:rPr>
      <w:szCs w:val="20"/>
    </w:rPr>
  </w:style>
  <w:style w:type="character" w:customStyle="1" w:styleId="CommentTextChar">
    <w:name w:val="Comment Text Char"/>
    <w:basedOn w:val="DefaultParagraphFont"/>
    <w:link w:val="CommentText"/>
    <w:rsid w:val="00D908EC"/>
    <w:rPr>
      <w:rFonts w:ascii="Palatino Linotype" w:hAnsi="Palatino Linotype"/>
    </w:rPr>
  </w:style>
  <w:style w:type="paragraph" w:styleId="CommentSubject">
    <w:name w:val="annotation subject"/>
    <w:basedOn w:val="CommentText"/>
    <w:next w:val="CommentText"/>
    <w:link w:val="CommentSubjectChar"/>
    <w:rsid w:val="00D908EC"/>
    <w:rPr>
      <w:b/>
      <w:bCs/>
    </w:rPr>
  </w:style>
  <w:style w:type="character" w:customStyle="1" w:styleId="CommentSubjectChar">
    <w:name w:val="Comment Subject Char"/>
    <w:basedOn w:val="CommentTextChar"/>
    <w:link w:val="CommentSubject"/>
    <w:rsid w:val="00D908EC"/>
    <w:rPr>
      <w:rFonts w:ascii="Palatino Linotype" w:hAnsi="Palatino Linotype"/>
      <w:b/>
      <w:bCs/>
    </w:rPr>
  </w:style>
  <w:style w:type="paragraph" w:styleId="BalloonText">
    <w:name w:val="Balloon Text"/>
    <w:basedOn w:val="Normal"/>
    <w:link w:val="BalloonTextChar"/>
    <w:rsid w:val="00D908EC"/>
    <w:rPr>
      <w:rFonts w:ascii="Tahoma" w:hAnsi="Tahoma" w:cs="Tahoma"/>
      <w:sz w:val="16"/>
      <w:szCs w:val="16"/>
    </w:rPr>
  </w:style>
  <w:style w:type="character" w:customStyle="1" w:styleId="BalloonTextChar">
    <w:name w:val="Balloon Text Char"/>
    <w:basedOn w:val="DefaultParagraphFont"/>
    <w:link w:val="BalloonText"/>
    <w:rsid w:val="00D908EC"/>
    <w:rPr>
      <w:rFonts w:ascii="Tahoma" w:hAnsi="Tahoma" w:cs="Tahoma"/>
      <w:sz w:val="16"/>
      <w:szCs w:val="16"/>
    </w:rPr>
  </w:style>
  <w:style w:type="paragraph" w:customStyle="1" w:styleId="PresentedBy">
    <w:name w:val="Presented By"/>
    <w:basedOn w:val="Normal"/>
    <w:link w:val="PresentedByChar"/>
    <w:rsid w:val="00D908EC"/>
    <w:pPr>
      <w:tabs>
        <w:tab w:val="left" w:pos="360"/>
        <w:tab w:val="left" w:pos="720"/>
        <w:tab w:val="left" w:pos="1080"/>
        <w:tab w:val="left" w:pos="1440"/>
      </w:tabs>
    </w:pPr>
    <w:rPr>
      <w:color w:val="6F6754"/>
      <w:sz w:val="22"/>
    </w:rPr>
  </w:style>
  <w:style w:type="character" w:customStyle="1" w:styleId="PresentedByChar">
    <w:name w:val="Presented By Char"/>
    <w:link w:val="PresentedBy"/>
    <w:locked/>
    <w:rsid w:val="00D908EC"/>
    <w:rPr>
      <w:rFonts w:ascii="Palatino Linotype" w:hAnsi="Palatino Linotype"/>
      <w:color w:val="6F6754"/>
      <w:sz w:val="22"/>
      <w:szCs w:val="24"/>
    </w:rPr>
  </w:style>
  <w:style w:type="character" w:styleId="PageNumber">
    <w:name w:val="page number"/>
    <w:basedOn w:val="DefaultParagraphFont"/>
    <w:uiPriority w:val="99"/>
    <w:rsid w:val="00D908EC"/>
  </w:style>
  <w:style w:type="paragraph" w:customStyle="1" w:styleId="Contactinfo">
    <w:name w:val="Contact info"/>
    <w:basedOn w:val="Normal"/>
    <w:uiPriority w:val="99"/>
    <w:rsid w:val="00D908EC"/>
    <w:rPr>
      <w:sz w:val="22"/>
    </w:rPr>
  </w:style>
  <w:style w:type="character" w:customStyle="1" w:styleId="FooterChar">
    <w:name w:val="Footer Char"/>
    <w:basedOn w:val="DefaultParagraphFont"/>
    <w:link w:val="Footer"/>
    <w:locked/>
    <w:rsid w:val="00D908EC"/>
    <w:rPr>
      <w:rFonts w:ascii="Arial Narrow" w:hAnsi="Arial Narrow"/>
      <w:color w:val="6F6754"/>
      <w:sz w:val="18"/>
      <w:szCs w:val="24"/>
    </w:rPr>
  </w:style>
  <w:style w:type="paragraph" w:customStyle="1" w:styleId="TitlePage1">
    <w:name w:val="Title Page 1"/>
    <w:basedOn w:val="Normal"/>
    <w:link w:val="TitlePage1Char"/>
    <w:uiPriority w:val="99"/>
    <w:qFormat/>
    <w:rsid w:val="00D908EC"/>
    <w:pPr>
      <w:jc w:val="center"/>
    </w:pPr>
    <w:rPr>
      <w:b/>
      <w:bCs/>
      <w:color w:val="000000" w:themeColor="text1"/>
      <w:sz w:val="44"/>
    </w:rPr>
  </w:style>
  <w:style w:type="paragraph" w:customStyle="1" w:styleId="TitlePage2">
    <w:name w:val="Title Page 2"/>
    <w:basedOn w:val="Normal"/>
    <w:link w:val="TitlePage2Char"/>
    <w:uiPriority w:val="99"/>
    <w:qFormat/>
    <w:rsid w:val="00D908EC"/>
    <w:pPr>
      <w:jc w:val="center"/>
    </w:pPr>
    <w:rPr>
      <w:b/>
      <w:bCs/>
      <w:color w:val="6F6754"/>
      <w:sz w:val="36"/>
      <w:szCs w:val="28"/>
    </w:rPr>
  </w:style>
  <w:style w:type="character" w:customStyle="1" w:styleId="TitlePage1Char">
    <w:name w:val="Title Page 1 Char"/>
    <w:link w:val="TitlePage1"/>
    <w:uiPriority w:val="99"/>
    <w:rsid w:val="00D908EC"/>
    <w:rPr>
      <w:rFonts w:ascii="Palatino Linotype" w:hAnsi="Palatino Linotype"/>
      <w:b/>
      <w:bCs/>
      <w:color w:val="000000" w:themeColor="text1"/>
      <w:sz w:val="44"/>
      <w:szCs w:val="24"/>
    </w:rPr>
  </w:style>
  <w:style w:type="character" w:customStyle="1" w:styleId="TitlePage2Char">
    <w:name w:val="Title Page 2 Char"/>
    <w:link w:val="TitlePage2"/>
    <w:uiPriority w:val="99"/>
    <w:rsid w:val="00D908EC"/>
    <w:rPr>
      <w:rFonts w:ascii="Palatino Linotype" w:hAnsi="Palatino Linotype"/>
      <w:b/>
      <w:bCs/>
      <w:color w:val="6F6754"/>
      <w:sz w:val="36"/>
      <w:szCs w:val="28"/>
    </w:rPr>
  </w:style>
  <w:style w:type="paragraph" w:customStyle="1" w:styleId="AnswerNumbered">
    <w:name w:val="Answer Numbered"/>
    <w:basedOn w:val="Normal"/>
    <w:uiPriority w:val="99"/>
    <w:rsid w:val="00D908EC"/>
    <w:pPr>
      <w:numPr>
        <w:numId w:val="2"/>
      </w:numPr>
    </w:pPr>
    <w:rPr>
      <w:szCs w:val="20"/>
    </w:rPr>
  </w:style>
  <w:style w:type="paragraph" w:styleId="BodyText">
    <w:name w:val="Body Text"/>
    <w:basedOn w:val="Normal"/>
    <w:link w:val="BodyTextChar"/>
    <w:rsid w:val="00D908EC"/>
    <w:pPr>
      <w:tabs>
        <w:tab w:val="left" w:pos="360"/>
        <w:tab w:val="left" w:pos="720"/>
        <w:tab w:val="left" w:pos="1080"/>
        <w:tab w:val="left" w:pos="1440"/>
      </w:tabs>
      <w:spacing w:after="120"/>
    </w:pPr>
    <w:rPr>
      <w:sz w:val="22"/>
    </w:rPr>
  </w:style>
  <w:style w:type="character" w:customStyle="1" w:styleId="BodyTextChar">
    <w:name w:val="Body Text Char"/>
    <w:basedOn w:val="DefaultParagraphFont"/>
    <w:link w:val="BodyText"/>
    <w:rsid w:val="00D908EC"/>
    <w:rPr>
      <w:rFonts w:ascii="Palatino Linotype" w:hAnsi="Palatino Linotype"/>
      <w:sz w:val="22"/>
      <w:szCs w:val="24"/>
    </w:rPr>
  </w:style>
  <w:style w:type="paragraph" w:customStyle="1" w:styleId="Char1CharCharChar">
    <w:name w:val="Char1 Char Char Char"/>
    <w:basedOn w:val="Normal"/>
    <w:uiPriority w:val="99"/>
    <w:rsid w:val="00D908EC"/>
    <w:pPr>
      <w:spacing w:after="160" w:line="240" w:lineRule="exact"/>
    </w:pPr>
    <w:rPr>
      <w:rFonts w:ascii="Verdana" w:hAnsi="Verdana"/>
      <w:szCs w:val="20"/>
    </w:rPr>
  </w:style>
  <w:style w:type="table" w:customStyle="1" w:styleId="ComEdReportTable">
    <w:name w:val="ComEdReportTable"/>
    <w:uiPriority w:val="99"/>
    <w:rsid w:val="00D908EC"/>
    <w:rPr>
      <w:sz w:val="22"/>
      <w:szCs w:val="22"/>
    </w:rPr>
    <w:tblPr>
      <w:tblStyleRowBandSize w:val="1"/>
      <w:tblStyleCol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style>
  <w:style w:type="paragraph" w:customStyle="1" w:styleId="Default">
    <w:name w:val="Default"/>
    <w:rsid w:val="00D908EC"/>
    <w:pPr>
      <w:widowControl w:val="0"/>
      <w:autoSpaceDE w:val="0"/>
      <w:autoSpaceDN w:val="0"/>
      <w:adjustRightInd w:val="0"/>
    </w:pPr>
    <w:rPr>
      <w:rFonts w:ascii="Arial" w:hAnsi="Arial" w:cs="Arial"/>
      <w:color w:val="000000"/>
      <w:sz w:val="24"/>
      <w:szCs w:val="24"/>
    </w:rPr>
  </w:style>
  <w:style w:type="table" w:customStyle="1" w:styleId="EnergyPracticeTable">
    <w:name w:val="Energy Practice Table"/>
    <w:basedOn w:val="TableNormal"/>
    <w:uiPriority w:val="99"/>
    <w:qFormat/>
    <w:rsid w:val="00D908EC"/>
    <w:pPr>
      <w:spacing w:before="60" w:after="60"/>
      <w:jc w:val="center"/>
    </w:pPr>
    <w:rPr>
      <w:rFonts w:ascii="Palatino Linotype" w:hAnsi="Palatino Linotype"/>
    </w:rPr>
    <w:tblPr>
      <w:jc w:val="center"/>
      <w:tblInd w:w="0" w:type="dxa"/>
      <w:tblBorders>
        <w:bottom w:val="single" w:sz="4" w:space="0" w:color="A29784"/>
        <w:insideH w:val="single" w:sz="4" w:space="0" w:color="A29784"/>
        <w:insideV w:val="single" w:sz="4" w:space="0" w:color="A29784"/>
      </w:tblBorders>
      <w:tblCellMar>
        <w:top w:w="0" w:type="dxa"/>
        <w:left w:w="108" w:type="dxa"/>
        <w:bottom w:w="0" w:type="dxa"/>
        <w:right w:w="108" w:type="dxa"/>
      </w:tblCellMar>
    </w:tblPr>
    <w:trPr>
      <w:jc w:val="center"/>
    </w:trPr>
    <w:tcPr>
      <w:vAlign w:val="center"/>
    </w:tcPr>
    <w:tblStylePr w:type="firstRow">
      <w:pPr>
        <w:wordWrap/>
        <w:spacing w:beforeLines="0" w:beforeAutospacing="0" w:afterLines="0" w:afterAutospacing="0" w:line="240" w:lineRule="auto"/>
        <w:jc w:val="center"/>
      </w:pPr>
      <w:rPr>
        <w:rFonts w:ascii="Tahoma" w:hAnsi="Tahoma"/>
        <w:b/>
        <w:color w:val="FFFFFF"/>
        <w:sz w:val="20"/>
      </w:rPr>
      <w:tblPr/>
      <w:trPr>
        <w:tblHeader/>
      </w:trPr>
      <w:tcPr>
        <w:tcBorders>
          <w:top w:val="nil"/>
          <w:left w:val="nil"/>
          <w:bottom w:val="single" w:sz="4" w:space="0" w:color="993300"/>
          <w:right w:val="nil"/>
          <w:insideH w:val="nil"/>
          <w:insideV w:val="single" w:sz="4" w:space="0" w:color="FFFFFF"/>
          <w:tl2br w:val="nil"/>
          <w:tr2bl w:val="nil"/>
        </w:tcBorders>
        <w:shd w:val="clear" w:color="auto" w:fill="A29784"/>
        <w:vAlign w:val="bottom"/>
      </w:tcPr>
    </w:tblStylePr>
    <w:tblStylePr w:type="firstCol">
      <w:pPr>
        <w:wordWrap/>
        <w:spacing w:beforeLines="0" w:beforeAutospacing="0" w:afterLines="0" w:afterAutospacing="0" w:line="240" w:lineRule="auto"/>
        <w:jc w:val="left"/>
      </w:pPr>
      <w:rPr>
        <w:rFonts w:ascii="Tahoma" w:hAnsi="Tahoma"/>
        <w:color w:val="auto"/>
        <w:sz w:val="20"/>
      </w:rPr>
    </w:tblStylePr>
  </w:style>
  <w:style w:type="paragraph" w:customStyle="1" w:styleId="ESHeading2">
    <w:name w:val="ES Heading 2"/>
    <w:basedOn w:val="Heading2"/>
    <w:next w:val="Normal"/>
    <w:uiPriority w:val="99"/>
    <w:rsid w:val="00D908EC"/>
    <w:pPr>
      <w:numPr>
        <w:ilvl w:val="0"/>
        <w:numId w:val="0"/>
      </w:numPr>
      <w:tabs>
        <w:tab w:val="left" w:pos="720"/>
      </w:tabs>
      <w:spacing w:after="240"/>
    </w:pPr>
    <w:rPr>
      <w:rFonts w:cs="Times New Roman"/>
      <w:bCs w:val="0"/>
      <w:iCs w:val="0"/>
      <w:szCs w:val="36"/>
    </w:rPr>
  </w:style>
  <w:style w:type="paragraph" w:customStyle="1" w:styleId="Finding">
    <w:name w:val="Finding"/>
    <w:basedOn w:val="Normal"/>
    <w:link w:val="FindingChar"/>
    <w:qFormat/>
    <w:rsid w:val="00D908EC"/>
    <w:pPr>
      <w:ind w:left="1080" w:hanging="360"/>
    </w:pPr>
  </w:style>
  <w:style w:type="character" w:customStyle="1" w:styleId="FindingChar">
    <w:name w:val="Finding Char"/>
    <w:basedOn w:val="DefaultParagraphFont"/>
    <w:link w:val="Finding"/>
    <w:rsid w:val="00D908EC"/>
    <w:rPr>
      <w:rFonts w:ascii="Palatino Linotype" w:hAnsi="Palatino Linotype"/>
      <w:szCs w:val="24"/>
    </w:rPr>
  </w:style>
  <w:style w:type="character" w:customStyle="1" w:styleId="FootnoteTextChar1">
    <w:name w:val="Footnote Text Char1"/>
    <w:basedOn w:val="DefaultParagraphFont"/>
    <w:uiPriority w:val="99"/>
    <w:locked/>
    <w:rsid w:val="00D908EC"/>
    <w:rPr>
      <w:rFonts w:cs="Times New Roman"/>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link w:val="FootnoteText"/>
    <w:uiPriority w:val="99"/>
    <w:rsid w:val="00D908EC"/>
    <w:rPr>
      <w:rFonts w:ascii="Palatino Linotype" w:hAnsi="Palatino Linotype"/>
      <w:sz w:val="18"/>
    </w:rPr>
  </w:style>
  <w:style w:type="paragraph" w:customStyle="1" w:styleId="GraphFootnote">
    <w:name w:val="Graph Footnote"/>
    <w:basedOn w:val="Normal"/>
    <w:next w:val="Normal"/>
    <w:uiPriority w:val="99"/>
    <w:rsid w:val="00D908EC"/>
    <w:rPr>
      <w:rFonts w:ascii="Arial Narrow" w:hAnsi="Arial Narrow"/>
      <w:sz w:val="18"/>
    </w:rPr>
  </w:style>
  <w:style w:type="paragraph" w:customStyle="1" w:styleId="Heading3Appendix">
    <w:name w:val="Heading 3 Appendix"/>
    <w:basedOn w:val="Heading3"/>
    <w:qFormat/>
    <w:rsid w:val="00D908EC"/>
  </w:style>
  <w:style w:type="table" w:customStyle="1" w:styleId="LightShading1">
    <w:name w:val="Light Shading1"/>
    <w:uiPriority w:val="99"/>
    <w:rsid w:val="00D908E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customStyle="1" w:styleId="ListParagraphChar">
    <w:name w:val="List Paragraph Char"/>
    <w:basedOn w:val="DefaultParagraphFont"/>
    <w:link w:val="ListParagraph"/>
    <w:uiPriority w:val="34"/>
    <w:rsid w:val="00D908EC"/>
    <w:rPr>
      <w:rFonts w:ascii="Palatino Linotype" w:hAnsi="Palatino Linotype"/>
      <w:szCs w:val="24"/>
    </w:rPr>
  </w:style>
  <w:style w:type="paragraph" w:styleId="NormalWeb">
    <w:name w:val="Normal (Web)"/>
    <w:basedOn w:val="Normal"/>
    <w:uiPriority w:val="99"/>
    <w:unhideWhenUsed/>
    <w:rsid w:val="00D908EC"/>
    <w:pPr>
      <w:spacing w:before="100" w:beforeAutospacing="1" w:after="100" w:afterAutospacing="1"/>
    </w:pPr>
    <w:rPr>
      <w:rFonts w:ascii="Times New Roman" w:eastAsiaTheme="minorHAnsi" w:hAnsi="Times New Roman"/>
      <w:sz w:val="24"/>
    </w:rPr>
  </w:style>
  <w:style w:type="paragraph" w:customStyle="1" w:styleId="ParaText">
    <w:name w:val="ParaText"/>
    <w:basedOn w:val="Normal"/>
    <w:link w:val="ParaTextChar"/>
    <w:uiPriority w:val="99"/>
    <w:rsid w:val="00D908EC"/>
    <w:pPr>
      <w:spacing w:after="240"/>
    </w:pPr>
    <w:rPr>
      <w:szCs w:val="20"/>
    </w:rPr>
  </w:style>
  <w:style w:type="character" w:customStyle="1" w:styleId="ParaTextChar">
    <w:name w:val="ParaText Char"/>
    <w:basedOn w:val="DefaultParagraphFont"/>
    <w:link w:val="ParaText"/>
    <w:uiPriority w:val="99"/>
    <w:locked/>
    <w:rsid w:val="00D908EC"/>
    <w:rPr>
      <w:rFonts w:ascii="Palatino Linotype" w:hAnsi="Palatino Linotype"/>
    </w:rPr>
  </w:style>
  <w:style w:type="paragraph" w:customStyle="1" w:styleId="pB">
    <w:name w:val="pB"/>
    <w:basedOn w:val="Normal"/>
    <w:next w:val="Normal"/>
    <w:link w:val="pBChar"/>
    <w:uiPriority w:val="99"/>
    <w:rsid w:val="00D908EC"/>
    <w:pPr>
      <w:tabs>
        <w:tab w:val="left" w:pos="720"/>
        <w:tab w:val="left" w:pos="1080"/>
      </w:tabs>
      <w:spacing w:line="280" w:lineRule="atLeast"/>
      <w:ind w:left="720" w:right="288" w:hanging="432"/>
    </w:pPr>
    <w:rPr>
      <w:sz w:val="24"/>
    </w:rPr>
  </w:style>
  <w:style w:type="character" w:customStyle="1" w:styleId="pBChar">
    <w:name w:val="pB Char"/>
    <w:basedOn w:val="DefaultParagraphFont"/>
    <w:link w:val="pB"/>
    <w:uiPriority w:val="99"/>
    <w:locked/>
    <w:rsid w:val="00D908EC"/>
    <w:rPr>
      <w:rFonts w:ascii="Palatino Linotype" w:hAnsi="Palatino Linotype"/>
      <w:sz w:val="24"/>
      <w:szCs w:val="24"/>
    </w:rPr>
  </w:style>
  <w:style w:type="table" w:customStyle="1" w:styleId="Style3">
    <w:name w:val="Style3"/>
    <w:basedOn w:val="TableNormal"/>
    <w:uiPriority w:val="99"/>
    <w:qFormat/>
    <w:rsid w:val="00D908EC"/>
    <w:pPr>
      <w:jc w:val="center"/>
    </w:pPr>
    <w:rPr>
      <w:rFonts w:ascii="Palatino Linotype" w:hAnsi="Palatino Linotype"/>
      <w:sz w:val="22"/>
    </w:rPr>
    <w:tblPr>
      <w:tblInd w:w="0" w:type="dxa"/>
      <w:tblBorders>
        <w:bottom w:val="single" w:sz="4" w:space="0" w:color="A29784"/>
        <w:insideH w:val="single" w:sz="4" w:space="0" w:color="A29784"/>
        <w:insideV w:val="single" w:sz="4" w:space="0" w:color="A29784"/>
      </w:tblBorders>
      <w:tblCellMar>
        <w:top w:w="0" w:type="dxa"/>
        <w:left w:w="108" w:type="dxa"/>
        <w:bottom w:w="0" w:type="dxa"/>
        <w:right w:w="108" w:type="dxa"/>
      </w:tblCellMar>
    </w:tblPr>
    <w:tcPr>
      <w:vAlign w:val="center"/>
    </w:tcPr>
    <w:tblStylePr w:type="firstRow">
      <w:pPr>
        <w:wordWrap/>
        <w:spacing w:beforeLines="0" w:beforeAutospacing="0" w:afterLines="0" w:afterAutospacing="0" w:line="240" w:lineRule="auto"/>
        <w:jc w:val="center"/>
      </w:pPr>
      <w:rPr>
        <w:rFonts w:ascii="Palatino Linotype" w:hAnsi="Palatino Linotype"/>
        <w:b/>
        <w:color w:val="FFFFFF"/>
        <w:sz w:val="22"/>
      </w:rPr>
      <w:tblPr/>
      <w:tcPr>
        <w:tcBorders>
          <w:top w:val="nil"/>
          <w:left w:val="nil"/>
          <w:bottom w:val="nil"/>
          <w:right w:val="nil"/>
          <w:insideH w:val="nil"/>
          <w:insideV w:val="single" w:sz="4" w:space="0" w:color="FFFFFF"/>
          <w:tl2br w:val="nil"/>
          <w:tr2bl w:val="nil"/>
        </w:tcBorders>
        <w:shd w:val="clear" w:color="auto" w:fill="A29784"/>
        <w:vAlign w:val="bottom"/>
      </w:tcPr>
    </w:tblStylePr>
    <w:tblStylePr w:type="firstCol">
      <w:pPr>
        <w:wordWrap/>
        <w:spacing w:beforeLines="0" w:beforeAutospacing="0" w:afterLines="0" w:afterAutospacing="0" w:line="240" w:lineRule="auto"/>
        <w:jc w:val="left"/>
      </w:pPr>
      <w:rPr>
        <w:rFonts w:ascii="Palatino Linotype" w:hAnsi="Palatino Linotype"/>
        <w:color w:val="auto"/>
        <w:sz w:val="22"/>
      </w:rPr>
    </w:tblStylePr>
  </w:style>
  <w:style w:type="character" w:customStyle="1" w:styleId="SubtitleChar">
    <w:name w:val="Subtitle Char"/>
    <w:basedOn w:val="DefaultParagraphFont"/>
    <w:link w:val="Subtitle"/>
    <w:rsid w:val="00D908EC"/>
    <w:rPr>
      <w:rFonts w:ascii="Palatino Linotype" w:hAnsi="Palatino Linotype"/>
      <w:b/>
      <w:bCs/>
      <w:color w:val="6F6754"/>
      <w:sz w:val="24"/>
      <w:szCs w:val="24"/>
    </w:rPr>
  </w:style>
  <w:style w:type="character" w:customStyle="1" w:styleId="TitleChar">
    <w:name w:val="Title Char"/>
    <w:basedOn w:val="DefaultParagraphFont"/>
    <w:link w:val="Title"/>
    <w:rsid w:val="00D908EC"/>
    <w:rPr>
      <w:rFonts w:ascii="Palatino Linotype" w:hAnsi="Palatino Linotype"/>
      <w:b/>
      <w:bCs/>
      <w:color w:val="6F6754"/>
      <w:sz w:val="36"/>
      <w:szCs w:val="24"/>
    </w:rPr>
  </w:style>
  <w:style w:type="paragraph" w:styleId="Revision">
    <w:name w:val="Revision"/>
    <w:hidden/>
    <w:uiPriority w:val="99"/>
    <w:semiHidden/>
    <w:rsid w:val="002E5EE9"/>
    <w:rPr>
      <w:rFonts w:ascii="Palatino Linotype" w:hAnsi="Palatino Linotype"/>
      <w:szCs w:val="24"/>
    </w:rPr>
  </w:style>
  <w:style w:type="paragraph" w:customStyle="1" w:styleId="Bullets-SingleSpace">
    <w:name w:val="Bullets - Single Space"/>
    <w:basedOn w:val="Normal"/>
    <w:uiPriority w:val="99"/>
    <w:rsid w:val="001E0069"/>
    <w:pPr>
      <w:numPr>
        <w:numId w:val="12"/>
      </w:numPr>
      <w:tabs>
        <w:tab w:val="num" w:pos="936"/>
      </w:tabs>
    </w:pPr>
    <w:rPr>
      <w:rFonts w:ascii="Times New Roman" w:hAnsi="Times New Roman"/>
      <w:szCs w:val="22"/>
    </w:rPr>
  </w:style>
  <w:style w:type="paragraph" w:customStyle="1" w:styleId="MTDisplayEquation">
    <w:name w:val="MTDisplayEquation"/>
    <w:basedOn w:val="Normal"/>
    <w:next w:val="Normal"/>
    <w:link w:val="MTDisplayEquationChar"/>
    <w:rsid w:val="001E0069"/>
    <w:pPr>
      <w:tabs>
        <w:tab w:val="center" w:pos="4680"/>
        <w:tab w:val="right" w:pos="9360"/>
      </w:tabs>
      <w:spacing w:after="200" w:line="276" w:lineRule="auto"/>
    </w:pPr>
    <w:rPr>
      <w:rFonts w:ascii="Garamond" w:eastAsiaTheme="minorHAnsi" w:hAnsi="Garamond" w:cstheme="minorBidi"/>
      <w:sz w:val="22"/>
      <w:szCs w:val="22"/>
    </w:rPr>
  </w:style>
  <w:style w:type="character" w:customStyle="1" w:styleId="MTDisplayEquationChar">
    <w:name w:val="MTDisplayEquation Char"/>
    <w:basedOn w:val="DefaultParagraphFont"/>
    <w:link w:val="MTDisplayEquation"/>
    <w:rsid w:val="001E0069"/>
    <w:rPr>
      <w:rFonts w:ascii="Garamond" w:eastAsiaTheme="minorHAnsi" w:hAnsi="Garamond" w:cstheme="minorBidi"/>
      <w:sz w:val="22"/>
      <w:szCs w:val="22"/>
    </w:rPr>
  </w:style>
  <w:style w:type="character" w:styleId="FollowedHyperlink">
    <w:name w:val="FollowedHyperlink"/>
    <w:basedOn w:val="DefaultParagraphFont"/>
    <w:rsid w:val="001E0069"/>
    <w:rPr>
      <w:color w:val="7E4300" w:themeColor="followedHyperlink"/>
      <w:u w:val="single"/>
    </w:rPr>
  </w:style>
  <w:style w:type="paragraph" w:styleId="HTMLPreformatted">
    <w:name w:val="HTML Preformatted"/>
    <w:basedOn w:val="Normal"/>
    <w:link w:val="HTMLPreformattedChar"/>
    <w:uiPriority w:val="99"/>
    <w:unhideWhenUsed/>
    <w:rsid w:val="00CD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CD7F1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71513">
      <w:bodyDiv w:val="1"/>
      <w:marLeft w:val="0"/>
      <w:marRight w:val="0"/>
      <w:marTop w:val="0"/>
      <w:marBottom w:val="0"/>
      <w:divBdr>
        <w:top w:val="none" w:sz="0" w:space="0" w:color="auto"/>
        <w:left w:val="none" w:sz="0" w:space="0" w:color="auto"/>
        <w:bottom w:val="none" w:sz="0" w:space="0" w:color="auto"/>
        <w:right w:val="none" w:sz="0" w:space="0" w:color="auto"/>
      </w:divBdr>
    </w:div>
    <w:div w:id="354159498">
      <w:bodyDiv w:val="1"/>
      <w:marLeft w:val="0"/>
      <w:marRight w:val="0"/>
      <w:marTop w:val="0"/>
      <w:marBottom w:val="0"/>
      <w:divBdr>
        <w:top w:val="none" w:sz="0" w:space="0" w:color="auto"/>
        <w:left w:val="none" w:sz="0" w:space="0" w:color="auto"/>
        <w:bottom w:val="none" w:sz="0" w:space="0" w:color="auto"/>
        <w:right w:val="none" w:sz="0" w:space="0" w:color="auto"/>
      </w:divBdr>
      <w:divsChild>
        <w:div w:id="511917668">
          <w:marLeft w:val="136"/>
          <w:marRight w:val="136"/>
          <w:marTop w:val="204"/>
          <w:marBottom w:val="0"/>
          <w:divBdr>
            <w:top w:val="none" w:sz="0" w:space="0" w:color="auto"/>
            <w:left w:val="none" w:sz="0" w:space="0" w:color="auto"/>
            <w:bottom w:val="none" w:sz="0" w:space="0" w:color="auto"/>
            <w:right w:val="none" w:sz="0" w:space="0" w:color="auto"/>
          </w:divBdr>
          <w:divsChild>
            <w:div w:id="147282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325690">
      <w:bodyDiv w:val="1"/>
      <w:marLeft w:val="0"/>
      <w:marRight w:val="0"/>
      <w:marTop w:val="0"/>
      <w:marBottom w:val="0"/>
      <w:divBdr>
        <w:top w:val="none" w:sz="0" w:space="0" w:color="auto"/>
        <w:left w:val="none" w:sz="0" w:space="0" w:color="auto"/>
        <w:bottom w:val="none" w:sz="0" w:space="0" w:color="auto"/>
        <w:right w:val="none" w:sz="0" w:space="0" w:color="auto"/>
      </w:divBdr>
    </w:div>
    <w:div w:id="1319264601">
      <w:bodyDiv w:val="1"/>
      <w:marLeft w:val="0"/>
      <w:marRight w:val="0"/>
      <w:marTop w:val="0"/>
      <w:marBottom w:val="0"/>
      <w:divBdr>
        <w:top w:val="none" w:sz="0" w:space="0" w:color="auto"/>
        <w:left w:val="none" w:sz="0" w:space="0" w:color="auto"/>
        <w:bottom w:val="none" w:sz="0" w:space="0" w:color="auto"/>
        <w:right w:val="none" w:sz="0" w:space="0" w:color="auto"/>
      </w:divBdr>
    </w:div>
    <w:div w:id="1349602182">
      <w:bodyDiv w:val="1"/>
      <w:marLeft w:val="0"/>
      <w:marRight w:val="0"/>
      <w:marTop w:val="0"/>
      <w:marBottom w:val="0"/>
      <w:divBdr>
        <w:top w:val="none" w:sz="0" w:space="0" w:color="auto"/>
        <w:left w:val="none" w:sz="0" w:space="0" w:color="auto"/>
        <w:bottom w:val="none" w:sz="0" w:space="0" w:color="auto"/>
        <w:right w:val="none" w:sz="0" w:space="0" w:color="auto"/>
      </w:divBdr>
      <w:divsChild>
        <w:div w:id="629480102">
          <w:marLeft w:val="0"/>
          <w:marRight w:val="0"/>
          <w:marTop w:val="0"/>
          <w:marBottom w:val="0"/>
          <w:divBdr>
            <w:top w:val="none" w:sz="0" w:space="0" w:color="auto"/>
            <w:left w:val="none" w:sz="0" w:space="0" w:color="auto"/>
            <w:bottom w:val="none" w:sz="0" w:space="0" w:color="auto"/>
            <w:right w:val="none" w:sz="0" w:space="0" w:color="auto"/>
          </w:divBdr>
          <w:divsChild>
            <w:div w:id="563764185">
              <w:marLeft w:val="0"/>
              <w:marRight w:val="0"/>
              <w:marTop w:val="0"/>
              <w:marBottom w:val="0"/>
              <w:divBdr>
                <w:top w:val="none" w:sz="0" w:space="0" w:color="auto"/>
                <w:left w:val="none" w:sz="0" w:space="0" w:color="auto"/>
                <w:bottom w:val="none" w:sz="0" w:space="0" w:color="auto"/>
                <w:right w:val="none" w:sz="0" w:space="0" w:color="auto"/>
              </w:divBdr>
              <w:divsChild>
                <w:div w:id="274101921">
                  <w:marLeft w:val="0"/>
                  <w:marRight w:val="0"/>
                  <w:marTop w:val="0"/>
                  <w:marBottom w:val="150"/>
                  <w:divBdr>
                    <w:top w:val="none" w:sz="0" w:space="0" w:color="auto"/>
                    <w:left w:val="none" w:sz="0" w:space="0" w:color="auto"/>
                    <w:bottom w:val="none" w:sz="0" w:space="0" w:color="auto"/>
                    <w:right w:val="none" w:sz="0" w:space="0" w:color="auto"/>
                  </w:divBdr>
                  <w:divsChild>
                    <w:div w:id="1461462266">
                      <w:marLeft w:val="0"/>
                      <w:marRight w:val="0"/>
                      <w:marTop w:val="0"/>
                      <w:marBottom w:val="1200"/>
                      <w:divBdr>
                        <w:top w:val="none" w:sz="0" w:space="0" w:color="auto"/>
                        <w:left w:val="none" w:sz="0" w:space="0" w:color="auto"/>
                        <w:bottom w:val="none" w:sz="0" w:space="0" w:color="auto"/>
                        <w:right w:val="none" w:sz="0" w:space="0" w:color="auto"/>
                      </w:divBdr>
                    </w:div>
                  </w:divsChild>
                </w:div>
              </w:divsChild>
            </w:div>
          </w:divsChild>
        </w:div>
      </w:divsChild>
    </w:div>
    <w:div w:id="1418549918">
      <w:bodyDiv w:val="1"/>
      <w:marLeft w:val="0"/>
      <w:marRight w:val="0"/>
      <w:marTop w:val="0"/>
      <w:marBottom w:val="0"/>
      <w:divBdr>
        <w:top w:val="none" w:sz="0" w:space="0" w:color="auto"/>
        <w:left w:val="none" w:sz="0" w:space="0" w:color="auto"/>
        <w:bottom w:val="none" w:sz="0" w:space="0" w:color="auto"/>
        <w:right w:val="none" w:sz="0" w:space="0" w:color="auto"/>
      </w:divBdr>
    </w:div>
    <w:div w:id="1440833450">
      <w:bodyDiv w:val="1"/>
      <w:marLeft w:val="0"/>
      <w:marRight w:val="0"/>
      <w:marTop w:val="0"/>
      <w:marBottom w:val="0"/>
      <w:divBdr>
        <w:top w:val="none" w:sz="0" w:space="0" w:color="auto"/>
        <w:left w:val="none" w:sz="0" w:space="0" w:color="auto"/>
        <w:bottom w:val="none" w:sz="0" w:space="0" w:color="auto"/>
        <w:right w:val="none" w:sz="0" w:space="0" w:color="auto"/>
      </w:divBdr>
      <w:divsChild>
        <w:div w:id="1111123260">
          <w:marLeft w:val="136"/>
          <w:marRight w:val="136"/>
          <w:marTop w:val="204"/>
          <w:marBottom w:val="0"/>
          <w:divBdr>
            <w:top w:val="none" w:sz="0" w:space="0" w:color="auto"/>
            <w:left w:val="none" w:sz="0" w:space="0" w:color="auto"/>
            <w:bottom w:val="none" w:sz="0" w:space="0" w:color="auto"/>
            <w:right w:val="none" w:sz="0" w:space="0" w:color="auto"/>
          </w:divBdr>
          <w:divsChild>
            <w:div w:id="186543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725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eff.Erickson@Navigant.com" TargetMode="External"/><Relationship Id="rId18" Type="http://schemas.openxmlformats.org/officeDocument/2006/relationships/image" Target="media/image2.wmf"/><Relationship Id="rId26" Type="http://schemas.openxmlformats.org/officeDocument/2006/relationships/image" Target="media/image6.wmf"/><Relationship Id="rId3" Type="http://schemas.openxmlformats.org/officeDocument/2006/relationships/styles" Target="styles.xml"/><Relationship Id="rId21" Type="http://schemas.openxmlformats.org/officeDocument/2006/relationships/oleObject" Target="embeddings/oleObject2.bin"/><Relationship Id="rId34"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yperlink" Target="mailto:Rand.Gunn@Navigant.com" TargetMode="External"/><Relationship Id="rId17" Type="http://schemas.openxmlformats.org/officeDocument/2006/relationships/footer" Target="footer6.xml"/><Relationship Id="rId25" Type="http://schemas.openxmlformats.org/officeDocument/2006/relationships/oleObject" Target="embeddings/oleObject4.bin"/><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image" Target="media/image3.wmf"/><Relationship Id="rId29"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5.wmf"/><Relationship Id="rId32"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oleObject" Target="embeddings/oleObject3.bin"/><Relationship Id="rId28" Type="http://schemas.openxmlformats.org/officeDocument/2006/relationships/image" Target="media/image7.wmf"/><Relationship Id="rId10" Type="http://schemas.openxmlformats.org/officeDocument/2006/relationships/footer" Target="footer1.xml"/><Relationship Id="rId19" Type="http://schemas.openxmlformats.org/officeDocument/2006/relationships/oleObject" Target="embeddings/oleObject1.bin"/><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4.wmf"/><Relationship Id="rId27" Type="http://schemas.openxmlformats.org/officeDocument/2006/relationships/oleObject" Target="embeddings/oleObject5.bin"/><Relationship Id="rId30" Type="http://schemas.openxmlformats.org/officeDocument/2006/relationships/fontTable" Target="fontTable.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2" Type="http://schemas.openxmlformats.org/officeDocument/2006/relationships/hyperlink" Target="http://www.cadmusgroup.com/wp-content/uploads/2014/11/Cadmus_Home_Energy_Reports_Winter2014.pdf" TargetMode="External"/><Relationship Id="rId1" Type="http://schemas.openxmlformats.org/officeDocument/2006/relationships/hyperlink" Target="http://www.cadmusgroup.com/wp-content/uploads/2014/11/Cadmus_Home_Energy_Reports_Winter2014.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Navigant 2010">
      <a:dk1>
        <a:sysClr val="windowText" lastClr="000000"/>
      </a:dk1>
      <a:lt1>
        <a:sysClr val="window" lastClr="FFFFFF"/>
      </a:lt1>
      <a:dk2>
        <a:srgbClr val="A15F00"/>
      </a:dk2>
      <a:lt2>
        <a:srgbClr val="6F6754"/>
      </a:lt2>
      <a:accent1>
        <a:srgbClr val="A84D10"/>
      </a:accent1>
      <a:accent2>
        <a:srgbClr val="EEB111"/>
      </a:accent2>
      <a:accent3>
        <a:srgbClr val="007F7B"/>
      </a:accent3>
      <a:accent4>
        <a:srgbClr val="00539B"/>
      </a:accent4>
      <a:accent5>
        <a:srgbClr val="566C11"/>
      </a:accent5>
      <a:accent6>
        <a:srgbClr val="850C70"/>
      </a:accent6>
      <a:hlink>
        <a:srgbClr val="00539B"/>
      </a:hlink>
      <a:folHlink>
        <a:srgbClr val="7E430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0fef99e30053e2e7706bd2fa2d9213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4C865A-9D08-46CD-8B3D-FF0D0DDC0884}"/>
</file>

<file path=customXml/itemProps2.xml><?xml version="1.0" encoding="utf-8"?>
<ds:datastoreItem xmlns:ds="http://schemas.openxmlformats.org/officeDocument/2006/customXml" ds:itemID="{ECFBF969-C38B-41AE-8785-D3200ADEEEB7}"/>
</file>

<file path=customXml/itemProps3.xml><?xml version="1.0" encoding="utf-8"?>
<ds:datastoreItem xmlns:ds="http://schemas.openxmlformats.org/officeDocument/2006/customXml" ds:itemID="{CEEEDA40-AEF4-4B7C-AE5E-1D5858DA5009}"/>
</file>

<file path=customXml/itemProps4.xml><?xml version="1.0" encoding="utf-8"?>
<ds:datastoreItem xmlns:ds="http://schemas.openxmlformats.org/officeDocument/2006/customXml" ds:itemID="{C249F468-E3D0-4031-9286-8759B81280AC}"/>
</file>

<file path=docProps/app.xml><?xml version="1.0" encoding="utf-8"?>
<Properties xmlns="http://schemas.openxmlformats.org/officeDocument/2006/extended-properties" xmlns:vt="http://schemas.openxmlformats.org/officeDocument/2006/docPropsVTypes">
  <Template>Normal.dotm</Template>
  <TotalTime>1</TotalTime>
  <Pages>32</Pages>
  <Words>9075</Words>
  <Characters>51734</Characters>
  <Application>Microsoft Office Word</Application>
  <DocSecurity>4</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60688</CharactersWithSpaces>
  <SharedDoc>false</SharedDoc>
  <HLinks>
    <vt:vector size="60" baseType="variant">
      <vt:variant>
        <vt:i4>1966139</vt:i4>
      </vt:variant>
      <vt:variant>
        <vt:i4>56</vt:i4>
      </vt:variant>
      <vt:variant>
        <vt:i4>0</vt:i4>
      </vt:variant>
      <vt:variant>
        <vt:i4>5</vt:i4>
      </vt:variant>
      <vt:variant>
        <vt:lpwstr/>
      </vt:variant>
      <vt:variant>
        <vt:lpwstr>_Toc145987735</vt:lpwstr>
      </vt:variant>
      <vt:variant>
        <vt:i4>1966139</vt:i4>
      </vt:variant>
      <vt:variant>
        <vt:i4>50</vt:i4>
      </vt:variant>
      <vt:variant>
        <vt:i4>0</vt:i4>
      </vt:variant>
      <vt:variant>
        <vt:i4>5</vt:i4>
      </vt:variant>
      <vt:variant>
        <vt:lpwstr/>
      </vt:variant>
      <vt:variant>
        <vt:lpwstr>_Toc145987734</vt:lpwstr>
      </vt:variant>
      <vt:variant>
        <vt:i4>1966139</vt:i4>
      </vt:variant>
      <vt:variant>
        <vt:i4>44</vt:i4>
      </vt:variant>
      <vt:variant>
        <vt:i4>0</vt:i4>
      </vt:variant>
      <vt:variant>
        <vt:i4>5</vt:i4>
      </vt:variant>
      <vt:variant>
        <vt:lpwstr/>
      </vt:variant>
      <vt:variant>
        <vt:lpwstr>_Toc145987733</vt:lpwstr>
      </vt:variant>
      <vt:variant>
        <vt:i4>1966139</vt:i4>
      </vt:variant>
      <vt:variant>
        <vt:i4>38</vt:i4>
      </vt:variant>
      <vt:variant>
        <vt:i4>0</vt:i4>
      </vt:variant>
      <vt:variant>
        <vt:i4>5</vt:i4>
      </vt:variant>
      <vt:variant>
        <vt:lpwstr/>
      </vt:variant>
      <vt:variant>
        <vt:lpwstr>_Toc145987732</vt:lpwstr>
      </vt:variant>
      <vt:variant>
        <vt:i4>1966139</vt:i4>
      </vt:variant>
      <vt:variant>
        <vt:i4>32</vt:i4>
      </vt:variant>
      <vt:variant>
        <vt:i4>0</vt:i4>
      </vt:variant>
      <vt:variant>
        <vt:i4>5</vt:i4>
      </vt:variant>
      <vt:variant>
        <vt:lpwstr/>
      </vt:variant>
      <vt:variant>
        <vt:lpwstr>_Toc145987731</vt:lpwstr>
      </vt:variant>
      <vt:variant>
        <vt:i4>1966139</vt:i4>
      </vt:variant>
      <vt:variant>
        <vt:i4>26</vt:i4>
      </vt:variant>
      <vt:variant>
        <vt:i4>0</vt:i4>
      </vt:variant>
      <vt:variant>
        <vt:i4>5</vt:i4>
      </vt:variant>
      <vt:variant>
        <vt:lpwstr/>
      </vt:variant>
      <vt:variant>
        <vt:lpwstr>_Toc145987730</vt:lpwstr>
      </vt:variant>
      <vt:variant>
        <vt:i4>2031675</vt:i4>
      </vt:variant>
      <vt:variant>
        <vt:i4>20</vt:i4>
      </vt:variant>
      <vt:variant>
        <vt:i4>0</vt:i4>
      </vt:variant>
      <vt:variant>
        <vt:i4>5</vt:i4>
      </vt:variant>
      <vt:variant>
        <vt:lpwstr/>
      </vt:variant>
      <vt:variant>
        <vt:lpwstr>_Toc145987729</vt:lpwstr>
      </vt:variant>
      <vt:variant>
        <vt:i4>2031675</vt:i4>
      </vt:variant>
      <vt:variant>
        <vt:i4>14</vt:i4>
      </vt:variant>
      <vt:variant>
        <vt:i4>0</vt:i4>
      </vt:variant>
      <vt:variant>
        <vt:i4>5</vt:i4>
      </vt:variant>
      <vt:variant>
        <vt:lpwstr/>
      </vt:variant>
      <vt:variant>
        <vt:lpwstr>_Toc145987728</vt:lpwstr>
      </vt:variant>
      <vt:variant>
        <vt:i4>2031675</vt:i4>
      </vt:variant>
      <vt:variant>
        <vt:i4>8</vt:i4>
      </vt:variant>
      <vt:variant>
        <vt:i4>0</vt:i4>
      </vt:variant>
      <vt:variant>
        <vt:i4>5</vt:i4>
      </vt:variant>
      <vt:variant>
        <vt:lpwstr/>
      </vt:variant>
      <vt:variant>
        <vt:lpwstr>_Toc145987727</vt:lpwstr>
      </vt:variant>
      <vt:variant>
        <vt:i4>2031675</vt:i4>
      </vt:variant>
      <vt:variant>
        <vt:i4>2</vt:i4>
      </vt:variant>
      <vt:variant>
        <vt:i4>0</vt:i4>
      </vt:variant>
      <vt:variant>
        <vt:i4>5</vt:i4>
      </vt:variant>
      <vt:variant>
        <vt:lpwstr/>
      </vt:variant>
      <vt:variant>
        <vt:lpwstr>_Toc145987726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 Arnold, Navigant</dc:creator>
  <cp:lastModifiedBy>Cheryl Jenkins</cp:lastModifiedBy>
  <cp:revision>2</cp:revision>
  <dcterms:created xsi:type="dcterms:W3CDTF">2016-02-11T19:42:00Z</dcterms:created>
  <dcterms:modified xsi:type="dcterms:W3CDTF">2016-02-11T19:42:00Z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0x010100AD57B319AB822E4A9207DC7F31971FB9</vt:lpwstr>
  </property>
</Properties>
</file>